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adjustRightInd w:val="0"/>
        <w:snapToGrid w:val="0"/>
        <w:jc w:val="center"/>
        <w:outlineLvl w:val="0"/>
        <w:rPr>
          <w:rFonts w:hint="default" w:ascii="Times New Roman" w:hAnsi="Times New Roman" w:eastAsia="方正小标宋_GBK" w:cs="Times New Roman"/>
          <w:bCs/>
          <w:color w:val="auto"/>
          <w:sz w:val="72"/>
          <w:szCs w:val="72"/>
          <w:highlight w:val="none"/>
        </w:rPr>
      </w:pPr>
      <w:r>
        <w:rPr>
          <w:rFonts w:hint="default" w:ascii="Times New Roman" w:hAnsi="Times New Roman" w:eastAsia="方正小标宋_GBK" w:cs="Times New Roman"/>
          <w:bCs/>
          <w:color w:val="auto"/>
          <w:sz w:val="72"/>
          <w:szCs w:val="72"/>
          <w:highlight w:val="none"/>
        </w:rPr>
        <w:t>建设项目环境影响报告表</w:t>
      </w:r>
    </w:p>
    <w:p>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（污染影响类）</w:t>
      </w:r>
    </w:p>
    <w:p>
      <w:pPr>
        <w:adjustRightInd w:val="0"/>
        <w:snapToGrid w:val="0"/>
        <w:spacing w:line="288" w:lineRule="auto"/>
        <w:jc w:val="center"/>
        <w:outlineLvl w:val="0"/>
        <w:rPr>
          <w:rFonts w:hint="default" w:ascii="Times New Roman" w:hAnsi="Times New Roman" w:eastAsia="华文仿宋" w:cs="Times New Roman"/>
          <w:color w:val="auto"/>
          <w:kern w:val="44"/>
          <w:sz w:val="44"/>
          <w:szCs w:val="44"/>
          <w:highlight w:val="none"/>
        </w:rPr>
      </w:pPr>
    </w:p>
    <w:p>
      <w:pPr>
        <w:jc w:val="center"/>
        <w:rPr>
          <w:rFonts w:hint="default" w:ascii="Times New Roman" w:hAnsi="Times New Roman" w:eastAsia="仿宋" w:cs="Times New Roman"/>
          <w:color w:val="auto"/>
          <w:sz w:val="52"/>
          <w:szCs w:val="52"/>
          <w:highlight w:val="none"/>
        </w:rPr>
      </w:pP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adjustRightInd w:val="0"/>
        <w:snapToGrid w:val="0"/>
        <w:spacing w:line="288" w:lineRule="auto"/>
        <w:ind w:firstLine="720" w:firstLineChars="200"/>
        <w:jc w:val="both"/>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6"/>
          <w:szCs w:val="36"/>
          <w:highlight w:val="none"/>
        </w:rPr>
        <w:t>项目名称：</w:t>
      </w:r>
      <w:r>
        <w:rPr>
          <w:rFonts w:hint="eastAsia" w:eastAsia="仿宋_GB2312" w:cs="Times New Roman"/>
          <w:color w:val="auto"/>
          <w:sz w:val="36"/>
          <w:szCs w:val="36"/>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机制砂及商品混凝土生产项目</w:t>
      </w:r>
    </w:p>
    <w:p>
      <w:pPr>
        <w:adjustRightInd w:val="0"/>
        <w:snapToGrid w:val="0"/>
        <w:spacing w:line="288" w:lineRule="auto"/>
        <w:ind w:firstLine="720" w:firstLineChars="200"/>
        <w:jc w:val="both"/>
        <w:rPr>
          <w:rFonts w:hint="eastAsia"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6"/>
          <w:szCs w:val="36"/>
          <w:highlight w:val="none"/>
        </w:rPr>
        <w:t>建设单位（盖章）：</w:t>
      </w:r>
      <w:r>
        <w:rPr>
          <w:rFonts w:hint="eastAsia" w:ascii="Times New Roman" w:hAnsi="Times New Roman" w:eastAsia="仿宋_GB2312" w:cs="Times New Roman"/>
          <w:color w:val="auto"/>
          <w:sz w:val="32"/>
          <w:szCs w:val="32"/>
          <w:highlight w:val="none"/>
          <w:u w:val="single"/>
          <w:lang w:val="en-US" w:eastAsia="zh-CN"/>
        </w:rPr>
        <w:t>湖南金地利新农村建设项目投资</w:t>
      </w:r>
    </w:p>
    <w:p>
      <w:pPr>
        <w:adjustRightInd w:val="0"/>
        <w:snapToGrid w:val="0"/>
        <w:spacing w:line="288" w:lineRule="auto"/>
        <w:ind w:firstLine="640" w:firstLineChars="200"/>
        <w:jc w:val="both"/>
        <w:rPr>
          <w:rFonts w:hint="default" w:ascii="Times New Roman" w:hAnsi="Times New Roman" w:eastAsia="仿宋_GB2312" w:cs="Times New Roman"/>
          <w:color w:val="auto"/>
          <w:sz w:val="32"/>
          <w:szCs w:val="32"/>
          <w:highlight w:val="none"/>
          <w:u w:val="single"/>
          <w:lang w:val="en-US" w:eastAsia="zh-CN"/>
        </w:rPr>
      </w:pP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有限公司澧县王家厂分公司</w:t>
      </w:r>
    </w:p>
    <w:p>
      <w:pPr>
        <w:adjustRightInd w:val="0"/>
        <w:snapToGrid w:val="0"/>
        <w:spacing w:line="288" w:lineRule="auto"/>
        <w:ind w:firstLine="720" w:firstLineChars="200"/>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编制日期：</w:t>
      </w:r>
      <w:r>
        <w:rPr>
          <w:rFonts w:hint="default" w:ascii="Times New Roman" w:hAnsi="Times New Roman" w:eastAsia="仿宋_GB2312" w:cs="Times New Roman"/>
          <w:color w:val="auto"/>
          <w:sz w:val="36"/>
          <w:szCs w:val="36"/>
          <w:highlight w:val="none"/>
          <w:u w:val="single"/>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2021年0</w:t>
      </w:r>
      <w:r>
        <w:rPr>
          <w:rFonts w:hint="eastAsia" w:eastAsia="仿宋_GB2312" w:cs="Times New Roman"/>
          <w:color w:val="auto"/>
          <w:sz w:val="32"/>
          <w:szCs w:val="32"/>
          <w:highlight w:val="none"/>
          <w:u w:val="single"/>
          <w:lang w:val="en-US" w:eastAsia="zh-CN"/>
        </w:rPr>
        <w:t>7</w:t>
      </w:r>
      <w:r>
        <w:rPr>
          <w:rFonts w:hint="default" w:ascii="Times New Roman" w:hAnsi="Times New Roman" w:eastAsia="仿宋_GB2312" w:cs="Times New Roman"/>
          <w:color w:val="auto"/>
          <w:sz w:val="32"/>
          <w:szCs w:val="32"/>
          <w:highlight w:val="none"/>
          <w:u w:val="single"/>
          <w:lang w:val="en-US" w:eastAsia="zh-CN"/>
        </w:rPr>
        <w:t>月</w:t>
      </w:r>
      <w:r>
        <w:rPr>
          <w:rFonts w:hint="default" w:ascii="Times New Roman" w:hAnsi="Times New Roman" w:eastAsia="仿宋_GB2312" w:cs="Times New Roman"/>
          <w:color w:val="auto"/>
          <w:sz w:val="36"/>
          <w:szCs w:val="36"/>
          <w:highlight w:val="none"/>
          <w:u w:val="single"/>
        </w:rPr>
        <w:t xml:space="preserve"> </w:t>
      </w:r>
      <w:r>
        <w:rPr>
          <w:rFonts w:hint="eastAsia" w:ascii="Times New Roman" w:hAnsi="Times New Roman" w:eastAsia="仿宋_GB2312" w:cs="Times New Roman"/>
          <w:color w:val="auto"/>
          <w:sz w:val="36"/>
          <w:szCs w:val="36"/>
          <w:highlight w:val="none"/>
          <w:u w:val="single"/>
          <w:lang w:val="en-US" w:eastAsia="zh-CN"/>
        </w:rPr>
        <w:t xml:space="preserve"> </w:t>
      </w:r>
      <w:r>
        <w:rPr>
          <w:rFonts w:hint="default" w:ascii="Times New Roman" w:hAnsi="Times New Roman" w:eastAsia="仿宋_GB2312" w:cs="Times New Roman"/>
          <w:color w:val="auto"/>
          <w:sz w:val="36"/>
          <w:szCs w:val="36"/>
          <w:highlight w:val="none"/>
          <w:u w:val="single"/>
        </w:rPr>
        <w:t xml:space="preserve">   </w:t>
      </w:r>
      <w:r>
        <w:rPr>
          <w:rFonts w:hint="default" w:ascii="Times New Roman" w:hAnsi="Times New Roman" w:eastAsia="仿宋_GB2312" w:cs="Times New Roman"/>
          <w:color w:val="auto"/>
          <w:sz w:val="36"/>
          <w:szCs w:val="36"/>
          <w:highlight w:val="none"/>
          <w:u w:val="single"/>
          <w:lang w:val="en-US" w:eastAsia="zh-CN"/>
        </w:rPr>
        <w:t xml:space="preserve">   </w:t>
      </w:r>
      <w:r>
        <w:rPr>
          <w:rFonts w:hint="default" w:ascii="Times New Roman" w:hAnsi="Times New Roman" w:eastAsia="仿宋_GB2312" w:cs="Times New Roman"/>
          <w:color w:val="auto"/>
          <w:sz w:val="36"/>
          <w:szCs w:val="36"/>
          <w:highlight w:val="none"/>
          <w:u w:val="single"/>
        </w:rPr>
        <w:t xml:space="preserve">      </w:t>
      </w:r>
      <w:r>
        <w:rPr>
          <w:rFonts w:hint="eastAsia" w:ascii="Times New Roman" w:hAnsi="Times New Roman" w:eastAsia="仿宋_GB2312" w:cs="Times New Roman"/>
          <w:color w:val="auto"/>
          <w:sz w:val="36"/>
          <w:szCs w:val="36"/>
          <w:highlight w:val="none"/>
          <w:u w:val="single"/>
          <w:lang w:val="en-US" w:eastAsia="zh-CN"/>
        </w:rPr>
        <w:t xml:space="preserve">   </w:t>
      </w:r>
    </w:p>
    <w:p>
      <w:pPr>
        <w:adjustRightInd w:val="0"/>
        <w:snapToGrid w:val="0"/>
        <w:spacing w:line="288" w:lineRule="auto"/>
        <w:ind w:firstLine="1040"/>
        <w:rPr>
          <w:rFonts w:hint="default" w:ascii="Times New Roman" w:hAnsi="Times New Roman" w:eastAsia="仿宋_GB2312" w:cs="Times New Roman"/>
          <w:color w:val="auto"/>
          <w:sz w:val="36"/>
          <w:szCs w:val="36"/>
          <w:highlight w:val="none"/>
          <w:u w:val="single"/>
        </w:rPr>
      </w:pPr>
      <w:bookmarkStart w:id="0" w:name="_Hlk57884087"/>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bookmarkEnd w:id="0"/>
    <w:p>
      <w:pPr>
        <w:adjustRightInd w:val="0"/>
        <w:snapToGrid w:val="0"/>
        <w:spacing w:line="288" w:lineRule="auto"/>
        <w:jc w:val="center"/>
        <w:rPr>
          <w:rFonts w:hint="default" w:ascii="Times New Roman" w:hAnsi="Times New Roman" w:eastAsia="楷体_GB2312" w:cs="Times New Roman"/>
          <w:color w:val="auto"/>
          <w:sz w:val="36"/>
          <w:szCs w:val="36"/>
          <w:highlight w:val="none"/>
        </w:rPr>
      </w:pPr>
      <w:r>
        <w:rPr>
          <w:rFonts w:hint="default" w:ascii="Times New Roman" w:hAnsi="Times New Roman" w:eastAsia="楷体_GB2312" w:cs="Times New Roman"/>
          <w:color w:val="auto"/>
          <w:sz w:val="36"/>
          <w:szCs w:val="36"/>
          <w:highlight w:val="none"/>
        </w:rPr>
        <w:t>中华人民共和国生态环境部制</w:t>
      </w:r>
    </w:p>
    <w:p>
      <w:pPr>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 w:val="36"/>
          <w:szCs w:val="36"/>
          <w:highlight w:val="none"/>
        </w:rPr>
        <w:br w:type="page"/>
      </w:r>
    </w:p>
    <w:p>
      <w:pPr>
        <w:rPr>
          <w:rFonts w:hint="default"/>
        </w:rPr>
      </w:pPr>
      <w:r>
        <w:rPr>
          <w:rFonts w:hint="default"/>
        </w:rPr>
        <w:br w:type="page"/>
      </w:r>
    </w:p>
    <w:p>
      <w:pPr>
        <w:pStyle w:val="3"/>
        <w:rPr>
          <w:rFonts w:hint="default"/>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13"/>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一、建设项目基本情况</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12"/>
        <w:gridCol w:w="1318"/>
        <w:gridCol w:w="2037"/>
        <w:gridCol w:w="31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建设项目名称</w:t>
            </w:r>
          </w:p>
        </w:tc>
        <w:tc>
          <w:tcPr>
            <w:tcW w:w="6458" w:type="dxa"/>
            <w:gridSpan w:val="3"/>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机制砂及商品混凝土生产</w:t>
            </w:r>
            <w:r>
              <w:rPr>
                <w:rFonts w:hint="eastAsia" w:ascii="Times New Roman" w:hAnsi="Times New Roman" w:eastAsia="宋体" w:cs="Times New Roman"/>
                <w:color w:val="auto"/>
                <w:szCs w:val="21"/>
                <w:highlight w:val="none"/>
                <w:lang w:val="en-US" w:eastAsia="zh-CN"/>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项目代码</w:t>
            </w:r>
          </w:p>
        </w:tc>
        <w:tc>
          <w:tcPr>
            <w:tcW w:w="6458" w:type="dxa"/>
            <w:gridSpan w:val="3"/>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建设单位联系人</w:t>
            </w:r>
          </w:p>
        </w:tc>
        <w:tc>
          <w:tcPr>
            <w:tcW w:w="1318"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王云生</w:t>
            </w:r>
          </w:p>
        </w:tc>
        <w:tc>
          <w:tcPr>
            <w:tcW w:w="2037"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3103"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19936843736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建设地点</w:t>
            </w:r>
          </w:p>
        </w:tc>
        <w:tc>
          <w:tcPr>
            <w:tcW w:w="6458" w:type="dxa"/>
            <w:gridSpan w:val="3"/>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eastAsia="zh-CN"/>
              </w:rPr>
              <w:t>湖南省常德市澧县王家厂镇柳津村</w:t>
            </w:r>
            <w:r>
              <w:rPr>
                <w:rFonts w:hint="eastAsia" w:ascii="Times New Roman" w:hAnsi="Times New Roman" w:eastAsia="宋体" w:cs="Times New Roman"/>
                <w:color w:val="auto"/>
                <w:szCs w:val="21"/>
                <w:highlight w:val="none"/>
                <w:u w:val="none"/>
                <w:lang w:val="en-US" w:eastAsia="zh-CN"/>
              </w:rPr>
              <w:t>六组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地理坐标</w:t>
            </w:r>
          </w:p>
        </w:tc>
        <w:tc>
          <w:tcPr>
            <w:tcW w:w="6458" w:type="dxa"/>
            <w:gridSpan w:val="3"/>
            <w:noWrap w:val="0"/>
            <w:vAlign w:val="center"/>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w:t>
            </w:r>
            <w:r>
              <w:rPr>
                <w:rFonts w:hint="eastAsia" w:ascii="Times New Roman" w:hAnsi="Times New Roman" w:cs="Times New Roman"/>
                <w:color w:val="auto"/>
                <w:szCs w:val="21"/>
                <w:highlight w:val="none"/>
                <w:u w:val="none"/>
                <w:lang w:val="en-US" w:eastAsia="zh-CN"/>
              </w:rPr>
              <w:t>E</w:t>
            </w:r>
            <w:r>
              <w:rPr>
                <w:rFonts w:hint="eastAsia" w:ascii="Times New Roman" w:hAnsi="Times New Roman" w:eastAsia="宋体" w:cs="Times New Roman"/>
                <w:color w:val="auto"/>
                <w:szCs w:val="21"/>
                <w:highlight w:val="none"/>
                <w:u w:val="none"/>
                <w:lang w:eastAsia="zh-CN"/>
              </w:rPr>
              <w:t>111°</w:t>
            </w:r>
            <w:r>
              <w:rPr>
                <w:rFonts w:hint="eastAsia" w:ascii="Times New Roman" w:hAnsi="Times New Roman" w:eastAsia="宋体" w:cs="Times New Roman"/>
                <w:color w:val="auto"/>
                <w:szCs w:val="21"/>
                <w:highlight w:val="none"/>
                <w:u w:val="none"/>
                <w:lang w:val="en-US" w:eastAsia="zh-CN"/>
              </w:rPr>
              <w:t>34</w:t>
            </w:r>
            <w:r>
              <w:rPr>
                <w:rFonts w:hint="eastAsia" w:ascii="Times New Roman" w:hAnsi="Times New Roman" w:eastAsia="宋体" w:cs="Times New Roman"/>
                <w:color w:val="auto"/>
                <w:szCs w:val="21"/>
                <w:highlight w:val="none"/>
                <w:u w:val="none"/>
                <w:lang w:eastAsia="zh-CN"/>
              </w:rPr>
              <w:t>′</w:t>
            </w:r>
            <w:r>
              <w:rPr>
                <w:rFonts w:hint="eastAsia" w:ascii="Times New Roman" w:hAnsi="Times New Roman" w:eastAsia="宋体" w:cs="Times New Roman"/>
                <w:color w:val="auto"/>
                <w:szCs w:val="21"/>
                <w:highlight w:val="none"/>
                <w:u w:val="none"/>
                <w:lang w:val="en-US" w:eastAsia="zh-CN"/>
              </w:rPr>
              <w:t>53.178</w:t>
            </w:r>
            <w:r>
              <w:rPr>
                <w:rFonts w:hint="eastAsia" w:ascii="Times New Roman" w:hAnsi="Times New Roman" w:eastAsia="宋体" w:cs="Times New Roman"/>
                <w:color w:val="auto"/>
                <w:szCs w:val="21"/>
                <w:highlight w:val="none"/>
                <w:u w:val="none"/>
                <w:lang w:eastAsia="zh-CN"/>
              </w:rPr>
              <w:t>″</w:t>
            </w:r>
            <w:r>
              <w:rPr>
                <w:rFonts w:hint="default" w:ascii="Times New Roman" w:hAnsi="Times New Roman" w:cs="Times New Roman"/>
                <w:color w:val="auto"/>
                <w:szCs w:val="21"/>
                <w:highlight w:val="none"/>
                <w:u w:val="none"/>
              </w:rPr>
              <w:t>，</w:t>
            </w:r>
            <w:r>
              <w:rPr>
                <w:rFonts w:hint="eastAsia" w:ascii="Times New Roman" w:hAnsi="Times New Roman" w:cs="Times New Roman"/>
                <w:color w:val="auto"/>
                <w:szCs w:val="21"/>
                <w:highlight w:val="none"/>
                <w:u w:val="none"/>
                <w:lang w:val="en-US" w:eastAsia="zh-CN"/>
              </w:rPr>
              <w:t>N</w:t>
            </w:r>
            <w:r>
              <w:rPr>
                <w:rFonts w:hint="eastAsia" w:ascii="Times New Roman" w:hAnsi="Times New Roman" w:eastAsia="宋体" w:cs="Times New Roman"/>
                <w:color w:val="auto"/>
                <w:szCs w:val="21"/>
                <w:highlight w:val="none"/>
                <w:u w:val="none"/>
                <w:lang w:eastAsia="zh-CN"/>
              </w:rPr>
              <w:t>29°</w:t>
            </w:r>
            <w:r>
              <w:rPr>
                <w:rFonts w:hint="eastAsia" w:ascii="Times New Roman" w:hAnsi="Times New Roman" w:eastAsia="宋体" w:cs="Times New Roman"/>
                <w:color w:val="auto"/>
                <w:szCs w:val="21"/>
                <w:highlight w:val="none"/>
                <w:u w:val="none"/>
                <w:lang w:val="en-US" w:eastAsia="zh-CN"/>
              </w:rPr>
              <w:t>46</w:t>
            </w:r>
            <w:r>
              <w:rPr>
                <w:rFonts w:hint="eastAsia" w:ascii="Times New Roman" w:hAnsi="Times New Roman" w:eastAsia="宋体" w:cs="Times New Roman"/>
                <w:color w:val="auto"/>
                <w:szCs w:val="21"/>
                <w:highlight w:val="none"/>
                <w:u w:val="none"/>
                <w:lang w:eastAsia="zh-CN"/>
              </w:rPr>
              <w:t>′</w:t>
            </w:r>
            <w:r>
              <w:rPr>
                <w:rFonts w:hint="eastAsia" w:ascii="Times New Roman" w:hAnsi="Times New Roman" w:eastAsia="宋体" w:cs="Times New Roman"/>
                <w:color w:val="auto"/>
                <w:szCs w:val="21"/>
                <w:highlight w:val="none"/>
                <w:u w:val="none"/>
                <w:lang w:val="en-US" w:eastAsia="zh-CN"/>
              </w:rPr>
              <w:t>1.105</w:t>
            </w:r>
            <w:r>
              <w:rPr>
                <w:rFonts w:hint="eastAsia" w:ascii="Times New Roman" w:hAnsi="Times New Roman" w:eastAsia="宋体" w:cs="Times New Roman"/>
                <w:color w:val="auto"/>
                <w:szCs w:val="21"/>
                <w:highlight w:val="none"/>
                <w:u w:val="none"/>
                <w:lang w:eastAsia="zh-CN"/>
              </w:rPr>
              <w:t>″</w:t>
            </w:r>
            <w:r>
              <w:rPr>
                <w:rFonts w:hint="default" w:ascii="Times New Roman" w:hAnsi="Times New Roman" w:cs="Times New Roman"/>
                <w:color w:val="auto"/>
                <w:szCs w:val="21"/>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4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国民经济</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行业类别</w:t>
            </w:r>
          </w:p>
        </w:tc>
        <w:tc>
          <w:tcPr>
            <w:tcW w:w="1318"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C3099</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val="en-US" w:eastAsia="zh-CN"/>
              </w:rPr>
              <w:t>其他非金属矿物制品制造</w:t>
            </w:r>
            <w:r>
              <w:rPr>
                <w:rFonts w:hint="eastAsia"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C3029其他水泥类似制品制造业</w:t>
            </w:r>
          </w:p>
        </w:tc>
        <w:tc>
          <w:tcPr>
            <w:tcW w:w="2037"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bookmarkStart w:id="1" w:name="_Hlk49843745"/>
            <w:r>
              <w:rPr>
                <w:rFonts w:hint="default" w:ascii="Times New Roman" w:hAnsi="Times New Roman" w:cs="Times New Roman"/>
                <w:color w:val="auto"/>
                <w:szCs w:val="21"/>
                <w:highlight w:val="none"/>
              </w:rPr>
              <w:t>建设项目</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行业类别</w:t>
            </w:r>
            <w:bookmarkEnd w:id="1"/>
          </w:p>
        </w:tc>
        <w:tc>
          <w:tcPr>
            <w:tcW w:w="3103" w:type="dxa"/>
            <w:noWrap w:val="0"/>
            <w:vAlign w:val="center"/>
          </w:tcPr>
          <w:p>
            <w:pPr>
              <w:keepNext w:val="0"/>
              <w:keepLines w:val="0"/>
              <w:pageBreakBefore w:val="0"/>
              <w:widowControl w:val="0"/>
              <w:numPr>
                <w:ilvl w:val="0"/>
                <w:numId w:val="1"/>
              </w:numPr>
              <w:kinsoku/>
              <w:wordWrap/>
              <w:overflowPunct/>
              <w:topLinePunct w:val="0"/>
              <w:bidi w:val="0"/>
              <w:adjustRightInd w:val="0"/>
              <w:snapToGrid w:val="0"/>
              <w:spacing w:line="240" w:lineRule="auto"/>
              <w:jc w:val="center"/>
              <w:textAlignment w:val="auto"/>
              <w:rPr>
                <w:rFonts w:hint="eastAsia"/>
                <w:lang w:val="en-US" w:eastAsia="zh-CN"/>
              </w:rPr>
            </w:pPr>
            <w:r>
              <w:rPr>
                <w:rFonts w:hint="eastAsia"/>
                <w:lang w:val="en-US" w:eastAsia="zh-CN"/>
              </w:rPr>
              <w:t>石墨及其他非金属矿物制品制造“其他”</w:t>
            </w:r>
          </w:p>
          <w:p>
            <w:pPr>
              <w:numPr>
                <w:ilvl w:val="0"/>
                <w:numId w:val="0"/>
              </w:numPr>
              <w:bidi w:val="0"/>
              <w:spacing w:line="240" w:lineRule="auto"/>
              <w:jc w:val="center"/>
              <w:rPr>
                <w:rFonts w:hint="default"/>
                <w:lang w:val="en-US" w:eastAsia="zh-CN"/>
              </w:rPr>
            </w:pPr>
            <w:r>
              <w:rPr>
                <w:rFonts w:hint="eastAsia"/>
                <w:lang w:val="en-US" w:eastAsia="zh-CN"/>
              </w:rPr>
              <w:t>55.石膏、水泥制品及类似制品制造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4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建设性质</w:t>
            </w:r>
          </w:p>
        </w:tc>
        <w:tc>
          <w:tcPr>
            <w:tcW w:w="1318"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FE"/>
            </w:r>
            <w:r>
              <w:rPr>
                <w:rFonts w:hint="default" w:ascii="Times New Roman" w:hAnsi="Times New Roman" w:cs="Times New Roman"/>
                <w:color w:val="auto"/>
                <w:szCs w:val="21"/>
                <w:highlight w:val="none"/>
              </w:rPr>
              <w:t>新建</w:t>
            </w:r>
          </w:p>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A8"/>
            </w:r>
            <w:r>
              <w:rPr>
                <w:rFonts w:hint="default" w:ascii="Times New Roman" w:hAnsi="Times New Roman" w:cs="Times New Roman"/>
                <w:color w:val="auto"/>
                <w:szCs w:val="21"/>
                <w:highlight w:val="none"/>
              </w:rPr>
              <w:t>改建</w:t>
            </w:r>
          </w:p>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A8"/>
            </w:r>
            <w:r>
              <w:rPr>
                <w:rFonts w:hint="default" w:ascii="Times New Roman" w:hAnsi="Times New Roman" w:cs="Times New Roman"/>
                <w:color w:val="auto"/>
                <w:szCs w:val="21"/>
                <w:highlight w:val="none"/>
              </w:rPr>
              <w:t>扩建</w:t>
            </w:r>
          </w:p>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A8"/>
            </w:r>
            <w:r>
              <w:rPr>
                <w:rFonts w:hint="default" w:ascii="Times New Roman" w:hAnsi="Times New Roman" w:cs="Times New Roman"/>
                <w:color w:val="auto"/>
                <w:szCs w:val="21"/>
                <w:highlight w:val="none"/>
              </w:rPr>
              <w:t>技术改造</w:t>
            </w:r>
          </w:p>
        </w:tc>
        <w:tc>
          <w:tcPr>
            <w:tcW w:w="2037"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建设项目</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申报情形</w:t>
            </w:r>
          </w:p>
        </w:tc>
        <w:tc>
          <w:tcPr>
            <w:tcW w:w="3103" w:type="dxa"/>
            <w:noWrap w:val="0"/>
            <w:vAlign w:val="center"/>
          </w:tcPr>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FE"/>
            </w:r>
            <w:r>
              <w:rPr>
                <w:rFonts w:hint="default" w:ascii="Times New Roman" w:hAnsi="Times New Roman" w:cs="Times New Roman"/>
                <w:color w:val="auto"/>
                <w:szCs w:val="21"/>
                <w:highlight w:val="none"/>
              </w:rPr>
              <w:t>首次申报项目</w:t>
            </w:r>
          </w:p>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A8"/>
            </w:r>
            <w:r>
              <w:rPr>
                <w:rFonts w:hint="default" w:ascii="Times New Roman" w:hAnsi="Times New Roman" w:cs="Times New Roman"/>
                <w:color w:val="auto"/>
                <w:szCs w:val="21"/>
                <w:highlight w:val="none"/>
              </w:rPr>
              <w:t>不予批准后再次申报项目</w:t>
            </w:r>
          </w:p>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A8"/>
            </w:r>
            <w:r>
              <w:rPr>
                <w:rFonts w:hint="default" w:ascii="Times New Roman" w:hAnsi="Times New Roman" w:cs="Times New Roman"/>
                <w:color w:val="auto"/>
                <w:szCs w:val="21"/>
                <w:highlight w:val="none"/>
              </w:rPr>
              <w:t>超五年重新审核项目</w:t>
            </w:r>
          </w:p>
          <w:p>
            <w:pPr>
              <w:keepNext w:val="0"/>
              <w:keepLines w:val="0"/>
              <w:pageBreakBefore w:val="0"/>
              <w:widowControl w:val="0"/>
              <w:kinsoku/>
              <w:wordWrap/>
              <w:overflowPunct/>
              <w:topLinePunct w:val="0"/>
              <w:bidi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A8"/>
            </w:r>
            <w:r>
              <w:rPr>
                <w:rFonts w:hint="default" w:ascii="Times New Roman" w:hAnsi="Times New Roman" w:cs="Times New Roman"/>
                <w:color w:val="auto"/>
                <w:szCs w:val="21"/>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4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项目审批（核准/</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备案）部门（选填）</w:t>
            </w:r>
          </w:p>
        </w:tc>
        <w:tc>
          <w:tcPr>
            <w:tcW w:w="1318"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w:t>
            </w:r>
          </w:p>
        </w:tc>
        <w:tc>
          <w:tcPr>
            <w:tcW w:w="2037"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项目审批（核准/</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备案）文号（选填）</w:t>
            </w:r>
          </w:p>
        </w:tc>
        <w:tc>
          <w:tcPr>
            <w:tcW w:w="3103"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总投资（万元）</w:t>
            </w:r>
          </w:p>
        </w:tc>
        <w:tc>
          <w:tcPr>
            <w:tcW w:w="1318"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500</w:t>
            </w:r>
          </w:p>
        </w:tc>
        <w:tc>
          <w:tcPr>
            <w:tcW w:w="2037"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环保投资（万元）</w:t>
            </w:r>
          </w:p>
        </w:tc>
        <w:tc>
          <w:tcPr>
            <w:tcW w:w="3103"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环保投资占比（%）</w:t>
            </w:r>
          </w:p>
        </w:tc>
        <w:tc>
          <w:tcPr>
            <w:tcW w:w="1318"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10</w:t>
            </w:r>
          </w:p>
        </w:tc>
        <w:tc>
          <w:tcPr>
            <w:tcW w:w="2037"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施工工期</w:t>
            </w:r>
          </w:p>
        </w:tc>
        <w:tc>
          <w:tcPr>
            <w:tcW w:w="3103"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412"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是否开工建设</w:t>
            </w:r>
          </w:p>
        </w:tc>
        <w:tc>
          <w:tcPr>
            <w:tcW w:w="1318"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FE"/>
            </w:r>
            <w:r>
              <w:rPr>
                <w:rFonts w:hint="default" w:ascii="Times New Roman" w:hAnsi="Times New Roman" w:cs="Times New Roman"/>
                <w:color w:val="auto"/>
                <w:szCs w:val="21"/>
                <w:highlight w:val="none"/>
              </w:rPr>
              <w:t>否</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w:char="00A8"/>
            </w:r>
            <w:r>
              <w:rPr>
                <w:rFonts w:hint="default" w:ascii="Times New Roman" w:hAnsi="Times New Roman" w:cs="Times New Roman"/>
                <w:color w:val="auto"/>
                <w:szCs w:val="21"/>
                <w:highlight w:val="none"/>
              </w:rPr>
              <w:t>是：</w:t>
            </w:r>
          </w:p>
        </w:tc>
        <w:tc>
          <w:tcPr>
            <w:tcW w:w="2037"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pacing w:val="-6"/>
                <w:szCs w:val="21"/>
                <w:highlight w:val="none"/>
              </w:rPr>
              <w:t>用地面积（m</w:t>
            </w:r>
            <w:r>
              <w:rPr>
                <w:rFonts w:hint="default" w:ascii="Times New Roman" w:hAnsi="Times New Roman" w:cs="Times New Roman"/>
                <w:color w:val="auto"/>
                <w:spacing w:val="-6"/>
                <w:szCs w:val="21"/>
                <w:highlight w:val="none"/>
                <w:vertAlign w:val="superscript"/>
              </w:rPr>
              <w:t>2</w:t>
            </w:r>
            <w:r>
              <w:rPr>
                <w:rFonts w:hint="default" w:ascii="Times New Roman" w:hAnsi="Times New Roman" w:cs="Times New Roman"/>
                <w:color w:val="auto"/>
                <w:spacing w:val="-6"/>
                <w:szCs w:val="21"/>
                <w:highlight w:val="none"/>
              </w:rPr>
              <w:t>）</w:t>
            </w:r>
          </w:p>
        </w:tc>
        <w:tc>
          <w:tcPr>
            <w:tcW w:w="3103"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eastAsia="宋体" w:cs="Times New Roman"/>
                <w:color w:val="auto"/>
                <w:szCs w:val="21"/>
                <w:highlight w:val="none"/>
                <w:lang w:val="en-US" w:eastAsia="zh-CN"/>
              </w:rPr>
            </w:pPr>
            <w:r>
              <w:rPr>
                <w:rFonts w:hint="eastAsia"/>
                <w:color w:val="auto"/>
                <w:lang w:val="en-US" w:eastAsia="zh-CN"/>
              </w:rPr>
              <w:t>10000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41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专项评价设置情况</w:t>
            </w:r>
          </w:p>
        </w:tc>
        <w:tc>
          <w:tcPr>
            <w:tcW w:w="6458"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kern w:val="0"/>
                <w:sz w:val="24"/>
                <w:szCs w:val="24"/>
                <w:highlight w:val="none"/>
                <w:lang w:eastAsia="zh-CN"/>
              </w:rPr>
            </w:pPr>
            <w:r>
              <w:rPr>
                <w:rFonts w:hint="eastAsia" w:cs="Times New Roman"/>
                <w:color w:val="auto"/>
                <w:kern w:val="0"/>
                <w:sz w:val="24"/>
                <w:szCs w:val="24"/>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41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sz w:val="24"/>
                <w:szCs w:val="24"/>
                <w:highlight w:val="none"/>
              </w:rPr>
              <w:t>规划情况</w:t>
            </w:r>
          </w:p>
        </w:tc>
        <w:tc>
          <w:tcPr>
            <w:tcW w:w="6458"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412"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规划环境影响</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sz w:val="24"/>
                <w:szCs w:val="24"/>
                <w:highlight w:val="none"/>
              </w:rPr>
              <w:t>评价情况</w:t>
            </w:r>
          </w:p>
        </w:tc>
        <w:tc>
          <w:tcPr>
            <w:tcW w:w="6458"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41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规划及规划环境</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影响评价符合性分析</w:t>
            </w:r>
          </w:p>
        </w:tc>
        <w:tc>
          <w:tcPr>
            <w:tcW w:w="6458"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Times New Roman" w:hAnsi="Times New Roman" w:eastAsia="宋体" w:cs="Times New Roman"/>
                <w:color w:val="auto"/>
                <w:kern w:val="0"/>
                <w:sz w:val="24"/>
                <w:szCs w:val="24"/>
                <w:highlight w:val="none"/>
                <w:lang w:eastAsia="zh-CN"/>
              </w:rPr>
            </w:pPr>
            <w:r>
              <w:rPr>
                <w:rFonts w:hint="eastAsia" w:ascii="Times New Roman" w:hAnsi="Times New Roman" w:eastAsia="宋体" w:cs="Times New Roman"/>
                <w:color w:val="auto"/>
                <w:kern w:val="0"/>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41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其他符合性分析</w:t>
            </w:r>
          </w:p>
        </w:tc>
        <w:tc>
          <w:tcPr>
            <w:tcW w:w="64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jc w:val="both"/>
              <w:textAlignment w:val="auto"/>
              <w:rPr>
                <w:rFonts w:hint="eastAsia" w:ascii="Times New Roman" w:hAnsi="Times New Roman" w:eastAsia="宋体" w:cs="Times New Roman"/>
                <w:b/>
                <w:bCs/>
                <w:color w:val="auto"/>
                <w:sz w:val="24"/>
                <w:szCs w:val="24"/>
                <w:highlight w:val="none"/>
                <w:lang w:eastAsia="zh-CN"/>
              </w:rPr>
            </w:pPr>
            <w:bookmarkStart w:id="2" w:name="_Toc359268589"/>
            <w:bookmarkStart w:id="3" w:name="_Toc257958948"/>
            <w:bookmarkStart w:id="4" w:name="_Toc482437800"/>
            <w:r>
              <w:rPr>
                <w:rFonts w:hint="eastAsia" w:ascii="Times New Roman" w:hAnsi="Times New Roman" w:eastAsia="宋体" w:cs="Times New Roman"/>
                <w:b/>
                <w:bCs/>
                <w:color w:val="auto"/>
                <w:sz w:val="24"/>
                <w:szCs w:val="24"/>
                <w:highlight w:val="none"/>
                <w:lang w:val="en-US" w:eastAsia="zh-CN"/>
              </w:rPr>
              <w:t>1</w:t>
            </w:r>
            <w:r>
              <w:rPr>
                <w:rFonts w:ascii="Times New Roman" w:hAnsi="Times New Roman" w:eastAsia="宋体" w:cs="Times New Roman"/>
                <w:b/>
                <w:bCs/>
                <w:color w:val="auto"/>
                <w:sz w:val="24"/>
                <w:szCs w:val="24"/>
                <w:highlight w:val="none"/>
              </w:rPr>
              <w:t>、</w:t>
            </w:r>
            <w:bookmarkEnd w:id="2"/>
            <w:bookmarkEnd w:id="3"/>
            <w:bookmarkEnd w:id="4"/>
            <w:bookmarkStart w:id="5" w:name="_Toc19606"/>
            <w:r>
              <w:rPr>
                <w:rFonts w:ascii="Times New Roman" w:hAnsi="Times New Roman" w:eastAsia="宋体" w:cs="Times New Roman"/>
                <w:b/>
                <w:bCs/>
                <w:color w:val="auto"/>
                <w:sz w:val="24"/>
                <w:szCs w:val="24"/>
                <w:highlight w:val="none"/>
              </w:rPr>
              <w:t>“三线一单”相符性</w:t>
            </w:r>
            <w:bookmarkEnd w:id="5"/>
            <w:r>
              <w:rPr>
                <w:rFonts w:hint="eastAsia" w:ascii="Times New Roman" w:hAnsi="Times New Roman" w:eastAsia="宋体" w:cs="Times New Roman"/>
                <w:b/>
                <w:bCs/>
                <w:color w:val="auto"/>
                <w:sz w:val="24"/>
                <w:szCs w:val="24"/>
                <w:highlight w:val="none"/>
                <w:lang w:eastAsia="zh-CN"/>
              </w:rPr>
              <w:t>分析</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（1）生态红线区域保护规划的相符性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根据湖南省人民政府关于印发《湖南省生态保护红线》的通知（湘政发[2018]20号）湖南省生态保护红线划定面积为4.28万平方公里，占全省土地面积的20.23%。全省生态保护红线空间格局为“一湖三山四水”：“一湖”为洞庭湖（主要包括东洞庭湖、南洞庭湖、横岭湖、西洞庭湖等自然保护区和长江岸线），主要生态功能为生物多样性维护、洪水调蓄。“三山”包括武陵-雪峰山脉生态屏障，主要生态功能为生物多样性维护与水土保持；罗霄-幕阜山脉生态屏障，主要生态功能为生物多样性维护、水源涵养和水土保持；南岭山脉生态屏障，主要生态功能为水源涵养和生物多样性维护，其中南岭山脉生态屏障是南方丘陵山地带的重要组成部分。“四水”为湘资沅澧（湘江、资江、沅江、澧水）的源头区及重要水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本项目位于</w:t>
            </w:r>
            <w:r>
              <w:rPr>
                <w:rFonts w:hint="eastAsia" w:ascii="Times New Roman" w:hAnsi="Times New Roman" w:cs="Times New Roman"/>
                <w:color w:val="auto"/>
                <w:kern w:val="0"/>
                <w:sz w:val="24"/>
                <w:szCs w:val="24"/>
                <w:highlight w:val="none"/>
                <w:lang w:eastAsia="zh-CN"/>
              </w:rPr>
              <w:t>湖南省常德市澧县王家厂镇柳津村</w:t>
            </w:r>
            <w:r>
              <w:rPr>
                <w:rFonts w:hint="eastAsia" w:ascii="Times New Roman" w:hAnsi="Times New Roman" w:cs="Times New Roman"/>
                <w:color w:val="auto"/>
                <w:kern w:val="0"/>
                <w:sz w:val="24"/>
                <w:szCs w:val="24"/>
                <w:highlight w:val="none"/>
                <w:lang w:val="en-US" w:eastAsia="zh-CN"/>
              </w:rPr>
              <w:t>六组</w:t>
            </w:r>
            <w:r>
              <w:rPr>
                <w:rFonts w:hint="eastAsia" w:ascii="Times New Roman" w:hAnsi="Times New Roman" w:cs="Times New Roman"/>
                <w:color w:val="auto"/>
                <w:kern w:val="0"/>
                <w:sz w:val="24"/>
                <w:szCs w:val="24"/>
                <w:highlight w:val="none"/>
              </w:rPr>
              <w:t>，根据《常德市“三线一单”生态环境管控基本要求暨环境管控单元生态环境准入清单》（2020年12月25日）的规定，本项目不在自然保护区、风景名胜区、饮用水水源保护区、森林公园、地质公园等重要生态功能区、生态敏感区和脆弱区以及其他要求禁止建设的环境敏感区内，符合生态保护红线的划定原则</w:t>
            </w:r>
            <w:r>
              <w:rPr>
                <w:rFonts w:hint="eastAsia" w:cs="Times New Roman"/>
                <w:color w:val="auto"/>
                <w:kern w:val="0"/>
                <w:sz w:val="24"/>
                <w:szCs w:val="24"/>
                <w:highlight w:val="none"/>
                <w:lang w:eastAsia="zh-CN"/>
              </w:rPr>
              <w:t>，且本项目不在生态红线范围内（见附图）</w:t>
            </w:r>
            <w:r>
              <w:rPr>
                <w:rFonts w:hint="default" w:ascii="Times New Roman" w:hAnsi="Times New Roman" w:cs="Times New Roman"/>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（2）环境质量底线相符性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项目所在地水环境质量现状能满足《地表水环境质量标准》（GB3838-2002）Ⅲ类水质要求；</w:t>
            </w:r>
            <w:r>
              <w:rPr>
                <w:rFonts w:hint="eastAsia" w:ascii="Times New Roman" w:hAnsi="Times New Roman" w:cs="Times New Roman"/>
                <w:color w:val="auto"/>
                <w:kern w:val="0"/>
                <w:sz w:val="24"/>
                <w:szCs w:val="24"/>
                <w:highlight w:val="none"/>
              </w:rPr>
              <w:t>评价区大气</w:t>
            </w:r>
            <w:bookmarkStart w:id="11" w:name="_GoBack"/>
            <w:bookmarkEnd w:id="11"/>
            <w:r>
              <w:rPr>
                <w:rFonts w:hint="eastAsia" w:ascii="Times New Roman" w:hAnsi="Times New Roman" w:cs="Times New Roman"/>
                <w:color w:val="auto"/>
                <w:kern w:val="0"/>
                <w:sz w:val="24"/>
                <w:szCs w:val="24"/>
                <w:highlight w:val="none"/>
              </w:rPr>
              <w:t>各项指标均满足GB3095-2012《环境空气质量标准》中的二级标准，根据本项目大气环境影响分析可知，本项目产生的废气经采取相关措施后对区域环境影响不大</w:t>
            </w:r>
            <w:r>
              <w:rPr>
                <w:rFonts w:hint="default" w:ascii="Times New Roman" w:hAnsi="Times New Roman" w:cs="Times New Roman"/>
                <w:color w:val="auto"/>
                <w:kern w:val="0"/>
                <w:sz w:val="24"/>
                <w:szCs w:val="24"/>
                <w:highlight w:val="none"/>
              </w:rPr>
              <w:t>；项目所在区域噪声环境质量达到《声环境质量标准》（GB3096-2008）中的</w:t>
            </w:r>
            <w:r>
              <w:rPr>
                <w:rFonts w:hint="eastAsia" w:ascii="Times New Roman" w:hAnsi="Times New Roman" w:cs="Times New Roman"/>
                <w:color w:val="auto"/>
                <w:kern w:val="0"/>
                <w:sz w:val="24"/>
                <w:szCs w:val="24"/>
                <w:highlight w:val="none"/>
                <w:lang w:val="en-US" w:eastAsia="zh-CN"/>
              </w:rPr>
              <w:t>2</w:t>
            </w:r>
            <w:r>
              <w:rPr>
                <w:rFonts w:hint="default" w:ascii="Times New Roman" w:hAnsi="Times New Roman" w:cs="Times New Roman"/>
                <w:color w:val="auto"/>
                <w:kern w:val="0"/>
                <w:sz w:val="24"/>
                <w:szCs w:val="24"/>
                <w:highlight w:val="none"/>
              </w:rPr>
              <w:t>类标准，声环境质量现状良好。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rPr>
              <w:t>由环境现状调查可知，建设项目所在区域除环境空气</w:t>
            </w:r>
            <w:r>
              <w:rPr>
                <w:rFonts w:hint="eastAsia" w:cs="Times New Roman"/>
                <w:color w:val="auto"/>
                <w:kern w:val="0"/>
                <w:sz w:val="24"/>
                <w:szCs w:val="24"/>
                <w:highlight w:val="none"/>
                <w:lang w:eastAsia="zh-CN"/>
              </w:rPr>
              <w:t>、</w:t>
            </w:r>
            <w:r>
              <w:rPr>
                <w:rFonts w:hint="eastAsia" w:ascii="Times New Roman" w:hAnsi="Times New Roman" w:cs="Times New Roman"/>
                <w:color w:val="auto"/>
                <w:kern w:val="0"/>
                <w:sz w:val="24"/>
                <w:szCs w:val="24"/>
                <w:highlight w:val="none"/>
              </w:rPr>
              <w:t>地表水环境、声环境等均满足相应的功能区划要求，具有一定的环境承载力。根据预测分析，本项目的建设不会改变区域环境功能属性，项目的建设符合环境质量底线要求。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（3）资源利用上线相符性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本项目建成运行后通过内部管理、设备选择、原辅材料的选用和管理、废物回收利用、污染治理等多方面采取合理可行的防治措施，以“节能、降耗、减污”为目标，有效地控制污染。项目的水、</w:t>
            </w:r>
            <w:r>
              <w:rPr>
                <w:rFonts w:hint="eastAsia" w:ascii="Times New Roman" w:hAnsi="Times New Roman" w:cs="Times New Roman"/>
                <w:color w:val="auto"/>
                <w:kern w:val="0"/>
                <w:sz w:val="24"/>
                <w:szCs w:val="24"/>
                <w:highlight w:val="none"/>
                <w:lang w:eastAsia="zh-CN"/>
              </w:rPr>
              <w:t>电</w:t>
            </w:r>
            <w:r>
              <w:rPr>
                <w:rFonts w:hint="default" w:ascii="Times New Roman" w:hAnsi="Times New Roman" w:cs="Times New Roman"/>
                <w:color w:val="auto"/>
                <w:kern w:val="0"/>
                <w:sz w:val="24"/>
                <w:szCs w:val="24"/>
                <w:highlight w:val="none"/>
              </w:rPr>
              <w:t>等资源利用不会突破区域的资源利用上线。</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left"/>
              <w:textAlignment w:val="auto"/>
              <w:outlineLvl w:val="0"/>
              <w:rPr>
                <w:rFonts w:hint="eastAsia" w:ascii="Times New Roman" w:hAnsi="Times New Roman" w:eastAsia="宋体" w:cs="Times New Roman"/>
                <w:color w:val="000000"/>
                <w:sz w:val="24"/>
                <w:szCs w:val="24"/>
                <w:u w:val="none"/>
                <w:lang w:eastAsia="zh-CN"/>
              </w:rPr>
            </w:pPr>
            <w:r>
              <w:rPr>
                <w:rFonts w:hint="default" w:ascii="Times New Roman" w:hAnsi="Times New Roman" w:cs="Times New Roman"/>
                <w:color w:val="auto"/>
                <w:kern w:val="0"/>
                <w:sz w:val="24"/>
                <w:szCs w:val="24"/>
                <w:highlight w:val="none"/>
                <w:u w:val="none"/>
              </w:rPr>
              <w:t>（4）</w:t>
            </w:r>
            <w:r>
              <w:rPr>
                <w:rFonts w:hint="eastAsia" w:ascii="Times New Roman" w:hAnsi="Times New Roman" w:cs="Times New Roman"/>
                <w:color w:val="000000"/>
                <w:sz w:val="24"/>
                <w:szCs w:val="24"/>
                <w:u w:val="none"/>
                <w:lang w:eastAsia="zh-CN"/>
              </w:rPr>
              <w:t>项目与</w:t>
            </w:r>
            <w:r>
              <w:rPr>
                <w:rFonts w:hint="eastAsia" w:ascii="Times New Roman" w:hAnsi="Times New Roman" w:eastAsia="宋体" w:cs="Times New Roman"/>
                <w:color w:val="000000"/>
                <w:sz w:val="24"/>
                <w:szCs w:val="24"/>
                <w:u w:val="none"/>
                <w:lang w:eastAsia="zh-CN"/>
              </w:rPr>
              <w:t>《常德市“三线一单”生态环境管控基本要求暨环境管控单元生态环境准入清单》</w:t>
            </w:r>
            <w:r>
              <w:rPr>
                <w:rFonts w:hint="default" w:ascii="Times New Roman" w:hAnsi="Times New Roman" w:cs="Times New Roman"/>
                <w:color w:val="000000"/>
                <w:sz w:val="24"/>
                <w:szCs w:val="24"/>
                <w:u w:val="none"/>
              </w:rPr>
              <w:t>相符性</w:t>
            </w:r>
            <w:r>
              <w:rPr>
                <w:rFonts w:hint="eastAsia"/>
                <w:sz w:val="24"/>
                <w:szCs w:val="24"/>
                <w:u w:val="none"/>
                <w:lang w:eastAsia="zh-CN"/>
              </w:rPr>
              <w:t>分析</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Times New Roman" w:hAnsi="Times New Roman" w:eastAsia="宋体" w:cs="Times New Roman"/>
                <w:color w:val="auto"/>
                <w:sz w:val="24"/>
                <w:szCs w:val="24"/>
                <w:u w:val="none"/>
                <w:lang w:val="en-US" w:eastAsia="zh-CN"/>
              </w:rPr>
            </w:pPr>
            <w:r>
              <w:rPr>
                <w:rFonts w:hint="default" w:ascii="Times New Roman" w:hAnsi="Times New Roman" w:cs="Times New Roman"/>
                <w:color w:val="auto"/>
                <w:kern w:val="0"/>
                <w:sz w:val="24"/>
                <w:szCs w:val="24"/>
                <w:u w:val="none"/>
              </w:rPr>
              <w:t>对照</w:t>
            </w:r>
            <w:r>
              <w:rPr>
                <w:rFonts w:hint="eastAsia" w:ascii="Times New Roman" w:hAnsi="Times New Roman" w:eastAsia="宋体" w:cs="Times New Roman"/>
                <w:color w:val="auto"/>
                <w:sz w:val="24"/>
                <w:szCs w:val="24"/>
                <w:u w:val="none"/>
                <w:lang w:eastAsia="zh-CN"/>
              </w:rPr>
              <w:t>《常德市“三线一单”生态环境管控基本要求暨环境管控单元生态环境准入清单中的澧县生态环境准入清单</w:t>
            </w:r>
            <w:r>
              <w:rPr>
                <w:rFonts w:hint="eastAsia" w:ascii="Times New Roman" w:hAnsi="Times New Roman" w:eastAsia="宋体" w:cs="Times New Roman"/>
                <w:color w:val="auto"/>
                <w:sz w:val="24"/>
                <w:szCs w:val="24"/>
                <w:u w:val="none"/>
                <w:lang w:val="en-US" w:eastAsia="zh-CN"/>
              </w:rPr>
              <w:t>ZH43072330001</w:t>
            </w:r>
            <w:r>
              <w:rPr>
                <w:rFonts w:hint="eastAsia" w:cs="Times New Roman"/>
                <w:color w:val="auto"/>
                <w:sz w:val="24"/>
                <w:szCs w:val="24"/>
                <w:u w:val="none"/>
                <w:lang w:val="en-US" w:eastAsia="zh-CN"/>
              </w:rPr>
              <w:t>王家厂镇</w:t>
            </w:r>
            <w:r>
              <w:rPr>
                <w:rFonts w:hint="eastAsia" w:ascii="Times New Roman" w:hAnsi="Times New Roman" w:eastAsia="宋体" w:cs="Times New Roman"/>
                <w:color w:val="auto"/>
                <w:sz w:val="24"/>
                <w:szCs w:val="24"/>
                <w:u w:val="none"/>
                <w:lang w:val="en-US" w:eastAsia="zh-CN"/>
              </w:rPr>
              <w:t>管控要求：该区域主体功能定位为国家级农产品主产区，</w:t>
            </w:r>
            <w:r>
              <w:rPr>
                <w:rFonts w:hint="eastAsia" w:cs="Times New Roman"/>
                <w:color w:val="auto"/>
                <w:sz w:val="24"/>
                <w:szCs w:val="24"/>
                <w:u w:val="none"/>
                <w:lang w:val="en-US" w:eastAsia="zh-CN"/>
              </w:rPr>
              <w:t>经济产业布局为生态农业、生态旅游、非金属矿开采及加工等，该区域主要环境问题和重要敏感目标位为石膏采掘及其加工行业存在环境污染。本项目为机制砂和混凝土生产，不属于其管控内容。</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b/>
                <w:bCs/>
                <w:color w:val="auto"/>
                <w:kern w:val="0"/>
                <w:sz w:val="24"/>
                <w:szCs w:val="24"/>
                <w:highlight w:val="none"/>
                <w:u w:val="none"/>
              </w:rPr>
            </w:pPr>
            <w:r>
              <w:rPr>
                <w:rFonts w:hint="eastAsia" w:ascii="Times New Roman" w:hAnsi="Times New Roman" w:eastAsia="宋体" w:cs="Times New Roman"/>
                <w:b/>
                <w:bCs/>
                <w:color w:val="auto"/>
                <w:sz w:val="21"/>
                <w:szCs w:val="21"/>
                <w:highlight w:val="none"/>
                <w:u w:val="none"/>
                <w:lang w:val="en-US" w:eastAsia="zh-CN"/>
              </w:rPr>
              <w:t>表1-2  生态环境准入清单管控</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4199"/>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u w:val="none"/>
                      <w:vertAlign w:val="baseline"/>
                      <w:lang w:eastAsia="zh-CN"/>
                    </w:rPr>
                  </w:pPr>
                  <w:r>
                    <w:rPr>
                      <w:rFonts w:hint="default" w:ascii="Times New Roman" w:hAnsi="Times New Roman" w:eastAsia="宋体" w:cs="Times New Roman"/>
                      <w:b/>
                      <w:bCs/>
                      <w:color w:val="auto"/>
                      <w:kern w:val="0"/>
                      <w:sz w:val="21"/>
                      <w:szCs w:val="21"/>
                      <w:highlight w:val="none"/>
                      <w:u w:val="none"/>
                      <w:vertAlign w:val="baseline"/>
                      <w:lang w:eastAsia="zh-CN"/>
                    </w:rPr>
                    <w:t>管控维度</w:t>
                  </w:r>
                </w:p>
              </w:tc>
              <w:tc>
                <w:tcPr>
                  <w:tcW w:w="336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u w:val="none"/>
                      <w:vertAlign w:val="baseline"/>
                      <w:lang w:eastAsia="zh-CN"/>
                    </w:rPr>
                  </w:pPr>
                  <w:r>
                    <w:rPr>
                      <w:rFonts w:hint="default" w:ascii="Times New Roman" w:hAnsi="Times New Roman" w:eastAsia="宋体" w:cs="Times New Roman"/>
                      <w:b/>
                      <w:bCs/>
                      <w:color w:val="auto"/>
                      <w:kern w:val="0"/>
                      <w:sz w:val="21"/>
                      <w:szCs w:val="21"/>
                      <w:highlight w:val="none"/>
                      <w:u w:val="none"/>
                      <w:vertAlign w:val="baseline"/>
                      <w:lang w:eastAsia="zh-CN"/>
                    </w:rPr>
                    <w:t>管控要求</w:t>
                  </w:r>
                </w:p>
              </w:tc>
              <w:tc>
                <w:tcPr>
                  <w:tcW w:w="107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highlight w:val="none"/>
                      <w:u w:val="none"/>
                      <w:vertAlign w:val="baseline"/>
                      <w:lang w:eastAsia="zh-CN"/>
                    </w:rPr>
                  </w:pPr>
                  <w:r>
                    <w:rPr>
                      <w:rFonts w:hint="default" w:ascii="Times New Roman" w:hAnsi="Times New Roman" w:eastAsia="宋体" w:cs="Times New Roman"/>
                      <w:b/>
                      <w:bCs/>
                      <w:color w:val="auto"/>
                      <w:kern w:val="0"/>
                      <w:sz w:val="21"/>
                      <w:szCs w:val="21"/>
                      <w:highlight w:val="none"/>
                      <w:u w:val="none"/>
                      <w:vertAlign w:val="baseline"/>
                      <w:lang w:eastAsia="zh-CN"/>
                    </w:rPr>
                    <w:t>与本项目相符性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highlight w:val="none"/>
                      <w:u w:val="none"/>
                      <w:vertAlign w:val="baseline"/>
                      <w:lang w:eastAsia="zh-CN"/>
                    </w:rPr>
                  </w:pPr>
                  <w:r>
                    <w:rPr>
                      <w:rFonts w:hint="default" w:ascii="Times New Roman" w:hAnsi="Times New Roman" w:eastAsia="宋体" w:cs="Times New Roman"/>
                      <w:color w:val="auto"/>
                      <w:kern w:val="0"/>
                      <w:sz w:val="21"/>
                      <w:szCs w:val="21"/>
                      <w:highlight w:val="none"/>
                      <w:u w:val="none"/>
                      <w:vertAlign w:val="baseline"/>
                      <w:lang w:eastAsia="zh-CN"/>
                    </w:rPr>
                    <w:t>空间布局约束</w:t>
                  </w:r>
                </w:p>
              </w:tc>
              <w:tc>
                <w:tcPr>
                  <w:tcW w:w="336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（1.1）</w:t>
                  </w:r>
                  <w:r>
                    <w:rPr>
                      <w:rFonts w:hint="eastAsia" w:ascii="Times New Roman" w:hAnsi="Times New Roman" w:eastAsia="宋体" w:cs="Times New Roman"/>
                      <w:color w:val="auto"/>
                      <w:sz w:val="21"/>
                      <w:szCs w:val="21"/>
                      <w:highlight w:val="none"/>
                      <w:u w:val="none"/>
                      <w:lang w:eastAsia="zh-CN"/>
                    </w:rPr>
                    <w:t>天供山省级森林公园按照《森林公园管理办法》严格管控</w:t>
                  </w:r>
                  <w:r>
                    <w:rPr>
                      <w:rFonts w:hint="default" w:ascii="Times New Roman" w:hAnsi="Times New Roman" w:eastAsia="宋体" w:cs="Times New Roman"/>
                      <w:color w:val="auto"/>
                      <w:sz w:val="21"/>
                      <w:szCs w:val="21"/>
                      <w:highlight w:val="none"/>
                      <w:u w:val="none"/>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1.2）生态保护红线原则上按禁止开发区域的要求进行管理，严禁不符合主体功能定位的各类开发活动，严禁任意改变用途。明确属地管理责任，实行严格管控，加大生态保护补偿力度，加强生态保护与修复，建立监测网络和监管平台。</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rPr>
                  </w:pPr>
                  <w:r>
                    <w:rPr>
                      <w:rFonts w:hint="default" w:ascii="Times New Roman" w:hAnsi="Times New Roman" w:eastAsia="宋体" w:cs="Times New Roman"/>
                      <w:color w:val="auto"/>
                      <w:sz w:val="21"/>
                      <w:szCs w:val="21"/>
                      <w:highlight w:val="none"/>
                      <w:u w:val="none"/>
                    </w:rPr>
                    <w:t>（1.3）</w:t>
                  </w:r>
                  <w:r>
                    <w:rPr>
                      <w:rFonts w:hint="eastAsia" w:ascii="Times New Roman" w:hAnsi="Times New Roman" w:eastAsia="宋体" w:cs="Times New Roman"/>
                      <w:color w:val="auto"/>
                      <w:sz w:val="21"/>
                      <w:szCs w:val="21"/>
                      <w:highlight w:val="none"/>
                      <w:u w:val="none"/>
                      <w:lang w:eastAsia="zh-CN"/>
                    </w:rPr>
                    <w:t>严格控制排放重点污染物的建设项目；严格控制在有限保护类耕地集中区域新（改、扩）建金属污染物排放的项目</w:t>
                  </w:r>
                  <w:r>
                    <w:rPr>
                      <w:rFonts w:hint="default" w:ascii="Times New Roman" w:hAnsi="Times New Roman" w:eastAsia="宋体" w:cs="Times New Roman"/>
                      <w:color w:val="auto"/>
                      <w:sz w:val="21"/>
                      <w:szCs w:val="21"/>
                      <w:highlight w:val="none"/>
                      <w:u w:val="none"/>
                    </w:rPr>
                    <w:t>。</w:t>
                  </w:r>
                </w:p>
              </w:tc>
              <w:tc>
                <w:tcPr>
                  <w:tcW w:w="107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lang w:val="en-US" w:eastAsia="zh-CN"/>
                    </w:rPr>
                  </w:pPr>
                  <w:r>
                    <w:rPr>
                      <w:rFonts w:hint="default" w:ascii="Times New Roman" w:hAnsi="Times New Roman" w:eastAsia="宋体" w:cs="Times New Roman"/>
                      <w:color w:val="auto"/>
                      <w:kern w:val="0"/>
                      <w:sz w:val="21"/>
                      <w:szCs w:val="21"/>
                      <w:highlight w:val="none"/>
                      <w:u w:val="none"/>
                      <w:vertAlign w:val="baseline"/>
                      <w:lang w:val="en-US" w:eastAsia="zh-CN"/>
                    </w:rPr>
                    <w:t>本项目位于</w:t>
                  </w:r>
                  <w:r>
                    <w:rPr>
                      <w:rFonts w:hint="eastAsia" w:ascii="Times New Roman" w:hAnsi="Times New Roman" w:eastAsia="宋体" w:cs="Times New Roman"/>
                      <w:color w:val="auto"/>
                      <w:kern w:val="0"/>
                      <w:sz w:val="21"/>
                      <w:szCs w:val="21"/>
                      <w:highlight w:val="none"/>
                      <w:u w:val="none"/>
                      <w:vertAlign w:val="baseline"/>
                      <w:lang w:val="en-US" w:eastAsia="zh-CN"/>
                    </w:rPr>
                    <w:t>澧县王家厂镇柳津六组</w:t>
                  </w:r>
                  <w:r>
                    <w:rPr>
                      <w:rFonts w:hint="default" w:ascii="Times New Roman" w:hAnsi="Times New Roman" w:eastAsia="宋体" w:cs="Times New Roman"/>
                      <w:color w:val="auto"/>
                      <w:kern w:val="0"/>
                      <w:sz w:val="21"/>
                      <w:szCs w:val="21"/>
                      <w:highlight w:val="none"/>
                      <w:u w:val="none"/>
                      <w:vertAlign w:val="baseline"/>
                      <w:lang w:val="en-US" w:eastAsia="zh-CN"/>
                    </w:rPr>
                    <w:t>，</w:t>
                  </w:r>
                  <w:r>
                    <w:rPr>
                      <w:rFonts w:hint="eastAsia" w:ascii="Times New Roman" w:hAnsi="Times New Roman" w:eastAsia="宋体" w:cs="Times New Roman"/>
                      <w:color w:val="auto"/>
                      <w:kern w:val="0"/>
                      <w:sz w:val="21"/>
                      <w:szCs w:val="21"/>
                      <w:highlight w:val="none"/>
                      <w:u w:val="none"/>
                      <w:vertAlign w:val="baseline"/>
                      <w:lang w:val="en-US" w:eastAsia="zh-CN"/>
                    </w:rPr>
                    <w:t>项目用地合法合规（附有国土部门的意见和用地红线图）</w:t>
                  </w:r>
                  <w:r>
                    <w:rPr>
                      <w:rFonts w:hint="default" w:ascii="Times New Roman" w:hAnsi="Times New Roman" w:eastAsia="宋体" w:cs="Times New Roman"/>
                      <w:color w:val="auto"/>
                      <w:kern w:val="0"/>
                      <w:sz w:val="21"/>
                      <w:szCs w:val="21"/>
                      <w:highlight w:val="none"/>
                      <w:u w:val="none"/>
                      <w:vertAlign w:val="baseline"/>
                      <w:lang w:val="en-US" w:eastAsia="zh-CN"/>
                    </w:rPr>
                    <w:t>，不在生态红线内，符合该区域的</w:t>
                  </w:r>
                  <w:r>
                    <w:rPr>
                      <w:rFonts w:hint="default" w:ascii="Times New Roman" w:hAnsi="Times New Roman" w:eastAsia="宋体" w:cs="Times New Roman"/>
                      <w:color w:val="auto"/>
                      <w:sz w:val="21"/>
                      <w:szCs w:val="21"/>
                      <w:highlight w:val="none"/>
                      <w:u w:val="none"/>
                    </w:rPr>
                    <w:t>功能定位</w:t>
                  </w:r>
                  <w:r>
                    <w:rPr>
                      <w:rFonts w:hint="default" w:ascii="Times New Roman" w:hAnsi="Times New Roman" w:eastAsia="宋体" w:cs="Times New Roman"/>
                      <w:color w:val="auto"/>
                      <w:sz w:val="21"/>
                      <w:szCs w:val="21"/>
                      <w:highlight w:val="none"/>
                      <w:u w:val="none"/>
                      <w:lang w:eastAsia="zh-CN"/>
                    </w:rPr>
                    <w:t>，空间布局合理。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highlight w:val="none"/>
                      <w:u w:val="none"/>
                      <w:vertAlign w:val="baseline"/>
                      <w:lang w:eastAsia="zh-CN"/>
                    </w:rPr>
                  </w:pPr>
                  <w:r>
                    <w:rPr>
                      <w:rFonts w:hint="default" w:ascii="Times New Roman" w:hAnsi="Times New Roman" w:eastAsia="宋体" w:cs="Times New Roman"/>
                      <w:color w:val="auto"/>
                      <w:kern w:val="0"/>
                      <w:sz w:val="21"/>
                      <w:szCs w:val="21"/>
                      <w:highlight w:val="none"/>
                      <w:u w:val="none"/>
                      <w:vertAlign w:val="baseline"/>
                      <w:lang w:eastAsia="zh-CN"/>
                    </w:rPr>
                    <w:t>污染物排放管控</w:t>
                  </w:r>
                </w:p>
              </w:tc>
              <w:tc>
                <w:tcPr>
                  <w:tcW w:w="336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u w:val="none"/>
                      <w:lang w:val="en-US" w:eastAsia="zh-CN"/>
                    </w:rPr>
                  </w:pPr>
                  <w:r>
                    <w:rPr>
                      <w:rFonts w:hint="default"/>
                      <w:u w:val="none"/>
                      <w:lang w:val="en-US" w:eastAsia="zh-CN"/>
                    </w:rPr>
                    <w:t>（2.1）开展土壤污染综合防治先行区建设，建立土壤污染防治长效机制。将建设用地土壤环境管理要求纳入城市规划和供地管理，强化土壤污染治理和修复。</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u w:val="none"/>
                      <w:lang w:val="en-US" w:eastAsia="zh-CN"/>
                    </w:rPr>
                  </w:pPr>
                  <w:r>
                    <w:rPr>
                      <w:rFonts w:hint="default"/>
                      <w:u w:val="none"/>
                      <w:lang w:val="en-US" w:eastAsia="zh-CN"/>
                    </w:rPr>
                    <w:t>（2.2）</w:t>
                  </w:r>
                  <w:r>
                    <w:rPr>
                      <w:rFonts w:hint="eastAsia"/>
                      <w:u w:val="none"/>
                      <w:lang w:val="en-US" w:eastAsia="zh-CN"/>
                    </w:rPr>
                    <w:t>产粮（油）大县要制定土壤环境保护方案，实施农药化肥负增长行动，推行农业清洁安全生产，已建成的相关企业应当按照相关标准，规定采取措施，防止对耕地造成污染。</w:t>
                  </w:r>
                  <w:r>
                    <w:rPr>
                      <w:rFonts w:hint="default"/>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u w:val="none"/>
                      <w:lang w:val="en-US" w:eastAsia="zh-CN"/>
                    </w:rPr>
                  </w:pPr>
                  <w:r>
                    <w:rPr>
                      <w:rFonts w:hint="default"/>
                      <w:u w:val="none"/>
                      <w:lang w:val="en-US" w:eastAsia="zh-CN"/>
                    </w:rPr>
                    <w:t>（2.3）</w:t>
                  </w:r>
                  <w:r>
                    <w:rPr>
                      <w:rFonts w:hint="eastAsia"/>
                      <w:u w:val="none"/>
                      <w:lang w:val="en-US" w:eastAsia="zh-CN"/>
                    </w:rPr>
                    <w:t>加强畜禽养殖污染防治，严格规范兽药、饲料添加剂的生产和使用，杜绝过量使用，促进源头减量，合理布局畜禽养殖企业，推进规模化、集约化养殖场（小区）的建设</w:t>
                  </w:r>
                  <w:r>
                    <w:rPr>
                      <w:rFonts w:hint="default"/>
                      <w:u w:val="none"/>
                      <w:lang w:val="en-US" w:eastAsia="zh-CN"/>
                    </w:rPr>
                    <w:t>。</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u w:val="none"/>
                      <w:lang w:eastAsia="zh-CN"/>
                    </w:rPr>
                  </w:pPr>
                  <w:r>
                    <w:rPr>
                      <w:rFonts w:hint="eastAsia" w:ascii="Times New Roman" w:hAnsi="Times New Roman" w:eastAsia="宋体" w:cs="Times New Roman"/>
                      <w:color w:val="auto"/>
                      <w:sz w:val="21"/>
                      <w:szCs w:val="21"/>
                      <w:highlight w:val="none"/>
                      <w:u w:val="none"/>
                      <w:lang w:val="en-US" w:eastAsia="zh-CN"/>
                    </w:rPr>
                    <w:t>（2.4）生活污水经过严格处理，达到国家标准才能排放；采用无公害环保式公厕，湿地内空气质量要符合环保标准等。</w:t>
                  </w:r>
                </w:p>
              </w:tc>
              <w:tc>
                <w:tcPr>
                  <w:tcW w:w="107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lang w:val="en-US" w:eastAsia="zh-CN"/>
                    </w:rPr>
                  </w:pPr>
                  <w:r>
                    <w:rPr>
                      <w:rFonts w:hint="eastAsia" w:ascii="Times New Roman" w:hAnsi="Times New Roman" w:eastAsia="宋体" w:cs="Times New Roman"/>
                      <w:color w:val="auto"/>
                      <w:kern w:val="0"/>
                      <w:sz w:val="21"/>
                      <w:szCs w:val="21"/>
                      <w:highlight w:val="none"/>
                      <w:u w:val="none"/>
                      <w:vertAlign w:val="baseline"/>
                      <w:lang w:val="en-US" w:eastAsia="zh-CN"/>
                    </w:rPr>
                    <w:t>经现场监测，本项目所在地土壤环境质量现状较好，且项目地要求做好地面硬化防渗等措施。</w:t>
                  </w:r>
                  <w:r>
                    <w:rPr>
                      <w:rFonts w:hint="default" w:ascii="Times New Roman" w:hAnsi="Times New Roman" w:eastAsia="宋体" w:cs="Times New Roman"/>
                      <w:color w:val="auto"/>
                      <w:kern w:val="0"/>
                      <w:sz w:val="21"/>
                      <w:szCs w:val="21"/>
                      <w:highlight w:val="none"/>
                      <w:u w:val="none"/>
                      <w:vertAlign w:val="baseline"/>
                      <w:lang w:val="en-US" w:eastAsia="zh-CN"/>
                    </w:rPr>
                    <w:t>项目污染物排放可控，不涉及高污染源</w:t>
                  </w:r>
                  <w:r>
                    <w:rPr>
                      <w:rFonts w:hint="eastAsia" w:ascii="Times New Roman" w:hAnsi="Times New Roman" w:eastAsia="宋体" w:cs="Times New Roman"/>
                      <w:color w:val="auto"/>
                      <w:kern w:val="0"/>
                      <w:sz w:val="21"/>
                      <w:szCs w:val="21"/>
                      <w:highlight w:val="none"/>
                      <w:u w:val="none"/>
                      <w:vertAlign w:val="baseline"/>
                      <w:lang w:val="en-US" w:eastAsia="zh-CN"/>
                    </w:rPr>
                    <w:t>。本项目生活污水不外排，收集后用于农肥。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highlight w:val="none"/>
                      <w:u w:val="none"/>
                      <w:vertAlign w:val="baseline"/>
                      <w:lang w:eastAsia="zh-CN"/>
                    </w:rPr>
                  </w:pPr>
                  <w:r>
                    <w:rPr>
                      <w:rFonts w:hint="default" w:ascii="Times New Roman" w:hAnsi="Times New Roman" w:eastAsia="宋体" w:cs="Times New Roman"/>
                      <w:color w:val="auto"/>
                      <w:kern w:val="0"/>
                      <w:sz w:val="21"/>
                      <w:szCs w:val="21"/>
                      <w:highlight w:val="none"/>
                      <w:u w:val="none"/>
                      <w:vertAlign w:val="baseline"/>
                      <w:lang w:eastAsia="zh-CN"/>
                    </w:rPr>
                    <w:t>环境风险防控</w:t>
                  </w:r>
                </w:p>
              </w:tc>
              <w:tc>
                <w:tcPr>
                  <w:tcW w:w="3369"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u w:val="none"/>
                      <w:lang w:val="en-US" w:eastAsia="zh-CN"/>
                    </w:rPr>
                  </w:pPr>
                  <w:r>
                    <w:rPr>
                      <w:rFonts w:hint="default"/>
                      <w:u w:val="none"/>
                      <w:lang w:val="en-US" w:eastAsia="zh-CN"/>
                    </w:rPr>
                    <w:t>（3.1）防治地下水污染。定期调查评估集中式地下水型饮用水水源补给区等区域环境状况。对地下水自来水厂进行提质改造，化工生产存贮销售企业和工业园区、矿山开采区、垃圾填埋场等区域应进行必要的防渗处理。加油站地下油罐应全部更新为双层罐或完成防渗池设置。报废矿井、钻井、取水井应实施封井回填。制订地下水污染场地清单，积极推进地下水修复治理试点工作。</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u w:val="none"/>
                      <w:lang w:val="en-US" w:eastAsia="zh-CN"/>
                    </w:rPr>
                  </w:pPr>
                  <w:r>
                    <w:rPr>
                      <w:rFonts w:hint="default"/>
                      <w:u w:val="none"/>
                      <w:lang w:val="en-US" w:eastAsia="zh-CN"/>
                    </w:rPr>
                    <w:t>（3.2）</w:t>
                  </w:r>
                  <w:r>
                    <w:rPr>
                      <w:rFonts w:hint="eastAsia"/>
                      <w:u w:val="none"/>
                      <w:lang w:val="en-US" w:eastAsia="zh-CN"/>
                    </w:rPr>
                    <w:t>饮用水源保护区等敏感区域内污染企业依法关闭；</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eastAsia"/>
                      <w:u w:val="none"/>
                      <w:lang w:val="en-US" w:eastAsia="zh-CN"/>
                    </w:rPr>
                  </w:pPr>
                  <w:r>
                    <w:rPr>
                      <w:rFonts w:hint="default"/>
                      <w:u w:val="none"/>
                      <w:lang w:val="en-US" w:eastAsia="zh-CN"/>
                    </w:rPr>
                    <w:t>（3.3）</w:t>
                  </w:r>
                  <w:r>
                    <w:rPr>
                      <w:rFonts w:hint="eastAsia"/>
                      <w:u w:val="none"/>
                      <w:lang w:val="en-US" w:eastAsia="zh-CN"/>
                    </w:rPr>
                    <w:t>加强水源地污染整治，全面排查关闭饮用水水源保护区入河排污口，完成县级城市集中式饮用水源保护区违规建设项目清理；</w:t>
                  </w:r>
                </w:p>
                <w:p>
                  <w:pPr>
                    <w:pStyle w:val="2"/>
                    <w:rPr>
                      <w:rFonts w:hint="default"/>
                      <w:u w:val="none"/>
                    </w:rPr>
                  </w:pPr>
                  <w:r>
                    <w:rPr>
                      <w:rFonts w:hint="eastAsia" w:ascii="Times New Roman" w:hAnsi="Times New Roman" w:eastAsia="宋体" w:cs="Times New Roman"/>
                      <w:color w:val="auto"/>
                      <w:sz w:val="21"/>
                      <w:szCs w:val="21"/>
                      <w:highlight w:val="none"/>
                      <w:u w:val="none"/>
                      <w:lang w:val="en-US" w:eastAsia="zh-CN"/>
                    </w:rPr>
                    <w:t>（3.4）必须依法实施强制性清洁生产审核，制定完善矿山地质环境保护与恢复治理的技术规范和标准，引导并强制矿山企业边开发、边治理。现已闭坑的老矿山造成的矿山地质问题，拓宽资金渠道，制定激励政策，加快推进治理恢复进程，采取有效措施，最大程度减少破坏土地面积，降低破坏程度，切实保护耕地特别是基本农田。</w:t>
                  </w:r>
                </w:p>
              </w:tc>
              <w:tc>
                <w:tcPr>
                  <w:tcW w:w="107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lang w:val="en-US" w:eastAsia="zh-CN"/>
                    </w:rPr>
                  </w:pPr>
                  <w:r>
                    <w:rPr>
                      <w:rFonts w:hint="default" w:ascii="Times New Roman" w:hAnsi="Times New Roman" w:eastAsia="宋体" w:cs="Times New Roman"/>
                      <w:color w:val="auto"/>
                      <w:kern w:val="0"/>
                      <w:sz w:val="21"/>
                      <w:szCs w:val="21"/>
                      <w:highlight w:val="none"/>
                      <w:u w:val="none"/>
                      <w:vertAlign w:val="baseline"/>
                      <w:lang w:val="en-US" w:eastAsia="zh-CN"/>
                    </w:rPr>
                    <w:t>本项目属于Ⅳ类地下水项目，对地下水不会造成影响。</w:t>
                  </w:r>
                  <w:r>
                    <w:rPr>
                      <w:rFonts w:hint="eastAsia" w:ascii="Times New Roman" w:hAnsi="Times New Roman" w:eastAsia="宋体" w:cs="Times New Roman"/>
                      <w:color w:val="auto"/>
                      <w:kern w:val="0"/>
                      <w:sz w:val="21"/>
                      <w:szCs w:val="21"/>
                      <w:highlight w:val="none"/>
                      <w:u w:val="none"/>
                      <w:vertAlign w:val="baseline"/>
                      <w:lang w:val="en-US" w:eastAsia="zh-CN"/>
                    </w:rPr>
                    <w:t>本项目周边不涉及饮用水源保护区；</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highlight w:val="none"/>
                      <w:u w:val="none"/>
                      <w:vertAlign w:val="baseline"/>
                      <w:lang w:eastAsia="zh-CN"/>
                    </w:rPr>
                  </w:pPr>
                  <w:r>
                    <w:rPr>
                      <w:rFonts w:hint="default" w:ascii="Times New Roman" w:hAnsi="Times New Roman" w:eastAsia="宋体" w:cs="Times New Roman"/>
                      <w:color w:val="auto"/>
                      <w:kern w:val="0"/>
                      <w:sz w:val="21"/>
                      <w:szCs w:val="21"/>
                      <w:highlight w:val="none"/>
                      <w:u w:val="none"/>
                      <w:vertAlign w:val="baseline"/>
                      <w:lang w:eastAsia="zh-CN"/>
                    </w:rPr>
                    <w:t>资源开发效率要求</w:t>
                  </w:r>
                </w:p>
              </w:tc>
              <w:tc>
                <w:tcPr>
                  <w:tcW w:w="3369" w:type="pct"/>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rPr>
                  </w:pPr>
                  <w:r>
                    <w:rPr>
                      <w:rFonts w:hint="default" w:ascii="Times New Roman" w:hAnsi="Times New Roman" w:eastAsia="宋体" w:cs="Times New Roman"/>
                      <w:color w:val="auto"/>
                      <w:kern w:val="0"/>
                      <w:sz w:val="21"/>
                      <w:szCs w:val="21"/>
                      <w:highlight w:val="none"/>
                      <w:u w:val="none"/>
                      <w:vertAlign w:val="baseline"/>
                    </w:rPr>
                    <w:t>（4.1）水资源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rPr>
                  </w:pPr>
                  <w:r>
                    <w:rPr>
                      <w:rFonts w:hint="default" w:ascii="Times New Roman" w:hAnsi="Times New Roman" w:eastAsia="宋体" w:cs="Times New Roman"/>
                      <w:color w:val="auto"/>
                      <w:kern w:val="0"/>
                      <w:sz w:val="21"/>
                      <w:szCs w:val="21"/>
                      <w:highlight w:val="none"/>
                      <w:u w:val="none"/>
                      <w:vertAlign w:val="baseline"/>
                    </w:rPr>
                    <w:t>（4.1.1）</w:t>
                  </w:r>
                  <w:r>
                    <w:rPr>
                      <w:rFonts w:hint="eastAsia" w:ascii="Times New Roman" w:hAnsi="Times New Roman" w:eastAsia="宋体" w:cs="Times New Roman"/>
                      <w:color w:val="auto"/>
                      <w:kern w:val="0"/>
                      <w:sz w:val="21"/>
                      <w:szCs w:val="21"/>
                      <w:highlight w:val="none"/>
                      <w:u w:val="none"/>
                      <w:vertAlign w:val="baseline"/>
                      <w:lang w:eastAsia="zh-CN"/>
                    </w:rPr>
                    <w:t>加强城镇节水，推广普及节水器具，禁止生产、销售不符合节水标准的产品、推进公共供水管网改造、开展节水型城市建设，大力发展高效节水灌溉，推广管道输水、喷灌、微灌等节水灌溉与池塘设施化循环水养殖新技术</w:t>
                  </w:r>
                  <w:r>
                    <w:rPr>
                      <w:rFonts w:hint="default" w:ascii="Times New Roman" w:hAnsi="Times New Roman" w:eastAsia="宋体" w:cs="Times New Roman"/>
                      <w:color w:val="auto"/>
                      <w:kern w:val="0"/>
                      <w:sz w:val="21"/>
                      <w:szCs w:val="21"/>
                      <w:highlight w:val="none"/>
                      <w:u w:val="none"/>
                      <w:vertAlign w:val="baselin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rPr>
                  </w:pPr>
                  <w:r>
                    <w:rPr>
                      <w:rFonts w:hint="default" w:ascii="Times New Roman" w:hAnsi="Times New Roman" w:eastAsia="宋体" w:cs="Times New Roman"/>
                      <w:color w:val="auto"/>
                      <w:kern w:val="0"/>
                      <w:sz w:val="21"/>
                      <w:szCs w:val="21"/>
                      <w:highlight w:val="none"/>
                      <w:u w:val="none"/>
                      <w:vertAlign w:val="baseline"/>
                    </w:rPr>
                    <w:t>（4.1.2）到2020年，全县农田灌溉水有效利用系数达到0.5</w:t>
                  </w:r>
                  <w:r>
                    <w:rPr>
                      <w:rFonts w:hint="eastAsia" w:ascii="Times New Roman" w:hAnsi="Times New Roman" w:eastAsia="宋体" w:cs="Times New Roman"/>
                      <w:color w:val="auto"/>
                      <w:kern w:val="0"/>
                      <w:sz w:val="21"/>
                      <w:szCs w:val="21"/>
                      <w:highlight w:val="none"/>
                      <w:u w:val="none"/>
                      <w:vertAlign w:val="baseline"/>
                      <w:lang w:val="en-US" w:eastAsia="zh-CN"/>
                    </w:rPr>
                    <w:t>91</w:t>
                  </w:r>
                  <w:r>
                    <w:rPr>
                      <w:rFonts w:hint="default" w:ascii="Times New Roman" w:hAnsi="Times New Roman" w:eastAsia="宋体" w:cs="Times New Roman"/>
                      <w:color w:val="auto"/>
                      <w:kern w:val="0"/>
                      <w:sz w:val="21"/>
                      <w:szCs w:val="21"/>
                      <w:highlight w:val="none"/>
                      <w:u w:val="none"/>
                      <w:vertAlign w:val="baselin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rPr>
                  </w:pPr>
                  <w:r>
                    <w:rPr>
                      <w:rFonts w:hint="eastAsia" w:ascii="Times New Roman" w:hAnsi="Times New Roman" w:eastAsia="宋体" w:cs="Times New Roman"/>
                      <w:color w:val="auto"/>
                      <w:kern w:val="0"/>
                      <w:sz w:val="21"/>
                      <w:szCs w:val="21"/>
                      <w:highlight w:val="none"/>
                      <w:u w:val="none"/>
                      <w:vertAlign w:val="baseline"/>
                      <w:lang w:eastAsia="zh-CN"/>
                    </w:rPr>
                    <w:t>（</w:t>
                  </w:r>
                  <w:r>
                    <w:rPr>
                      <w:rFonts w:hint="eastAsia" w:ascii="Times New Roman" w:hAnsi="Times New Roman" w:eastAsia="宋体" w:cs="Times New Roman"/>
                      <w:color w:val="auto"/>
                      <w:kern w:val="0"/>
                      <w:sz w:val="21"/>
                      <w:szCs w:val="21"/>
                      <w:highlight w:val="none"/>
                      <w:u w:val="none"/>
                      <w:vertAlign w:val="baseline"/>
                      <w:lang w:val="en-US" w:eastAsia="zh-CN"/>
                    </w:rPr>
                    <w:t>4.1.3</w:t>
                  </w:r>
                  <w:r>
                    <w:rPr>
                      <w:rFonts w:hint="eastAsia" w:ascii="Times New Roman" w:hAnsi="Times New Roman" w:eastAsia="宋体" w:cs="Times New Roman"/>
                      <w:color w:val="auto"/>
                      <w:kern w:val="0"/>
                      <w:sz w:val="21"/>
                      <w:szCs w:val="21"/>
                      <w:highlight w:val="none"/>
                      <w:u w:val="none"/>
                      <w:vertAlign w:val="baseline"/>
                      <w:lang w:eastAsia="zh-CN"/>
                    </w:rPr>
                    <w:t>）推进水质较好的湖泊（水库）保护，加强湿地保护和修复，禁止侵占自然湿地等水源涵养空间，强化水源涵养林建设和保护，应在重点排污口的下游、主要入河（湖）口等区域因地制宜建设人工湿地水质净化工程，开展退耕还林还湿；</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rPr>
                  </w:pPr>
                  <w:r>
                    <w:rPr>
                      <w:rFonts w:hint="default" w:ascii="Times New Roman" w:hAnsi="Times New Roman" w:eastAsia="宋体" w:cs="Times New Roman"/>
                      <w:color w:val="auto"/>
                      <w:kern w:val="0"/>
                      <w:sz w:val="21"/>
                      <w:szCs w:val="21"/>
                      <w:highlight w:val="none"/>
                      <w:u w:val="none"/>
                      <w:vertAlign w:val="baseline"/>
                    </w:rPr>
                    <w:t>（4.2）土地资源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rPr>
                  </w:pPr>
                  <w:r>
                    <w:rPr>
                      <w:rFonts w:hint="default" w:ascii="Times New Roman" w:hAnsi="Times New Roman" w:eastAsia="宋体" w:cs="Times New Roman"/>
                      <w:color w:val="auto"/>
                      <w:kern w:val="0"/>
                      <w:sz w:val="21"/>
                      <w:szCs w:val="21"/>
                      <w:highlight w:val="none"/>
                      <w:u w:val="none"/>
                      <w:vertAlign w:val="baseline"/>
                    </w:rPr>
                    <w:t>（4.2.1）城市、村庄和集镇建设不得占用基本农田，交通、水利、能源等基础设施项目，因选址特殊，无法避让基本农田的，必须报国务院批准。禁止违法占用基本农田进行绿色通道、绿化隔离带和防护林建设，禁止改变基本农田土壤性状发展林果业和挖塘养鱼，禁止开展对基本农田耕作层造成永久性破坏的临时工程和其他各项活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lang w:val="en-US" w:eastAsia="zh-CN"/>
                    </w:rPr>
                  </w:pPr>
                  <w:r>
                    <w:rPr>
                      <w:rFonts w:hint="default" w:ascii="Times New Roman" w:hAnsi="Times New Roman" w:eastAsia="宋体" w:cs="Times New Roman"/>
                      <w:color w:val="auto"/>
                      <w:kern w:val="0"/>
                      <w:sz w:val="21"/>
                      <w:szCs w:val="21"/>
                      <w:highlight w:val="none"/>
                      <w:u w:val="none"/>
                      <w:vertAlign w:val="baseline"/>
                    </w:rPr>
                    <w:t>（4.2.2）到2020年，</w:t>
                  </w:r>
                  <w:r>
                    <w:rPr>
                      <w:rFonts w:hint="eastAsia" w:ascii="Times New Roman" w:hAnsi="Times New Roman" w:eastAsia="宋体" w:cs="Times New Roman"/>
                      <w:color w:val="auto"/>
                      <w:kern w:val="0"/>
                      <w:sz w:val="21"/>
                      <w:szCs w:val="21"/>
                      <w:highlight w:val="none"/>
                      <w:u w:val="none"/>
                      <w:vertAlign w:val="baseline"/>
                      <w:lang w:eastAsia="zh-CN"/>
                    </w:rPr>
                    <w:t>火连坡镇</w:t>
                  </w:r>
                  <w:r>
                    <w:rPr>
                      <w:rFonts w:hint="default" w:ascii="Times New Roman" w:hAnsi="Times New Roman" w:eastAsia="宋体" w:cs="Times New Roman"/>
                      <w:color w:val="auto"/>
                      <w:kern w:val="0"/>
                      <w:sz w:val="21"/>
                      <w:szCs w:val="21"/>
                      <w:highlight w:val="none"/>
                      <w:u w:val="none"/>
                      <w:vertAlign w:val="baseline"/>
                    </w:rPr>
                    <w:t>耕地保有量不低于4</w:t>
                  </w:r>
                  <w:r>
                    <w:rPr>
                      <w:rFonts w:hint="eastAsia" w:ascii="Times New Roman" w:hAnsi="Times New Roman" w:eastAsia="宋体" w:cs="Times New Roman"/>
                      <w:color w:val="auto"/>
                      <w:kern w:val="0"/>
                      <w:sz w:val="21"/>
                      <w:szCs w:val="21"/>
                      <w:highlight w:val="none"/>
                      <w:u w:val="none"/>
                      <w:vertAlign w:val="baseline"/>
                      <w:lang w:val="en-US" w:eastAsia="zh-CN"/>
                    </w:rPr>
                    <w:t>3127.84</w:t>
                  </w:r>
                  <w:r>
                    <w:rPr>
                      <w:rFonts w:hint="default" w:ascii="Times New Roman" w:hAnsi="Times New Roman" w:eastAsia="宋体" w:cs="Times New Roman"/>
                      <w:color w:val="auto"/>
                      <w:kern w:val="0"/>
                      <w:sz w:val="21"/>
                      <w:szCs w:val="21"/>
                      <w:highlight w:val="none"/>
                      <w:u w:val="none"/>
                      <w:vertAlign w:val="baseline"/>
                    </w:rPr>
                    <w:t>公顷，</w:t>
                  </w:r>
                  <w:r>
                    <w:rPr>
                      <w:rFonts w:hint="eastAsia" w:ascii="Times New Roman" w:hAnsi="Times New Roman" w:eastAsia="宋体" w:cs="Times New Roman"/>
                      <w:color w:val="auto"/>
                      <w:kern w:val="0"/>
                      <w:sz w:val="21"/>
                      <w:szCs w:val="21"/>
                      <w:highlight w:val="none"/>
                      <w:u w:val="none"/>
                      <w:vertAlign w:val="baseline"/>
                      <w:lang w:eastAsia="zh-CN"/>
                    </w:rPr>
                    <w:t>一般农地区不低于</w:t>
                  </w:r>
                  <w:r>
                    <w:rPr>
                      <w:rFonts w:hint="eastAsia" w:ascii="Times New Roman" w:hAnsi="Times New Roman" w:eastAsia="宋体" w:cs="Times New Roman"/>
                      <w:color w:val="auto"/>
                      <w:kern w:val="0"/>
                      <w:sz w:val="21"/>
                      <w:szCs w:val="21"/>
                      <w:highlight w:val="none"/>
                      <w:u w:val="none"/>
                      <w:vertAlign w:val="baseline"/>
                      <w:lang w:val="en-US" w:eastAsia="zh-CN"/>
                    </w:rPr>
                    <w:t>983.24公顷，城镇建设用地区控制在57.62公顷以内，村镇建设用地区控制在1086.10公顷以内，独立工矿区控制在74.56公顷以内，王家厂镇基本农田保护区不低于2197.24公顷，</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highlight w:val="none"/>
                      <w:u w:val="none"/>
                      <w:vertAlign w:val="baseline"/>
                    </w:rPr>
                  </w:pPr>
                  <w:r>
                    <w:rPr>
                      <w:rFonts w:hint="eastAsia" w:ascii="Times New Roman" w:hAnsi="Times New Roman" w:eastAsia="宋体" w:cs="Times New Roman"/>
                      <w:color w:val="auto"/>
                      <w:kern w:val="0"/>
                      <w:sz w:val="21"/>
                      <w:szCs w:val="21"/>
                      <w:highlight w:val="none"/>
                      <w:u w:val="none"/>
                      <w:vertAlign w:val="baseline"/>
                      <w:lang w:eastAsia="zh-CN"/>
                    </w:rPr>
                    <w:t>一般弄地区不低于</w:t>
                  </w:r>
                  <w:r>
                    <w:rPr>
                      <w:rFonts w:hint="eastAsia" w:ascii="Times New Roman" w:hAnsi="Times New Roman" w:eastAsia="宋体" w:cs="Times New Roman"/>
                      <w:color w:val="auto"/>
                      <w:kern w:val="0"/>
                      <w:sz w:val="21"/>
                      <w:szCs w:val="21"/>
                      <w:highlight w:val="none"/>
                      <w:u w:val="none"/>
                      <w:vertAlign w:val="baseline"/>
                      <w:lang w:val="en-US" w:eastAsia="zh-CN"/>
                    </w:rPr>
                    <w:t>1112.07公顷，城镇建设用地区控制在66.62公顷以内，村镇建设用地区控制在777.46公顷，独立工矿区控制在44.14公顷以内</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rPr>
                  </w:pPr>
                  <w:r>
                    <w:rPr>
                      <w:rFonts w:hint="default" w:ascii="Times New Roman" w:hAnsi="Times New Roman" w:eastAsia="宋体" w:cs="Times New Roman"/>
                      <w:color w:val="auto"/>
                      <w:kern w:val="0"/>
                      <w:sz w:val="21"/>
                      <w:szCs w:val="21"/>
                      <w:highlight w:val="none"/>
                      <w:u w:val="none"/>
                      <w:vertAlign w:val="baseline"/>
                    </w:rPr>
                    <w:t>（4.3）能源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firstLine="420" w:firstLineChars="200"/>
                    <w:jc w:val="both"/>
                    <w:textAlignment w:val="auto"/>
                    <w:rPr>
                      <w:rFonts w:hint="eastAsia" w:ascii="Times New Roman" w:hAnsi="Times New Roman" w:eastAsia="宋体" w:cs="Times New Roman"/>
                      <w:color w:val="auto"/>
                      <w:kern w:val="0"/>
                      <w:sz w:val="21"/>
                      <w:szCs w:val="21"/>
                      <w:highlight w:val="none"/>
                      <w:u w:val="none"/>
                      <w:vertAlign w:val="baseline"/>
                      <w:lang w:eastAsia="zh-CN"/>
                    </w:rPr>
                  </w:pPr>
                  <w:r>
                    <w:rPr>
                      <w:rFonts w:hint="default" w:ascii="Times New Roman" w:hAnsi="Times New Roman" w:eastAsia="宋体" w:cs="Times New Roman"/>
                      <w:color w:val="auto"/>
                      <w:kern w:val="0"/>
                      <w:sz w:val="21"/>
                      <w:szCs w:val="21"/>
                      <w:highlight w:val="none"/>
                      <w:u w:val="none"/>
                      <w:vertAlign w:val="baseline"/>
                    </w:rPr>
                    <w:t>（4.3.1）</w:t>
                  </w:r>
                  <w:r>
                    <w:rPr>
                      <w:rFonts w:hint="eastAsia" w:ascii="Times New Roman" w:hAnsi="Times New Roman" w:eastAsia="宋体" w:cs="Times New Roman"/>
                      <w:color w:val="auto"/>
                      <w:kern w:val="0"/>
                      <w:sz w:val="21"/>
                      <w:szCs w:val="21"/>
                      <w:highlight w:val="none"/>
                      <w:u w:val="none"/>
                      <w:vertAlign w:val="baseline"/>
                      <w:lang w:eastAsia="zh-CN"/>
                    </w:rPr>
                    <w:t>坚持高能效、低污染、低排放，多种能源并举互助的发展目标，加快推进能源结构调整，提高能源利用效率，使用清洁能源，扩大本地可再生能源利用，推进绿色能源示范性建设，同时提升能源储备能力，形成可靠、经济、清洁、低碳的多元化能源保障体系。</w:t>
                  </w:r>
                </w:p>
              </w:tc>
              <w:tc>
                <w:tcPr>
                  <w:tcW w:w="1072" w:type="pc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lang w:val="en-US" w:eastAsia="zh-CN"/>
                    </w:rPr>
                  </w:pPr>
                  <w:r>
                    <w:rPr>
                      <w:rFonts w:hint="eastAsia" w:ascii="Times New Roman" w:hAnsi="Times New Roman" w:eastAsia="宋体" w:cs="Times New Roman"/>
                      <w:color w:val="auto"/>
                      <w:kern w:val="0"/>
                      <w:sz w:val="21"/>
                      <w:szCs w:val="21"/>
                      <w:highlight w:val="none"/>
                      <w:u w:val="none"/>
                      <w:vertAlign w:val="baseline"/>
                      <w:lang w:val="en-US" w:eastAsia="zh-CN"/>
                    </w:rPr>
                    <w:t>1.</w:t>
                  </w:r>
                  <w:r>
                    <w:rPr>
                      <w:rFonts w:hint="default" w:ascii="Times New Roman" w:hAnsi="Times New Roman" w:eastAsia="宋体" w:cs="Times New Roman"/>
                      <w:color w:val="auto"/>
                      <w:kern w:val="0"/>
                      <w:sz w:val="21"/>
                      <w:szCs w:val="21"/>
                      <w:highlight w:val="none"/>
                      <w:u w:val="none"/>
                      <w:vertAlign w:val="baseline"/>
                      <w:lang w:val="en-US" w:eastAsia="zh-CN"/>
                    </w:rPr>
                    <w:t>本项目</w:t>
                  </w:r>
                  <w:r>
                    <w:rPr>
                      <w:rFonts w:hint="eastAsia" w:ascii="Times New Roman" w:hAnsi="Times New Roman" w:eastAsia="宋体" w:cs="Times New Roman"/>
                      <w:color w:val="auto"/>
                      <w:kern w:val="0"/>
                      <w:sz w:val="21"/>
                      <w:szCs w:val="21"/>
                      <w:highlight w:val="none"/>
                      <w:u w:val="none"/>
                      <w:vertAlign w:val="baseline"/>
                      <w:lang w:val="en-US" w:eastAsia="zh-CN"/>
                    </w:rPr>
                    <w:t>均采用清洁能源，均不涉及废水外排，废水回用于厂区</w:t>
                  </w:r>
                  <w:r>
                    <w:rPr>
                      <w:rFonts w:hint="default" w:ascii="Times New Roman" w:hAnsi="Times New Roman" w:eastAsia="宋体" w:cs="Times New Roman"/>
                      <w:color w:val="auto"/>
                      <w:kern w:val="0"/>
                      <w:sz w:val="21"/>
                      <w:szCs w:val="21"/>
                      <w:highlight w:val="none"/>
                      <w:u w:val="none"/>
                      <w:vertAlign w:val="baseli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lang w:val="en-US" w:eastAsia="zh-CN"/>
                    </w:rPr>
                  </w:pPr>
                  <w:r>
                    <w:rPr>
                      <w:rFonts w:hint="default" w:ascii="Times New Roman" w:hAnsi="Times New Roman" w:eastAsia="宋体" w:cs="Times New Roman"/>
                      <w:color w:val="auto"/>
                      <w:kern w:val="0"/>
                      <w:sz w:val="21"/>
                      <w:szCs w:val="21"/>
                      <w:highlight w:val="none"/>
                      <w:u w:val="none"/>
                      <w:vertAlign w:val="baseline"/>
                      <w:lang w:val="en-US" w:eastAsia="zh-CN"/>
                    </w:rPr>
                    <w:t>2.项目不占用基本农田。</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0"/>
                      <w:sz w:val="21"/>
                      <w:szCs w:val="21"/>
                      <w:highlight w:val="none"/>
                      <w:u w:val="none"/>
                      <w:vertAlign w:val="baseline"/>
                      <w:lang w:val="en-US" w:eastAsia="zh-CN"/>
                    </w:rPr>
                  </w:pPr>
                  <w:r>
                    <w:rPr>
                      <w:rFonts w:hint="default" w:ascii="Times New Roman" w:hAnsi="Times New Roman" w:eastAsia="宋体" w:cs="Times New Roman"/>
                      <w:color w:val="auto"/>
                      <w:kern w:val="0"/>
                      <w:sz w:val="21"/>
                      <w:szCs w:val="21"/>
                      <w:highlight w:val="none"/>
                      <w:u w:val="none"/>
                      <w:vertAlign w:val="baseline"/>
                      <w:lang w:val="en-US" w:eastAsia="zh-CN"/>
                    </w:rPr>
                    <w:t>3.本项目所有设备均为电能，设备符合国家标准，能耗低。</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sz w:val="24"/>
                <w:szCs w:val="24"/>
                <w:u w:val="single"/>
                <w:lang w:eastAsia="zh-CN"/>
              </w:rPr>
            </w:pPr>
            <w:r>
              <w:rPr>
                <w:rFonts w:hint="eastAsia" w:ascii="Times New Roman" w:hAnsi="Times New Roman" w:cs="Times New Roman"/>
                <w:color w:val="000000"/>
                <w:sz w:val="24"/>
                <w:szCs w:val="24"/>
                <w:u w:val="none"/>
                <w:lang w:eastAsia="zh-CN"/>
              </w:rPr>
              <w:t>综上所述，本项目与</w:t>
            </w:r>
            <w:r>
              <w:rPr>
                <w:rFonts w:hint="eastAsia" w:ascii="Times New Roman" w:hAnsi="Times New Roman" w:eastAsia="宋体" w:cs="Times New Roman"/>
                <w:color w:val="000000"/>
                <w:sz w:val="24"/>
                <w:szCs w:val="24"/>
                <w:u w:val="none"/>
                <w:lang w:eastAsia="zh-CN"/>
              </w:rPr>
              <w:t>《常德市“三线一单”生态环境管控基本要求暨环境管控单元生态环境准入清单》相符。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b/>
                <w:bCs/>
                <w:sz w:val="24"/>
                <w:szCs w:val="24"/>
              </w:rPr>
            </w:pPr>
            <w:r>
              <w:rPr>
                <w:rFonts w:hint="eastAsia" w:ascii="Times New Roman" w:hAnsi="Times New Roman" w:eastAsia="宋体" w:cs="Times New Roman"/>
                <w:b/>
                <w:bCs/>
                <w:color w:val="auto"/>
                <w:sz w:val="24"/>
                <w:szCs w:val="24"/>
                <w:highlight w:val="none"/>
                <w:lang w:val="en-US" w:eastAsia="zh-CN"/>
              </w:rPr>
              <w:t>2</w:t>
            </w:r>
            <w:r>
              <w:rPr>
                <w:rFonts w:ascii="Times New Roman" w:hAnsi="Times New Roman" w:eastAsia="宋体" w:cs="Times New Roman"/>
                <w:b/>
                <w:bCs/>
                <w:color w:val="auto"/>
                <w:sz w:val="24"/>
                <w:szCs w:val="24"/>
                <w:highlight w:val="none"/>
              </w:rPr>
              <w:t>、</w:t>
            </w:r>
            <w:r>
              <w:rPr>
                <w:rFonts w:hint="eastAsia"/>
                <w:b/>
                <w:bCs/>
                <w:sz w:val="24"/>
                <w:szCs w:val="24"/>
              </w:rPr>
              <w:t>与《湖南省砂石骨料行业规范条件》相符性分析</w:t>
            </w:r>
          </w:p>
          <w:p>
            <w:pPr>
              <w:spacing w:line="360" w:lineRule="auto"/>
              <w:ind w:firstLine="480" w:firstLineChars="200"/>
              <w:rPr>
                <w:sz w:val="24"/>
              </w:rPr>
            </w:pPr>
            <w:r>
              <w:rPr>
                <w:rFonts w:hint="eastAsia"/>
                <w:sz w:val="24"/>
              </w:rPr>
              <w:t>根据《湖南省砂石骨料行业规范条件（2017年本）》（湖南省经信委）文件，本项目与湖南省砂石骨料行业规范条件的相符性见表</w:t>
            </w:r>
            <w:r>
              <w:rPr>
                <w:rFonts w:hint="eastAsia"/>
                <w:sz w:val="24"/>
                <w:lang w:val="en-US" w:eastAsia="zh-CN"/>
              </w:rPr>
              <w:t>1-1</w:t>
            </w:r>
            <w:r>
              <w:rPr>
                <w:rFonts w:hint="eastAsia"/>
                <w:sz w:val="24"/>
              </w:rPr>
              <w:t>所示。</w:t>
            </w:r>
          </w:p>
          <w:p>
            <w:pPr>
              <w:adjustRightInd w:val="0"/>
              <w:snapToGrid w:val="0"/>
              <w:jc w:val="center"/>
              <w:rPr>
                <w:rFonts w:ascii="宋体" w:hAnsi="宋体" w:cs="宋体"/>
                <w:b/>
                <w:bCs/>
              </w:rPr>
            </w:pPr>
            <w:r>
              <w:rPr>
                <w:rFonts w:hint="eastAsia" w:ascii="宋体" w:hAnsi="宋体" w:cs="宋体"/>
                <w:b/>
                <w:bCs/>
              </w:rPr>
              <w:t>表</w:t>
            </w:r>
            <w:r>
              <w:rPr>
                <w:rFonts w:hint="eastAsia" w:ascii="宋体" w:hAnsi="宋体" w:cs="宋体"/>
                <w:b/>
                <w:bCs/>
                <w:lang w:val="en-US" w:eastAsia="zh-CN"/>
              </w:rPr>
              <w:t>1-1</w:t>
            </w:r>
            <w:r>
              <w:rPr>
                <w:rFonts w:hint="eastAsia" w:ascii="宋体" w:hAnsi="宋体" w:cs="宋体"/>
                <w:b/>
                <w:bCs/>
              </w:rPr>
              <w:t xml:space="preserve"> 项目与《湖南省砂石骨料行业规范条件（2017年本）》的相符性一览表</w:t>
            </w:r>
          </w:p>
          <w:tbl>
            <w:tblPr>
              <w:tblStyle w:val="1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587"/>
              <w:gridCol w:w="1975"/>
              <w:gridCol w:w="243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Align w:val="center"/>
                </w:tcPr>
                <w:p>
                  <w:pPr>
                    <w:adjustRightInd w:val="0"/>
                    <w:snapToGrid w:val="0"/>
                    <w:jc w:val="center"/>
                  </w:pPr>
                  <w:r>
                    <w:t>序号</w:t>
                  </w:r>
                </w:p>
              </w:tc>
              <w:tc>
                <w:tcPr>
                  <w:tcW w:w="2057" w:type="pct"/>
                  <w:gridSpan w:val="2"/>
                  <w:vAlign w:val="center"/>
                </w:tcPr>
                <w:p>
                  <w:pPr>
                    <w:adjustRightInd w:val="0"/>
                    <w:snapToGrid w:val="0"/>
                    <w:jc w:val="center"/>
                  </w:pPr>
                  <w:r>
                    <w:t>《湖南省砂石骨料行业规范条件（2017年本）》相关要求</w:t>
                  </w:r>
                </w:p>
              </w:tc>
              <w:tc>
                <w:tcPr>
                  <w:tcW w:w="1951" w:type="pct"/>
                  <w:vAlign w:val="center"/>
                </w:tcPr>
                <w:p>
                  <w:pPr>
                    <w:adjustRightInd w:val="0"/>
                    <w:snapToGrid w:val="0"/>
                    <w:jc w:val="center"/>
                  </w:pPr>
                  <w:r>
                    <w:t>本项目情况</w:t>
                  </w:r>
                </w:p>
              </w:tc>
              <w:tc>
                <w:tcPr>
                  <w:tcW w:w="546" w:type="pct"/>
                  <w:vAlign w:val="center"/>
                </w:tcPr>
                <w:p>
                  <w:pPr>
                    <w:adjustRightInd w:val="0"/>
                    <w:snapToGrid w:val="0"/>
                    <w:jc w:val="center"/>
                  </w:pPr>
                  <w: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Align w:val="center"/>
                </w:tcPr>
                <w:p>
                  <w:pPr>
                    <w:adjustRightInd w:val="0"/>
                    <w:snapToGrid w:val="0"/>
                    <w:jc w:val="center"/>
                  </w:pPr>
                  <w:r>
                    <w:t>1</w:t>
                  </w:r>
                </w:p>
              </w:tc>
              <w:tc>
                <w:tcPr>
                  <w:tcW w:w="4555" w:type="pct"/>
                  <w:gridSpan w:val="4"/>
                  <w:vAlign w:val="center"/>
                </w:tcPr>
                <w:p>
                  <w:pPr>
                    <w:adjustRightInd w:val="0"/>
                    <w:snapToGrid w:val="0"/>
                    <w:jc w:val="center"/>
                  </w:pPr>
                  <w:r>
                    <w:rPr>
                      <w:bCs/>
                    </w:rPr>
                    <w:t>规划布局和建设要求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Align w:val="center"/>
                </w:tcPr>
                <w:p>
                  <w:pPr>
                    <w:adjustRightInd w:val="0"/>
                    <w:snapToGrid w:val="0"/>
                    <w:jc w:val="center"/>
                  </w:pPr>
                  <w:r>
                    <w:t>1.1</w:t>
                  </w:r>
                </w:p>
              </w:tc>
              <w:tc>
                <w:tcPr>
                  <w:tcW w:w="2057" w:type="pct"/>
                  <w:gridSpan w:val="2"/>
                  <w:vAlign w:val="center"/>
                </w:tcPr>
                <w:p>
                  <w:pPr>
                    <w:adjustRightInd w:val="0"/>
                    <w:snapToGrid w:val="0"/>
                  </w:pPr>
                  <w:r>
                    <w:t>新建、改扩建机制砂石骨料项目应符合国家产业政策和当地产业、矿产资源及土地利用总体规划等要求，统筹资源、环境、物流和市场等因素合理布局，推动产业规模化、集约化、基地化发展。天然砂石骨料项目应符合河道、航道整治和湘江流域露天开采非金属矿开发利用与保护规划等相关要求。</w:t>
                  </w:r>
                </w:p>
              </w:tc>
              <w:tc>
                <w:tcPr>
                  <w:tcW w:w="1951" w:type="pct"/>
                  <w:vAlign w:val="center"/>
                </w:tcPr>
                <w:p>
                  <w:pPr>
                    <w:adjustRightInd w:val="0"/>
                    <w:snapToGrid w:val="0"/>
                    <w:jc w:val="center"/>
                  </w:pPr>
                  <w:r>
                    <w:t>本项目符合国家产业政策和当地土地利用总体规划等要求；项目河卵石来源于</w:t>
                  </w:r>
                  <w:r>
                    <w:rPr>
                      <w:rFonts w:hint="eastAsia"/>
                      <w:lang w:eastAsia="zh-CN"/>
                    </w:rPr>
                    <w:t>河道采砂</w:t>
                  </w:r>
                  <w:r>
                    <w:t>。</w:t>
                  </w:r>
                </w:p>
              </w:tc>
              <w:tc>
                <w:tcPr>
                  <w:tcW w:w="546" w:type="pct"/>
                  <w:vAlign w:val="center"/>
                </w:tcPr>
                <w:p>
                  <w:pPr>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Align w:val="center"/>
                </w:tcPr>
                <w:p>
                  <w:pPr>
                    <w:adjustRightInd w:val="0"/>
                    <w:snapToGrid w:val="0"/>
                    <w:jc w:val="center"/>
                  </w:pPr>
                  <w:r>
                    <w:t>1.2</w:t>
                  </w:r>
                </w:p>
              </w:tc>
              <w:tc>
                <w:tcPr>
                  <w:tcW w:w="2057" w:type="pct"/>
                  <w:gridSpan w:val="2"/>
                  <w:vAlign w:val="center"/>
                </w:tcPr>
                <w:p>
                  <w:pPr>
                    <w:adjustRightInd w:val="0"/>
                    <w:snapToGrid w:val="0"/>
                  </w:pPr>
                  <w:r>
                    <w:t>机制砂石骨料矿山企业须取得矿山资源储量报告、矿产开发利用方案、采矿许可证、矿山地质环境综合防治方案、水土保持方案、环境影响评价报告、安全生产许可证和安全预评价报告等</w:t>
                  </w:r>
                  <w:bookmarkStart w:id="6" w:name="OLE_LINK4"/>
                  <w:r>
                    <w:t>相关证照或审批文件</w:t>
                  </w:r>
                  <w:bookmarkEnd w:id="6"/>
                  <w:r>
                    <w:t>。天然砂石骨料企业还须取得河道采砂许可证等审批文件。</w:t>
                  </w:r>
                </w:p>
              </w:tc>
              <w:tc>
                <w:tcPr>
                  <w:tcW w:w="1951" w:type="pct"/>
                  <w:vAlign w:val="center"/>
                </w:tcPr>
                <w:p>
                  <w:pPr>
                    <w:adjustRightInd w:val="0"/>
                    <w:snapToGrid w:val="0"/>
                    <w:jc w:val="center"/>
                  </w:pPr>
                  <w:r>
                    <w:t>项目河卵石来源于</w:t>
                  </w:r>
                  <w:r>
                    <w:rPr>
                      <w:rFonts w:hint="eastAsia"/>
                      <w:lang w:eastAsia="zh-CN"/>
                    </w:rPr>
                    <w:t>（河道采砂）</w:t>
                  </w:r>
                  <w:r>
                    <w:t>。</w:t>
                  </w:r>
                </w:p>
              </w:tc>
              <w:tc>
                <w:tcPr>
                  <w:tcW w:w="546" w:type="pct"/>
                  <w:vAlign w:val="center"/>
                </w:tcPr>
                <w:p>
                  <w:pPr>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Align w:val="center"/>
                </w:tcPr>
                <w:p>
                  <w:pPr>
                    <w:adjustRightInd w:val="0"/>
                    <w:snapToGrid w:val="0"/>
                    <w:jc w:val="center"/>
                  </w:pPr>
                  <w:r>
                    <w:t>1.3</w:t>
                  </w:r>
                </w:p>
              </w:tc>
              <w:tc>
                <w:tcPr>
                  <w:tcW w:w="2057" w:type="pct"/>
                  <w:gridSpan w:val="2"/>
                  <w:vAlign w:val="center"/>
                </w:tcPr>
                <w:p>
                  <w:pPr>
                    <w:adjustRightInd w:val="0"/>
                    <w:snapToGrid w:val="0"/>
                  </w:pPr>
                  <w:r>
                    <w:t>新建机制砂石骨料项目宜选择资源或接近矿山资源所在地，远离居民区。严禁在风景名胜区、地质公园、生态保护区、自然和文化遗产保护区、饮用水源保护区、城市建成区等区域新建和扩建机制砂石骨料项目。严禁布置在矿山爆破安全危险区范围内，已建成的项目应按照相关规划和规定进行处置。</w:t>
                  </w:r>
                </w:p>
              </w:tc>
              <w:tc>
                <w:tcPr>
                  <w:tcW w:w="1951" w:type="pct"/>
                  <w:vAlign w:val="center"/>
                </w:tcPr>
                <w:p>
                  <w:pPr>
                    <w:adjustRightInd w:val="0"/>
                    <w:snapToGrid w:val="0"/>
                    <w:jc w:val="center"/>
                  </w:pPr>
                  <w:r>
                    <w:t>本项目</w:t>
                  </w:r>
                  <w:r>
                    <w:rPr>
                      <w:rFonts w:hint="eastAsia"/>
                      <w:lang w:eastAsia="zh-CN"/>
                    </w:rPr>
                    <w:t>砂石加工位于湖南省常德市澧县王家厂镇柳津村</w:t>
                  </w:r>
                  <w:r>
                    <w:rPr>
                      <w:rFonts w:hint="eastAsia"/>
                      <w:lang w:val="en-US" w:eastAsia="zh-CN"/>
                    </w:rPr>
                    <w:t>六组</w:t>
                  </w:r>
                  <w:r>
                    <w:t>，加工区周边较近处主要有</w:t>
                  </w:r>
                  <w:r>
                    <w:rPr>
                      <w:rFonts w:hint="eastAsia"/>
                    </w:rPr>
                    <w:t>居民较少</w:t>
                  </w:r>
                  <w:r>
                    <w:t>，无集中居民区。项目不在风景名胜区、地质公园、生态保护区、自然和文化遗产保护区、饮用水源保护区、城市建成区等区域。本项目无矿山开采，因此不在矿山爆破安全危险区范围内。</w:t>
                  </w:r>
                </w:p>
              </w:tc>
              <w:tc>
                <w:tcPr>
                  <w:tcW w:w="546" w:type="pct"/>
                  <w:vAlign w:val="center"/>
                </w:tcPr>
                <w:p>
                  <w:pPr>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Align w:val="center"/>
                </w:tcPr>
                <w:p>
                  <w:pPr>
                    <w:adjustRightInd w:val="0"/>
                    <w:snapToGrid w:val="0"/>
                    <w:jc w:val="center"/>
                  </w:pPr>
                  <w:r>
                    <w:t>2</w:t>
                  </w:r>
                </w:p>
              </w:tc>
              <w:tc>
                <w:tcPr>
                  <w:tcW w:w="4555" w:type="pct"/>
                  <w:gridSpan w:val="4"/>
                  <w:vAlign w:val="center"/>
                </w:tcPr>
                <w:p>
                  <w:pPr>
                    <w:adjustRightInd w:val="0"/>
                    <w:snapToGrid w:val="0"/>
                    <w:jc w:val="center"/>
                  </w:pPr>
                  <w:r>
                    <w:t>工艺与装备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Align w:val="center"/>
                </w:tcPr>
                <w:p>
                  <w:pPr>
                    <w:adjustRightInd w:val="0"/>
                    <w:snapToGrid w:val="0"/>
                    <w:jc w:val="center"/>
                  </w:pPr>
                  <w:r>
                    <w:t>2.1</w:t>
                  </w:r>
                </w:p>
              </w:tc>
              <w:tc>
                <w:tcPr>
                  <w:tcW w:w="2057" w:type="pct"/>
                  <w:gridSpan w:val="2"/>
                  <w:vAlign w:val="center"/>
                </w:tcPr>
                <w:p>
                  <w:pPr>
                    <w:adjustRightInd w:val="0"/>
                    <w:snapToGrid w:val="0"/>
                  </w:pPr>
                  <w:r>
                    <w:rPr>
                      <w:b/>
                    </w:rPr>
                    <w:t>生产规模：</w:t>
                  </w:r>
                  <w:r>
                    <w:t>新建、改建机制砂石骨料项目生产规模不低于60万t/年；对综合利用尾矿、废石、工业和建筑等废弃物生产砂石骨料，其生产规模可适当放宽。新建项目其矿山资源储量服务年限应不低于10年。</w:t>
                  </w:r>
                </w:p>
              </w:tc>
              <w:tc>
                <w:tcPr>
                  <w:tcW w:w="1951" w:type="pct"/>
                  <w:vAlign w:val="center"/>
                </w:tcPr>
                <w:p>
                  <w:pPr>
                    <w:adjustRightInd w:val="0"/>
                    <w:snapToGrid w:val="0"/>
                    <w:jc w:val="center"/>
                  </w:pPr>
                  <w:r>
                    <w:t>本项目生产规模为年产60万吨机制砂。</w:t>
                  </w:r>
                </w:p>
              </w:tc>
              <w:tc>
                <w:tcPr>
                  <w:tcW w:w="546" w:type="pct"/>
                  <w:vAlign w:val="center"/>
                </w:tcPr>
                <w:p>
                  <w:pPr>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Merge w:val="restart"/>
                  <w:vAlign w:val="center"/>
                </w:tcPr>
                <w:p>
                  <w:pPr>
                    <w:adjustRightInd w:val="0"/>
                    <w:snapToGrid w:val="0"/>
                    <w:jc w:val="center"/>
                  </w:pPr>
                  <w:r>
                    <w:t>2.2</w:t>
                  </w:r>
                </w:p>
              </w:tc>
              <w:tc>
                <w:tcPr>
                  <w:tcW w:w="471" w:type="pct"/>
                  <w:vMerge w:val="restart"/>
                  <w:vAlign w:val="center"/>
                </w:tcPr>
                <w:p>
                  <w:pPr>
                    <w:adjustRightInd w:val="0"/>
                    <w:snapToGrid w:val="0"/>
                    <w:jc w:val="center"/>
                    <w:rPr>
                      <w:b/>
                    </w:rPr>
                  </w:pPr>
                  <w:r>
                    <w:rPr>
                      <w:b/>
                    </w:rPr>
                    <w:t>生产工艺</w:t>
                  </w:r>
                </w:p>
              </w:tc>
              <w:tc>
                <w:tcPr>
                  <w:tcW w:w="1586" w:type="pct"/>
                  <w:vAlign w:val="center"/>
                </w:tcPr>
                <w:p>
                  <w:pPr>
                    <w:adjustRightInd w:val="0"/>
                    <w:snapToGrid w:val="0"/>
                  </w:pPr>
                  <w:r>
                    <w:t>优先采用干法生产工艺，其次半干法砂石工艺，当不能满足要求时，可采用湿法砂石生产工艺。砂石骨料生产线及产品技术指标应符合GB51186《机制砂石骨料工厂设计规范》等相关标准要求。新建项目不得使用限制和淘汰技术设备，已建项目不得使用淘汰设备。</w:t>
                  </w:r>
                </w:p>
              </w:tc>
              <w:tc>
                <w:tcPr>
                  <w:tcW w:w="1951" w:type="pct"/>
                  <w:vAlign w:val="center"/>
                </w:tcPr>
                <w:p>
                  <w:pPr>
                    <w:adjustRightInd w:val="0"/>
                    <w:snapToGrid w:val="0"/>
                    <w:jc w:val="center"/>
                  </w:pPr>
                  <w:r>
                    <w:t>本项目采用湿法砂石生产工艺，砂石骨料生产线及产品技术指标均符合GB51186《机制砂石骨料工厂设计规范》等相关标准要求。本项目所使用的设备均不属于国家限制和淘汰的技术设备。</w:t>
                  </w:r>
                </w:p>
              </w:tc>
              <w:tc>
                <w:tcPr>
                  <w:tcW w:w="546" w:type="pct"/>
                  <w:vAlign w:val="center"/>
                </w:tcPr>
                <w:p>
                  <w:pPr>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Merge w:val="continue"/>
                  <w:vAlign w:val="center"/>
                </w:tcPr>
                <w:p>
                  <w:pPr>
                    <w:adjustRightInd w:val="0"/>
                    <w:snapToGrid w:val="0"/>
                    <w:jc w:val="center"/>
                  </w:pPr>
                </w:p>
              </w:tc>
              <w:tc>
                <w:tcPr>
                  <w:tcW w:w="471" w:type="pct"/>
                  <w:vMerge w:val="continue"/>
                  <w:vAlign w:val="center"/>
                </w:tcPr>
                <w:p>
                  <w:pPr>
                    <w:adjustRightInd w:val="0"/>
                    <w:snapToGrid w:val="0"/>
                    <w:rPr>
                      <w:b/>
                    </w:rPr>
                  </w:pPr>
                </w:p>
              </w:tc>
              <w:tc>
                <w:tcPr>
                  <w:tcW w:w="1586" w:type="pct"/>
                  <w:vAlign w:val="center"/>
                </w:tcPr>
                <w:p>
                  <w:pPr>
                    <w:adjustRightInd w:val="0"/>
                    <w:snapToGrid w:val="0"/>
                    <w:rPr>
                      <w:b/>
                    </w:rPr>
                  </w:pPr>
                  <w:r>
                    <w:t>生产工艺及设备配置应能灵活调整砂石成品级配和石粉含量，并能有效控制砂石成品针片状含量。采用先进高效破碎、制砂、筛分和散料连续输送设备，推广应用自动化、智能化制造技术。</w:t>
                  </w:r>
                </w:p>
              </w:tc>
              <w:tc>
                <w:tcPr>
                  <w:tcW w:w="1951" w:type="pct"/>
                  <w:vAlign w:val="center"/>
                </w:tcPr>
                <w:p>
                  <w:pPr>
                    <w:adjustRightInd w:val="0"/>
                    <w:snapToGrid w:val="0"/>
                    <w:jc w:val="center"/>
                  </w:pPr>
                  <w:r>
                    <w:t>本项目生产工艺及设备配置能够灵活调整砂石成品级配，并能有效控制砂石成品针片状含量。本项目采用的是先进高效破碎、制砂、筛分和散料连续输送设备。</w:t>
                  </w:r>
                </w:p>
              </w:tc>
              <w:tc>
                <w:tcPr>
                  <w:tcW w:w="546" w:type="pct"/>
                  <w:vAlign w:val="center"/>
                </w:tcPr>
                <w:p>
                  <w:pPr>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Merge w:val="continue"/>
                  <w:vAlign w:val="center"/>
                </w:tcPr>
                <w:p>
                  <w:pPr>
                    <w:adjustRightInd w:val="0"/>
                    <w:snapToGrid w:val="0"/>
                    <w:jc w:val="center"/>
                  </w:pPr>
                </w:p>
              </w:tc>
              <w:tc>
                <w:tcPr>
                  <w:tcW w:w="471" w:type="pct"/>
                  <w:vMerge w:val="continue"/>
                  <w:vAlign w:val="center"/>
                </w:tcPr>
                <w:p>
                  <w:pPr>
                    <w:adjustRightInd w:val="0"/>
                    <w:snapToGrid w:val="0"/>
                    <w:rPr>
                      <w:b/>
                    </w:rPr>
                  </w:pPr>
                </w:p>
              </w:tc>
              <w:tc>
                <w:tcPr>
                  <w:tcW w:w="1586" w:type="pct"/>
                  <w:vAlign w:val="center"/>
                </w:tcPr>
                <w:p>
                  <w:pPr>
                    <w:adjustRightInd w:val="0"/>
                    <w:snapToGrid w:val="0"/>
                    <w:rPr>
                      <w:b/>
                    </w:rPr>
                  </w:pPr>
                  <w:r>
                    <w:t>矿山开采符合GB6722《爆破安全规程》、GB18152《选矿安全规程》等有关标准、规范要求,并执行矿产资源开发利用方案，露天开采应实行自上而下分水平台阶式开采。</w:t>
                  </w:r>
                </w:p>
              </w:tc>
              <w:tc>
                <w:tcPr>
                  <w:tcW w:w="1951" w:type="pct"/>
                  <w:vAlign w:val="center"/>
                </w:tcPr>
                <w:p>
                  <w:pPr>
                    <w:adjustRightInd w:val="0"/>
                    <w:snapToGrid w:val="0"/>
                    <w:jc w:val="center"/>
                  </w:pPr>
                  <w:r>
                    <w:t>本项目不涉及矿山开采。</w:t>
                  </w:r>
                </w:p>
              </w:tc>
              <w:tc>
                <w:tcPr>
                  <w:tcW w:w="546" w:type="pct"/>
                  <w:vAlign w:val="center"/>
                </w:tcPr>
                <w:p>
                  <w:pPr>
                    <w:adjustRightInd w:val="0"/>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Merge w:val="restart"/>
                  <w:vAlign w:val="center"/>
                </w:tcPr>
                <w:p>
                  <w:pPr>
                    <w:adjustRightInd w:val="0"/>
                    <w:snapToGrid w:val="0"/>
                    <w:jc w:val="center"/>
                  </w:pPr>
                  <w:r>
                    <w:t>2.3</w:t>
                  </w:r>
                </w:p>
              </w:tc>
              <w:tc>
                <w:tcPr>
                  <w:tcW w:w="471" w:type="pct"/>
                  <w:vMerge w:val="restart"/>
                  <w:vAlign w:val="center"/>
                </w:tcPr>
                <w:p>
                  <w:pPr>
                    <w:adjustRightInd w:val="0"/>
                    <w:snapToGrid w:val="0"/>
                    <w:jc w:val="center"/>
                  </w:pPr>
                  <w:r>
                    <w:rPr>
                      <w:b/>
                    </w:rPr>
                    <w:t>节能降耗</w:t>
                  </w:r>
                </w:p>
              </w:tc>
              <w:tc>
                <w:tcPr>
                  <w:tcW w:w="1586" w:type="pct"/>
                  <w:vAlign w:val="center"/>
                </w:tcPr>
                <w:p>
                  <w:pPr>
                    <w:adjustRightInd w:val="0"/>
                    <w:snapToGrid w:val="0"/>
                    <w:rPr>
                      <w:b/>
                    </w:rPr>
                  </w:pPr>
                  <w:r>
                    <w:t>机制砂石骨料工厂的节能设计应根据建设项目的能源使用、设备技术水平和经济性等因素，制定节能措施。</w:t>
                  </w:r>
                </w:p>
              </w:tc>
              <w:tc>
                <w:tcPr>
                  <w:tcW w:w="1951" w:type="pct"/>
                  <w:vAlign w:val="center"/>
                </w:tcPr>
                <w:p>
                  <w:pPr>
                    <w:adjustRightInd w:val="0"/>
                    <w:snapToGrid w:val="0"/>
                    <w:jc w:val="center"/>
                  </w:pPr>
                  <w:r>
                    <w:t>本项目根据项目的能源使用、设备技术水平和经济性等因素，制定了节能措施，如项目生产废水经处理后循环使用等，来降低新鲜水的消耗。</w:t>
                  </w:r>
                </w:p>
              </w:tc>
              <w:tc>
                <w:tcPr>
                  <w:tcW w:w="546" w:type="pct"/>
                  <w:vAlign w:val="center"/>
                </w:tcPr>
                <w:p>
                  <w:pPr>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Merge w:val="continue"/>
                  <w:vAlign w:val="center"/>
                </w:tcPr>
                <w:p>
                  <w:pPr>
                    <w:adjustRightInd w:val="0"/>
                    <w:snapToGrid w:val="0"/>
                    <w:jc w:val="center"/>
                  </w:pPr>
                </w:p>
              </w:tc>
              <w:tc>
                <w:tcPr>
                  <w:tcW w:w="471" w:type="pct"/>
                  <w:vMerge w:val="continue"/>
                  <w:vAlign w:val="center"/>
                </w:tcPr>
                <w:p>
                  <w:pPr>
                    <w:adjustRightInd w:val="0"/>
                    <w:snapToGrid w:val="0"/>
                    <w:rPr>
                      <w:b/>
                    </w:rPr>
                  </w:pPr>
                </w:p>
              </w:tc>
              <w:tc>
                <w:tcPr>
                  <w:tcW w:w="1586" w:type="pct"/>
                  <w:vAlign w:val="center"/>
                </w:tcPr>
                <w:p>
                  <w:pPr>
                    <w:adjustRightInd w:val="0"/>
                    <w:snapToGrid w:val="0"/>
                    <w:rPr>
                      <w:b/>
                    </w:rPr>
                  </w:pPr>
                  <w:r>
                    <w:t>生产设备的配置应与砂石骨料工厂的生产规模相适应，满足砂石骨料生产工艺要求，优选大型设备，减少设备台数，降低总装机功率。物料输送应采用带式输送机。</w:t>
                  </w:r>
                </w:p>
              </w:tc>
              <w:tc>
                <w:tcPr>
                  <w:tcW w:w="1951" w:type="pct"/>
                  <w:vAlign w:val="center"/>
                </w:tcPr>
                <w:p>
                  <w:pPr>
                    <w:adjustRightInd w:val="0"/>
                    <w:snapToGrid w:val="0"/>
                    <w:jc w:val="center"/>
                  </w:pPr>
                  <w:r>
                    <w:t>本项目生产设备的配置是与年产60万吨机制砂相适应的，满足砂石骨料生产工艺要求。项目优选大型设备，物料输送均采用带式输送机。</w:t>
                  </w:r>
                </w:p>
              </w:tc>
              <w:tc>
                <w:tcPr>
                  <w:tcW w:w="546" w:type="pct"/>
                  <w:vAlign w:val="center"/>
                </w:tcPr>
                <w:p>
                  <w:pPr>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Align w:val="center"/>
                </w:tcPr>
                <w:p>
                  <w:pPr>
                    <w:adjustRightInd w:val="0"/>
                    <w:snapToGrid w:val="0"/>
                    <w:jc w:val="center"/>
                  </w:pPr>
                  <w:r>
                    <w:t>3</w:t>
                  </w:r>
                </w:p>
              </w:tc>
              <w:tc>
                <w:tcPr>
                  <w:tcW w:w="4555" w:type="pct"/>
                  <w:gridSpan w:val="4"/>
                  <w:vAlign w:val="center"/>
                </w:tcPr>
                <w:p>
                  <w:pPr>
                    <w:adjustRightInd w:val="0"/>
                    <w:snapToGrid w:val="0"/>
                    <w:jc w:val="center"/>
                  </w:pPr>
                  <w:r>
                    <w:rPr>
                      <w:bCs/>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Align w:val="center"/>
                </w:tcPr>
                <w:p>
                  <w:pPr>
                    <w:adjustRightInd w:val="0"/>
                    <w:snapToGrid w:val="0"/>
                    <w:jc w:val="center"/>
                  </w:pPr>
                  <w:r>
                    <w:t>3.1</w:t>
                  </w:r>
                </w:p>
              </w:tc>
              <w:tc>
                <w:tcPr>
                  <w:tcW w:w="2057" w:type="pct"/>
                  <w:gridSpan w:val="2"/>
                  <w:vAlign w:val="center"/>
                </w:tcPr>
                <w:p>
                  <w:pPr>
                    <w:adjustRightInd w:val="0"/>
                    <w:snapToGrid w:val="0"/>
                  </w:pPr>
                  <w:r>
                    <w:t>机制、天然砂石骨料质量应符合GB/T 14685《建设用卵石、碎石》、GB/T 14684《建设用砂》等标准要求。</w:t>
                  </w:r>
                </w:p>
              </w:tc>
              <w:tc>
                <w:tcPr>
                  <w:tcW w:w="1951" w:type="pct"/>
                  <w:vAlign w:val="center"/>
                </w:tcPr>
                <w:p>
                  <w:pPr>
                    <w:adjustRightInd w:val="0"/>
                    <w:snapToGrid w:val="0"/>
                    <w:jc w:val="center"/>
                  </w:pPr>
                  <w:r>
                    <w:t>本项目产品符合GB/T 14685《建设用卵石、碎石》、GB/T 14684《建设用砂》等标准要求。</w:t>
                  </w:r>
                </w:p>
              </w:tc>
              <w:tc>
                <w:tcPr>
                  <w:tcW w:w="546" w:type="pct"/>
                  <w:vAlign w:val="center"/>
                </w:tcPr>
                <w:p>
                  <w:pPr>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Align w:val="center"/>
                </w:tcPr>
                <w:p>
                  <w:pPr>
                    <w:adjustRightInd w:val="0"/>
                    <w:snapToGrid w:val="0"/>
                    <w:jc w:val="center"/>
                  </w:pPr>
                  <w:r>
                    <w:t>3.2</w:t>
                  </w:r>
                </w:p>
              </w:tc>
              <w:tc>
                <w:tcPr>
                  <w:tcW w:w="2057" w:type="pct"/>
                  <w:gridSpan w:val="2"/>
                  <w:vAlign w:val="center"/>
                </w:tcPr>
                <w:p>
                  <w:pPr>
                    <w:adjustRightInd w:val="0"/>
                    <w:snapToGrid w:val="0"/>
                  </w:pPr>
                  <w:r>
                    <w:t>机制、天然砂石骨料工厂应建立试验室，具备砂石骨料质量检测检验条件，配备相关检测仪器设备及专职试验人员。试验仪器设备须经检定或校准，确认其满足检验检测要求；建立可追溯的砂石产品质量检测原始记录、报表、台账。</w:t>
                  </w:r>
                </w:p>
              </w:tc>
              <w:tc>
                <w:tcPr>
                  <w:tcW w:w="1951" w:type="pct"/>
                  <w:vAlign w:val="center"/>
                </w:tcPr>
                <w:p>
                  <w:pPr>
                    <w:adjustRightInd w:val="0"/>
                    <w:snapToGrid w:val="0"/>
                    <w:jc w:val="center"/>
                  </w:pPr>
                  <w:r>
                    <w:t>本项目建具备砂石骨料质量检测检验条件，在项目运营过程中，建议建设单位建立砂石产品质量检测原始记录、报表、台账。</w:t>
                  </w:r>
                </w:p>
              </w:tc>
              <w:tc>
                <w:tcPr>
                  <w:tcW w:w="546" w:type="pct"/>
                  <w:vAlign w:val="center"/>
                </w:tcPr>
                <w:p>
                  <w:pPr>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Align w:val="center"/>
                </w:tcPr>
                <w:p>
                  <w:pPr>
                    <w:adjustRightInd w:val="0"/>
                    <w:snapToGrid w:val="0"/>
                    <w:jc w:val="center"/>
                  </w:pPr>
                  <w:r>
                    <w:t>3.3</w:t>
                  </w:r>
                </w:p>
              </w:tc>
              <w:tc>
                <w:tcPr>
                  <w:tcW w:w="2057" w:type="pct"/>
                  <w:gridSpan w:val="2"/>
                  <w:vAlign w:val="center"/>
                </w:tcPr>
                <w:p>
                  <w:pPr>
                    <w:adjustRightInd w:val="0"/>
                    <w:snapToGrid w:val="0"/>
                  </w:pPr>
                  <w:r>
                    <w:t>机制、天然砂石应按GB/T14685和GB/T14684要求进行出厂检测，依据供需双方协商要求可增加相应岀厂检验项目，每批产品出厂应随货签发出厂检验报告单。机制、天然砂石出厂检验、型式检验项目和组批应符合有关标准要求，砂按分类、规格、类别及日产量分别编号和取样，石按分类、类别、公称粒径及日产量分别编号和取样。</w:t>
                  </w:r>
                </w:p>
              </w:tc>
              <w:tc>
                <w:tcPr>
                  <w:tcW w:w="1951" w:type="pct"/>
                  <w:vAlign w:val="center"/>
                </w:tcPr>
                <w:p>
                  <w:pPr>
                    <w:adjustRightInd w:val="0"/>
                    <w:snapToGrid w:val="0"/>
                    <w:jc w:val="center"/>
                  </w:pPr>
                  <w:r>
                    <w:t>本项目产品均按照GB/T14685和GB/T14684要求进行出厂检测，项目产品出厂检验、型式检验项目和组批均符合有关标准要求。在项目运营过程中，建议建设单位依据供需双方协商要求增加相应岀厂检验项目，每批产品出厂应随货签发出厂检验报告单；砂应按分类、规格、类别及日产量分别编号和取样，石应按分类、类别、公称粒径及日产量分别编号和取样。</w:t>
                  </w:r>
                </w:p>
              </w:tc>
              <w:tc>
                <w:tcPr>
                  <w:tcW w:w="546" w:type="pct"/>
                  <w:vAlign w:val="center"/>
                </w:tcPr>
                <w:p>
                  <w:pPr>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Align w:val="center"/>
                </w:tcPr>
                <w:p>
                  <w:pPr>
                    <w:adjustRightInd w:val="0"/>
                    <w:snapToGrid w:val="0"/>
                    <w:jc w:val="center"/>
                  </w:pPr>
                  <w:r>
                    <w:t>3.4</w:t>
                  </w:r>
                </w:p>
              </w:tc>
              <w:tc>
                <w:tcPr>
                  <w:tcW w:w="2057" w:type="pct"/>
                  <w:gridSpan w:val="2"/>
                  <w:vAlign w:val="center"/>
                </w:tcPr>
                <w:p>
                  <w:pPr>
                    <w:adjustRightInd w:val="0"/>
                    <w:snapToGrid w:val="0"/>
                  </w:pPr>
                  <w:r>
                    <w:t>砂、石产品分级分仓储存，各类产品应按分类、规格、类别分别运输、堆放和销售，防止人为碾压、混料及污染。</w:t>
                  </w:r>
                </w:p>
              </w:tc>
              <w:tc>
                <w:tcPr>
                  <w:tcW w:w="1951" w:type="pct"/>
                  <w:vAlign w:val="center"/>
                </w:tcPr>
                <w:p>
                  <w:pPr>
                    <w:adjustRightInd w:val="0"/>
                    <w:snapToGrid w:val="0"/>
                    <w:jc w:val="center"/>
                  </w:pPr>
                  <w:r>
                    <w:t>本项目产品均分级分仓储存，各类产品均按分类、规格、类别分别运输、堆放和销售。</w:t>
                  </w:r>
                </w:p>
              </w:tc>
              <w:tc>
                <w:tcPr>
                  <w:tcW w:w="546" w:type="pct"/>
                  <w:vAlign w:val="center"/>
                </w:tcPr>
                <w:p>
                  <w:pPr>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Align w:val="center"/>
                </w:tcPr>
                <w:p>
                  <w:pPr>
                    <w:adjustRightInd w:val="0"/>
                    <w:snapToGrid w:val="0"/>
                    <w:jc w:val="center"/>
                  </w:pPr>
                  <w:r>
                    <w:t>4</w:t>
                  </w:r>
                </w:p>
              </w:tc>
              <w:tc>
                <w:tcPr>
                  <w:tcW w:w="4555" w:type="pct"/>
                  <w:gridSpan w:val="4"/>
                  <w:vAlign w:val="center"/>
                </w:tcPr>
                <w:p>
                  <w:pPr>
                    <w:adjustRightInd w:val="0"/>
                    <w:snapToGrid w:val="0"/>
                    <w:jc w:val="center"/>
                  </w:pPr>
                  <w:r>
                    <w:rPr>
                      <w:bCs/>
                    </w:rPr>
                    <w:t>环境保护与</w:t>
                  </w:r>
                  <w:bookmarkStart w:id="7" w:name="OLE_LINK7"/>
                  <w:bookmarkStart w:id="8" w:name="OLE_LINK8"/>
                  <w:r>
                    <w:rPr>
                      <w:bCs/>
                    </w:rPr>
                    <w:t>资源综合利用</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Merge w:val="restart"/>
                  <w:vAlign w:val="center"/>
                </w:tcPr>
                <w:p>
                  <w:pPr>
                    <w:adjustRightInd w:val="0"/>
                    <w:snapToGrid w:val="0"/>
                    <w:jc w:val="center"/>
                  </w:pPr>
                  <w:r>
                    <w:t>4.1</w:t>
                  </w:r>
                </w:p>
              </w:tc>
              <w:tc>
                <w:tcPr>
                  <w:tcW w:w="471" w:type="pct"/>
                  <w:vMerge w:val="restart"/>
                  <w:vAlign w:val="center"/>
                </w:tcPr>
                <w:p>
                  <w:pPr>
                    <w:adjustRightInd w:val="0"/>
                    <w:snapToGrid w:val="0"/>
                  </w:pPr>
                  <w:r>
                    <w:t>环境保护</w:t>
                  </w:r>
                </w:p>
              </w:tc>
              <w:tc>
                <w:tcPr>
                  <w:tcW w:w="1586" w:type="pct"/>
                  <w:vMerge w:val="restart"/>
                  <w:vAlign w:val="center"/>
                </w:tcPr>
                <w:p>
                  <w:pPr>
                    <w:adjustRightInd w:val="0"/>
                    <w:snapToGrid w:val="0"/>
                  </w:pPr>
                  <w:r>
                    <w:t>机制砂石骨料生产线须配套收尘装置，采用喷雾、洒水、全封闭皮带运输等措施。破碎加工区、中间料库、成品库等区域实现厂房全封闭，污染物排放符合GB 16297《大气污染物综合排放标准》要求。矿山开采鼓励选用湿式凿岩工艺，若采用干法凿岩工艺，须加设除尘装置，作业场所应采用喷雾、洒水等措施。</w:t>
                  </w:r>
                </w:p>
              </w:tc>
              <w:tc>
                <w:tcPr>
                  <w:tcW w:w="1951" w:type="pct"/>
                  <w:vMerge w:val="restart"/>
                  <w:vAlign w:val="center"/>
                </w:tcPr>
                <w:p>
                  <w:pPr>
                    <w:adjustRightInd w:val="0"/>
                    <w:snapToGrid w:val="0"/>
                    <w:jc w:val="center"/>
                  </w:pPr>
                  <w:r>
                    <w:t>本项目采用湿法砂石生产工艺，产生的粉尘较少，在破碎工序安装喷淋</w:t>
                  </w:r>
                  <w:r>
                    <w:rPr>
                      <w:rFonts w:hint="eastAsia"/>
                    </w:rPr>
                    <w:t>、</w:t>
                  </w:r>
                  <w:r>
                    <w:t>除尘装置，生产厂房均密闭，堆场和装卸过程定时进行洒水抑尘</w:t>
                  </w:r>
                  <w:r>
                    <w:rPr>
                      <w:rFonts w:hint="eastAsia"/>
                    </w:rPr>
                    <w:t>、建设封闭式厂房</w:t>
                  </w:r>
                  <w:r>
                    <w:t>。污染物的排放能够符合GB 16297《大气污染物综合排放标准》要求。</w:t>
                  </w:r>
                </w:p>
              </w:tc>
              <w:tc>
                <w:tcPr>
                  <w:tcW w:w="546" w:type="pct"/>
                  <w:vAlign w:val="center"/>
                </w:tcPr>
                <w:p>
                  <w:pPr>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Merge w:val="continue"/>
                  <w:vAlign w:val="center"/>
                </w:tcPr>
                <w:p>
                  <w:pPr>
                    <w:adjustRightInd w:val="0"/>
                    <w:snapToGrid w:val="0"/>
                    <w:jc w:val="center"/>
                  </w:pPr>
                </w:p>
              </w:tc>
              <w:tc>
                <w:tcPr>
                  <w:tcW w:w="471" w:type="pct"/>
                  <w:vMerge w:val="continue"/>
                  <w:vAlign w:val="center"/>
                </w:tcPr>
                <w:p>
                  <w:pPr>
                    <w:adjustRightInd w:val="0"/>
                    <w:snapToGrid w:val="0"/>
                  </w:pPr>
                </w:p>
              </w:tc>
              <w:tc>
                <w:tcPr>
                  <w:tcW w:w="1586" w:type="pct"/>
                  <w:vMerge w:val="continue"/>
                  <w:vAlign w:val="center"/>
                </w:tcPr>
                <w:p>
                  <w:pPr>
                    <w:adjustRightInd w:val="0"/>
                    <w:snapToGrid w:val="0"/>
                  </w:pPr>
                </w:p>
              </w:tc>
              <w:tc>
                <w:tcPr>
                  <w:tcW w:w="1951" w:type="pct"/>
                  <w:vMerge w:val="continue"/>
                  <w:vAlign w:val="center"/>
                </w:tcPr>
                <w:p>
                  <w:pPr>
                    <w:adjustRightInd w:val="0"/>
                    <w:snapToGrid w:val="0"/>
                    <w:jc w:val="center"/>
                  </w:pPr>
                </w:p>
              </w:tc>
              <w:tc>
                <w:tcPr>
                  <w:tcW w:w="546" w:type="pct"/>
                  <w:vAlign w:val="center"/>
                </w:tcPr>
                <w:p>
                  <w:pPr>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Merge w:val="continue"/>
                  <w:vAlign w:val="center"/>
                </w:tcPr>
                <w:p>
                  <w:pPr>
                    <w:adjustRightInd w:val="0"/>
                    <w:snapToGrid w:val="0"/>
                    <w:jc w:val="center"/>
                  </w:pPr>
                </w:p>
              </w:tc>
              <w:tc>
                <w:tcPr>
                  <w:tcW w:w="471" w:type="pct"/>
                  <w:vMerge w:val="continue"/>
                  <w:vAlign w:val="center"/>
                </w:tcPr>
                <w:p>
                  <w:pPr>
                    <w:adjustRightInd w:val="0"/>
                    <w:snapToGrid w:val="0"/>
                  </w:pPr>
                </w:p>
              </w:tc>
              <w:tc>
                <w:tcPr>
                  <w:tcW w:w="1586" w:type="pct"/>
                  <w:vAlign w:val="center"/>
                </w:tcPr>
                <w:p>
                  <w:pPr>
                    <w:adjustRightInd w:val="0"/>
                    <w:snapToGrid w:val="0"/>
                  </w:pPr>
                  <w:r>
                    <w:t>机制砂石骨料生产线须配置消声、减振、隔振等设施，工厂噪声应符合GB 12348《工业企业厂界环境噪声排放标准》要求。厂区污水排放符合GB8978《污水综合排放标准》二级及以上要求，湿法生产线必须设置水处理循环系统。</w:t>
                  </w:r>
                </w:p>
              </w:tc>
              <w:tc>
                <w:tcPr>
                  <w:tcW w:w="1951" w:type="pct"/>
                  <w:vAlign w:val="center"/>
                </w:tcPr>
                <w:p>
                  <w:pPr>
                    <w:adjustRightInd w:val="0"/>
                    <w:snapToGrid w:val="0"/>
                    <w:rPr>
                      <w:color w:val="auto"/>
                    </w:rPr>
                  </w:pPr>
                  <w:r>
                    <w:t>本项目生产线配置了消声、减振、隔振等设施，根据文中的噪声预测可知，项目在运营期噪声能够符合GB 12348《工业企业厂界</w:t>
                  </w:r>
                  <w:r>
                    <w:rPr>
                      <w:color w:val="auto"/>
                    </w:rPr>
                    <w:t>环境噪声排放标准》</w:t>
                  </w:r>
                  <w:r>
                    <w:rPr>
                      <w:rFonts w:hint="eastAsia"/>
                      <w:color w:val="auto"/>
                      <w:lang w:val="en-US" w:eastAsia="zh-CN"/>
                    </w:rPr>
                    <w:t>2类限值</w:t>
                  </w:r>
                  <w:r>
                    <w:rPr>
                      <w:color w:val="auto"/>
                    </w:rPr>
                    <w:t>要求。</w:t>
                  </w:r>
                </w:p>
                <w:p>
                  <w:pPr>
                    <w:adjustRightInd w:val="0"/>
                    <w:snapToGrid w:val="0"/>
                  </w:pPr>
                  <w:r>
                    <w:rPr>
                      <w:color w:val="auto"/>
                    </w:rPr>
                    <w:t>本项目无外排废</w:t>
                  </w:r>
                  <w:r>
                    <w:t>水；洗砂废水经污水处理系统中的沉淀罐内处理，沉淀后的上清液进入</w:t>
                  </w:r>
                  <w:r>
                    <w:rPr>
                      <w:rFonts w:hint="eastAsia"/>
                    </w:rPr>
                    <w:t>沉淀池、</w:t>
                  </w:r>
                  <w:r>
                    <w:t>清水池暂存用于后续回用于生产中，不外排。</w:t>
                  </w:r>
                </w:p>
              </w:tc>
              <w:tc>
                <w:tcPr>
                  <w:tcW w:w="546" w:type="pct"/>
                  <w:vAlign w:val="center"/>
                </w:tcPr>
                <w:p>
                  <w:pPr>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Merge w:val="continue"/>
                  <w:vAlign w:val="center"/>
                </w:tcPr>
                <w:p>
                  <w:pPr>
                    <w:adjustRightInd w:val="0"/>
                    <w:snapToGrid w:val="0"/>
                    <w:jc w:val="center"/>
                  </w:pPr>
                </w:p>
              </w:tc>
              <w:tc>
                <w:tcPr>
                  <w:tcW w:w="471" w:type="pct"/>
                  <w:vMerge w:val="continue"/>
                  <w:vAlign w:val="center"/>
                </w:tcPr>
                <w:p>
                  <w:pPr>
                    <w:adjustRightInd w:val="0"/>
                    <w:snapToGrid w:val="0"/>
                  </w:pPr>
                </w:p>
              </w:tc>
              <w:tc>
                <w:tcPr>
                  <w:tcW w:w="1586" w:type="pct"/>
                  <w:vAlign w:val="center"/>
                </w:tcPr>
                <w:p>
                  <w:pPr>
                    <w:adjustRightInd w:val="0"/>
                    <w:snapToGrid w:val="0"/>
                  </w:pPr>
                  <w:r>
                    <w:t>公用工程、环境保护设计应符合GB 51186《机制砂石骨料工厂设计规范》等有关标准规定，配套建设的环境保护设施应与主体工程同时设计、同时施工、同时投入使用。</w:t>
                  </w:r>
                </w:p>
              </w:tc>
              <w:tc>
                <w:tcPr>
                  <w:tcW w:w="1951" w:type="pct"/>
                  <w:vAlign w:val="center"/>
                </w:tcPr>
                <w:p>
                  <w:pPr>
                    <w:adjustRightInd w:val="0"/>
                    <w:snapToGrid w:val="0"/>
                    <w:jc w:val="center"/>
                  </w:pPr>
                  <w:r>
                    <w:t>本项目公用工程、环境保护设计符合GB 51186《机制砂石骨料工厂设计规范》等有关标准规定，配套建设的环境保护设施会与主体工程同时设计、同时施工、同时投入使用。</w:t>
                  </w:r>
                </w:p>
              </w:tc>
              <w:tc>
                <w:tcPr>
                  <w:tcW w:w="546" w:type="pct"/>
                  <w:vAlign w:val="center"/>
                </w:tcPr>
                <w:p>
                  <w:pPr>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Align w:val="center"/>
                </w:tcPr>
                <w:p>
                  <w:pPr>
                    <w:adjustRightInd w:val="0"/>
                    <w:snapToGrid w:val="0"/>
                    <w:jc w:val="center"/>
                  </w:pPr>
                  <w:r>
                    <w:t>4.2</w:t>
                  </w:r>
                </w:p>
              </w:tc>
              <w:tc>
                <w:tcPr>
                  <w:tcW w:w="2057" w:type="pct"/>
                  <w:gridSpan w:val="2"/>
                  <w:vAlign w:val="center"/>
                </w:tcPr>
                <w:p>
                  <w:pPr>
                    <w:adjustRightInd w:val="0"/>
                    <w:snapToGrid w:val="0"/>
                  </w:pPr>
                  <w:r>
                    <w:rPr>
                      <w:b/>
                    </w:rPr>
                    <w:t>资源综合利用：</w:t>
                  </w:r>
                  <w:r>
                    <w:t>砂石骨料生产线须配置废弃物综合利用及处置设施，矿山开采应选择资源节约型、环境友好型开发方式，最大限度减少对自然环境的破坏，符合区域生态建设要求。实现资源分级利用、优质优用和综合利用，对矿石的顶板、夹层等进行综合利用。鼓励企业利用尾矿、废石、工业和建筑垃圾开发生产满足相关要求的砂石骨料。</w:t>
                  </w:r>
                </w:p>
              </w:tc>
              <w:tc>
                <w:tcPr>
                  <w:tcW w:w="1951" w:type="pct"/>
                  <w:vAlign w:val="center"/>
                </w:tcPr>
                <w:p>
                  <w:pPr>
                    <w:adjustRightInd w:val="0"/>
                    <w:snapToGrid w:val="0"/>
                    <w:jc w:val="center"/>
                  </w:pPr>
                  <w:r>
                    <w:t>本项目采用压滤机对</w:t>
                  </w:r>
                  <w:r>
                    <w:rPr>
                      <w:rFonts w:hint="eastAsia"/>
                    </w:rPr>
                    <w:t>沉淀罐</w:t>
                  </w:r>
                  <w:r>
                    <w:t>排出的浓缩沉渣进行压滤，压滤后外售</w:t>
                  </w:r>
                  <w:r>
                    <w:rPr>
                      <w:rFonts w:hint="eastAsia"/>
                      <w:lang w:eastAsia="zh-CN"/>
                    </w:rPr>
                    <w:t>用作路基填料</w:t>
                  </w:r>
                  <w:r>
                    <w:t>。</w:t>
                  </w:r>
                </w:p>
              </w:tc>
              <w:tc>
                <w:tcPr>
                  <w:tcW w:w="546" w:type="pct"/>
                  <w:vAlign w:val="center"/>
                </w:tcPr>
                <w:p>
                  <w:pPr>
                    <w:adjustRightInd w:val="0"/>
                    <w:snapToGrid w:val="0"/>
                    <w:jc w:val="center"/>
                  </w:pPr>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4" w:type="pct"/>
                  <w:vAlign w:val="center"/>
                </w:tcPr>
                <w:p>
                  <w:pPr>
                    <w:adjustRightInd w:val="0"/>
                    <w:snapToGrid w:val="0"/>
                    <w:jc w:val="center"/>
                  </w:pPr>
                  <w:r>
                    <w:t>4.3</w:t>
                  </w:r>
                </w:p>
              </w:tc>
              <w:tc>
                <w:tcPr>
                  <w:tcW w:w="2057" w:type="pct"/>
                  <w:gridSpan w:val="2"/>
                  <w:vAlign w:val="center"/>
                </w:tcPr>
                <w:p>
                  <w:pPr>
                    <w:adjustRightInd w:val="0"/>
                    <w:snapToGrid w:val="0"/>
                  </w:pPr>
                  <w:r>
                    <w:rPr>
                      <w:b/>
                    </w:rPr>
                    <w:t>环境恢复与复垦：</w:t>
                  </w:r>
                  <w:r>
                    <w:t>做到“边开采、边治理”，及时修复、改善、美化采区地表景观。具备回填条件的露天采坑，在确保不产生二次污染的前提下，鼓励利用矿山固体废物进行回填。对于地下开采的矿山，采用适用的充填开采技术。</w:t>
                  </w:r>
                </w:p>
              </w:tc>
              <w:tc>
                <w:tcPr>
                  <w:tcW w:w="1951" w:type="pct"/>
                  <w:vAlign w:val="center"/>
                </w:tcPr>
                <w:p>
                  <w:pPr>
                    <w:adjustRightInd w:val="0"/>
                    <w:snapToGrid w:val="0"/>
                    <w:jc w:val="center"/>
                  </w:pPr>
                  <w:r>
                    <w:t>本项目不涉及矿山开采</w:t>
                  </w:r>
                </w:p>
              </w:tc>
              <w:tc>
                <w:tcPr>
                  <w:tcW w:w="546" w:type="pct"/>
                  <w:vAlign w:val="center"/>
                </w:tcPr>
                <w:p>
                  <w:pPr>
                    <w:adjustRightInd w:val="0"/>
                    <w:snapToGrid w:val="0"/>
                    <w:jc w:val="center"/>
                  </w:pPr>
                  <w:r>
                    <w:t>符合</w:t>
                  </w:r>
                </w:p>
              </w:tc>
            </w:tr>
          </w:tbl>
          <w:p>
            <w:pPr>
              <w:spacing w:line="360" w:lineRule="auto"/>
              <w:ind w:firstLine="352" w:firstLineChars="147"/>
              <w:rPr>
                <w:rFonts w:hint="eastAsia"/>
                <w:sz w:val="24"/>
              </w:rPr>
            </w:pPr>
          </w:p>
          <w:p>
            <w:pPr>
              <w:spacing w:line="360" w:lineRule="auto"/>
              <w:ind w:firstLine="352" w:firstLineChars="147"/>
              <w:rPr>
                <w:sz w:val="24"/>
                <w:szCs w:val="24"/>
              </w:rPr>
            </w:pPr>
            <w:r>
              <w:rPr>
                <w:rFonts w:hint="eastAsia"/>
                <w:sz w:val="24"/>
              </w:rPr>
              <w:t>由上表可知，本项目与《湖南省砂石骨料行业规范条件（2017年本）》（湖南省经信委）相符。</w:t>
            </w:r>
          </w:p>
          <w:p>
            <w:pPr>
              <w:spacing w:line="480" w:lineRule="exact"/>
              <w:ind w:firstLine="482" w:firstLineChars="200"/>
              <w:rPr>
                <w:b/>
                <w:sz w:val="24"/>
              </w:rPr>
            </w:pPr>
            <w:r>
              <w:rPr>
                <w:rFonts w:hint="eastAsia"/>
                <w:b/>
                <w:sz w:val="24"/>
                <w:lang w:val="en-US" w:eastAsia="zh-CN"/>
              </w:rPr>
              <w:t>3、</w:t>
            </w:r>
            <w:r>
              <w:rPr>
                <w:b/>
                <w:sz w:val="24"/>
              </w:rPr>
              <w:t>与《机制砂石骨料工厂设计规范》（GB51186-2016）的相符性分析</w:t>
            </w:r>
          </w:p>
          <w:p>
            <w:pPr>
              <w:snapToGrid w:val="0"/>
              <w:spacing w:line="480" w:lineRule="exact"/>
              <w:ind w:firstLine="480" w:firstLineChars="200"/>
              <w:rPr>
                <w:sz w:val="24"/>
              </w:rPr>
            </w:pPr>
            <w:r>
              <w:rPr>
                <w:kern w:val="0"/>
                <w:sz w:val="24"/>
              </w:rPr>
              <w:t>根据《机制砂石骨料工厂设计规范》（GB51186-2016）</w:t>
            </w:r>
            <w:r>
              <w:rPr>
                <w:color w:val="000000"/>
                <w:sz w:val="24"/>
              </w:rPr>
              <w:t>，</w:t>
            </w:r>
            <w:r>
              <w:rPr>
                <w:sz w:val="24"/>
              </w:rPr>
              <w:t>本工程与《机制砂石骨料工厂设计规范》的符合性分析详见表</w:t>
            </w:r>
            <w:r>
              <w:rPr>
                <w:rFonts w:hint="eastAsia"/>
                <w:sz w:val="24"/>
                <w:lang w:val="en-US" w:eastAsia="zh-CN"/>
              </w:rPr>
              <w:t>1-2</w:t>
            </w:r>
            <w:r>
              <w:rPr>
                <w:sz w:val="24"/>
              </w:rPr>
              <w:t>。</w:t>
            </w:r>
          </w:p>
          <w:p>
            <w:pPr>
              <w:spacing w:line="400" w:lineRule="exact"/>
              <w:jc w:val="center"/>
              <w:rPr>
                <w:b/>
                <w:bCs/>
              </w:rPr>
            </w:pPr>
            <w:r>
              <w:rPr>
                <w:b/>
                <w:bCs/>
              </w:rPr>
              <w:t>表</w:t>
            </w:r>
            <w:r>
              <w:rPr>
                <w:rFonts w:hint="eastAsia"/>
                <w:b/>
                <w:bCs/>
                <w:lang w:val="en-US" w:eastAsia="zh-CN"/>
              </w:rPr>
              <w:t>1-2</w:t>
            </w:r>
            <w:r>
              <w:rPr>
                <w:rFonts w:hint="eastAsia"/>
                <w:b/>
                <w:bCs/>
              </w:rPr>
              <w:t xml:space="preserve"> </w:t>
            </w:r>
            <w:r>
              <w:rPr>
                <w:b/>
                <w:bCs/>
              </w:rPr>
              <w:t>本工程与《机制砂石骨料工厂设计规范》的符合性分析</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6"/>
              <w:gridCol w:w="2526"/>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20" w:type="pct"/>
                  <w:vAlign w:val="center"/>
                </w:tcPr>
                <w:p>
                  <w:pPr>
                    <w:pStyle w:val="13"/>
                    <w:spacing w:beforeAutospacing="0" w:afterAutospacing="0" w:line="320" w:lineRule="exact"/>
                    <w:jc w:val="center"/>
                    <w:rPr>
                      <w:sz w:val="21"/>
                      <w:shd w:val="clear" w:color="auto" w:fill="FFFFFF"/>
                    </w:rPr>
                  </w:pPr>
                  <w:r>
                    <w:rPr>
                      <w:sz w:val="21"/>
                      <w:shd w:val="clear" w:color="auto" w:fill="FFFFFF"/>
                    </w:rPr>
                    <w:t>《机制砂石骨料工厂设计规范》</w:t>
                  </w:r>
                </w:p>
              </w:tc>
              <w:tc>
                <w:tcPr>
                  <w:tcW w:w="2027" w:type="pct"/>
                  <w:vAlign w:val="center"/>
                </w:tcPr>
                <w:p>
                  <w:pPr>
                    <w:pStyle w:val="13"/>
                    <w:spacing w:beforeAutospacing="0" w:afterAutospacing="0" w:line="320" w:lineRule="exact"/>
                    <w:jc w:val="center"/>
                    <w:rPr>
                      <w:sz w:val="21"/>
                      <w:shd w:val="clear" w:color="auto" w:fill="FFFFFF"/>
                    </w:rPr>
                  </w:pPr>
                  <w:r>
                    <w:rPr>
                      <w:color w:val="000000"/>
                      <w:sz w:val="21"/>
                    </w:rPr>
                    <w:t>本项目</w:t>
                  </w:r>
                </w:p>
              </w:tc>
              <w:tc>
                <w:tcPr>
                  <w:tcW w:w="552" w:type="pct"/>
                  <w:vAlign w:val="center"/>
                </w:tcPr>
                <w:p>
                  <w:pPr>
                    <w:pStyle w:val="13"/>
                    <w:spacing w:beforeAutospacing="0" w:afterAutospacing="0" w:line="320" w:lineRule="exact"/>
                    <w:jc w:val="center"/>
                    <w:rPr>
                      <w:sz w:val="21"/>
                      <w:shd w:val="clear" w:color="auto" w:fill="FFFFFF"/>
                    </w:rPr>
                  </w:pPr>
                  <w:r>
                    <w:rPr>
                      <w:color w:val="000000"/>
                      <w:sz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3"/>
                  <w:vAlign w:val="center"/>
                </w:tcPr>
                <w:p>
                  <w:pPr>
                    <w:pStyle w:val="13"/>
                    <w:spacing w:beforeAutospacing="0" w:afterAutospacing="0" w:line="320" w:lineRule="exact"/>
                    <w:rPr>
                      <w:color w:val="000000"/>
                      <w:sz w:val="21"/>
                    </w:rPr>
                  </w:pPr>
                  <w:r>
                    <w:rPr>
                      <w:b/>
                      <w:bCs/>
                      <w:color w:val="000000"/>
                      <w:sz w:val="21"/>
                    </w:rPr>
                    <w:t>一、厂址选择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2420" w:type="pct"/>
                  <w:vAlign w:val="center"/>
                </w:tcPr>
                <w:p>
                  <w:pPr>
                    <w:pStyle w:val="13"/>
                    <w:spacing w:beforeAutospacing="0" w:afterAutospacing="0" w:line="320" w:lineRule="exact"/>
                    <w:rPr>
                      <w:sz w:val="21"/>
                      <w:highlight w:val="yellow"/>
                      <w:shd w:val="clear" w:color="auto" w:fill="FFFFFF"/>
                    </w:rPr>
                  </w:pPr>
                  <w:r>
                    <w:rPr>
                      <w:sz w:val="21"/>
                      <w:shd w:val="clear" w:color="auto" w:fill="FFFFFF"/>
                    </w:rPr>
                    <w:t>厂址选择宜利用荒山地、山坡地，不占或少占农田、林地，不宜动迁村庄；机制砂石骨料工厂严禁布置在矿山爆破危险区范围内。</w:t>
                  </w:r>
                </w:p>
              </w:tc>
              <w:tc>
                <w:tcPr>
                  <w:tcW w:w="2027" w:type="pct"/>
                  <w:vAlign w:val="center"/>
                </w:tcPr>
                <w:p>
                  <w:pPr>
                    <w:pStyle w:val="13"/>
                    <w:spacing w:beforeAutospacing="0" w:afterAutospacing="0" w:line="320" w:lineRule="exact"/>
                    <w:rPr>
                      <w:sz w:val="21"/>
                      <w:shd w:val="clear" w:color="auto" w:fill="FFFFFF"/>
                    </w:rPr>
                  </w:pPr>
                  <w:r>
                    <w:rPr>
                      <w:sz w:val="21"/>
                      <w:shd w:val="clear" w:color="auto" w:fill="FFFFFF"/>
                    </w:rPr>
                    <w:t>本项目位于</w:t>
                  </w:r>
                  <w:r>
                    <w:rPr>
                      <w:rFonts w:hint="eastAsia" w:ascii="宋体" w:hAnsi="宋体" w:cs="宋体"/>
                      <w:sz w:val="21"/>
                      <w:lang w:eastAsia="zh-CN"/>
                    </w:rPr>
                    <w:t>澧县王家厂镇柳津村</w:t>
                  </w:r>
                  <w:r>
                    <w:rPr>
                      <w:rFonts w:hint="eastAsia" w:ascii="宋体" w:hAnsi="宋体" w:cs="宋体"/>
                      <w:sz w:val="21"/>
                      <w:lang w:val="en-US" w:eastAsia="zh-CN"/>
                    </w:rPr>
                    <w:t>6组</w:t>
                  </w:r>
                  <w:r>
                    <w:rPr>
                      <w:sz w:val="21"/>
                      <w:shd w:val="clear" w:color="auto" w:fill="FFFFFF"/>
                    </w:rPr>
                    <w:t>，不占用农田、林地，</w:t>
                  </w:r>
                  <w:r>
                    <w:rPr>
                      <w:rFonts w:hint="eastAsia"/>
                      <w:sz w:val="21"/>
                      <w:shd w:val="clear" w:color="auto" w:fill="FFFFFF"/>
                      <w:lang w:eastAsia="zh-CN"/>
                    </w:rPr>
                    <w:t>周边无矿山</w:t>
                  </w:r>
                  <w:r>
                    <w:rPr>
                      <w:sz w:val="21"/>
                      <w:shd w:val="clear" w:color="auto" w:fill="FFFFFF"/>
                    </w:rPr>
                    <w:t>。</w:t>
                  </w:r>
                </w:p>
              </w:tc>
              <w:tc>
                <w:tcPr>
                  <w:tcW w:w="552" w:type="pct"/>
                  <w:vAlign w:val="center"/>
                </w:tcPr>
                <w:p>
                  <w:pPr>
                    <w:pStyle w:val="13"/>
                    <w:spacing w:beforeAutospacing="0" w:afterAutospacing="0" w:line="320" w:lineRule="exact"/>
                    <w:jc w:val="center"/>
                    <w:rPr>
                      <w:sz w:val="21"/>
                      <w:shd w:val="clear" w:color="auto" w:fill="FFFFFF"/>
                    </w:rPr>
                  </w:pPr>
                  <w:r>
                    <w:rPr>
                      <w:sz w:val="21"/>
                      <w:shd w:val="clear" w:color="auto" w:fill="FFFFFF"/>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3"/>
                  <w:vAlign w:val="center"/>
                </w:tcPr>
                <w:p>
                  <w:pPr>
                    <w:pStyle w:val="13"/>
                    <w:spacing w:beforeAutospacing="0" w:afterAutospacing="0" w:line="320" w:lineRule="exact"/>
                    <w:rPr>
                      <w:b/>
                      <w:bCs/>
                      <w:sz w:val="21"/>
                      <w:shd w:val="clear" w:color="auto" w:fill="FFFFFF"/>
                    </w:rPr>
                  </w:pPr>
                  <w:r>
                    <w:rPr>
                      <w:b/>
                      <w:bCs/>
                      <w:sz w:val="21"/>
                      <w:shd w:val="clear" w:color="auto" w:fill="FFFFFF"/>
                    </w:rPr>
                    <w:t>二、环境保护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420" w:type="pct"/>
                  <w:vAlign w:val="center"/>
                </w:tcPr>
                <w:p>
                  <w:pPr>
                    <w:pStyle w:val="13"/>
                    <w:spacing w:beforeAutospacing="0" w:afterAutospacing="0" w:line="320" w:lineRule="exact"/>
                    <w:rPr>
                      <w:sz w:val="21"/>
                      <w:shd w:val="clear" w:color="auto" w:fill="FFFFFF"/>
                    </w:rPr>
                  </w:pPr>
                  <w:r>
                    <w:rPr>
                      <w:sz w:val="21"/>
                      <w:shd w:val="clear" w:color="auto" w:fill="FFFFFF"/>
                    </w:rPr>
                    <w:t>机制砂石骨料生产线必须配有收尘系统；机制砂石骨料湿法生产线必须设置废水处理系统，并应循环用水。</w:t>
                  </w:r>
                </w:p>
              </w:tc>
              <w:tc>
                <w:tcPr>
                  <w:tcW w:w="2027" w:type="pct"/>
                  <w:vAlign w:val="center"/>
                </w:tcPr>
                <w:p>
                  <w:pPr>
                    <w:pStyle w:val="13"/>
                    <w:spacing w:beforeAutospacing="0" w:afterAutospacing="0" w:line="320" w:lineRule="exact"/>
                    <w:rPr>
                      <w:sz w:val="21"/>
                      <w:shd w:val="clear" w:color="auto" w:fill="FFFFFF"/>
                    </w:rPr>
                  </w:pPr>
                  <w:r>
                    <w:rPr>
                      <w:sz w:val="21"/>
                      <w:shd w:val="clear" w:color="auto" w:fill="FFFFFF"/>
                    </w:rPr>
                    <w:t>加工区在振动筛、破碎机</w:t>
                  </w:r>
                  <w:r>
                    <w:rPr>
                      <w:rFonts w:hint="eastAsia"/>
                      <w:sz w:val="21"/>
                      <w:shd w:val="clear" w:color="auto" w:fill="FFFFFF"/>
                    </w:rPr>
                    <w:t>等</w:t>
                  </w:r>
                  <w:r>
                    <w:rPr>
                      <w:sz w:val="21"/>
                      <w:shd w:val="clear" w:color="auto" w:fill="FFFFFF"/>
                    </w:rPr>
                    <w:t>上方安装高压喷头，喷淋水通过高压喷头在振动筛、破碎机</w:t>
                  </w:r>
                  <w:r>
                    <w:rPr>
                      <w:rFonts w:hint="eastAsia"/>
                      <w:sz w:val="21"/>
                      <w:shd w:val="clear" w:color="auto" w:fill="FFFFFF"/>
                    </w:rPr>
                    <w:t>等</w:t>
                  </w:r>
                  <w:r>
                    <w:rPr>
                      <w:sz w:val="21"/>
                      <w:shd w:val="clear" w:color="auto" w:fill="FFFFFF"/>
                    </w:rPr>
                    <w:t>上方形成水雾，粉尘颗粒经水雾充分结合以后快速沉降；洗砂机过滤的污水通过泵排</w:t>
                  </w:r>
                  <w:r>
                    <w:rPr>
                      <w:rFonts w:hint="eastAsia"/>
                      <w:sz w:val="21"/>
                      <w:shd w:val="clear" w:color="auto" w:fill="FFFFFF"/>
                    </w:rPr>
                    <w:t>入</w:t>
                  </w:r>
                  <w:r>
                    <w:rPr>
                      <w:sz w:val="21"/>
                      <w:shd w:val="clear" w:color="auto" w:fill="FFFFFF"/>
                    </w:rPr>
                    <w:t>脱水筛，将砂水分离，污水存入</w:t>
                  </w:r>
                  <w:r>
                    <w:rPr>
                      <w:rFonts w:hint="eastAsia"/>
                      <w:sz w:val="21"/>
                      <w:shd w:val="clear" w:color="auto" w:fill="FFFFFF"/>
                    </w:rPr>
                    <w:t>沉淀罐</w:t>
                  </w:r>
                  <w:r>
                    <w:rPr>
                      <w:sz w:val="21"/>
                      <w:shd w:val="clear" w:color="auto" w:fill="FFFFFF"/>
                    </w:rPr>
                    <w:t>，再通过泵将</w:t>
                  </w:r>
                  <w:r>
                    <w:rPr>
                      <w:rFonts w:hint="eastAsia"/>
                      <w:sz w:val="21"/>
                      <w:shd w:val="clear" w:color="auto" w:fill="FFFFFF"/>
                    </w:rPr>
                    <w:t>沉淀罐里</w:t>
                  </w:r>
                  <w:r>
                    <w:rPr>
                      <w:sz w:val="21"/>
                      <w:shd w:val="clear" w:color="auto" w:fill="FFFFFF"/>
                    </w:rPr>
                    <w:t>的污水送入沉淀池</w:t>
                  </w:r>
                  <w:r>
                    <w:rPr>
                      <w:rFonts w:hint="eastAsia"/>
                      <w:sz w:val="21"/>
                      <w:shd w:val="clear" w:color="auto" w:fill="FFFFFF"/>
                    </w:rPr>
                    <w:t>、清水池</w:t>
                  </w:r>
                  <w:r>
                    <w:rPr>
                      <w:sz w:val="21"/>
                      <w:shd w:val="clear" w:color="auto" w:fill="FFFFFF"/>
                    </w:rPr>
                    <w:t>，废水经沉淀池处理后，循环用于洗砂工序</w:t>
                  </w:r>
                </w:p>
              </w:tc>
              <w:tc>
                <w:tcPr>
                  <w:tcW w:w="552" w:type="pct"/>
                  <w:vAlign w:val="center"/>
                </w:tcPr>
                <w:p>
                  <w:pPr>
                    <w:pStyle w:val="13"/>
                    <w:spacing w:beforeAutospacing="0" w:afterAutospacing="0" w:line="320" w:lineRule="exact"/>
                    <w:jc w:val="center"/>
                    <w:rPr>
                      <w:sz w:val="21"/>
                      <w:shd w:val="clear" w:color="auto" w:fill="FFFFFF"/>
                    </w:rPr>
                  </w:pPr>
                  <w:r>
                    <w:rPr>
                      <w:sz w:val="21"/>
                      <w:shd w:val="clear" w:color="auto" w:fill="FFFFFF"/>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420" w:type="pct"/>
                  <w:vAlign w:val="center"/>
                </w:tcPr>
                <w:p>
                  <w:pPr>
                    <w:pStyle w:val="13"/>
                    <w:spacing w:beforeAutospacing="0" w:afterAutospacing="0" w:line="320" w:lineRule="exact"/>
                    <w:rPr>
                      <w:sz w:val="21"/>
                      <w:shd w:val="clear" w:color="auto" w:fill="FFFFFF"/>
                    </w:rPr>
                  </w:pPr>
                  <w:r>
                    <w:rPr>
                      <w:sz w:val="21"/>
                      <w:shd w:val="clear" w:color="auto" w:fill="FFFFFF"/>
                    </w:rPr>
                    <w:t>粉尘污染防治应符合下列规定：</w:t>
                  </w:r>
                </w:p>
                <w:p>
                  <w:pPr>
                    <w:pStyle w:val="13"/>
                    <w:spacing w:beforeAutospacing="0" w:afterAutospacing="0" w:line="320" w:lineRule="exact"/>
                    <w:rPr>
                      <w:sz w:val="21"/>
                      <w:shd w:val="clear" w:color="auto" w:fill="FFFFFF"/>
                    </w:rPr>
                  </w:pPr>
                  <w:r>
                    <w:rPr>
                      <w:sz w:val="21"/>
                      <w:shd w:val="clear" w:color="auto" w:fill="FFFFFF"/>
                    </w:rPr>
                    <w:t>机制砂石骨料工厂应对破碎、筛分及输送等生产环节采取封闭措施；机制砂石骨料工厂应对破碎、筛分及输送转运站等扬尘点设置收尘装置，粉尘排放浓度应符合国家标准《大气污染物综合排放标准》GB 16297的有关规定，并应满足厂区所在地区的环保要求；对于无组织排放的扬尘场所，应采取喷雾、洒水、封闭等防尘措施。</w:t>
                  </w:r>
                </w:p>
              </w:tc>
              <w:tc>
                <w:tcPr>
                  <w:tcW w:w="2027" w:type="pct"/>
                  <w:vAlign w:val="center"/>
                </w:tcPr>
                <w:p>
                  <w:pPr>
                    <w:pStyle w:val="13"/>
                    <w:spacing w:beforeAutospacing="0" w:afterAutospacing="0" w:line="320" w:lineRule="exact"/>
                    <w:rPr>
                      <w:sz w:val="21"/>
                      <w:shd w:val="clear" w:color="auto" w:fill="FFFFFF"/>
                    </w:rPr>
                  </w:pPr>
                  <w:r>
                    <w:rPr>
                      <w:sz w:val="21"/>
                      <w:shd w:val="clear" w:color="auto" w:fill="FFFFFF"/>
                    </w:rPr>
                    <w:t>根据建设单位提供资料，矿加工区破碎、筛分及输送等生产环节在密闭车间内操作，确保各工序粉尘排放浓度符合国家标准《大气污染物综合排放标准》GB 16297；对于无组织排放的扬尘场所，拟采取喷雾、洒水、封闭等防尘措施。</w:t>
                  </w:r>
                </w:p>
              </w:tc>
              <w:tc>
                <w:tcPr>
                  <w:tcW w:w="552" w:type="pct"/>
                  <w:vAlign w:val="center"/>
                </w:tcPr>
                <w:p>
                  <w:pPr>
                    <w:pStyle w:val="13"/>
                    <w:spacing w:beforeAutospacing="0" w:afterAutospacing="0" w:line="320" w:lineRule="exact"/>
                    <w:jc w:val="center"/>
                    <w:rPr>
                      <w:sz w:val="21"/>
                      <w:shd w:val="clear" w:color="auto" w:fill="FFFFFF"/>
                    </w:rPr>
                  </w:pPr>
                  <w:r>
                    <w:rPr>
                      <w:sz w:val="21"/>
                      <w:shd w:val="clear" w:color="auto" w:fill="FFFFFF"/>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420" w:type="pct"/>
                  <w:vAlign w:val="center"/>
                </w:tcPr>
                <w:p>
                  <w:pPr>
                    <w:pStyle w:val="13"/>
                    <w:spacing w:beforeAutospacing="0" w:afterAutospacing="0" w:line="320" w:lineRule="exact"/>
                    <w:rPr>
                      <w:sz w:val="21"/>
                      <w:shd w:val="clear" w:color="auto" w:fill="FFFFFF"/>
                    </w:rPr>
                  </w:pPr>
                  <w:r>
                    <w:rPr>
                      <w:sz w:val="21"/>
                      <w:shd w:val="clear" w:color="auto" w:fill="FFFFFF"/>
                    </w:rPr>
                    <w:t>固体废弃物污染防治应符合下列规定：</w:t>
                  </w:r>
                </w:p>
                <w:p>
                  <w:pPr>
                    <w:pStyle w:val="13"/>
                    <w:spacing w:beforeAutospacing="0" w:afterAutospacing="0" w:line="320" w:lineRule="exact"/>
                    <w:rPr>
                      <w:sz w:val="21"/>
                      <w:shd w:val="clear" w:color="auto" w:fill="FFFFFF"/>
                    </w:rPr>
                  </w:pPr>
                  <w:r>
                    <w:rPr>
                      <w:sz w:val="21"/>
                      <w:shd w:val="clear" w:color="auto" w:fill="FFFFFF"/>
                    </w:rPr>
                    <w:t>收尘设备收下的粉尘经处理后应运到固定地点堆放，并应采取防止二次污染的措施；脱泥及选矿等排出的各种废渣应集中处置，不得排入自然水体或任意抛弃；固体废弃物宜综合利用。</w:t>
                  </w:r>
                </w:p>
              </w:tc>
              <w:tc>
                <w:tcPr>
                  <w:tcW w:w="2027" w:type="pct"/>
                  <w:vAlign w:val="center"/>
                </w:tcPr>
                <w:p>
                  <w:pPr>
                    <w:pStyle w:val="13"/>
                    <w:spacing w:beforeAutospacing="0" w:afterAutospacing="0" w:line="320" w:lineRule="exact"/>
                    <w:rPr>
                      <w:sz w:val="21"/>
                      <w:shd w:val="clear" w:color="auto" w:fill="FFFFFF"/>
                    </w:rPr>
                  </w:pPr>
                  <w:r>
                    <w:rPr>
                      <w:sz w:val="21"/>
                      <w:shd w:val="clear" w:color="auto" w:fill="FFFFFF"/>
                    </w:rPr>
                    <w:t>项目原料</w:t>
                  </w:r>
                  <w:r>
                    <w:rPr>
                      <w:rFonts w:hint="eastAsia"/>
                      <w:sz w:val="21"/>
                      <w:shd w:val="clear" w:color="auto" w:fill="FFFFFF"/>
                    </w:rPr>
                    <w:t>河卵石</w:t>
                  </w:r>
                  <w:r>
                    <w:rPr>
                      <w:sz w:val="21"/>
                      <w:shd w:val="clear" w:color="auto" w:fill="FFFFFF"/>
                    </w:rPr>
                    <w:t>主要来源于</w:t>
                  </w:r>
                  <w:r>
                    <w:rPr>
                      <w:rFonts w:hint="eastAsia"/>
                      <w:sz w:val="21"/>
                      <w:shd w:val="clear" w:color="auto" w:fill="FFFFFF"/>
                      <w:lang w:eastAsia="zh-CN"/>
                    </w:rPr>
                    <w:t>涔水</w:t>
                  </w:r>
                  <w:r>
                    <w:rPr>
                      <w:sz w:val="21"/>
                      <w:shd w:val="clear" w:color="auto" w:fill="FFFFFF"/>
                    </w:rPr>
                    <w:t>，</w:t>
                  </w:r>
                  <w:r>
                    <w:rPr>
                      <w:rFonts w:hint="eastAsia"/>
                      <w:sz w:val="21"/>
                      <w:shd w:val="clear" w:color="auto" w:fill="FFFFFF"/>
                      <w:lang w:eastAsia="zh-CN"/>
                    </w:rPr>
                    <w:t>含泥</w:t>
                  </w:r>
                  <w:r>
                    <w:rPr>
                      <w:sz w:val="21"/>
                      <w:shd w:val="clear" w:color="auto" w:fill="FFFFFF"/>
                    </w:rPr>
                    <w:t>量</w:t>
                  </w:r>
                  <w:r>
                    <w:rPr>
                      <w:rFonts w:hint="eastAsia"/>
                      <w:sz w:val="21"/>
                      <w:shd w:val="clear" w:color="auto" w:fill="FFFFFF"/>
                    </w:rPr>
                    <w:t>较</w:t>
                  </w:r>
                  <w:r>
                    <w:rPr>
                      <w:sz w:val="21"/>
                      <w:shd w:val="clear" w:color="auto" w:fill="FFFFFF"/>
                    </w:rPr>
                    <w:t>少，经压滤机脱水后暂存泥</w:t>
                  </w:r>
                  <w:r>
                    <w:rPr>
                      <w:rFonts w:hint="eastAsia"/>
                      <w:sz w:val="21"/>
                      <w:shd w:val="clear" w:color="auto" w:fill="FFFFFF"/>
                    </w:rPr>
                    <w:t>渣</w:t>
                  </w:r>
                  <w:r>
                    <w:rPr>
                      <w:sz w:val="21"/>
                      <w:shd w:val="clear" w:color="auto" w:fill="FFFFFF"/>
                    </w:rPr>
                    <w:t>堆放场，要求“防扬散、防流失、防渗漏”的三防措施，收集的泥</w:t>
                  </w:r>
                  <w:r>
                    <w:rPr>
                      <w:rFonts w:hint="eastAsia"/>
                      <w:sz w:val="21"/>
                      <w:shd w:val="clear" w:color="auto" w:fill="FFFFFF"/>
                    </w:rPr>
                    <w:t>渣</w:t>
                  </w:r>
                  <w:r>
                    <w:rPr>
                      <w:sz w:val="21"/>
                      <w:shd w:val="clear" w:color="auto" w:fill="FFFFFF"/>
                    </w:rPr>
                    <w:t>外卖给</w:t>
                  </w:r>
                  <w:r>
                    <w:rPr>
                      <w:rFonts w:hint="eastAsia"/>
                      <w:sz w:val="21"/>
                      <w:shd w:val="clear" w:color="auto" w:fill="FFFFFF"/>
                      <w:lang w:eastAsia="zh-CN"/>
                    </w:rPr>
                    <w:t>砖厂</w:t>
                  </w:r>
                  <w:r>
                    <w:rPr>
                      <w:sz w:val="21"/>
                      <w:shd w:val="clear" w:color="auto" w:fill="FFFFFF"/>
                    </w:rPr>
                    <w:t>作生产辅料。</w:t>
                  </w:r>
                </w:p>
              </w:tc>
              <w:tc>
                <w:tcPr>
                  <w:tcW w:w="552" w:type="pct"/>
                  <w:vAlign w:val="center"/>
                </w:tcPr>
                <w:p>
                  <w:pPr>
                    <w:pStyle w:val="13"/>
                    <w:spacing w:beforeAutospacing="0" w:afterAutospacing="0" w:line="320" w:lineRule="exact"/>
                    <w:jc w:val="center"/>
                    <w:rPr>
                      <w:sz w:val="21"/>
                      <w:shd w:val="clear" w:color="auto" w:fill="FFFFFF"/>
                    </w:rPr>
                  </w:pPr>
                  <w:r>
                    <w:rPr>
                      <w:sz w:val="21"/>
                      <w:shd w:val="clear" w:color="auto" w:fill="FFFFFF"/>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420" w:type="pct"/>
                  <w:vAlign w:val="center"/>
                </w:tcPr>
                <w:p>
                  <w:pPr>
                    <w:pStyle w:val="13"/>
                    <w:spacing w:beforeAutospacing="0" w:afterAutospacing="0" w:line="320" w:lineRule="exact"/>
                    <w:rPr>
                      <w:sz w:val="21"/>
                      <w:shd w:val="clear" w:color="auto" w:fill="FFFFFF"/>
                    </w:rPr>
                  </w:pPr>
                  <w:r>
                    <w:rPr>
                      <w:sz w:val="21"/>
                      <w:shd w:val="clear" w:color="auto" w:fill="FFFFFF"/>
                    </w:rPr>
                    <w:t>废水污染防治应符合下列规定：</w:t>
                  </w:r>
                </w:p>
                <w:p>
                  <w:pPr>
                    <w:pStyle w:val="13"/>
                    <w:spacing w:beforeAutospacing="0" w:afterAutospacing="0" w:line="320" w:lineRule="exact"/>
                    <w:rPr>
                      <w:sz w:val="21"/>
                      <w:shd w:val="clear" w:color="auto" w:fill="FFFFFF"/>
                    </w:rPr>
                  </w:pPr>
                  <w:r>
                    <w:rPr>
                      <w:sz w:val="21"/>
                      <w:shd w:val="clear" w:color="auto" w:fill="FFFFFF"/>
                    </w:rPr>
                    <w:t>生产排水、雨水和生活污染，应清污分流；设备冷却水应采用循环水冷却系统；污水排放标准应符合现行国家标准《污水综合排放标准》GB8978的有关规定；生产废水应经自然沉淀或机械脱水，固液分离后的清水应回用于生产系统。</w:t>
                  </w:r>
                </w:p>
              </w:tc>
              <w:tc>
                <w:tcPr>
                  <w:tcW w:w="2027" w:type="pct"/>
                  <w:vAlign w:val="center"/>
                </w:tcPr>
                <w:p>
                  <w:pPr>
                    <w:pStyle w:val="13"/>
                    <w:spacing w:beforeAutospacing="0" w:afterAutospacing="0" w:line="320" w:lineRule="exact"/>
                    <w:rPr>
                      <w:sz w:val="21"/>
                      <w:shd w:val="clear" w:color="auto" w:fill="FFFFFF"/>
                    </w:rPr>
                  </w:pPr>
                  <w:r>
                    <w:rPr>
                      <w:sz w:val="21"/>
                      <w:shd w:val="clear" w:color="auto" w:fill="FFFFFF"/>
                    </w:rPr>
                    <w:t>本项目产生的废水主要包括洗砂废水、</w:t>
                  </w:r>
                  <w:r>
                    <w:rPr>
                      <w:rFonts w:hint="eastAsia"/>
                      <w:sz w:val="21"/>
                      <w:shd w:val="clear" w:color="auto" w:fill="FFFFFF"/>
                      <w:lang w:eastAsia="zh-CN"/>
                    </w:rPr>
                    <w:t>洗车废水、地面清洗废水、</w:t>
                  </w:r>
                  <w:r>
                    <w:rPr>
                      <w:sz w:val="21"/>
                      <w:shd w:val="clear" w:color="auto" w:fill="FFFFFF"/>
                    </w:rPr>
                    <w:t>生活污水。洗砂机过滤的污水通过泵排</w:t>
                  </w:r>
                  <w:r>
                    <w:rPr>
                      <w:rFonts w:hint="eastAsia"/>
                      <w:sz w:val="21"/>
                      <w:shd w:val="clear" w:color="auto" w:fill="FFFFFF"/>
                    </w:rPr>
                    <w:t>入</w:t>
                  </w:r>
                  <w:r>
                    <w:rPr>
                      <w:sz w:val="21"/>
                      <w:shd w:val="clear" w:color="auto" w:fill="FFFFFF"/>
                    </w:rPr>
                    <w:t>脱水筛，将砂水分离，污水存入</w:t>
                  </w:r>
                  <w:r>
                    <w:rPr>
                      <w:rFonts w:hint="eastAsia"/>
                      <w:sz w:val="21"/>
                      <w:shd w:val="clear" w:color="auto" w:fill="FFFFFF"/>
                    </w:rPr>
                    <w:t>沉淀罐</w:t>
                  </w:r>
                  <w:r>
                    <w:rPr>
                      <w:sz w:val="21"/>
                      <w:shd w:val="clear" w:color="auto" w:fill="FFFFFF"/>
                    </w:rPr>
                    <w:t>，再通过泵将</w:t>
                  </w:r>
                  <w:r>
                    <w:rPr>
                      <w:rFonts w:hint="eastAsia"/>
                      <w:sz w:val="21"/>
                      <w:shd w:val="clear" w:color="auto" w:fill="FFFFFF"/>
                    </w:rPr>
                    <w:t>沉淀罐</w:t>
                  </w:r>
                  <w:r>
                    <w:rPr>
                      <w:sz w:val="21"/>
                      <w:shd w:val="clear" w:color="auto" w:fill="FFFFFF"/>
                    </w:rPr>
                    <w:t>里</w:t>
                  </w:r>
                  <w:r>
                    <w:rPr>
                      <w:rFonts w:hint="eastAsia"/>
                      <w:sz w:val="21"/>
                      <w:shd w:val="clear" w:color="auto" w:fill="FFFFFF"/>
                    </w:rPr>
                    <w:t>的</w:t>
                  </w:r>
                  <w:r>
                    <w:rPr>
                      <w:sz w:val="21"/>
                      <w:shd w:val="clear" w:color="auto" w:fill="FFFFFF"/>
                    </w:rPr>
                    <w:t>污水送入沉淀池</w:t>
                  </w:r>
                  <w:r>
                    <w:rPr>
                      <w:rFonts w:hint="eastAsia"/>
                      <w:sz w:val="21"/>
                      <w:shd w:val="clear" w:color="auto" w:fill="FFFFFF"/>
                    </w:rPr>
                    <w:t>、清水池</w:t>
                  </w:r>
                  <w:r>
                    <w:rPr>
                      <w:sz w:val="21"/>
                      <w:shd w:val="clear" w:color="auto" w:fill="FFFFFF"/>
                    </w:rPr>
                    <w:t>，废水经沉淀池处理后，循环用于洗砂工序，不外排；本工程生活污水进入化粪池处理后用于周边农田施肥，本工程不设置废水排放口，不排入地表水体。</w:t>
                  </w:r>
                </w:p>
              </w:tc>
              <w:tc>
                <w:tcPr>
                  <w:tcW w:w="552" w:type="pct"/>
                  <w:vAlign w:val="center"/>
                </w:tcPr>
                <w:p>
                  <w:pPr>
                    <w:pStyle w:val="13"/>
                    <w:spacing w:beforeAutospacing="0" w:afterAutospacing="0" w:line="320" w:lineRule="exact"/>
                    <w:jc w:val="center"/>
                    <w:rPr>
                      <w:sz w:val="21"/>
                      <w:shd w:val="clear" w:color="auto" w:fill="FFFFFF"/>
                    </w:rPr>
                  </w:pPr>
                  <w:r>
                    <w:rPr>
                      <w:sz w:val="21"/>
                      <w:shd w:val="clear" w:color="auto" w:fill="FFFFFF"/>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420" w:type="pct"/>
                  <w:vAlign w:val="center"/>
                </w:tcPr>
                <w:p>
                  <w:pPr>
                    <w:pStyle w:val="13"/>
                    <w:spacing w:beforeAutospacing="0" w:afterAutospacing="0" w:line="320" w:lineRule="exact"/>
                    <w:rPr>
                      <w:sz w:val="21"/>
                      <w:shd w:val="clear" w:color="auto" w:fill="FFFFFF"/>
                    </w:rPr>
                  </w:pPr>
                  <w:r>
                    <w:rPr>
                      <w:sz w:val="21"/>
                      <w:shd w:val="clear" w:color="auto" w:fill="FFFFFF"/>
                    </w:rPr>
                    <w:t>噪声污染防治应符合下列规定：</w:t>
                  </w:r>
                </w:p>
                <w:p>
                  <w:pPr>
                    <w:pStyle w:val="13"/>
                    <w:spacing w:beforeAutospacing="0" w:afterAutospacing="0" w:line="320" w:lineRule="exact"/>
                    <w:rPr>
                      <w:sz w:val="21"/>
                      <w:shd w:val="clear" w:color="auto" w:fill="FFFFFF"/>
                    </w:rPr>
                  </w:pPr>
                  <w:r>
                    <w:rPr>
                      <w:sz w:val="21"/>
                      <w:shd w:val="clear" w:color="auto" w:fill="FFFFFF"/>
                    </w:rPr>
                    <w:t>工厂厂界噪声限值应符合现行国家标准《工业企业厂界环境噪声排放标准》GB12348的有关规定；设备选型时应选用低噪声生产设备，工艺布置应采取控制噪声传播的措施；高噪强振的设备，应采取消声、减振措施；高强噪声源车间，应采取隔声围护结构等措施。</w:t>
                  </w:r>
                </w:p>
              </w:tc>
              <w:tc>
                <w:tcPr>
                  <w:tcW w:w="2027" w:type="pct"/>
                  <w:vAlign w:val="center"/>
                </w:tcPr>
                <w:p>
                  <w:pPr>
                    <w:pStyle w:val="13"/>
                    <w:spacing w:beforeAutospacing="0" w:afterAutospacing="0" w:line="320" w:lineRule="exact"/>
                    <w:rPr>
                      <w:sz w:val="21"/>
                      <w:shd w:val="clear" w:color="auto" w:fill="FFFFFF"/>
                    </w:rPr>
                  </w:pPr>
                  <w:r>
                    <w:rPr>
                      <w:sz w:val="21"/>
                      <w:shd w:val="clear" w:color="auto" w:fill="FFFFFF"/>
                    </w:rPr>
                    <w:t>项目采取选用低噪声设备，对产生高噪声的设备安装减震垫、消声器等，且设备全部安装在厂房内，噪声能达到GB12348-2008《工业企业厂界环境噪声排放标准》2类标准要求。</w:t>
                  </w:r>
                </w:p>
              </w:tc>
              <w:tc>
                <w:tcPr>
                  <w:tcW w:w="552" w:type="pct"/>
                  <w:vAlign w:val="center"/>
                </w:tcPr>
                <w:p>
                  <w:pPr>
                    <w:pStyle w:val="13"/>
                    <w:spacing w:beforeAutospacing="0" w:afterAutospacing="0" w:line="320" w:lineRule="exact"/>
                    <w:jc w:val="center"/>
                    <w:rPr>
                      <w:sz w:val="21"/>
                      <w:shd w:val="clear" w:color="auto" w:fill="FFFFFF"/>
                    </w:rPr>
                  </w:pPr>
                  <w:r>
                    <w:rPr>
                      <w:sz w:val="21"/>
                      <w:shd w:val="clear" w:color="auto" w:fill="FFFFFF"/>
                    </w:rPr>
                    <w:t>符合</w:t>
                  </w:r>
                </w:p>
              </w:tc>
            </w:tr>
          </w:tbl>
          <w:p>
            <w:pPr>
              <w:pStyle w:val="20"/>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eastAsia="宋体" w:cs="Times New Roman"/>
                <w:b/>
                <w:sz w:val="24"/>
                <w:szCs w:val="24"/>
              </w:rPr>
            </w:pPr>
            <w:r>
              <w:rPr>
                <w:rFonts w:hint="default" w:eastAsia="宋体" w:cs="Times New Roman"/>
                <w:b/>
                <w:sz w:val="24"/>
                <w:szCs w:val="24"/>
              </w:rPr>
              <w:t>4、与《关于推进机制砂石行业高质量发展的若干意见》（工信部联原〔2019〕239 号）符合性分析</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Times New Roman" w:hAnsi="Times New Roman" w:eastAsia="宋体" w:cs="Times New Roman"/>
                <w:sz w:val="24"/>
                <w:szCs w:val="24"/>
                <w:shd w:val="clear" w:color="auto" w:fill="FFFFFF"/>
                <w:lang w:eastAsia="zh-CN"/>
              </w:rPr>
            </w:pPr>
            <w:r>
              <w:rPr>
                <w:rFonts w:hint="default" w:ascii="Times New Roman" w:hAnsi="Times New Roman" w:eastAsia="宋体" w:cs="Times New Roman"/>
                <w:sz w:val="24"/>
                <w:szCs w:val="24"/>
                <w:shd w:val="clear" w:color="auto" w:fill="FFFFFF"/>
              </w:rPr>
              <w:t>本项目与《关于推进机制砂石行业高质量发展的若干意见》符合性分析</w:t>
            </w:r>
            <w:r>
              <w:rPr>
                <w:rFonts w:hint="eastAsia" w:ascii="Times New Roman" w:hAnsi="Times New Roman" w:eastAsia="宋体" w:cs="Times New Roman"/>
                <w:sz w:val="24"/>
                <w:szCs w:val="24"/>
                <w:shd w:val="clear" w:color="auto" w:fill="FFFFFF"/>
                <w:lang w:eastAsia="zh-CN"/>
              </w:rPr>
              <w:t>，</w:t>
            </w:r>
            <w:r>
              <w:rPr>
                <w:rFonts w:hint="default" w:ascii="Times New Roman" w:hAnsi="Times New Roman" w:eastAsia="宋体" w:cs="Times New Roman"/>
                <w:sz w:val="24"/>
                <w:szCs w:val="24"/>
                <w:shd w:val="clear" w:color="auto" w:fill="FFFFFF"/>
              </w:rPr>
              <w:t>详见下表</w:t>
            </w:r>
            <w:r>
              <w:rPr>
                <w:rFonts w:hint="eastAsia" w:ascii="Times New Roman" w:hAnsi="Times New Roman" w:eastAsia="宋体" w:cs="Times New Roman"/>
                <w:sz w:val="24"/>
                <w:szCs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eastAsia="宋体" w:cs="Times New Roman"/>
                <w:b/>
                <w:bCs/>
                <w:color w:val="auto"/>
                <w:sz w:val="18"/>
                <w:szCs w:val="18"/>
                <w:highlight w:val="none"/>
                <w:lang w:eastAsia="zh-CN"/>
              </w:rPr>
            </w:pPr>
            <w:r>
              <w:rPr>
                <w:b/>
                <w:sz w:val="18"/>
                <w:szCs w:val="18"/>
              </w:rPr>
              <w:t>表</w:t>
            </w:r>
            <w:r>
              <w:rPr>
                <w:b/>
                <w:spacing w:val="-52"/>
                <w:sz w:val="18"/>
                <w:szCs w:val="18"/>
              </w:rPr>
              <w:t xml:space="preserve"> </w:t>
            </w:r>
            <w:r>
              <w:rPr>
                <w:rFonts w:ascii="Times New Roman" w:eastAsia="Times New Roman"/>
                <w:b/>
                <w:sz w:val="18"/>
                <w:szCs w:val="18"/>
              </w:rPr>
              <w:t>1-3</w:t>
            </w:r>
            <w:r>
              <w:rPr>
                <w:b/>
                <w:sz w:val="18"/>
                <w:szCs w:val="18"/>
              </w:rPr>
              <w:t>与《关于推进机制砂石行业高质量发展的若干意见》符合性分析</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color w:val="auto"/>
                      <w:sz w:val="21"/>
                      <w:szCs w:val="21"/>
                      <w:highlight w:val="none"/>
                      <w:vertAlign w:val="baseline"/>
                      <w:lang w:eastAsia="zh-CN"/>
                    </w:rPr>
                    <w:t>内容</w:t>
                  </w:r>
                </w:p>
              </w:tc>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color w:val="auto"/>
                      <w:sz w:val="21"/>
                      <w:szCs w:val="21"/>
                      <w:highlight w:val="none"/>
                      <w:vertAlign w:val="baseline"/>
                      <w:lang w:eastAsia="zh-CN"/>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加快建设封闭式运输皮带廊道，逐步减少散货露天装卸量。利用信息化手段对砂石运输实现全程监管，构建绿色物流和绿色供应链。加强运输车辆检测，防止超限超载车辆</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color w:val="auto"/>
                      <w:sz w:val="21"/>
                      <w:szCs w:val="21"/>
                      <w:highlight w:val="none"/>
                      <w:lang w:eastAsia="zh-CN"/>
                    </w:rPr>
                    <w:t>出场（站）上路</w:t>
                  </w:r>
                </w:p>
              </w:tc>
              <w:tc>
                <w:tcPr>
                  <w:tcW w:w="2500"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spacing w:val="-9"/>
                      <w:sz w:val="21"/>
                      <w:szCs w:val="21"/>
                    </w:rPr>
                    <w:t>采</w:t>
                  </w:r>
                  <w:r>
                    <w:rPr>
                      <w:rFonts w:hint="default" w:ascii="Times New Roman" w:hAnsi="Times New Roman" w:eastAsia="宋体" w:cs="Times New Roman"/>
                      <w:b w:val="0"/>
                      <w:bCs w:val="0"/>
                      <w:sz w:val="21"/>
                      <w:szCs w:val="21"/>
                    </w:rPr>
                    <w:t>用封闭厂房对环境影响较小。大块原料采用封闭厂房定期洒水增加物料湿度。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kern w:val="0"/>
                      <w:sz w:val="21"/>
                      <w:szCs w:val="21"/>
                      <w:lang w:val="en-US" w:eastAsia="zh-CN" w:bidi="ar-SA"/>
                    </w:rPr>
                  </w:pPr>
                  <w:r>
                    <w:rPr>
                      <w:rFonts w:hint="default" w:ascii="Times New Roman" w:hAnsi="Times New Roman" w:eastAsia="宋体" w:cs="Times New Roman"/>
                      <w:b w:val="0"/>
                      <w:bCs w:val="0"/>
                      <w:sz w:val="21"/>
                      <w:szCs w:val="21"/>
                    </w:rPr>
                    <w:t>加大对破碎、整形等关键装备研发投入，提高工艺装备的自动化、机械化程度。</w:t>
                  </w:r>
                </w:p>
              </w:tc>
              <w:tc>
                <w:tcPr>
                  <w:tcW w:w="2500"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sz w:val="21"/>
                      <w:szCs w:val="21"/>
                    </w:rPr>
                    <w:t>项目所采用的机械设备均不</w:t>
                  </w:r>
                  <w:r>
                    <w:rPr>
                      <w:rFonts w:hint="default" w:ascii="Times New Roman" w:hAnsi="Times New Roman" w:eastAsia="宋体" w:cs="Times New Roman"/>
                      <w:b w:val="0"/>
                      <w:bCs w:val="0"/>
                      <w:spacing w:val="-9"/>
                      <w:sz w:val="21"/>
                      <w:szCs w:val="21"/>
                    </w:rPr>
                    <w:t>属于淘汰类设备，符合要求。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color w:val="auto"/>
                      <w:sz w:val="21"/>
                      <w:szCs w:val="21"/>
                      <w:highlight w:val="none"/>
                      <w:vertAlign w:val="baseline"/>
                      <w:lang w:eastAsia="zh-CN"/>
                    </w:rPr>
                    <w:t>生产线配套建设抑尘收尘、水处理和降噪等污染防治以及水土保持，对设备、产品采取棚化密封或其他有效覆盖措施，推进清洁生产，严控无组织排放，满足达标排放等环保要求</w:t>
                  </w:r>
                </w:p>
              </w:tc>
              <w:tc>
                <w:tcPr>
                  <w:tcW w:w="2500" w:type="pct"/>
                  <w:noWrap w:val="0"/>
                  <w:vAlign w:val="center"/>
                </w:tcPr>
                <w:p>
                  <w:pPr>
                    <w:pStyle w:val="20"/>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sz w:val="21"/>
                      <w:szCs w:val="21"/>
                    </w:rPr>
                    <w:t>本项目生产车间均为封闭，并采取喷淋装置降尘，粉尘排放浓度符合《大气污</w:t>
                  </w:r>
                  <w:r>
                    <w:rPr>
                      <w:rFonts w:hint="default" w:ascii="Times New Roman" w:hAnsi="Times New Roman" w:eastAsia="宋体" w:cs="Times New Roman"/>
                      <w:b w:val="0"/>
                      <w:bCs w:val="0"/>
                      <w:sz w:val="21"/>
                      <w:szCs w:val="21"/>
                      <w:lang w:eastAsia="zh-CN"/>
                    </w:rPr>
                    <w:t>染物综合排放标准》（</w:t>
                  </w:r>
                  <w:r>
                    <w:rPr>
                      <w:rFonts w:hint="default" w:ascii="Times New Roman" w:hAnsi="Times New Roman" w:eastAsia="宋体" w:cs="Times New Roman"/>
                      <w:b w:val="0"/>
                      <w:bCs w:val="0"/>
                      <w:sz w:val="21"/>
                      <w:szCs w:val="21"/>
                      <w:lang w:val="en-US" w:eastAsia="zh-CN"/>
                    </w:rPr>
                    <w:t>GB16297-1996</w:t>
                  </w:r>
                  <w:r>
                    <w:rPr>
                      <w:rFonts w:hint="default" w:ascii="Times New Roman" w:hAnsi="Times New Roman" w:eastAsia="宋体" w:cs="Times New Roman"/>
                      <w:b w:val="0"/>
                      <w:bCs w:val="0"/>
                      <w:sz w:val="21"/>
                      <w:szCs w:val="21"/>
                      <w:lang w:eastAsia="zh-CN"/>
                    </w:rPr>
                    <w:t>）的</w:t>
                  </w:r>
                  <w:r>
                    <w:rPr>
                      <w:rFonts w:hint="eastAsia" w:ascii="Times New Roman" w:hAnsi="Times New Roman" w:eastAsia="宋体" w:cs="Times New Roman"/>
                      <w:b w:val="0"/>
                      <w:bCs w:val="0"/>
                      <w:sz w:val="21"/>
                      <w:szCs w:val="21"/>
                      <w:lang w:val="en-US" w:eastAsia="zh-CN"/>
                    </w:rPr>
                    <w:t>无组织排放标准限值。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color w:val="auto"/>
                      <w:sz w:val="21"/>
                      <w:szCs w:val="21"/>
                      <w:highlight w:val="none"/>
                      <w:vertAlign w:val="baseline"/>
                      <w:lang w:eastAsia="zh-CN"/>
                    </w:rPr>
                    <w:t>持就地取材，利用开山、道路、隧洞、场地平整等建设工程产生的砂石料生产机制砂石</w:t>
                  </w:r>
                </w:p>
              </w:tc>
              <w:tc>
                <w:tcPr>
                  <w:tcW w:w="25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color w:val="auto"/>
                      <w:sz w:val="21"/>
                      <w:szCs w:val="21"/>
                      <w:highlight w:val="none"/>
                      <w:vertAlign w:val="baseline"/>
                      <w:lang w:eastAsia="zh-CN"/>
                    </w:rPr>
                    <w:t>本项目</w:t>
                  </w:r>
                  <w:r>
                    <w:rPr>
                      <w:rFonts w:hint="eastAsia" w:ascii="Times New Roman" w:hAnsi="Times New Roman" w:eastAsia="宋体" w:cs="Times New Roman"/>
                      <w:b w:val="0"/>
                      <w:bCs w:val="0"/>
                      <w:color w:val="auto"/>
                      <w:sz w:val="21"/>
                      <w:szCs w:val="21"/>
                      <w:highlight w:val="none"/>
                      <w:vertAlign w:val="baseline"/>
                      <w:lang w:eastAsia="zh-CN"/>
                    </w:rPr>
                    <w:t>为河道采砂</w:t>
                  </w:r>
                  <w:r>
                    <w:rPr>
                      <w:rFonts w:hint="eastAsia" w:cs="Times New Roman"/>
                      <w:b w:val="0"/>
                      <w:bCs w:val="0"/>
                      <w:color w:val="auto"/>
                      <w:sz w:val="21"/>
                      <w:szCs w:val="21"/>
                      <w:highlight w:val="none"/>
                      <w:vertAlign w:val="baseline"/>
                      <w:lang w:eastAsia="zh-CN"/>
                    </w:rPr>
                    <w:t>，且取得采砂手续</w:t>
                  </w:r>
                  <w:r>
                    <w:rPr>
                      <w:rFonts w:hint="eastAsia" w:ascii="Times New Roman" w:hAnsi="Times New Roman" w:eastAsia="宋体" w:cs="Times New Roman"/>
                      <w:b w:val="0"/>
                      <w:bCs w:val="0"/>
                      <w:color w:val="auto"/>
                      <w:sz w:val="21"/>
                      <w:szCs w:val="21"/>
                      <w:highlight w:val="none"/>
                      <w:vertAlign w:val="baseline"/>
                      <w:lang w:eastAsia="zh-CN"/>
                    </w:rPr>
                    <w:t>，符合要求。</w:t>
                  </w:r>
                </w:p>
              </w:tc>
            </w:tr>
          </w:tbl>
          <w:p>
            <w:pPr>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w:t>
            </w:r>
            <w:r>
              <w:rPr>
                <w:b/>
                <w:bCs/>
                <w:color w:val="000000" w:themeColor="text1"/>
                <w:sz w:val="24"/>
                <w:szCs w:val="24"/>
                <w14:textFill>
                  <w14:solidFill>
                    <w14:schemeClr w14:val="tx1"/>
                  </w14:solidFill>
                </w14:textFill>
              </w:rPr>
              <w:t>、选址合理性分析</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（1）用地性质符合性分析</w:t>
            </w:r>
          </w:p>
          <w:p>
            <w:pPr>
              <w:spacing w:line="360" w:lineRule="auto"/>
              <w:ind w:firstLine="480" w:firstLineChars="200"/>
              <w:rPr>
                <w:rFonts w:ascii="宋体" w:hAnsi="宋体"/>
                <w:sz w:val="24"/>
                <w:u w:val="none"/>
              </w:rPr>
            </w:pPr>
            <w:r>
              <w:rPr>
                <w:rFonts w:hint="eastAsia" w:ascii="宋体" w:hAnsi="宋体"/>
                <w:sz w:val="24"/>
                <w:u w:val="none"/>
                <w:lang w:val="zh-CN"/>
              </w:rPr>
              <w:t>本项目为新建项目，项目用地为建设用地，</w:t>
            </w:r>
            <w:r>
              <w:rPr>
                <w:rFonts w:hint="eastAsia" w:ascii="宋体" w:hAnsi="宋体"/>
                <w:sz w:val="24"/>
                <w:u w:val="none"/>
                <w:lang w:val="en-US" w:eastAsia="zh-CN"/>
              </w:rPr>
              <w:t xml:space="preserve">           </w:t>
            </w:r>
            <w:r>
              <w:rPr>
                <w:rFonts w:hint="eastAsia" w:ascii="宋体" w:hAnsi="宋体"/>
                <w:sz w:val="24"/>
                <w:u w:val="none"/>
              </w:rPr>
              <w:t>根据现场勘查，厂区占地面积约为</w:t>
            </w:r>
            <w:r>
              <w:rPr>
                <w:rFonts w:hint="eastAsia" w:ascii="宋体" w:hAnsi="宋体"/>
                <w:sz w:val="24"/>
                <w:u w:val="none"/>
                <w:lang w:val="en-US" w:eastAsia="zh-CN"/>
              </w:rPr>
              <w:t>7000</w:t>
            </w:r>
            <w:r>
              <w:rPr>
                <w:rFonts w:hint="eastAsia" w:ascii="宋体" w:hAnsi="宋体"/>
                <w:sz w:val="24"/>
                <w:u w:val="none"/>
              </w:rPr>
              <w:t>㎡，项目选址于</w:t>
            </w:r>
            <w:r>
              <w:rPr>
                <w:sz w:val="24"/>
                <w:szCs w:val="24"/>
                <w:u w:val="none"/>
              </w:rPr>
              <w:t>湖南省澧县王家厂镇柳津村</w:t>
            </w:r>
            <w:r>
              <w:rPr>
                <w:rFonts w:hint="eastAsia" w:ascii="宋体" w:hAnsi="宋体"/>
                <w:sz w:val="24"/>
                <w:u w:val="none"/>
              </w:rPr>
              <w:t>，项目选址符合国家土地政策、用地政策。用地符合土地利用总体规划，项目厂区范围内无古树名木、珍稀濒危物种和国建保护植物，交通较为便利，且本项目不在生态红线保护范围内（见附图），且有租赁合同、</w:t>
            </w:r>
            <w:r>
              <w:rPr>
                <w:rFonts w:hint="eastAsia" w:ascii="宋体" w:hAnsi="宋体"/>
                <w:sz w:val="24"/>
                <w:u w:val="none"/>
                <w:lang w:eastAsia="zh-CN"/>
              </w:rPr>
              <w:t>国土意见，</w:t>
            </w:r>
            <w:r>
              <w:rPr>
                <w:rFonts w:hint="eastAsia" w:ascii="宋体" w:hAnsi="宋体"/>
                <w:sz w:val="24"/>
                <w:u w:val="none"/>
              </w:rPr>
              <w:t>因此，本项目选址合理。</w:t>
            </w:r>
          </w:p>
          <w:p>
            <w:pPr>
              <w:spacing w:line="360" w:lineRule="auto"/>
              <w:ind w:firstLine="480" w:firstLineChars="200"/>
              <w:rPr>
                <w:sz w:val="24"/>
                <w:szCs w:val="24"/>
              </w:rPr>
            </w:pPr>
            <w:r>
              <w:rPr>
                <w:sz w:val="24"/>
                <w:szCs w:val="24"/>
              </w:rPr>
              <w:t>（2）环境功能区划敏感因素分析</w:t>
            </w:r>
          </w:p>
          <w:p>
            <w:pPr>
              <w:spacing w:line="360" w:lineRule="auto"/>
              <w:ind w:firstLine="480" w:firstLineChars="200"/>
              <w:rPr>
                <w:sz w:val="24"/>
                <w:szCs w:val="24"/>
              </w:rPr>
            </w:pPr>
            <w:r>
              <w:rPr>
                <w:sz w:val="24"/>
                <w:szCs w:val="24"/>
              </w:rPr>
              <w:t>项目周围无自然保护区、风景名胜区、生态功能保护区等需要特殊保护的地区。建设区域环境空气功能为二类区，</w:t>
            </w:r>
            <w:r>
              <w:rPr>
                <w:rFonts w:hint="eastAsia"/>
                <w:sz w:val="24"/>
                <w:szCs w:val="24"/>
              </w:rPr>
              <w:t>且周边无饮用水源保护区，</w:t>
            </w:r>
            <w:r>
              <w:rPr>
                <w:sz w:val="24"/>
                <w:szCs w:val="24"/>
              </w:rPr>
              <w:t>不属于敏感水域。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cs="Times New Roman"/>
                <w:b/>
                <w:bCs/>
                <w:sz w:val="24"/>
                <w:szCs w:val="24"/>
                <w:u w:val="none"/>
              </w:rPr>
            </w:pPr>
            <w:r>
              <w:rPr>
                <w:rFonts w:hint="eastAsia" w:ascii="Times New Roman" w:hAnsi="Times New Roman" w:cs="Times New Roman"/>
                <w:b/>
                <w:bCs/>
                <w:sz w:val="24"/>
                <w:szCs w:val="24"/>
                <w:u w:val="none"/>
                <w:lang w:val="en-US" w:eastAsia="zh-CN"/>
              </w:rPr>
              <w:t>6、</w:t>
            </w:r>
            <w:r>
              <w:rPr>
                <w:rFonts w:hint="eastAsia" w:ascii="Times New Roman" w:hAnsi="Times New Roman" w:cs="Times New Roman"/>
                <w:b/>
                <w:bCs/>
                <w:sz w:val="24"/>
                <w:szCs w:val="24"/>
                <w:u w:val="none"/>
              </w:rPr>
              <w:t>项目建设与常环函〔2018〕74号文件的相符性分析</w:t>
            </w:r>
          </w:p>
          <w:p>
            <w:pPr>
              <w:adjustRightInd w:val="0"/>
              <w:snapToGrid w:val="0"/>
              <w:spacing w:line="360" w:lineRule="auto"/>
              <w:ind w:firstLine="480" w:firstLineChars="200"/>
              <w:rPr>
                <w:rFonts w:hint="eastAsia" w:ascii="Times New Roman" w:hAnsi="Times New Roman" w:cs="Times New Roman"/>
                <w:sz w:val="24"/>
                <w:szCs w:val="24"/>
                <w:u w:val="none"/>
                <w:lang w:eastAsia="zh-CN"/>
              </w:rPr>
            </w:pPr>
            <w:r>
              <w:rPr>
                <w:rFonts w:hint="eastAsia" w:ascii="Times New Roman" w:hAnsi="Times New Roman" w:cs="Times New Roman"/>
                <w:sz w:val="24"/>
                <w:szCs w:val="24"/>
                <w:u w:val="none"/>
              </w:rPr>
              <w:t>本项目采用全封闭式厂房作业，安装视频监控系统、粉尘在线监控设施，厂区出入口设置冲洗平台，安装自动洗车机，</w:t>
            </w:r>
            <w:r>
              <w:rPr>
                <w:rFonts w:hint="eastAsia" w:ascii="Times New Roman" w:hAnsi="Times New Roman" w:cs="Times New Roman"/>
                <w:sz w:val="24"/>
                <w:szCs w:val="24"/>
                <w:u w:val="none"/>
                <w:lang w:eastAsia="zh-CN"/>
              </w:rPr>
              <w:t>生产车间</w:t>
            </w:r>
            <w:r>
              <w:rPr>
                <w:rFonts w:hint="eastAsia" w:ascii="Times New Roman" w:hAnsi="Times New Roman" w:cs="Times New Roman"/>
                <w:sz w:val="24"/>
                <w:szCs w:val="24"/>
                <w:u w:val="none"/>
              </w:rPr>
              <w:t>配置三级硬化防渗沉淀池和废水循环再利用设施、混凝土回收设备，厂区地面设置硬化防渗导流沟，厂区冲洗废水、初期雨水经收集后循环使用不外排等环保措施均符合《关于加强混凝土、砂浆和沥青搅拌企业扬（粉）尘污染整治及沥青烟气治理的通知》（常环函〔2018〕74号）文件通知。</w:t>
            </w:r>
            <w:r>
              <w:rPr>
                <w:rFonts w:hint="eastAsia" w:ascii="Times New Roman" w:hAnsi="Times New Roman" w:cs="Times New Roman"/>
                <w:sz w:val="24"/>
                <w:szCs w:val="24"/>
                <w:u w:val="none"/>
                <w:lang w:eastAsia="zh-CN"/>
              </w:rPr>
              <w:t>具体情况如下表所示：</w:t>
            </w:r>
          </w:p>
          <w:p>
            <w:pPr>
              <w:spacing w:line="240" w:lineRule="auto"/>
              <w:ind w:firstLine="308" w:firstLineChars="147"/>
              <w:jc w:val="center"/>
              <w:rPr>
                <w:rFonts w:hint="default" w:eastAsia="宋体"/>
                <w:sz w:val="21"/>
                <w:szCs w:val="21"/>
                <w:u w:val="none"/>
                <w:lang w:val="en-US" w:eastAsia="zh-CN"/>
              </w:rPr>
            </w:pPr>
            <w:r>
              <w:rPr>
                <w:rFonts w:hint="eastAsia"/>
                <w:sz w:val="21"/>
                <w:szCs w:val="21"/>
                <w:u w:val="none"/>
                <w:lang w:eastAsia="zh-CN"/>
              </w:rPr>
              <w:t>表</w:t>
            </w:r>
            <w:r>
              <w:rPr>
                <w:rFonts w:hint="eastAsia"/>
                <w:sz w:val="21"/>
                <w:szCs w:val="21"/>
                <w:u w:val="none"/>
                <w:lang w:val="en-US" w:eastAsia="zh-CN"/>
              </w:rPr>
              <w:t>1-4 相符性分析</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2626"/>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48" w:type="pct"/>
                  <w:vAlign w:val="center"/>
                </w:tcPr>
                <w:p>
                  <w:pPr>
                    <w:adjustRightInd w:val="0"/>
                    <w:snapToGrid w:val="0"/>
                    <w:spacing w:line="360" w:lineRule="auto"/>
                    <w:jc w:val="center"/>
                    <w:rPr>
                      <w:rFonts w:hint="eastAsia"/>
                      <w:sz w:val="21"/>
                      <w:szCs w:val="21"/>
                      <w:u w:val="none"/>
                      <w:vertAlign w:val="baseline"/>
                      <w:lang w:eastAsia="zh-CN"/>
                    </w:rPr>
                  </w:pPr>
                  <w:r>
                    <w:rPr>
                      <w:rFonts w:hint="eastAsia"/>
                      <w:sz w:val="21"/>
                      <w:szCs w:val="21"/>
                      <w:u w:val="none"/>
                      <w:vertAlign w:val="baseline"/>
                      <w:lang w:eastAsia="zh-CN"/>
                    </w:rPr>
                    <w:t>序号</w:t>
                  </w:r>
                </w:p>
              </w:tc>
              <w:tc>
                <w:tcPr>
                  <w:tcW w:w="2107" w:type="pct"/>
                  <w:vAlign w:val="center"/>
                </w:tcPr>
                <w:p>
                  <w:pPr>
                    <w:adjustRightInd w:val="0"/>
                    <w:snapToGrid w:val="0"/>
                    <w:spacing w:line="360" w:lineRule="auto"/>
                    <w:jc w:val="center"/>
                    <w:rPr>
                      <w:rFonts w:hint="eastAsia"/>
                      <w:sz w:val="21"/>
                      <w:szCs w:val="21"/>
                      <w:u w:val="none"/>
                      <w:vertAlign w:val="baseline"/>
                      <w:lang w:eastAsia="zh-CN"/>
                    </w:rPr>
                  </w:pPr>
                  <w:r>
                    <w:rPr>
                      <w:rFonts w:hint="eastAsia"/>
                      <w:sz w:val="21"/>
                      <w:szCs w:val="21"/>
                      <w:u w:val="none"/>
                      <w:vertAlign w:val="baseline"/>
                      <w:lang w:eastAsia="zh-CN"/>
                    </w:rPr>
                    <w:t>内容</w:t>
                  </w:r>
                </w:p>
              </w:tc>
              <w:tc>
                <w:tcPr>
                  <w:tcW w:w="2443" w:type="pct"/>
                  <w:vAlign w:val="center"/>
                </w:tcPr>
                <w:p>
                  <w:pPr>
                    <w:adjustRightInd w:val="0"/>
                    <w:snapToGrid w:val="0"/>
                    <w:spacing w:line="360" w:lineRule="auto"/>
                    <w:jc w:val="center"/>
                    <w:rPr>
                      <w:rFonts w:hint="eastAsia"/>
                      <w:sz w:val="21"/>
                      <w:szCs w:val="21"/>
                      <w:u w:val="none"/>
                      <w:vertAlign w:val="baseline"/>
                      <w:lang w:eastAsia="zh-CN"/>
                    </w:rPr>
                  </w:pPr>
                  <w:r>
                    <w:rPr>
                      <w:rFonts w:hint="eastAsia"/>
                      <w:sz w:val="21"/>
                      <w:szCs w:val="21"/>
                      <w:u w:val="none"/>
                      <w:vertAlign w:val="baseline"/>
                      <w:lang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pPr>
                    <w:adjustRightInd w:val="0"/>
                    <w:snapToGrid w:val="0"/>
                    <w:spacing w:line="360" w:lineRule="auto"/>
                    <w:jc w:val="center"/>
                    <w:rPr>
                      <w:rFonts w:hint="eastAsia"/>
                      <w:sz w:val="21"/>
                      <w:szCs w:val="21"/>
                      <w:u w:val="none"/>
                      <w:vertAlign w:val="baseline"/>
                      <w:lang w:val="en-US" w:eastAsia="zh-CN"/>
                    </w:rPr>
                  </w:pPr>
                  <w:r>
                    <w:rPr>
                      <w:rFonts w:hint="eastAsia"/>
                      <w:sz w:val="21"/>
                      <w:szCs w:val="21"/>
                      <w:u w:val="none"/>
                      <w:vertAlign w:val="baseline"/>
                      <w:lang w:val="en-US" w:eastAsia="zh-CN"/>
                    </w:rPr>
                    <w:t>1</w:t>
                  </w:r>
                </w:p>
              </w:tc>
              <w:tc>
                <w:tcPr>
                  <w:tcW w:w="2107" w:type="pct"/>
                  <w:vAlign w:val="center"/>
                </w:tcPr>
                <w:p>
                  <w:pPr>
                    <w:adjustRightInd w:val="0"/>
                    <w:snapToGrid w:val="0"/>
                    <w:spacing w:line="240" w:lineRule="auto"/>
                    <w:jc w:val="center"/>
                    <w:rPr>
                      <w:rFonts w:hint="eastAsia"/>
                      <w:sz w:val="21"/>
                      <w:szCs w:val="21"/>
                      <w:u w:val="none"/>
                      <w:vertAlign w:val="baseline"/>
                      <w:lang w:eastAsia="zh-CN"/>
                    </w:rPr>
                  </w:pPr>
                  <w:r>
                    <w:rPr>
                      <w:rFonts w:hint="eastAsia"/>
                      <w:sz w:val="21"/>
                      <w:szCs w:val="21"/>
                      <w:u w:val="none"/>
                      <w:vertAlign w:val="baseline"/>
                      <w:lang w:eastAsia="zh-CN"/>
                    </w:rPr>
                    <w:t>全市各预拌混凝土、预拌砂浆和沥青搅拌企业要切实落实大气污染防治责任，进一步加强扬（粉）尘污染控制，全面治理沥青烟气，实现污染物稳定达标排放。</w:t>
                  </w:r>
                </w:p>
              </w:tc>
              <w:tc>
                <w:tcPr>
                  <w:tcW w:w="2443" w:type="pct"/>
                  <w:vAlign w:val="center"/>
                </w:tcPr>
                <w:p>
                  <w:pPr>
                    <w:adjustRightInd w:val="0"/>
                    <w:snapToGrid w:val="0"/>
                    <w:spacing w:line="240" w:lineRule="auto"/>
                    <w:jc w:val="center"/>
                    <w:rPr>
                      <w:rFonts w:hint="eastAsia"/>
                      <w:sz w:val="21"/>
                      <w:szCs w:val="21"/>
                      <w:u w:val="none"/>
                      <w:vertAlign w:val="baseline"/>
                      <w:lang w:val="en-US" w:eastAsia="zh-CN"/>
                    </w:rPr>
                  </w:pPr>
                  <w:r>
                    <w:rPr>
                      <w:rFonts w:hint="eastAsia"/>
                      <w:sz w:val="21"/>
                      <w:szCs w:val="21"/>
                      <w:u w:val="none"/>
                      <w:vertAlign w:val="baseline"/>
                      <w:lang w:eastAsia="zh-CN"/>
                    </w:rPr>
                    <w:t>本项目设置喷淋喷雾等洒水设施，</w:t>
                  </w:r>
                  <w:r>
                    <w:rPr>
                      <w:rFonts w:hint="eastAsia"/>
                      <w:sz w:val="21"/>
                      <w:szCs w:val="21"/>
                      <w:u w:val="none"/>
                      <w:vertAlign w:val="baseline"/>
                      <w:lang w:val="en-US" w:eastAsia="zh-CN"/>
                    </w:rPr>
                    <w:t>脉冲布袋除尘器，</w:t>
                  </w:r>
                  <w:r>
                    <w:rPr>
                      <w:rFonts w:hint="eastAsia"/>
                      <w:sz w:val="21"/>
                      <w:szCs w:val="21"/>
                      <w:highlight w:val="none"/>
                      <w:u w:val="none"/>
                    </w:rPr>
                    <w:t>采用密闭输送廊道；</w:t>
                  </w:r>
                  <w:r>
                    <w:rPr>
                      <w:rFonts w:hint="eastAsia"/>
                      <w:sz w:val="21"/>
                      <w:szCs w:val="21"/>
                      <w:highlight w:val="none"/>
                      <w:u w:val="none"/>
                      <w:lang w:eastAsia="zh-CN"/>
                    </w:rPr>
                    <w:t>生产车间</w:t>
                  </w:r>
                  <w:r>
                    <w:rPr>
                      <w:rFonts w:hint="eastAsia"/>
                      <w:sz w:val="21"/>
                      <w:szCs w:val="21"/>
                      <w:highlight w:val="none"/>
                      <w:u w:val="none"/>
                    </w:rPr>
                    <w:t>安装视频监控系统、粉尘在线监控设施</w:t>
                  </w:r>
                  <w:r>
                    <w:rPr>
                      <w:rFonts w:hint="eastAsia"/>
                      <w:sz w:val="21"/>
                      <w:szCs w:val="21"/>
                      <w:highlight w:val="none"/>
                      <w:u w:val="none"/>
                      <w:lang w:eastAsia="zh-CN"/>
                    </w:rPr>
                    <w:t>。</w:t>
                  </w:r>
                  <w:r>
                    <w:rPr>
                      <w:rFonts w:hint="eastAsia"/>
                      <w:sz w:val="21"/>
                      <w:szCs w:val="21"/>
                      <w:u w:val="none"/>
                      <w:vertAlign w:val="baseline"/>
                      <w:lang w:eastAsia="zh-CN"/>
                    </w:rPr>
                    <w:t>加强扬（粉）尘污染控制，实现污染物稳定达标排放。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pPr>
                    <w:adjustRightInd w:val="0"/>
                    <w:snapToGrid w:val="0"/>
                    <w:spacing w:line="240" w:lineRule="auto"/>
                    <w:jc w:val="center"/>
                    <w:rPr>
                      <w:rFonts w:hint="eastAsia"/>
                      <w:sz w:val="21"/>
                      <w:szCs w:val="21"/>
                      <w:u w:val="none"/>
                      <w:vertAlign w:val="baseline"/>
                      <w:lang w:val="en-US" w:eastAsia="zh-CN"/>
                    </w:rPr>
                  </w:pPr>
                  <w:r>
                    <w:rPr>
                      <w:rFonts w:hint="eastAsia"/>
                      <w:sz w:val="21"/>
                      <w:szCs w:val="21"/>
                      <w:u w:val="none"/>
                      <w:vertAlign w:val="baseline"/>
                      <w:lang w:val="en-US" w:eastAsia="zh-CN"/>
                    </w:rPr>
                    <w:t>2</w:t>
                  </w:r>
                </w:p>
              </w:tc>
              <w:tc>
                <w:tcPr>
                  <w:tcW w:w="2107" w:type="pct"/>
                  <w:vAlign w:val="center"/>
                </w:tcPr>
                <w:p>
                  <w:pPr>
                    <w:adjustRightInd w:val="0"/>
                    <w:snapToGrid w:val="0"/>
                    <w:spacing w:line="240" w:lineRule="auto"/>
                    <w:jc w:val="center"/>
                    <w:rPr>
                      <w:rFonts w:hint="eastAsia"/>
                      <w:sz w:val="21"/>
                      <w:szCs w:val="21"/>
                      <w:u w:val="none"/>
                      <w:vertAlign w:val="baseline"/>
                      <w:lang w:eastAsia="zh-CN"/>
                    </w:rPr>
                  </w:pPr>
                  <w:r>
                    <w:rPr>
                      <w:rFonts w:hint="eastAsia"/>
                      <w:sz w:val="21"/>
                      <w:szCs w:val="21"/>
                      <w:u w:val="none"/>
                      <w:vertAlign w:val="baseline"/>
                      <w:lang w:eastAsia="zh-CN"/>
                    </w:rPr>
                    <w:t>实施全厂封闭式作业，搅拌主机、配料机等设施设在封闭式车间内，粉料筒仓及骨料筒仓配置脉冲式袋式除尘设施，治理设施和生产设施电源开关并联同步控制、同步运行。严禁单设除尘设施电源开关，严禁擅自停运、拆除或闲置粉尘污染防治设施。</w:t>
                  </w:r>
                </w:p>
              </w:tc>
              <w:tc>
                <w:tcPr>
                  <w:tcW w:w="2443" w:type="pct"/>
                  <w:vAlign w:val="center"/>
                </w:tcPr>
                <w:p>
                  <w:pPr>
                    <w:adjustRightInd w:val="0"/>
                    <w:snapToGrid w:val="0"/>
                    <w:spacing w:line="240" w:lineRule="auto"/>
                    <w:jc w:val="center"/>
                    <w:rPr>
                      <w:rFonts w:hint="eastAsia" w:eastAsia="宋体"/>
                      <w:sz w:val="21"/>
                      <w:szCs w:val="21"/>
                      <w:u w:val="none"/>
                      <w:vertAlign w:val="baseline"/>
                      <w:lang w:eastAsia="zh-CN"/>
                    </w:rPr>
                  </w:pPr>
                  <w:r>
                    <w:rPr>
                      <w:rFonts w:hint="eastAsia"/>
                      <w:sz w:val="21"/>
                      <w:szCs w:val="21"/>
                      <w:u w:val="none"/>
                      <w:vertAlign w:val="baseline"/>
                      <w:lang w:eastAsia="zh-CN"/>
                    </w:rPr>
                    <w:t>本项目生产车间封闭，</w:t>
                  </w:r>
                  <w:r>
                    <w:rPr>
                      <w:rFonts w:hint="eastAsia"/>
                      <w:sz w:val="21"/>
                      <w:szCs w:val="21"/>
                      <w:highlight w:val="none"/>
                      <w:u w:val="none"/>
                    </w:rPr>
                    <w:t>封闭式原料输送、计量、投料设施</w:t>
                  </w:r>
                  <w:r>
                    <w:rPr>
                      <w:rFonts w:hint="eastAsia"/>
                      <w:sz w:val="21"/>
                      <w:szCs w:val="21"/>
                      <w:highlight w:val="none"/>
                      <w:u w:val="none"/>
                      <w:lang w:eastAsia="zh-CN"/>
                    </w:rPr>
                    <w:t>，</w:t>
                  </w:r>
                  <w:r>
                    <w:rPr>
                      <w:rFonts w:hint="eastAsia"/>
                      <w:sz w:val="21"/>
                      <w:szCs w:val="21"/>
                      <w:u w:val="none"/>
                      <w:vertAlign w:val="baseline"/>
                      <w:lang w:eastAsia="zh-CN"/>
                    </w:rPr>
                    <w:t>粉料筒仓及骨料筒仓配置脉冲式袋式除尘设施。符合</w:t>
                  </w:r>
                  <w:r>
                    <w:rPr>
                      <w:rFonts w:hint="eastAsia"/>
                      <w:sz w:val="21"/>
                      <w:szCs w:val="21"/>
                      <w:u w:val="none"/>
                    </w:rPr>
                    <w:t>常环函〔2018〕74号</w:t>
                  </w:r>
                  <w:r>
                    <w:rPr>
                      <w:rFonts w:hint="eastAsia"/>
                      <w:sz w:val="21"/>
                      <w:szCs w:val="21"/>
                      <w:u w:val="none"/>
                      <w:lang w:eastAsia="zh-CN"/>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pPr>
                    <w:adjustRightInd w:val="0"/>
                    <w:snapToGrid w:val="0"/>
                    <w:spacing w:line="240" w:lineRule="auto"/>
                    <w:jc w:val="center"/>
                    <w:rPr>
                      <w:rFonts w:hint="eastAsia"/>
                      <w:sz w:val="21"/>
                      <w:szCs w:val="21"/>
                      <w:u w:val="none"/>
                      <w:vertAlign w:val="baseline"/>
                      <w:lang w:val="en-US" w:eastAsia="zh-CN"/>
                    </w:rPr>
                  </w:pPr>
                  <w:r>
                    <w:rPr>
                      <w:rFonts w:hint="eastAsia"/>
                      <w:sz w:val="21"/>
                      <w:szCs w:val="21"/>
                      <w:u w:val="none"/>
                      <w:vertAlign w:val="baseline"/>
                      <w:lang w:val="en-US" w:eastAsia="zh-CN"/>
                    </w:rPr>
                    <w:t>3</w:t>
                  </w:r>
                </w:p>
              </w:tc>
              <w:tc>
                <w:tcPr>
                  <w:tcW w:w="2107" w:type="pct"/>
                  <w:vAlign w:val="center"/>
                </w:tcPr>
                <w:p>
                  <w:pPr>
                    <w:adjustRightInd w:val="0"/>
                    <w:snapToGrid w:val="0"/>
                    <w:spacing w:line="240" w:lineRule="auto"/>
                    <w:jc w:val="center"/>
                    <w:rPr>
                      <w:rFonts w:hint="eastAsia"/>
                      <w:sz w:val="21"/>
                      <w:szCs w:val="21"/>
                      <w:u w:val="none"/>
                      <w:vertAlign w:val="baseline"/>
                      <w:lang w:eastAsia="zh-CN"/>
                    </w:rPr>
                  </w:pPr>
                  <w:r>
                    <w:rPr>
                      <w:rFonts w:hint="eastAsia"/>
                      <w:sz w:val="21"/>
                      <w:szCs w:val="21"/>
                      <w:u w:val="none"/>
                      <w:vertAlign w:val="baseline"/>
                      <w:lang w:eastAsia="zh-CN"/>
                    </w:rPr>
                    <w:t>生产物料入库入棚，分区堆放在封闭式车间内，车间出入口设置防尘抑尘门帘，装卸、配料等在车间内完成，并配置喷淋降尘或负压收尘等设施。物料运输传送带、廊道采取封闭措施防止扬尘污染。</w:t>
                  </w:r>
                </w:p>
              </w:tc>
              <w:tc>
                <w:tcPr>
                  <w:tcW w:w="2443" w:type="pct"/>
                  <w:vAlign w:val="center"/>
                </w:tcPr>
                <w:p>
                  <w:pPr>
                    <w:adjustRightInd w:val="0"/>
                    <w:snapToGrid w:val="0"/>
                    <w:spacing w:line="240" w:lineRule="auto"/>
                    <w:jc w:val="center"/>
                    <w:rPr>
                      <w:rFonts w:hint="eastAsia"/>
                      <w:sz w:val="21"/>
                      <w:szCs w:val="21"/>
                      <w:u w:val="none"/>
                      <w:vertAlign w:val="baseline"/>
                      <w:lang w:eastAsia="zh-CN"/>
                    </w:rPr>
                  </w:pPr>
                  <w:r>
                    <w:rPr>
                      <w:rFonts w:hint="eastAsia"/>
                      <w:sz w:val="21"/>
                      <w:szCs w:val="21"/>
                      <w:u w:val="none"/>
                      <w:vertAlign w:val="baseline"/>
                      <w:lang w:eastAsia="zh-CN"/>
                    </w:rPr>
                    <w:t>本项目车辆进口设置防尘抑尘门帘，装卸、配料等在车间内完成，并配置喷淋降尘等设施，物料运输传送带、廊道采取封闭，符合规定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pPr>
                    <w:adjustRightInd w:val="0"/>
                    <w:snapToGrid w:val="0"/>
                    <w:spacing w:line="240" w:lineRule="auto"/>
                    <w:jc w:val="center"/>
                    <w:rPr>
                      <w:rFonts w:hint="eastAsia"/>
                      <w:sz w:val="21"/>
                      <w:szCs w:val="21"/>
                      <w:u w:val="none"/>
                      <w:vertAlign w:val="baseline"/>
                      <w:lang w:val="en-US" w:eastAsia="zh-CN"/>
                    </w:rPr>
                  </w:pPr>
                  <w:r>
                    <w:rPr>
                      <w:rFonts w:hint="eastAsia"/>
                      <w:sz w:val="21"/>
                      <w:szCs w:val="21"/>
                      <w:u w:val="none"/>
                      <w:vertAlign w:val="baseline"/>
                      <w:lang w:val="en-US" w:eastAsia="zh-CN"/>
                    </w:rPr>
                    <w:t>4</w:t>
                  </w:r>
                </w:p>
              </w:tc>
              <w:tc>
                <w:tcPr>
                  <w:tcW w:w="2107" w:type="pct"/>
                  <w:vAlign w:val="center"/>
                </w:tcPr>
                <w:p>
                  <w:pPr>
                    <w:adjustRightInd w:val="0"/>
                    <w:snapToGrid w:val="0"/>
                    <w:spacing w:line="240" w:lineRule="auto"/>
                    <w:jc w:val="center"/>
                    <w:rPr>
                      <w:rFonts w:hint="eastAsia"/>
                      <w:sz w:val="21"/>
                      <w:szCs w:val="21"/>
                      <w:u w:val="none"/>
                      <w:vertAlign w:val="baseline"/>
                      <w:lang w:eastAsia="zh-CN"/>
                    </w:rPr>
                  </w:pPr>
                  <w:r>
                    <w:rPr>
                      <w:rFonts w:hint="eastAsia"/>
                      <w:sz w:val="21"/>
                      <w:szCs w:val="21"/>
                      <w:u w:val="none"/>
                      <w:vertAlign w:val="baseline"/>
                      <w:lang w:eastAsia="zh-CN"/>
                    </w:rPr>
                    <w:t>生产废料堆放采取覆盖或密闭等措施防止扬尘污染，并实施有效处置，严禁乱堆乱倒。</w:t>
                  </w:r>
                </w:p>
              </w:tc>
              <w:tc>
                <w:tcPr>
                  <w:tcW w:w="2443" w:type="pct"/>
                  <w:vAlign w:val="center"/>
                </w:tcPr>
                <w:p>
                  <w:pPr>
                    <w:adjustRightInd w:val="0"/>
                    <w:snapToGrid w:val="0"/>
                    <w:spacing w:line="240" w:lineRule="auto"/>
                    <w:jc w:val="center"/>
                    <w:rPr>
                      <w:rFonts w:hint="eastAsia"/>
                      <w:sz w:val="21"/>
                      <w:szCs w:val="21"/>
                      <w:u w:val="none"/>
                      <w:vertAlign w:val="baseline"/>
                      <w:lang w:eastAsia="zh-CN"/>
                    </w:rPr>
                  </w:pPr>
                  <w:r>
                    <w:rPr>
                      <w:rFonts w:hint="eastAsia"/>
                      <w:sz w:val="21"/>
                      <w:szCs w:val="21"/>
                      <w:u w:val="none"/>
                      <w:vertAlign w:val="baseline"/>
                      <w:lang w:eastAsia="zh-CN"/>
                    </w:rPr>
                    <w:t>本项目设置有固废暂存间，</w:t>
                  </w:r>
                  <w:r>
                    <w:rPr>
                      <w:rFonts w:hint="eastAsia"/>
                      <w:szCs w:val="21"/>
                      <w:highlight w:val="none"/>
                      <w:u w:val="none"/>
                    </w:rPr>
                    <w:t>外售用作路基填料使用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pPr>
                    <w:adjustRightInd w:val="0"/>
                    <w:snapToGrid w:val="0"/>
                    <w:spacing w:line="240" w:lineRule="auto"/>
                    <w:jc w:val="center"/>
                    <w:rPr>
                      <w:rFonts w:hint="eastAsia"/>
                      <w:sz w:val="21"/>
                      <w:szCs w:val="21"/>
                      <w:u w:val="none"/>
                      <w:vertAlign w:val="baseline"/>
                      <w:lang w:val="en-US" w:eastAsia="zh-CN"/>
                    </w:rPr>
                  </w:pPr>
                  <w:r>
                    <w:rPr>
                      <w:rFonts w:hint="eastAsia"/>
                      <w:sz w:val="21"/>
                      <w:szCs w:val="21"/>
                      <w:u w:val="none"/>
                      <w:vertAlign w:val="baseline"/>
                      <w:lang w:val="en-US" w:eastAsia="zh-CN"/>
                    </w:rPr>
                    <w:t>5</w:t>
                  </w:r>
                </w:p>
              </w:tc>
              <w:tc>
                <w:tcPr>
                  <w:tcW w:w="2107" w:type="pct"/>
                  <w:vAlign w:val="center"/>
                </w:tcPr>
                <w:p>
                  <w:pPr>
                    <w:adjustRightInd w:val="0"/>
                    <w:snapToGrid w:val="0"/>
                    <w:spacing w:line="240" w:lineRule="auto"/>
                    <w:jc w:val="center"/>
                    <w:rPr>
                      <w:rFonts w:hint="eastAsia"/>
                      <w:sz w:val="21"/>
                      <w:szCs w:val="21"/>
                      <w:u w:val="none"/>
                      <w:vertAlign w:val="baseline"/>
                      <w:lang w:eastAsia="zh-CN"/>
                    </w:rPr>
                  </w:pPr>
                  <w:r>
                    <w:rPr>
                      <w:rFonts w:hint="eastAsia"/>
                      <w:sz w:val="21"/>
                      <w:szCs w:val="21"/>
                      <w:u w:val="none"/>
                      <w:vertAlign w:val="baseline"/>
                      <w:lang w:eastAsia="zh-CN"/>
                    </w:rPr>
                    <w:t>生产车间安装视频监控系统、粉尘在线监控设施，厂区道路及生产作业区地面硬化，并保持完好清洁，未硬化裸土地面采取铺装、覆盖或绿化等措施防尘抑尘；厂区根据需要配备洒水车、雾炮车或喷淋洒水管网装置适时控尘抑尘。</w:t>
                  </w:r>
                </w:p>
              </w:tc>
              <w:tc>
                <w:tcPr>
                  <w:tcW w:w="2443" w:type="pct"/>
                  <w:vAlign w:val="center"/>
                </w:tcPr>
                <w:p>
                  <w:pPr>
                    <w:adjustRightInd w:val="0"/>
                    <w:snapToGrid w:val="0"/>
                    <w:spacing w:line="240" w:lineRule="auto"/>
                    <w:jc w:val="center"/>
                    <w:rPr>
                      <w:rFonts w:hint="eastAsia"/>
                      <w:sz w:val="21"/>
                      <w:szCs w:val="21"/>
                      <w:u w:val="none"/>
                      <w:vertAlign w:val="baseline"/>
                      <w:lang w:eastAsia="zh-CN"/>
                    </w:rPr>
                  </w:pPr>
                  <w:r>
                    <w:rPr>
                      <w:rFonts w:hint="eastAsia"/>
                      <w:sz w:val="21"/>
                      <w:szCs w:val="21"/>
                      <w:u w:val="none"/>
                      <w:vertAlign w:val="baseline"/>
                      <w:lang w:eastAsia="zh-CN"/>
                    </w:rPr>
                    <w:t>本项目生产车间安装视频监控系统、粉尘在线监控设施，场地硬化，配置有喷雾喷淋装置，符合规定。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pPr>
                    <w:adjustRightInd w:val="0"/>
                    <w:snapToGrid w:val="0"/>
                    <w:spacing w:line="240" w:lineRule="auto"/>
                    <w:jc w:val="center"/>
                    <w:rPr>
                      <w:rFonts w:hint="eastAsia"/>
                      <w:sz w:val="21"/>
                      <w:szCs w:val="21"/>
                      <w:u w:val="none"/>
                      <w:vertAlign w:val="baseline"/>
                      <w:lang w:val="en-US" w:eastAsia="zh-CN"/>
                    </w:rPr>
                  </w:pPr>
                  <w:r>
                    <w:rPr>
                      <w:rFonts w:hint="eastAsia"/>
                      <w:sz w:val="21"/>
                      <w:szCs w:val="21"/>
                      <w:u w:val="none"/>
                      <w:vertAlign w:val="baseline"/>
                      <w:lang w:val="en-US" w:eastAsia="zh-CN"/>
                    </w:rPr>
                    <w:t>6</w:t>
                  </w:r>
                </w:p>
              </w:tc>
              <w:tc>
                <w:tcPr>
                  <w:tcW w:w="2107" w:type="pct"/>
                  <w:vAlign w:val="center"/>
                </w:tcPr>
                <w:p>
                  <w:pPr>
                    <w:adjustRightInd w:val="0"/>
                    <w:snapToGrid w:val="0"/>
                    <w:spacing w:line="240" w:lineRule="auto"/>
                    <w:jc w:val="center"/>
                    <w:rPr>
                      <w:rFonts w:hint="eastAsia"/>
                      <w:sz w:val="21"/>
                      <w:szCs w:val="21"/>
                      <w:u w:val="none"/>
                      <w:vertAlign w:val="baseline"/>
                      <w:lang w:eastAsia="zh-CN"/>
                    </w:rPr>
                  </w:pPr>
                  <w:r>
                    <w:rPr>
                      <w:rFonts w:hint="eastAsia"/>
                      <w:sz w:val="21"/>
                      <w:szCs w:val="21"/>
                      <w:u w:val="none"/>
                      <w:vertAlign w:val="baseline"/>
                      <w:lang w:eastAsia="zh-CN"/>
                    </w:rPr>
                    <w:t>厂区出入口设置冲洗平台，安装自动洗车机，运输车辆车轮车身（含罐体外侧）必须经冲洗清洁后方可驶出，严禁车辆带泥带尘上路或沿路撒漏。厂区出口周边实行门前环境卫生“三包”，必须落实厂区附近运输路段洒水抑尘和清扫保洁，保持厂区出口外道路干净清洁，无可见扬尘。</w:t>
                  </w:r>
                </w:p>
              </w:tc>
              <w:tc>
                <w:tcPr>
                  <w:tcW w:w="2443" w:type="pct"/>
                  <w:vAlign w:val="center"/>
                </w:tcPr>
                <w:p>
                  <w:pPr>
                    <w:adjustRightInd w:val="0"/>
                    <w:snapToGrid w:val="0"/>
                    <w:spacing w:line="240" w:lineRule="auto"/>
                    <w:jc w:val="center"/>
                    <w:rPr>
                      <w:rFonts w:hint="eastAsia"/>
                      <w:sz w:val="21"/>
                      <w:szCs w:val="21"/>
                      <w:u w:val="none"/>
                      <w:vertAlign w:val="baseline"/>
                      <w:lang w:eastAsia="zh-CN"/>
                    </w:rPr>
                  </w:pPr>
                  <w:r>
                    <w:rPr>
                      <w:rFonts w:hint="eastAsia"/>
                      <w:sz w:val="21"/>
                      <w:szCs w:val="21"/>
                      <w:u w:val="none"/>
                      <w:vertAlign w:val="baseline"/>
                      <w:lang w:eastAsia="zh-CN"/>
                    </w:rPr>
                    <w:t>本项目出入口设置有自动洗车装置，在控制道路扬尘措施中有建议对附近运输道路进行洒水与清洁，并对道路两旁进行绿化。符合规定。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pPr>
                    <w:adjustRightInd w:val="0"/>
                    <w:snapToGrid w:val="0"/>
                    <w:spacing w:line="240" w:lineRule="auto"/>
                    <w:jc w:val="center"/>
                    <w:rPr>
                      <w:rFonts w:hint="eastAsia"/>
                      <w:sz w:val="21"/>
                      <w:szCs w:val="21"/>
                      <w:u w:val="none"/>
                      <w:vertAlign w:val="baseline"/>
                      <w:lang w:val="en-US" w:eastAsia="zh-CN"/>
                    </w:rPr>
                  </w:pPr>
                  <w:r>
                    <w:rPr>
                      <w:rFonts w:hint="eastAsia"/>
                      <w:sz w:val="21"/>
                      <w:szCs w:val="21"/>
                      <w:u w:val="none"/>
                      <w:vertAlign w:val="baseline"/>
                      <w:lang w:val="en-US" w:eastAsia="zh-CN"/>
                    </w:rPr>
                    <w:t>7</w:t>
                  </w:r>
                </w:p>
              </w:tc>
              <w:tc>
                <w:tcPr>
                  <w:tcW w:w="2107" w:type="pct"/>
                  <w:vAlign w:val="center"/>
                </w:tcPr>
                <w:p>
                  <w:pPr>
                    <w:adjustRightInd w:val="0"/>
                    <w:snapToGrid w:val="0"/>
                    <w:spacing w:line="240" w:lineRule="auto"/>
                    <w:jc w:val="center"/>
                    <w:rPr>
                      <w:rFonts w:hint="eastAsia"/>
                      <w:sz w:val="21"/>
                      <w:szCs w:val="21"/>
                      <w:u w:val="none"/>
                      <w:vertAlign w:val="baseline"/>
                      <w:lang w:eastAsia="zh-CN"/>
                    </w:rPr>
                  </w:pPr>
                  <w:r>
                    <w:rPr>
                      <w:rFonts w:hint="eastAsia" w:hAnsi="仿宋" w:cs="宋体"/>
                      <w:kern w:val="0"/>
                      <w:u w:val="none"/>
                    </w:rPr>
                    <w:t>运输砂石、水泥、粉煤灰等物料和运输混凝土、砂浆、沥青混凝土等产品的车辆必须保持车轮车身（</w:t>
                  </w:r>
                  <w:r>
                    <w:rPr>
                      <w:rFonts w:hint="eastAsia" w:hAnsi="仿宋"/>
                      <w:u w:val="none"/>
                    </w:rPr>
                    <w:t>含</w:t>
                  </w:r>
                  <w:r>
                    <w:rPr>
                      <w:rFonts w:hint="eastAsia" w:hAnsi="仿宋" w:cs="宋体"/>
                      <w:kern w:val="0"/>
                      <w:u w:val="none"/>
                    </w:rPr>
                    <w:t>罐体外侧）干净整洁；必须采取密闭</w:t>
                  </w:r>
                  <w:r>
                    <w:rPr>
                      <w:rFonts w:hint="eastAsia" w:hAnsi="仿宋" w:cs="宋体"/>
                      <w:spacing w:val="-6"/>
                      <w:kern w:val="0"/>
                      <w:u w:val="none"/>
                    </w:rPr>
                    <w:t>运输方式，</w:t>
                  </w:r>
                  <w:r>
                    <w:rPr>
                      <w:rFonts w:hint="eastAsia" w:hAnsi="仿宋" w:cs="宋体"/>
                      <w:kern w:val="0"/>
                      <w:u w:val="none"/>
                    </w:rPr>
                    <w:t>严禁超载、冒尖运输和敞开式运输撒漏。</w:t>
                  </w:r>
                </w:p>
              </w:tc>
              <w:tc>
                <w:tcPr>
                  <w:tcW w:w="2443" w:type="pct"/>
                  <w:vAlign w:val="center"/>
                </w:tcPr>
                <w:p>
                  <w:pPr>
                    <w:adjustRightInd w:val="0"/>
                    <w:snapToGrid w:val="0"/>
                    <w:spacing w:line="240" w:lineRule="auto"/>
                    <w:jc w:val="center"/>
                    <w:rPr>
                      <w:rFonts w:hint="eastAsia"/>
                      <w:sz w:val="21"/>
                      <w:szCs w:val="21"/>
                      <w:u w:val="none"/>
                      <w:vertAlign w:val="baseline"/>
                      <w:lang w:eastAsia="zh-CN"/>
                    </w:rPr>
                  </w:pPr>
                  <w:r>
                    <w:rPr>
                      <w:rFonts w:hint="eastAsia"/>
                      <w:sz w:val="21"/>
                      <w:szCs w:val="21"/>
                      <w:u w:val="none"/>
                      <w:vertAlign w:val="baseline"/>
                      <w:lang w:eastAsia="zh-CN"/>
                    </w:rPr>
                    <w:t>本项目在运输建议中有提议运输车辆需保持整洁，并密闭运输。符合规定。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pPr>
                    <w:adjustRightInd w:val="0"/>
                    <w:snapToGrid w:val="0"/>
                    <w:spacing w:line="240" w:lineRule="auto"/>
                    <w:jc w:val="center"/>
                    <w:rPr>
                      <w:rFonts w:hint="eastAsia"/>
                      <w:sz w:val="21"/>
                      <w:szCs w:val="21"/>
                      <w:u w:val="none"/>
                      <w:vertAlign w:val="baseline"/>
                      <w:lang w:val="en-US" w:eastAsia="zh-CN"/>
                    </w:rPr>
                  </w:pPr>
                  <w:r>
                    <w:rPr>
                      <w:rFonts w:hint="eastAsia"/>
                      <w:sz w:val="21"/>
                      <w:szCs w:val="21"/>
                      <w:u w:val="none"/>
                      <w:vertAlign w:val="baseline"/>
                      <w:lang w:val="en-US" w:eastAsia="zh-CN"/>
                    </w:rPr>
                    <w:t>8</w:t>
                  </w:r>
                </w:p>
              </w:tc>
              <w:tc>
                <w:tcPr>
                  <w:tcW w:w="2107" w:type="pct"/>
                  <w:vAlign w:val="center"/>
                </w:tcPr>
                <w:p>
                  <w:pPr>
                    <w:adjustRightInd w:val="0"/>
                    <w:snapToGrid w:val="0"/>
                    <w:spacing w:line="240" w:lineRule="auto"/>
                    <w:jc w:val="center"/>
                    <w:rPr>
                      <w:rFonts w:hint="eastAsia"/>
                      <w:sz w:val="21"/>
                      <w:szCs w:val="21"/>
                      <w:u w:val="none"/>
                      <w:vertAlign w:val="baseline"/>
                      <w:lang w:eastAsia="zh-CN"/>
                    </w:rPr>
                  </w:pPr>
                  <w:r>
                    <w:rPr>
                      <w:rFonts w:hint="eastAsia"/>
                      <w:sz w:val="21"/>
                      <w:szCs w:val="21"/>
                      <w:u w:val="none"/>
                      <w:vertAlign w:val="baseline"/>
                      <w:lang w:eastAsia="zh-CN"/>
                    </w:rPr>
                    <w:t>生产车间配置三级硬化防渗沉淀池和废水循环再利用设施、混凝土回收设备，厂区地面设置硬化防渗导流沟，厂区冲洗废水、初期雨水经收集后循环使用不外排。</w:t>
                  </w:r>
                </w:p>
              </w:tc>
              <w:tc>
                <w:tcPr>
                  <w:tcW w:w="2443" w:type="pct"/>
                  <w:vAlign w:val="center"/>
                </w:tcPr>
                <w:p>
                  <w:pPr>
                    <w:adjustRightInd w:val="0"/>
                    <w:snapToGrid w:val="0"/>
                    <w:spacing w:line="240" w:lineRule="auto"/>
                    <w:jc w:val="center"/>
                    <w:rPr>
                      <w:rFonts w:hint="eastAsia"/>
                      <w:sz w:val="21"/>
                      <w:szCs w:val="21"/>
                      <w:u w:val="none"/>
                      <w:vertAlign w:val="baseline"/>
                      <w:lang w:eastAsia="zh-CN"/>
                    </w:rPr>
                  </w:pPr>
                  <w:r>
                    <w:rPr>
                      <w:rFonts w:hint="eastAsia"/>
                      <w:sz w:val="21"/>
                      <w:szCs w:val="21"/>
                      <w:u w:val="none"/>
                      <w:vertAlign w:val="baseline"/>
                      <w:lang w:eastAsia="zh-CN"/>
                    </w:rPr>
                    <w:t>本项目设置排水沟与导流沟，生产废水均回收利用，不外排，符合规定。</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eastAsia="宋体" w:cs="Times New Roman"/>
                <w:b/>
                <w:bCs/>
                <w:color w:val="000000"/>
                <w:sz w:val="24"/>
                <w:szCs w:val="24"/>
              </w:rPr>
            </w:pPr>
            <w:r>
              <w:rPr>
                <w:rFonts w:hint="eastAsia"/>
                <w:b/>
                <w:bCs/>
                <w:lang w:val="en-US" w:eastAsia="zh-CN"/>
              </w:rPr>
              <w:t>7、</w:t>
            </w:r>
            <w:r>
              <w:rPr>
                <w:rFonts w:ascii="Times New Roman" w:hAnsi="Times New Roman" w:eastAsia="宋体" w:cs="Times New Roman"/>
                <w:b/>
                <w:bCs/>
                <w:color w:val="000000"/>
                <w:sz w:val="24"/>
                <w:szCs w:val="24"/>
              </w:rPr>
              <w:t>产业政策符合性分析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b w:val="0"/>
                <w:bCs w:val="0"/>
                <w:color w:val="000000"/>
                <w:sz w:val="24"/>
                <w:szCs w:val="24"/>
              </w:rPr>
            </w:pPr>
            <w:r>
              <w:rPr>
                <w:rFonts w:ascii="Times New Roman" w:hAnsi="Times New Roman" w:eastAsia="宋体" w:cs="Times New Roman"/>
                <w:b w:val="0"/>
                <w:bCs w:val="0"/>
                <w:color w:val="000000"/>
                <w:sz w:val="24"/>
                <w:szCs w:val="24"/>
              </w:rPr>
              <w:t>中华人民共和国发展和改革委员会第</w:t>
            </w:r>
            <w:r>
              <w:rPr>
                <w:rFonts w:hint="eastAsia" w:ascii="Times New Roman" w:hAnsi="Times New Roman" w:eastAsia="宋体" w:cs="Times New Roman"/>
                <w:b w:val="0"/>
                <w:bCs w:val="0"/>
                <w:color w:val="000000"/>
                <w:sz w:val="24"/>
                <w:szCs w:val="24"/>
                <w:lang w:val="en-US" w:eastAsia="zh-CN"/>
              </w:rPr>
              <w:t>2</w:t>
            </w:r>
            <w:r>
              <w:rPr>
                <w:rFonts w:ascii="Times New Roman" w:hAnsi="Times New Roman" w:eastAsia="宋体" w:cs="Times New Roman"/>
                <w:b w:val="0"/>
                <w:bCs w:val="0"/>
                <w:color w:val="000000"/>
                <w:sz w:val="24"/>
                <w:szCs w:val="24"/>
              </w:rPr>
              <w:t>9号令《产业结构调整指导目录(201</w:t>
            </w:r>
            <w:r>
              <w:rPr>
                <w:rFonts w:hint="eastAsia" w:ascii="Times New Roman" w:hAnsi="Times New Roman" w:eastAsia="宋体" w:cs="Times New Roman"/>
                <w:b w:val="0"/>
                <w:bCs w:val="0"/>
                <w:color w:val="000000"/>
                <w:sz w:val="24"/>
                <w:szCs w:val="24"/>
                <w:lang w:val="en-US" w:eastAsia="zh-CN"/>
              </w:rPr>
              <w:t>9</w:t>
            </w:r>
            <w:r>
              <w:rPr>
                <w:rFonts w:ascii="Times New Roman" w:hAnsi="Times New Roman" w:eastAsia="宋体" w:cs="Times New Roman"/>
                <w:b w:val="0"/>
                <w:bCs w:val="0"/>
                <w:color w:val="000000"/>
                <w:sz w:val="24"/>
                <w:szCs w:val="24"/>
              </w:rPr>
              <w:t>年本)》由鼓励、限制和淘汰三类目录组成。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b w:val="0"/>
                <w:bCs w:val="0"/>
                <w:color w:val="000000"/>
                <w:sz w:val="28"/>
                <w:szCs w:val="28"/>
              </w:rPr>
            </w:pPr>
            <w:r>
              <w:rPr>
                <w:rFonts w:ascii="Times New Roman" w:hAnsi="Times New Roman" w:eastAsia="宋体" w:cs="Times New Roman"/>
                <w:b w:val="0"/>
                <w:bCs w:val="0"/>
                <w:color w:val="000000"/>
                <w:sz w:val="24"/>
                <w:szCs w:val="24"/>
              </w:rPr>
              <w:t>经查询，本项目不属于鼓励类、限制类和淘汰类，且符合国家有关法律、法规和政策规定，属于允许类，所以本项目符合国家产业政策。</w:t>
            </w:r>
          </w:p>
          <w:p>
            <w:pPr>
              <w:pStyle w:val="4"/>
              <w:rPr>
                <w:rFonts w:hint="eastAsia" w:eastAsia="黑体"/>
                <w:lang w:val="en-US" w:eastAsia="zh-CN"/>
              </w:rPr>
            </w:pPr>
          </w:p>
          <w:p>
            <w:pPr>
              <w:spacing w:line="360" w:lineRule="auto"/>
              <w:ind w:firstLine="352" w:firstLineChars="147"/>
              <w:rPr>
                <w:rFonts w:hint="eastAsia"/>
                <w:sz w:val="24"/>
              </w:rPr>
            </w:pPr>
          </w:p>
          <w:p>
            <w:pPr>
              <w:bidi w:val="0"/>
              <w:rPr>
                <w:rFonts w:hint="default"/>
              </w:rPr>
            </w:pPr>
          </w:p>
        </w:tc>
      </w:tr>
    </w:tbl>
    <w:p>
      <w:pPr>
        <w:spacing w:line="360" w:lineRule="auto"/>
        <w:outlineLvl w:val="0"/>
        <w:rPr>
          <w:rFonts w:hint="default" w:ascii="Times New Roman" w:hAnsi="Times New Roman" w:eastAsia="黑体" w:cs="Times New Roman"/>
          <w:color w:val="auto"/>
          <w:sz w:val="30"/>
          <w:highlight w:val="none"/>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13"/>
        <w:shd w:val="clear" w:color="auto" w:fill="auto"/>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二、建设项目工程分析</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86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748" w:type="dxa"/>
            <w:noWrap w:val="0"/>
            <w:vAlign w:val="center"/>
          </w:tcPr>
          <w:p>
            <w:pPr>
              <w:pStyle w:val="13"/>
              <w:adjustRightInd w:val="0"/>
              <w:snapToGrid w:val="0"/>
              <w:spacing w:before="0" w:beforeAutospacing="0" w:after="0" w:afterAutospacing="0"/>
              <w:jc w:val="center"/>
              <w:rPr>
                <w:rFonts w:hint="default" w:ascii="Times New Roman" w:hAnsi="Times New Roman" w:eastAsia="宋体" w:cs="Times New Roman"/>
                <w:strike w:val="0"/>
                <w:dstrike w:val="0"/>
                <w:color w:val="auto"/>
                <w:sz w:val="24"/>
                <w:szCs w:val="24"/>
                <w:highlight w:val="none"/>
              </w:rPr>
            </w:pPr>
            <w:r>
              <w:rPr>
                <w:rFonts w:hint="default" w:ascii="Times New Roman" w:hAnsi="Times New Roman" w:eastAsia="宋体" w:cs="Times New Roman"/>
                <w:strike w:val="0"/>
                <w:dstrike w:val="0"/>
                <w:color w:val="auto"/>
                <w:sz w:val="24"/>
                <w:szCs w:val="24"/>
                <w:highlight w:val="none"/>
              </w:rPr>
              <w:t>建设内容</w:t>
            </w:r>
          </w:p>
        </w:tc>
        <w:tc>
          <w:tcPr>
            <w:tcW w:w="8312" w:type="dxa"/>
            <w:noWrap w:val="0"/>
            <w:vAlign w:val="top"/>
          </w:tcPr>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default" w:ascii="Times New Roman" w:hAnsi="Times New Roman" w:eastAsia="宋体" w:cs="Times New Roman"/>
                <w:b/>
                <w:bCs w:val="0"/>
                <w:strike w:val="0"/>
                <w:dstrike w:val="0"/>
                <w:color w:val="auto"/>
                <w:sz w:val="24"/>
                <w:szCs w:val="24"/>
                <w:highlight w:val="none"/>
                <w:lang w:val="en-US" w:eastAsia="zh-CN"/>
              </w:rPr>
            </w:pPr>
            <w:r>
              <w:rPr>
                <w:rFonts w:hint="eastAsia" w:ascii="Times New Roman" w:hAnsi="Times New Roman" w:eastAsia="宋体" w:cs="Times New Roman"/>
                <w:b/>
                <w:bCs w:val="0"/>
                <w:strike w:val="0"/>
                <w:dstrike w:val="0"/>
                <w:color w:val="auto"/>
                <w:sz w:val="24"/>
                <w:szCs w:val="24"/>
                <w:highlight w:val="none"/>
                <w:lang w:val="en-US" w:eastAsia="zh-CN"/>
              </w:rPr>
              <w:t>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u w:val="none"/>
                <w:lang w:eastAsia="zh-CN"/>
              </w:rPr>
            </w:pPr>
            <w:r>
              <w:rPr>
                <w:rFonts w:hint="eastAsia" w:cs="Times New Roman"/>
                <w:bCs/>
                <w:strike w:val="0"/>
                <w:dstrike w:val="0"/>
                <w:color w:val="auto"/>
                <w:sz w:val="24"/>
                <w:szCs w:val="24"/>
                <w:highlight w:val="none"/>
                <w:u w:val="none"/>
                <w:lang w:val="en-US" w:eastAsia="zh-CN"/>
              </w:rPr>
              <w:t>湖南金地利新农村建设项目投资有限公司澧县王家厂分公司在澧县王家厂镇柳津村建设有1条机制砂生产线和1条混凝土生产线，根据企业介绍，混凝土生产线将原有的进行拆除，新上设备进行生产，由于该公司取得涔水干流砂石采区一标开区权，因此配套建设机制砂生产，企业建设混凝土生产车间、机制砂生产车间、原料堆场、产品堆场及办公室等配套设施。本项目运输车辆租赁社会车辆进行运输，</w:t>
            </w:r>
            <w:r>
              <w:rPr>
                <w:rFonts w:hint="eastAsia"/>
                <w:sz w:val="24"/>
                <w:szCs w:val="24"/>
                <w:u w:val="none"/>
              </w:rPr>
              <w:t>机电设备的大修、中修由专业协作厂承担</w:t>
            </w:r>
            <w:r>
              <w:rPr>
                <w:rFonts w:hint="eastAsia"/>
                <w:sz w:val="24"/>
                <w:szCs w:val="24"/>
                <w:u w:val="none"/>
                <w:lang w:eastAsia="zh-CN"/>
              </w:rPr>
              <w:t>。本项目评价范围为混凝土生产和机制砂生产，不包含采砂，采砂已完成了相关审批手续，本项目具体建设内容见下表。</w:t>
            </w:r>
          </w:p>
          <w:p>
            <w:pPr>
              <w:bidi w:val="0"/>
              <w:spacing w:line="240" w:lineRule="auto"/>
              <w:jc w:val="center"/>
              <w:rPr>
                <w:rFonts w:hint="default"/>
                <w:b/>
                <w:bCs/>
                <w:u w:val="none"/>
                <w:lang w:val="en-US" w:eastAsia="zh-CN"/>
              </w:rPr>
            </w:pPr>
            <w:r>
              <w:rPr>
                <w:rFonts w:hint="eastAsia"/>
                <w:u w:val="none"/>
                <w:lang w:val="en-US" w:eastAsia="zh-CN"/>
              </w:rPr>
              <w:t>表</w:t>
            </w:r>
            <w:r>
              <w:rPr>
                <w:rFonts w:hint="eastAsia"/>
                <w:b/>
                <w:bCs/>
                <w:u w:val="none"/>
                <w:lang w:val="en-US" w:eastAsia="zh-CN"/>
              </w:rPr>
              <w:t>2-1 建设内容一览表</w:t>
            </w:r>
          </w:p>
          <w:tbl>
            <w:tblPr>
              <w:tblStyle w:val="15"/>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Layout w:type="autofit"/>
              <w:tblCellMar>
                <w:top w:w="0" w:type="dxa"/>
                <w:left w:w="108" w:type="dxa"/>
                <w:bottom w:w="0" w:type="dxa"/>
                <w:right w:w="108" w:type="dxa"/>
              </w:tblCellMar>
            </w:tblPr>
            <w:tblGrid>
              <w:gridCol w:w="426"/>
              <w:gridCol w:w="724"/>
              <w:gridCol w:w="5812"/>
              <w:gridCol w:w="1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auto"/>
                <w:tblCellMar>
                  <w:top w:w="0" w:type="dxa"/>
                  <w:left w:w="108" w:type="dxa"/>
                  <w:bottom w:w="0" w:type="dxa"/>
                  <w:right w:w="108" w:type="dxa"/>
                </w:tblCellMar>
              </w:tblPrEx>
              <w:trPr>
                <w:trHeight w:val="294" w:hRule="atLeast"/>
                <w:jc w:val="center"/>
              </w:trPr>
              <w:tc>
                <w:tcPr>
                  <w:tcW w:w="686" w:type="pct"/>
                  <w:gridSpan w:val="2"/>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项目名称</w:t>
                  </w:r>
                </w:p>
              </w:tc>
              <w:tc>
                <w:tcPr>
                  <w:tcW w:w="3470" w:type="pc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建设内容与规模</w:t>
                  </w:r>
                </w:p>
              </w:tc>
              <w:tc>
                <w:tcPr>
                  <w:tcW w:w="842" w:type="pct"/>
                  <w:tcBorders>
                    <w:tl2br w:val="nil"/>
                    <w:tr2bl w:val="nil"/>
                  </w:tcBorders>
                  <w:shd w:val="clear" w:color="auto" w:fill="auto"/>
                  <w:vAlign w:val="center"/>
                </w:tcPr>
                <w:p>
                  <w:pPr>
                    <w:jc w:val="center"/>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lang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471" w:hRule="atLeast"/>
                <w:jc w:val="center"/>
              </w:trPr>
              <w:tc>
                <w:tcPr>
                  <w:tcW w:w="254" w:type="pc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主体工程</w:t>
                  </w:r>
                </w:p>
              </w:tc>
              <w:tc>
                <w:tcPr>
                  <w:tcW w:w="432" w:type="pct"/>
                  <w:tcBorders>
                    <w:tl2br w:val="nil"/>
                    <w:tr2bl w:val="nil"/>
                  </w:tcBorders>
                  <w:shd w:val="clear" w:color="auto" w:fill="auto"/>
                  <w:vAlign w:val="center"/>
                </w:tcPr>
                <w:p>
                  <w:pPr>
                    <w:jc w:val="both"/>
                    <w:rPr>
                      <w:rFonts w:hint="default" w:ascii="Times New Roman" w:hAnsi="Times New Roman" w:eastAsia="宋体" w:cs="Times New Roman"/>
                      <w:color w:val="000000" w:themeColor="text1"/>
                      <w:u w:val="none"/>
                      <w:lang w:eastAsia="zh-CN"/>
                      <w14:textFill>
                        <w14:solidFill>
                          <w14:schemeClr w14:val="tx1"/>
                        </w14:solidFill>
                      </w14:textFill>
                    </w:rPr>
                  </w:pPr>
                  <w:r>
                    <w:rPr>
                      <w:rFonts w:hint="eastAsia" w:cs="Times New Roman"/>
                      <w:color w:val="000000" w:themeColor="text1"/>
                      <w:u w:val="none"/>
                      <w:lang w:eastAsia="zh-CN"/>
                      <w14:textFill>
                        <w14:solidFill>
                          <w14:schemeClr w14:val="tx1"/>
                        </w14:solidFill>
                      </w14:textFill>
                    </w:rPr>
                    <w:t>生产车间</w:t>
                  </w:r>
                </w:p>
              </w:tc>
              <w:tc>
                <w:tcPr>
                  <w:tcW w:w="3470" w:type="pc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eastAsia" w:cs="Times New Roman"/>
                      <w:color w:val="000000" w:themeColor="text1"/>
                      <w:u w:val="none"/>
                      <w:lang w:eastAsia="zh-CN"/>
                      <w14:textFill>
                        <w14:solidFill>
                          <w14:schemeClr w14:val="tx1"/>
                        </w14:solidFill>
                      </w14:textFill>
                    </w:rPr>
                    <w:t>分为混凝土生产车间和机制砂生产车间，包含原料堆放区域（</w:t>
                  </w:r>
                  <w:r>
                    <w:rPr>
                      <w:rFonts w:hint="eastAsia" w:cs="Times New Roman"/>
                      <w:color w:val="000000" w:themeColor="text1"/>
                      <w:u w:val="none"/>
                      <w:lang w:val="en-US" w:eastAsia="zh-CN"/>
                      <w14:textFill>
                        <w14:solidFill>
                          <w14:schemeClr w14:val="tx1"/>
                        </w14:solidFill>
                      </w14:textFill>
                    </w:rPr>
                    <w:t>936m</w:t>
                  </w:r>
                  <w:r>
                    <w:rPr>
                      <w:rFonts w:hint="eastAsia" w:cs="Times New Roman"/>
                      <w:color w:val="000000" w:themeColor="text1"/>
                      <w:u w:val="none"/>
                      <w:vertAlign w:val="superscript"/>
                      <w:lang w:val="en-US" w:eastAsia="zh-CN"/>
                      <w14:textFill>
                        <w14:solidFill>
                          <w14:schemeClr w14:val="tx1"/>
                        </w14:solidFill>
                      </w14:textFill>
                    </w:rPr>
                    <w:t>2</w:t>
                  </w:r>
                  <w:r>
                    <w:rPr>
                      <w:rFonts w:hint="eastAsia" w:cs="Times New Roman"/>
                      <w:color w:val="000000" w:themeColor="text1"/>
                      <w:u w:val="none"/>
                      <w:lang w:eastAsia="zh-CN"/>
                      <w14:textFill>
                        <w14:solidFill>
                          <w14:schemeClr w14:val="tx1"/>
                        </w14:solidFill>
                      </w14:textFill>
                    </w:rPr>
                    <w:t>）、产品堆放区域（</w:t>
                  </w:r>
                  <w:r>
                    <w:rPr>
                      <w:rFonts w:hint="eastAsia" w:cs="Times New Roman"/>
                      <w:color w:val="000000" w:themeColor="text1"/>
                      <w:u w:val="none"/>
                      <w:lang w:val="en-US" w:eastAsia="zh-CN"/>
                      <w14:textFill>
                        <w14:solidFill>
                          <w14:schemeClr w14:val="tx1"/>
                        </w14:solidFill>
                      </w14:textFill>
                    </w:rPr>
                    <w:t>1050m</w:t>
                  </w:r>
                  <w:r>
                    <w:rPr>
                      <w:rFonts w:hint="eastAsia" w:cs="Times New Roman"/>
                      <w:color w:val="000000" w:themeColor="text1"/>
                      <w:u w:val="none"/>
                      <w:vertAlign w:val="superscript"/>
                      <w:lang w:val="en-US" w:eastAsia="zh-CN"/>
                      <w14:textFill>
                        <w14:solidFill>
                          <w14:schemeClr w14:val="tx1"/>
                        </w14:solidFill>
                      </w14:textFill>
                    </w:rPr>
                    <w:t>2</w:t>
                  </w:r>
                  <w:r>
                    <w:rPr>
                      <w:rFonts w:hint="eastAsia" w:cs="Times New Roman"/>
                      <w:color w:val="000000" w:themeColor="text1"/>
                      <w:u w:val="none"/>
                      <w:lang w:eastAsia="zh-CN"/>
                      <w14:textFill>
                        <w14:solidFill>
                          <w14:schemeClr w14:val="tx1"/>
                        </w14:solidFill>
                      </w14:textFill>
                    </w:rPr>
                    <w:t>）、混凝土生产区（</w:t>
                  </w:r>
                  <w:r>
                    <w:rPr>
                      <w:rFonts w:hint="eastAsia" w:cs="Times New Roman"/>
                      <w:color w:val="000000" w:themeColor="text1"/>
                      <w:u w:val="none"/>
                      <w:lang w:val="en-US" w:eastAsia="zh-CN"/>
                      <w14:textFill>
                        <w14:solidFill>
                          <w14:schemeClr w14:val="tx1"/>
                        </w14:solidFill>
                      </w14:textFill>
                    </w:rPr>
                    <w:t>935m</w:t>
                  </w:r>
                  <w:r>
                    <w:rPr>
                      <w:rFonts w:hint="eastAsia" w:cs="Times New Roman"/>
                      <w:color w:val="000000" w:themeColor="text1"/>
                      <w:u w:val="none"/>
                      <w:vertAlign w:val="superscript"/>
                      <w:lang w:val="en-US" w:eastAsia="zh-CN"/>
                      <w14:textFill>
                        <w14:solidFill>
                          <w14:schemeClr w14:val="tx1"/>
                        </w14:solidFill>
                      </w14:textFill>
                    </w:rPr>
                    <w:t>2</w:t>
                  </w:r>
                  <w:r>
                    <w:rPr>
                      <w:rFonts w:hint="eastAsia" w:cs="Times New Roman"/>
                      <w:color w:val="000000" w:themeColor="text1"/>
                      <w:u w:val="none"/>
                      <w:lang w:eastAsia="zh-CN"/>
                      <w14:textFill>
                        <w14:solidFill>
                          <w14:schemeClr w14:val="tx1"/>
                        </w14:solidFill>
                      </w14:textFill>
                    </w:rPr>
                    <w:t>）、机制砂生产区（</w:t>
                  </w:r>
                  <w:r>
                    <w:rPr>
                      <w:rFonts w:hint="eastAsia" w:cs="Times New Roman"/>
                      <w:color w:val="000000" w:themeColor="text1"/>
                      <w:u w:val="none"/>
                      <w:lang w:val="en-US" w:eastAsia="zh-CN"/>
                      <w14:textFill>
                        <w14:solidFill>
                          <w14:schemeClr w14:val="tx1"/>
                        </w14:solidFill>
                      </w14:textFill>
                    </w:rPr>
                    <w:t>3078m</w:t>
                  </w:r>
                  <w:r>
                    <w:rPr>
                      <w:rFonts w:hint="eastAsia" w:cs="Times New Roman"/>
                      <w:color w:val="000000" w:themeColor="text1"/>
                      <w:u w:val="none"/>
                      <w:vertAlign w:val="superscript"/>
                      <w:lang w:val="en-US" w:eastAsia="zh-CN"/>
                      <w14:textFill>
                        <w14:solidFill>
                          <w14:schemeClr w14:val="tx1"/>
                        </w14:solidFill>
                      </w14:textFill>
                    </w:rPr>
                    <w:t>2</w:t>
                  </w:r>
                  <w:r>
                    <w:rPr>
                      <w:rFonts w:hint="eastAsia"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u w:val="none"/>
                      <w14:textFill>
                        <w14:solidFill>
                          <w14:schemeClr w14:val="tx1"/>
                        </w14:solidFill>
                      </w14:textFill>
                    </w:rPr>
                    <w:t>，轻钢结构，水泥地面硬化，</w:t>
                  </w:r>
                  <w:r>
                    <w:rPr>
                      <w:rFonts w:hint="eastAsia" w:cs="Times New Roman"/>
                      <w:color w:val="000000" w:themeColor="text1"/>
                      <w:u w:val="none"/>
                      <w:lang w:eastAsia="zh-CN"/>
                      <w14:textFill>
                        <w14:solidFill>
                          <w14:schemeClr w14:val="tx1"/>
                        </w14:solidFill>
                      </w14:textFill>
                    </w:rPr>
                    <w:t>共两条生产线</w:t>
                  </w:r>
                  <w:r>
                    <w:rPr>
                      <w:rFonts w:hint="default" w:ascii="Times New Roman" w:hAnsi="Times New Roman" w:cs="Times New Roman"/>
                      <w:color w:val="000000" w:themeColor="text1"/>
                      <w:u w:val="none"/>
                      <w14:textFill>
                        <w14:solidFill>
                          <w14:schemeClr w14:val="tx1"/>
                        </w14:solidFill>
                      </w14:textFill>
                    </w:rPr>
                    <w:t>，</w:t>
                  </w:r>
                  <w:r>
                    <w:rPr>
                      <w:rFonts w:hint="default" w:ascii="Times New Roman" w:hAnsi="Times New Roman" w:cs="Times New Roman"/>
                      <w:u w:val="none"/>
                    </w:rPr>
                    <w:t>并将主要生产设备进行密闭，生产加工区均进行密闭，以满足项目生产。</w:t>
                  </w:r>
                </w:p>
              </w:tc>
              <w:tc>
                <w:tcPr>
                  <w:tcW w:w="842" w:type="pct"/>
                  <w:tcBorders>
                    <w:tl2br w:val="nil"/>
                    <w:tr2bl w:val="nil"/>
                  </w:tcBorders>
                  <w:shd w:val="clear" w:color="auto" w:fill="auto"/>
                  <w:vAlign w:val="center"/>
                </w:tcPr>
                <w:p>
                  <w:pPr>
                    <w:jc w:val="center"/>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lang w:eastAsia="zh-CN"/>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40" w:hRule="atLeast"/>
                <w:jc w:val="center"/>
              </w:trPr>
              <w:tc>
                <w:tcPr>
                  <w:tcW w:w="254" w:type="pct"/>
                  <w:vMerge w:val="restar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配套工程</w:t>
                  </w:r>
                </w:p>
              </w:tc>
              <w:tc>
                <w:tcPr>
                  <w:tcW w:w="432" w:type="pct"/>
                  <w:tcBorders>
                    <w:tl2br w:val="nil"/>
                    <w:tr2bl w:val="nil"/>
                  </w:tcBorders>
                  <w:shd w:val="clear" w:color="auto" w:fill="auto"/>
                  <w:vAlign w:val="center"/>
                </w:tcPr>
                <w:p>
                  <w:pPr>
                    <w:jc w:val="center"/>
                    <w:rPr>
                      <w:rFonts w:hint="default" w:ascii="Times New Roman" w:hAnsi="Times New Roman" w:eastAsia="宋体" w:cs="Times New Roman"/>
                      <w:color w:val="000000" w:themeColor="text1"/>
                      <w:u w:val="none"/>
                      <w:lang w:eastAsia="zh-CN"/>
                      <w14:textFill>
                        <w14:solidFill>
                          <w14:schemeClr w14:val="tx1"/>
                        </w14:solidFill>
                      </w14:textFill>
                    </w:rPr>
                  </w:pPr>
                  <w:r>
                    <w:rPr>
                      <w:rFonts w:hint="default" w:ascii="Times New Roman" w:hAnsi="Times New Roman" w:cs="Times New Roman"/>
                      <w:color w:val="000000" w:themeColor="text1"/>
                      <w:u w:val="none"/>
                      <w:lang w:eastAsia="zh-CN"/>
                      <w14:textFill>
                        <w14:solidFill>
                          <w14:schemeClr w14:val="tx1"/>
                        </w14:solidFill>
                      </w14:textFill>
                    </w:rPr>
                    <w:t>实验室</w:t>
                  </w:r>
                </w:p>
              </w:tc>
              <w:tc>
                <w:tcPr>
                  <w:tcW w:w="3470" w:type="pct"/>
                  <w:tcBorders>
                    <w:tl2br w:val="nil"/>
                    <w:tr2bl w:val="nil"/>
                  </w:tcBorders>
                  <w:shd w:val="clear" w:color="auto" w:fill="auto"/>
                  <w:vAlign w:val="center"/>
                </w:tcPr>
                <w:p>
                  <w:pPr>
                    <w:jc w:val="center"/>
                    <w:rPr>
                      <w:rFonts w:hint="default" w:ascii="Times New Roman" w:hAnsi="Times New Roman" w:eastAsia="宋体"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eastAsia="zh-CN"/>
                      <w14:textFill>
                        <w14:solidFill>
                          <w14:schemeClr w14:val="tx1"/>
                        </w14:solidFill>
                      </w14:textFill>
                    </w:rPr>
                    <w:t>对成品进行检验，面积为</w:t>
                  </w:r>
                  <w:r>
                    <w:rPr>
                      <w:rFonts w:hint="default" w:ascii="Times New Roman" w:hAnsi="Times New Roman" w:cs="Times New Roman"/>
                      <w:color w:val="000000" w:themeColor="text1"/>
                      <w:u w:val="none"/>
                      <w:lang w:val="en-US" w:eastAsia="zh-CN"/>
                      <w14:textFill>
                        <w14:solidFill>
                          <w14:schemeClr w14:val="tx1"/>
                        </w14:solidFill>
                      </w14:textFill>
                    </w:rPr>
                    <w:t>8m</w:t>
                  </w:r>
                  <w:r>
                    <w:rPr>
                      <w:rFonts w:hint="default" w:ascii="Times New Roman" w:hAnsi="Times New Roman" w:cs="Times New Roman"/>
                      <w:color w:val="000000" w:themeColor="text1"/>
                      <w:u w:val="none"/>
                      <w:vertAlign w:val="superscript"/>
                      <w:lang w:val="en-US" w:eastAsia="zh-CN"/>
                      <w14:textFill>
                        <w14:solidFill>
                          <w14:schemeClr w14:val="tx1"/>
                        </w14:solidFill>
                      </w14:textFill>
                    </w:rPr>
                    <w:t>2</w:t>
                  </w:r>
                  <w:r>
                    <w:rPr>
                      <w:rFonts w:hint="default" w:ascii="Times New Roman" w:hAnsi="Times New Roman" w:cs="Times New Roman"/>
                      <w:color w:val="000000" w:themeColor="text1"/>
                      <w:u w:val="none"/>
                      <w:lang w:val="en-US" w:eastAsia="zh-CN"/>
                      <w14:textFill>
                        <w14:solidFill>
                          <w14:schemeClr w14:val="tx1"/>
                        </w14:solidFill>
                      </w14:textFill>
                    </w:rPr>
                    <w:t>，布置在混凝土车间西侧</w:t>
                  </w:r>
                </w:p>
              </w:tc>
              <w:tc>
                <w:tcPr>
                  <w:tcW w:w="842" w:type="pct"/>
                  <w:tcBorders>
                    <w:tl2br w:val="nil"/>
                    <w:tr2bl w:val="nil"/>
                  </w:tcBorders>
                  <w:shd w:val="clear" w:color="auto" w:fill="auto"/>
                  <w:vAlign w:val="center"/>
                </w:tcPr>
                <w:p>
                  <w:pPr>
                    <w:tabs>
                      <w:tab w:val="left" w:pos="438"/>
                    </w:tabs>
                    <w:jc w:val="left"/>
                    <w:rPr>
                      <w:rFonts w:hint="default" w:ascii="Times New Roman" w:hAnsi="Times New Roman" w:cs="Times New Roman"/>
                      <w:color w:val="auto"/>
                      <w:u w:val="none"/>
                      <w:lang w:eastAsia="zh-CN"/>
                    </w:rPr>
                  </w:pPr>
                  <w:r>
                    <w:rPr>
                      <w:rFonts w:hint="eastAsia" w:ascii="Times New Roman" w:hAnsi="Times New Roman" w:cs="Times New Roman"/>
                      <w:color w:val="auto"/>
                      <w:u w:val="none"/>
                      <w:lang w:eastAsia="zh-CN"/>
                    </w:rPr>
                    <w:tab/>
                  </w:r>
                  <w:r>
                    <w:rPr>
                      <w:rFonts w:hint="eastAsia" w:ascii="Times New Roman" w:hAnsi="Times New Roman" w:cs="Times New Roman"/>
                      <w:color w:val="auto"/>
                      <w:u w:val="none"/>
                      <w:lang w:eastAsia="zh-CN"/>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40" w:hRule="atLeast"/>
                <w:jc w:val="center"/>
              </w:trPr>
              <w:tc>
                <w:tcPr>
                  <w:tcW w:w="254"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432" w:type="pc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办公生活区</w:t>
                  </w:r>
                </w:p>
              </w:tc>
              <w:tc>
                <w:tcPr>
                  <w:tcW w:w="3470" w:type="pct"/>
                  <w:tcBorders>
                    <w:tl2br w:val="nil"/>
                    <w:tr2bl w:val="nil"/>
                  </w:tcBorders>
                  <w:shd w:val="clear" w:color="auto" w:fill="auto"/>
                  <w:vAlign w:val="center"/>
                </w:tcPr>
                <w:p>
                  <w:pPr>
                    <w:jc w:val="center"/>
                    <w:rPr>
                      <w:rFonts w:hint="default" w:ascii="Times New Roman" w:hAnsi="Times New Roman" w:cs="Times New Roman"/>
                      <w:u w:val="none"/>
                    </w:rPr>
                  </w:pPr>
                  <w:r>
                    <w:rPr>
                      <w:rFonts w:hint="default" w:ascii="Times New Roman" w:hAnsi="Times New Roman" w:cs="Times New Roman"/>
                      <w:color w:val="000000" w:themeColor="text1"/>
                      <w:u w:val="none"/>
                      <w14:textFill>
                        <w14:solidFill>
                          <w14:schemeClr w14:val="tx1"/>
                        </w14:solidFill>
                      </w14:textFill>
                    </w:rPr>
                    <w:t>1F，</w:t>
                  </w:r>
                  <w:r>
                    <w:rPr>
                      <w:rFonts w:hint="default" w:ascii="Times New Roman" w:hAnsi="Times New Roman" w:cs="Times New Roman"/>
                      <w:u w:val="none"/>
                    </w:rPr>
                    <w:t>含办公室、值班宿舍、食堂、卫生间</w:t>
                  </w:r>
                  <w:r>
                    <w:rPr>
                      <w:rFonts w:hint="default" w:ascii="Times New Roman" w:hAnsi="Times New Roman" w:cs="Times New Roman"/>
                      <w:color w:val="000000" w:themeColor="text1"/>
                      <w:u w:val="none"/>
                      <w14:textFill>
                        <w14:solidFill>
                          <w14:schemeClr w14:val="tx1"/>
                        </w14:solidFill>
                      </w14:textFill>
                    </w:rPr>
                    <w:t>，为</w:t>
                  </w:r>
                  <w:r>
                    <w:rPr>
                      <w:rFonts w:hint="default" w:ascii="Times New Roman" w:hAnsi="Times New Roman" w:cs="Times New Roman"/>
                      <w:color w:val="000000" w:themeColor="text1"/>
                      <w:u w:val="none"/>
                      <w:lang w:eastAsia="zh-CN"/>
                      <w14:textFill>
                        <w14:solidFill>
                          <w14:schemeClr w14:val="tx1"/>
                        </w14:solidFill>
                      </w14:textFill>
                    </w:rPr>
                    <w:t>砖混结构</w:t>
                  </w:r>
                  <w:r>
                    <w:rPr>
                      <w:rFonts w:hint="default" w:ascii="Times New Roman" w:hAnsi="Times New Roman" w:cs="Times New Roman"/>
                      <w:color w:val="000000" w:themeColor="text1"/>
                      <w:u w:val="none"/>
                      <w14:textFill>
                        <w14:solidFill>
                          <w14:schemeClr w14:val="tx1"/>
                        </w14:solidFill>
                      </w14:textFill>
                    </w:rPr>
                    <w:t>，建筑面积约</w:t>
                  </w:r>
                  <w:r>
                    <w:rPr>
                      <w:rFonts w:hint="default" w:ascii="Times New Roman" w:hAnsi="Times New Roman" w:cs="Times New Roman"/>
                      <w:color w:val="000000" w:themeColor="text1"/>
                      <w:u w:val="none"/>
                      <w:lang w:val="en-US" w:eastAsia="zh-CN"/>
                      <w14:textFill>
                        <w14:solidFill>
                          <w14:schemeClr w14:val="tx1"/>
                        </w14:solidFill>
                      </w14:textFill>
                    </w:rPr>
                    <w:t>100</w:t>
                  </w:r>
                  <w:r>
                    <w:rPr>
                      <w:rFonts w:hint="default" w:ascii="Times New Roman" w:hAnsi="Times New Roman" w:cs="Times New Roman"/>
                      <w:color w:val="000000" w:themeColor="text1"/>
                      <w:u w:val="none"/>
                      <w14:textFill>
                        <w14:solidFill>
                          <w14:schemeClr w14:val="tx1"/>
                        </w14:solidFill>
                      </w14:textFill>
                    </w:rPr>
                    <w:t>m</w:t>
                  </w:r>
                  <w:r>
                    <w:rPr>
                      <w:rFonts w:hint="default" w:ascii="Times New Roman" w:hAnsi="Times New Roman" w:cs="Times New Roman"/>
                      <w:color w:val="000000" w:themeColor="text1"/>
                      <w:u w:val="none"/>
                      <w:vertAlign w:val="superscript"/>
                      <w14:textFill>
                        <w14:solidFill>
                          <w14:schemeClr w14:val="tx1"/>
                        </w14:solidFill>
                      </w14:textFill>
                    </w:rPr>
                    <w:t>2</w:t>
                  </w:r>
                </w:p>
              </w:tc>
              <w:tc>
                <w:tcPr>
                  <w:tcW w:w="842" w:type="pct"/>
                  <w:tcBorders>
                    <w:tl2br w:val="nil"/>
                    <w:tr2bl w:val="nil"/>
                  </w:tcBorders>
                  <w:shd w:val="clear" w:color="auto" w:fill="auto"/>
                  <w:vAlign w:val="center"/>
                </w:tcPr>
                <w:p>
                  <w:pPr>
                    <w:jc w:val="center"/>
                    <w:rPr>
                      <w:rFonts w:hint="eastAsia" w:ascii="Times New Roman" w:hAnsi="Times New Roman" w:eastAsia="宋体" w:cs="Times New Roman"/>
                      <w:color w:val="auto"/>
                      <w:u w:val="none"/>
                      <w:lang w:eastAsia="zh-CN"/>
                    </w:rPr>
                  </w:pPr>
                  <w:r>
                    <w:rPr>
                      <w:rFonts w:hint="eastAsia" w:ascii="Times New Roman" w:hAnsi="Times New Roman" w:cs="Times New Roman"/>
                      <w:color w:val="auto"/>
                      <w:u w:val="none"/>
                      <w:lang w:eastAsia="zh-CN"/>
                    </w:rPr>
                    <w:t>利用原有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40" w:hRule="atLeast"/>
                <w:jc w:val="center"/>
              </w:trPr>
              <w:tc>
                <w:tcPr>
                  <w:tcW w:w="254"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432" w:type="pct"/>
                  <w:tcBorders>
                    <w:tl2br w:val="nil"/>
                    <w:tr2bl w:val="nil"/>
                  </w:tcBorders>
                  <w:shd w:val="clear" w:color="auto" w:fill="auto"/>
                  <w:vAlign w:val="center"/>
                </w:tcPr>
                <w:p>
                  <w:pPr>
                    <w:jc w:val="center"/>
                    <w:rPr>
                      <w:rFonts w:hint="default" w:ascii="Times New Roman" w:hAnsi="Times New Roman" w:eastAsia="宋体" w:cs="Times New Roman"/>
                      <w:color w:val="000000" w:themeColor="text1"/>
                      <w:u w:val="none"/>
                      <w:lang w:eastAsia="zh-CN"/>
                      <w14:textFill>
                        <w14:solidFill>
                          <w14:schemeClr w14:val="tx1"/>
                        </w14:solidFill>
                      </w14:textFill>
                    </w:rPr>
                  </w:pPr>
                  <w:r>
                    <w:rPr>
                      <w:rFonts w:hint="default" w:ascii="Times New Roman" w:hAnsi="Times New Roman" w:cs="Times New Roman"/>
                      <w:color w:val="000000" w:themeColor="text1"/>
                      <w:u w:val="none"/>
                      <w:lang w:eastAsia="zh-CN"/>
                      <w14:textFill>
                        <w14:solidFill>
                          <w14:schemeClr w14:val="tx1"/>
                        </w14:solidFill>
                      </w14:textFill>
                    </w:rPr>
                    <w:t>磅房</w:t>
                  </w:r>
                </w:p>
              </w:tc>
              <w:tc>
                <w:tcPr>
                  <w:tcW w:w="3470" w:type="pct"/>
                  <w:tcBorders>
                    <w:tl2br w:val="nil"/>
                    <w:tr2bl w:val="nil"/>
                  </w:tcBorders>
                  <w:shd w:val="clear" w:color="auto" w:fill="auto"/>
                  <w:vAlign w:val="center"/>
                </w:tcPr>
                <w:p>
                  <w:pPr>
                    <w:jc w:val="center"/>
                    <w:rPr>
                      <w:rFonts w:hint="default" w:ascii="Times New Roman" w:hAnsi="Times New Roman" w:eastAsia="宋体" w:cs="Times New Roman"/>
                      <w:color w:val="000000" w:themeColor="text1"/>
                      <w:u w:val="none"/>
                      <w:lang w:eastAsia="zh-CN"/>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位于本项目所在地</w:t>
                  </w:r>
                  <w:r>
                    <w:rPr>
                      <w:rFonts w:hint="default" w:ascii="Times New Roman" w:hAnsi="Times New Roman" w:cs="Times New Roman"/>
                      <w:color w:val="000000" w:themeColor="text1"/>
                      <w:u w:val="none"/>
                      <w:lang w:eastAsia="zh-CN"/>
                      <w14:textFill>
                        <w14:solidFill>
                          <w14:schemeClr w14:val="tx1"/>
                        </w14:solidFill>
                      </w14:textFill>
                    </w:rPr>
                    <w:t>北侧</w:t>
                  </w:r>
                  <w:r>
                    <w:rPr>
                      <w:rFonts w:hint="default" w:ascii="Times New Roman" w:hAnsi="Times New Roman" w:cs="Times New Roman"/>
                      <w:color w:val="000000" w:themeColor="text1"/>
                      <w:u w:val="none"/>
                      <w14:textFill>
                        <w14:solidFill>
                          <w14:schemeClr w14:val="tx1"/>
                        </w14:solidFill>
                      </w14:textFill>
                    </w:rPr>
                    <w:t>，</w:t>
                  </w:r>
                  <w:r>
                    <w:rPr>
                      <w:rFonts w:hint="default" w:ascii="Times New Roman" w:hAnsi="Times New Roman" w:cs="Times New Roman"/>
                      <w:color w:val="000000" w:themeColor="text1"/>
                      <w:u w:val="none"/>
                      <w:lang w:eastAsia="zh-CN"/>
                      <w14:textFill>
                        <w14:solidFill>
                          <w14:schemeClr w14:val="tx1"/>
                        </w14:solidFill>
                      </w14:textFill>
                    </w:rPr>
                    <w:t>进行产品称重</w:t>
                  </w:r>
                </w:p>
              </w:tc>
              <w:tc>
                <w:tcPr>
                  <w:tcW w:w="842" w:type="pct"/>
                  <w:tcBorders>
                    <w:tl2br w:val="nil"/>
                    <w:tr2bl w:val="nil"/>
                  </w:tcBorders>
                  <w:shd w:val="clear" w:color="auto" w:fill="auto"/>
                  <w:vAlign w:val="center"/>
                </w:tcPr>
                <w:p>
                  <w:pPr>
                    <w:tabs>
                      <w:tab w:val="left" w:pos="537"/>
                    </w:tabs>
                    <w:jc w:val="center"/>
                    <w:rPr>
                      <w:rFonts w:hint="eastAsia" w:ascii="Times New Roman" w:hAnsi="Times New Roman" w:eastAsia="宋体" w:cs="Times New Roman"/>
                      <w:color w:val="auto"/>
                      <w:u w:val="none"/>
                      <w:lang w:eastAsia="zh-CN"/>
                    </w:rPr>
                  </w:pPr>
                  <w:r>
                    <w:rPr>
                      <w:rFonts w:hint="eastAsia" w:ascii="Times New Roman" w:hAnsi="Times New Roman" w:cs="Times New Roman"/>
                      <w:color w:val="auto"/>
                      <w:u w:val="none"/>
                      <w:lang w:eastAsia="zh-CN"/>
                    </w:rPr>
                    <w:t>利用原有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479" w:hRule="atLeast"/>
                <w:jc w:val="center"/>
              </w:trPr>
              <w:tc>
                <w:tcPr>
                  <w:tcW w:w="254" w:type="pct"/>
                  <w:vMerge w:val="restar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公用工程</w:t>
                  </w:r>
                </w:p>
              </w:tc>
              <w:tc>
                <w:tcPr>
                  <w:tcW w:w="432" w:type="pct"/>
                  <w:tcBorders>
                    <w:tl2br w:val="nil"/>
                    <w:tr2bl w:val="nil"/>
                  </w:tcBorders>
                  <w:shd w:val="clear" w:color="auto" w:fill="auto"/>
                  <w:vAlign w:val="center"/>
                </w:tcPr>
                <w:p>
                  <w:pPr>
                    <w:widowControl/>
                    <w:spacing w:line="273" w:lineRule="auto"/>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排水</w:t>
                  </w:r>
                </w:p>
              </w:tc>
              <w:tc>
                <w:tcPr>
                  <w:tcW w:w="3470" w:type="pct"/>
                  <w:tcBorders>
                    <w:tl2br w:val="nil"/>
                    <w:tr2bl w:val="nil"/>
                  </w:tcBorders>
                  <w:shd w:val="clear" w:color="auto" w:fill="auto"/>
                  <w:vAlign w:val="center"/>
                </w:tcPr>
                <w:p>
                  <w:pPr>
                    <w:jc w:val="center"/>
                    <w:rPr>
                      <w:rStyle w:val="19"/>
                      <w:rFonts w:hint="default" w:ascii="Times New Roman" w:hAnsi="Times New Roman" w:cs="Times New Roman"/>
                      <w:u w:val="none"/>
                    </w:rPr>
                  </w:pPr>
                  <w:r>
                    <w:rPr>
                      <w:rFonts w:hint="default" w:ascii="Times New Roman" w:hAnsi="Times New Roman" w:cs="Times New Roman"/>
                      <w:color w:val="000000"/>
                      <w:u w:val="none"/>
                    </w:rPr>
                    <w:t>雨污分流</w:t>
                  </w:r>
                  <w:r>
                    <w:rPr>
                      <w:rFonts w:hint="eastAsia" w:cs="Times New Roman"/>
                      <w:color w:val="000000"/>
                      <w:u w:val="none"/>
                      <w:lang w:eastAsia="zh-CN"/>
                    </w:rPr>
                    <w:t>、污污分流</w:t>
                  </w:r>
                  <w:r>
                    <w:rPr>
                      <w:rFonts w:hint="default" w:ascii="Times New Roman" w:hAnsi="Times New Roman" w:cs="Times New Roman"/>
                      <w:color w:val="000000"/>
                      <w:u w:val="none"/>
                    </w:rPr>
                    <w:t>体制；雨水与生产废水不外排，厂区</w:t>
                  </w:r>
                  <w:r>
                    <w:rPr>
                      <w:rFonts w:hint="default" w:ascii="Times New Roman" w:hAnsi="Times New Roman" w:cs="Times New Roman"/>
                      <w:color w:val="000000"/>
                      <w:u w:val="none"/>
                      <w:lang w:eastAsia="zh-CN"/>
                    </w:rPr>
                    <w:t>屋面</w:t>
                  </w:r>
                  <w:r>
                    <w:rPr>
                      <w:rFonts w:hint="default" w:ascii="Times New Roman" w:hAnsi="Times New Roman" w:cs="Times New Roman"/>
                      <w:color w:val="000000"/>
                      <w:u w:val="none"/>
                    </w:rPr>
                    <w:t>雨水</w:t>
                  </w:r>
                  <w:r>
                    <w:rPr>
                      <w:rFonts w:hint="eastAsia" w:cs="Times New Roman"/>
                      <w:color w:val="000000"/>
                      <w:u w:val="none"/>
                      <w:lang w:eastAsia="zh-CN"/>
                    </w:rPr>
                    <w:t>经导流沟收集后直接外排至涔</w:t>
                  </w:r>
                  <w:r>
                    <w:rPr>
                      <w:rFonts w:hint="eastAsia" w:cs="Times New Roman"/>
                      <w:color w:val="auto"/>
                      <w:u w:val="none"/>
                      <w:lang w:eastAsia="zh-CN"/>
                    </w:rPr>
                    <w:t>水</w:t>
                  </w:r>
                  <w:r>
                    <w:rPr>
                      <w:rFonts w:hint="default" w:ascii="Times New Roman" w:hAnsi="Times New Roman" w:cs="Times New Roman"/>
                      <w:color w:val="auto"/>
                      <w:u w:val="none"/>
                      <w:lang w:val="en-US" w:eastAsia="zh-CN"/>
                    </w:rPr>
                    <w:t>，建设导流沟、沉淀池、污水罐，洗砂废水、地面清洗水、车辆冲洗水经三级沉淀后处理回用，混凝土生产区域的废水经砂石分离机、三级沉淀处理后回用，</w:t>
                  </w:r>
                  <w:r>
                    <w:rPr>
                      <w:rFonts w:hint="default" w:ascii="Times New Roman" w:hAnsi="Times New Roman" w:cs="Times New Roman"/>
                      <w:color w:val="auto"/>
                      <w:u w:val="none"/>
                    </w:rPr>
                    <w:t>生活污水经隔油池、化粪池预</w:t>
                  </w:r>
                  <w:r>
                    <w:rPr>
                      <w:rFonts w:hint="default" w:ascii="Times New Roman" w:hAnsi="Times New Roman" w:cs="Times New Roman"/>
                      <w:color w:val="000000"/>
                      <w:u w:val="none"/>
                    </w:rPr>
                    <w:t>处理后全部回用于厂区周边</w:t>
                  </w:r>
                  <w:r>
                    <w:rPr>
                      <w:rFonts w:hint="default" w:ascii="Times New Roman" w:hAnsi="Times New Roman" w:cs="Times New Roman"/>
                      <w:color w:val="000000"/>
                      <w:u w:val="none"/>
                      <w:lang w:eastAsia="zh-CN"/>
                    </w:rPr>
                    <w:t>农肥</w:t>
                  </w:r>
                  <w:r>
                    <w:rPr>
                      <w:rFonts w:hint="default" w:ascii="Times New Roman" w:hAnsi="Times New Roman" w:cs="Times New Roman"/>
                      <w:color w:val="000000"/>
                      <w:u w:val="none"/>
                    </w:rPr>
                    <w:t>。</w:t>
                  </w:r>
                </w:p>
              </w:tc>
              <w:tc>
                <w:tcPr>
                  <w:tcW w:w="842" w:type="pct"/>
                  <w:tcBorders>
                    <w:tl2br w:val="nil"/>
                    <w:tr2bl w:val="nil"/>
                  </w:tcBorders>
                  <w:shd w:val="clear" w:color="auto" w:fill="auto"/>
                  <w:vAlign w:val="center"/>
                </w:tcPr>
                <w:p>
                  <w:pPr>
                    <w:tabs>
                      <w:tab w:val="left" w:pos="254"/>
                    </w:tabs>
                    <w:jc w:val="center"/>
                    <w:rPr>
                      <w:rFonts w:hint="eastAsia" w:ascii="Times New Roman" w:hAnsi="Times New Roman" w:eastAsia="宋体" w:cs="Times New Roman"/>
                      <w:color w:val="auto"/>
                      <w:u w:val="none"/>
                      <w:lang w:eastAsia="zh-CN"/>
                    </w:rPr>
                  </w:pPr>
                  <w:r>
                    <w:rPr>
                      <w:rFonts w:hint="eastAsia" w:ascii="Times New Roman" w:hAnsi="Times New Roman" w:cs="Times New Roman"/>
                      <w:color w:val="auto"/>
                      <w:u w:val="none"/>
                      <w:lang w:eastAsia="zh-CN"/>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294" w:hRule="atLeast"/>
                <w:jc w:val="center"/>
              </w:trPr>
              <w:tc>
                <w:tcPr>
                  <w:tcW w:w="254"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432" w:type="pct"/>
                  <w:tcBorders>
                    <w:tl2br w:val="nil"/>
                    <w:tr2bl w:val="nil"/>
                  </w:tcBorders>
                  <w:shd w:val="clear" w:color="auto" w:fill="auto"/>
                  <w:vAlign w:val="center"/>
                </w:tcPr>
                <w:p>
                  <w:pPr>
                    <w:widowControl/>
                    <w:spacing w:line="273" w:lineRule="auto"/>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给水</w:t>
                  </w:r>
                </w:p>
              </w:tc>
              <w:tc>
                <w:tcPr>
                  <w:tcW w:w="3470" w:type="pct"/>
                  <w:tcBorders>
                    <w:tl2br w:val="nil"/>
                    <w:tr2bl w:val="nil"/>
                  </w:tcBorders>
                  <w:shd w:val="clear" w:color="auto" w:fill="auto"/>
                  <w:vAlign w:val="center"/>
                </w:tcPr>
                <w:p>
                  <w:pPr>
                    <w:jc w:val="center"/>
                    <w:rPr>
                      <w:rFonts w:hint="default" w:ascii="Times New Roman" w:hAnsi="Times New Roman" w:cs="Times New Roman"/>
                      <w:u w:val="none"/>
                    </w:rPr>
                  </w:pPr>
                  <w:r>
                    <w:rPr>
                      <w:rFonts w:hint="default" w:ascii="Times New Roman" w:hAnsi="Times New Roman" w:cs="Times New Roman"/>
                      <w:u w:val="none"/>
                    </w:rPr>
                    <w:t>生产</w:t>
                  </w:r>
                  <w:r>
                    <w:rPr>
                      <w:rFonts w:hint="default" w:ascii="Times New Roman" w:hAnsi="Times New Roman" w:cs="Times New Roman"/>
                      <w:u w:val="none"/>
                      <w:lang w:eastAsia="zh-CN"/>
                    </w:rPr>
                    <w:t>用水来自涔水，</w:t>
                  </w:r>
                  <w:r>
                    <w:rPr>
                      <w:rFonts w:hint="default" w:ascii="Times New Roman" w:hAnsi="Times New Roman" w:cs="Times New Roman"/>
                      <w:u w:val="none"/>
                    </w:rPr>
                    <w:t>生活用水来自自来水管网接入，生产用水循环利用</w:t>
                  </w:r>
                </w:p>
              </w:tc>
              <w:tc>
                <w:tcPr>
                  <w:tcW w:w="842" w:type="pct"/>
                  <w:tcBorders>
                    <w:tl2br w:val="nil"/>
                    <w:tr2bl w:val="nil"/>
                  </w:tcBorders>
                  <w:shd w:val="clear" w:color="auto" w:fill="auto"/>
                  <w:vAlign w:val="center"/>
                </w:tcPr>
                <w:p>
                  <w:pPr>
                    <w:jc w:val="center"/>
                    <w:rPr>
                      <w:rFonts w:hint="default" w:ascii="Times New Roman" w:hAnsi="Times New Roman" w:cs="Times New Roman"/>
                      <w:color w:val="auto"/>
                      <w:u w:val="none"/>
                    </w:rPr>
                  </w:pPr>
                  <w:r>
                    <w:rPr>
                      <w:rFonts w:hint="eastAsia" w:ascii="Times New Roman" w:hAnsi="Times New Roman" w:cs="Times New Roman"/>
                      <w:color w:val="auto"/>
                      <w:u w:val="none"/>
                      <w:lang w:eastAsia="zh-CN"/>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294" w:hRule="atLeast"/>
                <w:jc w:val="center"/>
              </w:trPr>
              <w:tc>
                <w:tcPr>
                  <w:tcW w:w="254"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432" w:type="pct"/>
                  <w:tcBorders>
                    <w:tl2br w:val="nil"/>
                    <w:tr2bl w:val="nil"/>
                  </w:tcBorders>
                  <w:shd w:val="clear" w:color="auto" w:fill="auto"/>
                  <w:vAlign w:val="center"/>
                </w:tcPr>
                <w:p>
                  <w:pPr>
                    <w:widowControl/>
                    <w:spacing w:line="273" w:lineRule="auto"/>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供电</w:t>
                  </w:r>
                </w:p>
              </w:tc>
              <w:tc>
                <w:tcPr>
                  <w:tcW w:w="3470" w:type="pct"/>
                  <w:tcBorders>
                    <w:tl2br w:val="nil"/>
                    <w:tr2bl w:val="nil"/>
                  </w:tcBorders>
                  <w:shd w:val="clear" w:color="auto" w:fill="auto"/>
                  <w:vAlign w:val="center"/>
                </w:tcPr>
                <w:p>
                  <w:pPr>
                    <w:jc w:val="center"/>
                    <w:rPr>
                      <w:rFonts w:hint="default" w:ascii="Times New Roman" w:hAnsi="Times New Roman" w:cs="Times New Roman"/>
                      <w:u w:val="none"/>
                    </w:rPr>
                  </w:pPr>
                  <w:r>
                    <w:rPr>
                      <w:rFonts w:hint="default" w:ascii="Times New Roman" w:hAnsi="Times New Roman" w:cs="Times New Roman"/>
                      <w:u w:val="none"/>
                    </w:rPr>
                    <w:t>乡镇电网提供电源（厂区内部设置一台</w:t>
                  </w:r>
                  <w:r>
                    <w:rPr>
                      <w:rFonts w:hint="default" w:ascii="Times New Roman" w:hAnsi="Times New Roman" w:eastAsia="宋体" w:cs="Times New Roman"/>
                      <w:sz w:val="21"/>
                      <w:szCs w:val="21"/>
                      <w:u w:val="none"/>
                      <w:lang w:val="en-US" w:eastAsia="zh-CN"/>
                    </w:rPr>
                    <w:t>1430kva</w:t>
                  </w:r>
                  <w:r>
                    <w:rPr>
                      <w:rFonts w:hint="default" w:ascii="Times New Roman" w:hAnsi="Times New Roman" w:cs="Times New Roman"/>
                      <w:u w:val="none"/>
                    </w:rPr>
                    <w:t>变压器）</w:t>
                  </w:r>
                </w:p>
              </w:tc>
              <w:tc>
                <w:tcPr>
                  <w:tcW w:w="842" w:type="pct"/>
                  <w:tcBorders>
                    <w:tl2br w:val="nil"/>
                    <w:tr2bl w:val="nil"/>
                  </w:tcBorders>
                  <w:shd w:val="clear" w:color="auto" w:fill="auto"/>
                  <w:vAlign w:val="center"/>
                </w:tcPr>
                <w:p>
                  <w:pPr>
                    <w:tabs>
                      <w:tab w:val="left" w:pos="551"/>
                    </w:tabs>
                    <w:jc w:val="center"/>
                    <w:rPr>
                      <w:rFonts w:hint="eastAsia" w:ascii="Times New Roman" w:hAnsi="Times New Roman" w:eastAsia="宋体" w:cs="Times New Roman"/>
                      <w:color w:val="auto"/>
                      <w:u w:val="none"/>
                      <w:lang w:eastAsia="zh-CN"/>
                    </w:rPr>
                  </w:pPr>
                  <w:r>
                    <w:rPr>
                      <w:rFonts w:hint="eastAsia" w:ascii="Times New Roman" w:hAnsi="Times New Roman" w:cs="Times New Roman"/>
                      <w:color w:val="auto"/>
                      <w:u w:val="none"/>
                      <w:lang w:eastAsia="zh-CN"/>
                    </w:rPr>
                    <w:t>利用原有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294" w:hRule="atLeast"/>
                <w:jc w:val="center"/>
              </w:trPr>
              <w:tc>
                <w:tcPr>
                  <w:tcW w:w="254" w:type="pct"/>
                  <w:vMerge w:val="restar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环保工程</w:t>
                  </w:r>
                </w:p>
              </w:tc>
              <w:tc>
                <w:tcPr>
                  <w:tcW w:w="432" w:type="pc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废水</w:t>
                  </w:r>
                </w:p>
              </w:tc>
              <w:tc>
                <w:tcPr>
                  <w:tcW w:w="3470" w:type="pct"/>
                  <w:tcBorders>
                    <w:tl2br w:val="nil"/>
                    <w:tr2bl w:val="nil"/>
                  </w:tcBorders>
                  <w:shd w:val="clear" w:color="auto" w:fill="auto"/>
                  <w:vAlign w:val="center"/>
                </w:tcPr>
                <w:p>
                  <w:pPr>
                    <w:rPr>
                      <w:rFonts w:hint="default" w:ascii="Times New Roman" w:hAnsi="Times New Roman" w:cs="Times New Roman"/>
                      <w:u w:val="none"/>
                    </w:rPr>
                  </w:pPr>
                  <w:r>
                    <w:rPr>
                      <w:rFonts w:hint="default" w:ascii="Times New Roman" w:hAnsi="Times New Roman" w:cs="Times New Roman"/>
                      <w:u w:val="none"/>
                    </w:rPr>
                    <w:t>生活污水经化粪池处理后</w:t>
                  </w:r>
                  <w:r>
                    <w:rPr>
                      <w:rFonts w:hint="default" w:ascii="Times New Roman" w:hAnsi="Times New Roman" w:cs="Times New Roman"/>
                      <w:spacing w:val="8"/>
                      <w:u w:val="none"/>
                    </w:rPr>
                    <w:t>用于厂区周边农田灌溉</w:t>
                  </w:r>
                  <w:r>
                    <w:rPr>
                      <w:rFonts w:hint="default" w:ascii="Times New Roman" w:hAnsi="Times New Roman" w:cs="Times New Roman"/>
                      <w:color w:val="auto"/>
                      <w:spacing w:val="8"/>
                      <w:u w:val="none"/>
                    </w:rPr>
                    <w:t>，</w:t>
                  </w:r>
                  <w:r>
                    <w:rPr>
                      <w:rFonts w:hint="default" w:ascii="Times New Roman" w:hAnsi="Times New Roman" w:cs="Times New Roman"/>
                      <w:color w:val="000000"/>
                      <w:u w:val="none"/>
                    </w:rPr>
                    <w:t>雨水与生产废水不外排，厂区</w:t>
                  </w:r>
                  <w:r>
                    <w:rPr>
                      <w:rFonts w:hint="default" w:ascii="Times New Roman" w:hAnsi="Times New Roman" w:cs="Times New Roman"/>
                      <w:color w:val="000000"/>
                      <w:u w:val="none"/>
                      <w:lang w:eastAsia="zh-CN"/>
                    </w:rPr>
                    <w:t>屋面</w:t>
                  </w:r>
                  <w:r>
                    <w:rPr>
                      <w:rFonts w:hint="default" w:ascii="Times New Roman" w:hAnsi="Times New Roman" w:cs="Times New Roman"/>
                      <w:color w:val="000000"/>
                      <w:u w:val="none"/>
                    </w:rPr>
                    <w:t>雨水</w:t>
                  </w:r>
                  <w:r>
                    <w:rPr>
                      <w:rFonts w:hint="eastAsia" w:cs="Times New Roman"/>
                      <w:color w:val="000000"/>
                      <w:u w:val="none"/>
                      <w:lang w:eastAsia="zh-CN"/>
                    </w:rPr>
                    <w:t>经导流沟收集后直接外排至涔</w:t>
                  </w:r>
                  <w:r>
                    <w:rPr>
                      <w:rFonts w:hint="eastAsia" w:cs="Times New Roman"/>
                      <w:color w:val="auto"/>
                      <w:u w:val="none"/>
                      <w:lang w:eastAsia="zh-CN"/>
                    </w:rPr>
                    <w:t>水</w:t>
                  </w:r>
                  <w:r>
                    <w:rPr>
                      <w:rFonts w:hint="default" w:ascii="Times New Roman" w:hAnsi="Times New Roman" w:cs="Times New Roman"/>
                      <w:color w:val="auto"/>
                      <w:u w:val="none"/>
                      <w:lang w:val="en-US" w:eastAsia="zh-CN"/>
                    </w:rPr>
                    <w:t>，建设导流沟、沉淀池、污水罐，洗砂废水、地面清洗水、车辆冲洗水经三级沉淀后处理回用，混凝土生产区域的废水经砂石分离机、三级沉淀处理后回用，回</w:t>
                  </w:r>
                  <w:r>
                    <w:rPr>
                      <w:rFonts w:hint="default" w:ascii="Times New Roman" w:hAnsi="Times New Roman" w:cs="Times New Roman"/>
                      <w:color w:val="000000"/>
                      <w:u w:val="none"/>
                      <w:lang w:val="en-US" w:eastAsia="zh-CN"/>
                    </w:rPr>
                    <w:t>用于生产及厂区抑尘</w:t>
                  </w:r>
                  <w:r>
                    <w:rPr>
                      <w:rFonts w:hint="eastAsia" w:cs="Times New Roman"/>
                      <w:color w:val="000000"/>
                      <w:u w:val="none"/>
                      <w:lang w:val="en-US" w:eastAsia="zh-CN"/>
                    </w:rPr>
                    <w:t>，建设洗车平台</w:t>
                  </w:r>
                  <w:r>
                    <w:rPr>
                      <w:rFonts w:hint="default" w:ascii="Times New Roman" w:hAnsi="Times New Roman" w:cs="Times New Roman"/>
                      <w:color w:val="000000"/>
                      <w:u w:val="none"/>
                      <w:lang w:val="en-US" w:eastAsia="zh-CN"/>
                    </w:rPr>
                    <w:t>。</w:t>
                  </w:r>
                </w:p>
              </w:tc>
              <w:tc>
                <w:tcPr>
                  <w:tcW w:w="842" w:type="pct"/>
                  <w:tcBorders>
                    <w:tl2br w:val="nil"/>
                    <w:tr2bl w:val="nil"/>
                  </w:tcBorders>
                  <w:shd w:val="clear" w:color="auto" w:fill="auto"/>
                  <w:vAlign w:val="center"/>
                </w:tcPr>
                <w:p>
                  <w:pPr>
                    <w:jc w:val="center"/>
                    <w:rPr>
                      <w:rFonts w:hint="default" w:ascii="Times New Roman" w:hAnsi="Times New Roman" w:cs="Times New Roman"/>
                      <w:color w:val="auto"/>
                      <w:u w:val="none"/>
                    </w:rPr>
                  </w:pPr>
                  <w:r>
                    <w:rPr>
                      <w:rFonts w:hint="eastAsia" w:ascii="Times New Roman" w:hAnsi="Times New Roman" w:cs="Times New Roman"/>
                      <w:color w:val="auto"/>
                      <w:u w:val="none"/>
                      <w:lang w:eastAsia="zh-CN"/>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467" w:hRule="atLeast"/>
                <w:jc w:val="center"/>
              </w:trPr>
              <w:tc>
                <w:tcPr>
                  <w:tcW w:w="254"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432" w:type="pc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废气</w:t>
                  </w:r>
                </w:p>
              </w:tc>
              <w:tc>
                <w:tcPr>
                  <w:tcW w:w="3470" w:type="pct"/>
                  <w:tcBorders>
                    <w:tl2br w:val="nil"/>
                    <w:tr2bl w:val="nil"/>
                  </w:tcBorders>
                  <w:shd w:val="clear" w:color="auto" w:fill="auto"/>
                  <w:vAlign w:val="center"/>
                </w:tcPr>
                <w:p>
                  <w:pPr>
                    <w:jc w:val="center"/>
                    <w:rPr>
                      <w:rFonts w:hint="default" w:ascii="Times New Roman" w:hAnsi="Times New Roman" w:cs="Times New Roman"/>
                      <w:u w:val="none"/>
                    </w:rPr>
                  </w:pPr>
                  <w:r>
                    <w:rPr>
                      <w:rFonts w:hint="default" w:ascii="Times New Roman" w:hAnsi="Times New Roman" w:eastAsia="宋体" w:cs="Times New Roman"/>
                      <w:color w:val="auto"/>
                      <w:u w:val="none"/>
                      <w:lang w:eastAsia="zh-CN"/>
                    </w:rPr>
                    <w:t>车间及原料堆场全封闭，并采取喷雾降尘措施；采用湿式破碎作业；皮带输送机输送过程全封闭。 运输粉尘：降低行驶速度、加盖篷布，洒水降尘</w:t>
                  </w:r>
                  <w:r>
                    <w:rPr>
                      <w:rFonts w:hint="default" w:ascii="Times New Roman" w:hAnsi="Times New Roman" w:cs="Times New Roman"/>
                      <w:color w:val="auto"/>
                      <w:u w:val="none"/>
                      <w:lang w:eastAsia="zh-CN"/>
                    </w:rPr>
                    <w:t>；水泥罐呼吸孔颗粒物经脉冲布袋除尘器处理后外排。</w:t>
                  </w:r>
                </w:p>
              </w:tc>
              <w:tc>
                <w:tcPr>
                  <w:tcW w:w="842" w:type="pct"/>
                  <w:tcBorders>
                    <w:tl2br w:val="nil"/>
                    <w:tr2bl w:val="nil"/>
                  </w:tcBorders>
                  <w:shd w:val="clear" w:color="auto" w:fill="auto"/>
                  <w:vAlign w:val="center"/>
                </w:tcPr>
                <w:p>
                  <w:pPr>
                    <w:jc w:val="both"/>
                    <w:rPr>
                      <w:rFonts w:hint="default"/>
                      <w:color w:val="auto"/>
                      <w:u w:val="none"/>
                      <w:lang w:eastAsia="zh-CN"/>
                    </w:rPr>
                  </w:pPr>
                </w:p>
                <w:p>
                  <w:pPr>
                    <w:bidi w:val="0"/>
                    <w:rPr>
                      <w:rFonts w:hint="default"/>
                      <w:color w:val="auto"/>
                      <w:u w:val="none"/>
                      <w:lang w:val="en-US" w:eastAsia="zh-CN"/>
                    </w:rPr>
                  </w:pPr>
                </w:p>
                <w:p>
                  <w:pPr>
                    <w:bidi w:val="0"/>
                    <w:jc w:val="center"/>
                    <w:rPr>
                      <w:rFonts w:hint="default"/>
                      <w:color w:val="auto"/>
                      <w:u w:val="none"/>
                      <w:lang w:val="en-US" w:eastAsia="zh-CN"/>
                    </w:rPr>
                  </w:pPr>
                  <w:r>
                    <w:rPr>
                      <w:rFonts w:hint="eastAsia" w:ascii="Times New Roman" w:hAnsi="Times New Roman" w:cs="Times New Roman"/>
                      <w:color w:val="auto"/>
                      <w:u w:val="none"/>
                      <w:lang w:eastAsia="zh-CN"/>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294" w:hRule="atLeast"/>
                <w:jc w:val="center"/>
              </w:trPr>
              <w:tc>
                <w:tcPr>
                  <w:tcW w:w="254"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432" w:type="pct"/>
                  <w:vMerge w:val="restar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固废</w:t>
                  </w:r>
                </w:p>
              </w:tc>
              <w:tc>
                <w:tcPr>
                  <w:tcW w:w="3470" w:type="pct"/>
                  <w:tcBorders>
                    <w:tl2br w:val="nil"/>
                    <w:tr2bl w:val="nil"/>
                  </w:tcBorders>
                  <w:shd w:val="clear" w:color="auto" w:fill="auto"/>
                  <w:vAlign w:val="center"/>
                </w:tcPr>
                <w:p>
                  <w:pPr>
                    <w:jc w:val="center"/>
                    <w:rPr>
                      <w:rFonts w:hint="default" w:ascii="Times New Roman" w:hAnsi="Times New Roman" w:cs="Times New Roman"/>
                      <w:u w:val="none"/>
                    </w:rPr>
                  </w:pPr>
                  <w:r>
                    <w:rPr>
                      <w:rFonts w:hint="default" w:ascii="Times New Roman" w:hAnsi="Times New Roman" w:cs="Times New Roman"/>
                      <w:u w:val="none"/>
                    </w:rPr>
                    <w:t>建生活垃圾收集点，定期清运，配垃圾桶10个</w:t>
                  </w:r>
                </w:p>
              </w:tc>
              <w:tc>
                <w:tcPr>
                  <w:tcW w:w="842" w:type="pct"/>
                  <w:tcBorders>
                    <w:tl2br w:val="nil"/>
                    <w:tr2bl w:val="nil"/>
                  </w:tcBorders>
                  <w:shd w:val="clear" w:color="auto" w:fill="auto"/>
                  <w:vAlign w:val="center"/>
                </w:tcPr>
                <w:p>
                  <w:pPr>
                    <w:jc w:val="center"/>
                    <w:rPr>
                      <w:rFonts w:hint="default" w:ascii="Times New Roman" w:hAnsi="Times New Roman" w:cs="Times New Roman"/>
                      <w:color w:val="auto"/>
                      <w:u w:val="none"/>
                    </w:rPr>
                  </w:pPr>
                  <w:r>
                    <w:rPr>
                      <w:rFonts w:hint="eastAsia" w:ascii="Times New Roman" w:hAnsi="Times New Roman" w:cs="Times New Roman"/>
                      <w:color w:val="auto"/>
                      <w:u w:val="none"/>
                      <w:lang w:eastAsia="zh-CN"/>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294" w:hRule="atLeast"/>
                <w:jc w:val="center"/>
              </w:trPr>
              <w:tc>
                <w:tcPr>
                  <w:tcW w:w="254"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432"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3470" w:type="pct"/>
                  <w:tcBorders>
                    <w:tl2br w:val="nil"/>
                    <w:tr2bl w:val="nil"/>
                  </w:tcBorders>
                  <w:shd w:val="clear" w:color="auto" w:fill="auto"/>
                  <w:vAlign w:val="center"/>
                </w:tcPr>
                <w:p>
                  <w:pPr>
                    <w:jc w:val="center"/>
                    <w:rPr>
                      <w:rStyle w:val="19"/>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rPr>
                    <w:t>设置泥渣暂存场所，</w:t>
                  </w:r>
                  <w:r>
                    <w:rPr>
                      <w:rFonts w:hint="default" w:ascii="Times New Roman" w:hAnsi="Times New Roman" w:cs="Times New Roman"/>
                      <w:color w:val="auto"/>
                      <w:u w:val="none"/>
                      <w:lang w:eastAsia="zh-CN"/>
                    </w:rPr>
                    <w:t>要求防风防雨</w:t>
                  </w:r>
                  <w:r>
                    <w:rPr>
                      <w:rFonts w:hint="eastAsia" w:ascii="Times New Roman" w:hAnsi="Times New Roman" w:cs="Times New Roman"/>
                      <w:color w:val="auto"/>
                      <w:u w:val="none"/>
                      <w:lang w:eastAsia="zh-CN"/>
                    </w:rPr>
                    <w:t>防</w:t>
                  </w:r>
                  <w:r>
                    <w:rPr>
                      <w:rFonts w:hint="default" w:ascii="Times New Roman" w:hAnsi="Times New Roman" w:cs="Times New Roman"/>
                      <w:color w:val="auto"/>
                      <w:u w:val="none"/>
                      <w:lang w:eastAsia="zh-CN"/>
                    </w:rPr>
                    <w:t>放流失，</w:t>
                  </w:r>
                  <w:r>
                    <w:rPr>
                      <w:rFonts w:hint="default" w:ascii="Times New Roman" w:hAnsi="Times New Roman" w:cs="Times New Roman"/>
                      <w:color w:val="auto"/>
                      <w:u w:val="none"/>
                    </w:rPr>
                    <w:t>沉淀池泥浆经带式压滤，外运用作</w:t>
                  </w:r>
                  <w:r>
                    <w:rPr>
                      <w:rFonts w:hint="default" w:ascii="Times New Roman" w:hAnsi="Times New Roman" w:cs="Times New Roman"/>
                      <w:color w:val="auto"/>
                      <w:u w:val="none"/>
                      <w:lang w:eastAsia="zh-CN"/>
                    </w:rPr>
                    <w:t>路基填料</w:t>
                  </w:r>
                  <w:r>
                    <w:rPr>
                      <w:rFonts w:hint="default" w:ascii="Times New Roman" w:hAnsi="Times New Roman" w:cs="Times New Roman"/>
                      <w:color w:val="auto"/>
                      <w:u w:val="none"/>
                    </w:rPr>
                    <w:t>；布袋除尘器收集颗粒物</w:t>
                  </w:r>
                  <w:r>
                    <w:rPr>
                      <w:rFonts w:hint="eastAsia" w:cs="Times New Roman"/>
                      <w:color w:val="auto"/>
                      <w:u w:val="none"/>
                      <w:lang w:eastAsia="zh-CN"/>
                    </w:rPr>
                    <w:t>直接回用；</w:t>
                  </w:r>
                </w:p>
              </w:tc>
              <w:tc>
                <w:tcPr>
                  <w:tcW w:w="842" w:type="pct"/>
                  <w:tcBorders>
                    <w:tl2br w:val="nil"/>
                    <w:tr2bl w:val="nil"/>
                  </w:tcBorders>
                  <w:shd w:val="clear" w:color="auto" w:fill="auto"/>
                  <w:vAlign w:val="center"/>
                </w:tcPr>
                <w:p>
                  <w:pPr>
                    <w:jc w:val="center"/>
                    <w:rPr>
                      <w:rFonts w:hint="default" w:ascii="Times New Roman" w:hAnsi="Times New Roman" w:cs="Times New Roman"/>
                      <w:color w:val="auto"/>
                      <w:u w:val="none"/>
                    </w:rPr>
                  </w:pPr>
                  <w:r>
                    <w:rPr>
                      <w:rFonts w:hint="eastAsia" w:ascii="Times New Roman" w:hAnsi="Times New Roman" w:cs="Times New Roman"/>
                      <w:color w:val="auto"/>
                      <w:u w:val="none"/>
                      <w:lang w:eastAsia="zh-CN"/>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294" w:hRule="atLeast"/>
                <w:jc w:val="center"/>
              </w:trPr>
              <w:tc>
                <w:tcPr>
                  <w:tcW w:w="254"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432"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3470" w:type="pct"/>
                  <w:tcBorders>
                    <w:tl2br w:val="nil"/>
                    <w:tr2bl w:val="nil"/>
                  </w:tcBorders>
                  <w:shd w:val="clear" w:color="auto" w:fill="auto"/>
                  <w:vAlign w:val="center"/>
                </w:tcPr>
                <w:p>
                  <w:pPr>
                    <w:jc w:val="center"/>
                    <w:rPr>
                      <w:rFonts w:hint="eastAsia" w:ascii="Times New Roman" w:hAnsi="Times New Roman" w:eastAsia="宋体" w:cs="Times New Roman"/>
                      <w:color w:val="auto"/>
                      <w:u w:val="none"/>
                      <w:lang w:eastAsia="zh-CN"/>
                    </w:rPr>
                  </w:pPr>
                  <w:r>
                    <w:rPr>
                      <w:rFonts w:hint="eastAsia" w:ascii="Times New Roman" w:hAnsi="Times New Roman" w:cs="Times New Roman"/>
                      <w:color w:val="auto"/>
                      <w:u w:val="none"/>
                      <w:lang w:eastAsia="zh-CN"/>
                    </w:rPr>
                    <w:t>建设危险废物暂存间，地面硬化</w:t>
                  </w:r>
                  <w:r>
                    <w:rPr>
                      <w:rFonts w:hint="eastAsia" w:ascii="Times New Roman" w:hAnsi="Times New Roman" w:cs="Times New Roman"/>
                      <w:color w:val="auto"/>
                      <w:sz w:val="21"/>
                      <w:szCs w:val="21"/>
                      <w:u w:val="none"/>
                      <w:lang w:eastAsia="zh-CN"/>
                    </w:rPr>
                    <w:t>，</w:t>
                  </w:r>
                  <w:r>
                    <w:rPr>
                      <w:rFonts w:hint="eastAsia"/>
                      <w:color w:val="auto"/>
                      <w:sz w:val="21"/>
                      <w:szCs w:val="21"/>
                      <w:u w:val="none"/>
                    </w:rPr>
                    <w:t>按《环境保护图形标识—固体废物贮存（处置）场》设置警示标志</w:t>
                  </w:r>
                  <w:r>
                    <w:rPr>
                      <w:rFonts w:hint="eastAsia"/>
                      <w:color w:val="auto"/>
                      <w:sz w:val="21"/>
                      <w:szCs w:val="21"/>
                      <w:u w:val="none"/>
                      <w:lang w:eastAsia="zh-CN"/>
                    </w:rPr>
                    <w:t>，</w:t>
                  </w:r>
                  <w:r>
                    <w:rPr>
                      <w:rFonts w:hint="eastAsia"/>
                      <w:color w:val="auto"/>
                      <w:sz w:val="21"/>
                      <w:szCs w:val="21"/>
                      <w:u w:val="none"/>
                    </w:rPr>
                    <w:t>要求有必要的防风、防雨、防晒措施</w:t>
                  </w:r>
                  <w:r>
                    <w:rPr>
                      <w:rFonts w:hint="eastAsia"/>
                      <w:color w:val="auto"/>
                      <w:sz w:val="21"/>
                      <w:szCs w:val="21"/>
                      <w:u w:val="none"/>
                      <w:lang w:eastAsia="zh-CN"/>
                    </w:rPr>
                    <w:t>，</w:t>
                  </w:r>
                  <w:r>
                    <w:rPr>
                      <w:rFonts w:hint="eastAsia"/>
                      <w:color w:val="auto"/>
                      <w:sz w:val="21"/>
                      <w:szCs w:val="21"/>
                      <w:u w:val="none"/>
                    </w:rPr>
                    <w:t>有耐腐蚀的硬化地面和基础防渗层，地面无裂隙</w:t>
                  </w:r>
                  <w:r>
                    <w:rPr>
                      <w:rFonts w:hint="eastAsia"/>
                      <w:color w:val="auto"/>
                      <w:sz w:val="21"/>
                      <w:szCs w:val="21"/>
                      <w:u w:val="none"/>
                      <w:lang w:eastAsia="zh-CN"/>
                    </w:rPr>
                    <w:t>，</w:t>
                  </w:r>
                  <w:r>
                    <w:rPr>
                      <w:rFonts w:hint="eastAsia"/>
                      <w:color w:val="auto"/>
                      <w:sz w:val="21"/>
                      <w:szCs w:val="21"/>
                      <w:u w:val="none"/>
                    </w:rPr>
                    <w:t>配备通讯设备、照明设施、安全防护服装</w:t>
                  </w:r>
                </w:p>
              </w:tc>
              <w:tc>
                <w:tcPr>
                  <w:tcW w:w="842" w:type="pct"/>
                  <w:tcBorders>
                    <w:tl2br w:val="nil"/>
                    <w:tr2bl w:val="nil"/>
                  </w:tcBorders>
                  <w:shd w:val="clear" w:color="auto" w:fill="auto"/>
                  <w:vAlign w:val="center"/>
                </w:tcPr>
                <w:p>
                  <w:pPr>
                    <w:jc w:val="center"/>
                    <w:rPr>
                      <w:rFonts w:hint="default" w:ascii="Times New Roman" w:hAnsi="Times New Roman" w:cs="Times New Roman"/>
                      <w:color w:val="auto"/>
                      <w:u w:val="none"/>
                    </w:rPr>
                  </w:pPr>
                  <w:r>
                    <w:rPr>
                      <w:rFonts w:hint="eastAsia" w:ascii="Times New Roman" w:hAnsi="Times New Roman" w:cs="Times New Roman"/>
                      <w:color w:val="auto"/>
                      <w:u w:val="none"/>
                      <w:lang w:eastAsia="zh-CN"/>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294" w:hRule="atLeast"/>
                <w:jc w:val="center"/>
              </w:trPr>
              <w:tc>
                <w:tcPr>
                  <w:tcW w:w="254" w:type="pct"/>
                  <w:vMerge w:val="continue"/>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p>
              </w:tc>
              <w:tc>
                <w:tcPr>
                  <w:tcW w:w="432" w:type="pc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噪声</w:t>
                  </w:r>
                </w:p>
              </w:tc>
              <w:tc>
                <w:tcPr>
                  <w:tcW w:w="3470" w:type="pct"/>
                  <w:tcBorders>
                    <w:tl2br w:val="nil"/>
                    <w:tr2bl w:val="nil"/>
                  </w:tcBorders>
                  <w:shd w:val="clear" w:color="auto" w:fill="auto"/>
                  <w:vAlign w:val="center"/>
                </w:tcPr>
                <w:p>
                  <w:pPr>
                    <w:jc w:val="cente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kern w:val="0"/>
                      <w:u w:val="none"/>
                    </w:rPr>
                    <w:t>合理布局，选用低噪声设备，设施安装减震器，加强设备管理，在厂区道路两边种植高大绿植，禁止夜间作业。</w:t>
                  </w:r>
                </w:p>
              </w:tc>
              <w:tc>
                <w:tcPr>
                  <w:tcW w:w="842" w:type="pct"/>
                  <w:tcBorders>
                    <w:tl2br w:val="nil"/>
                    <w:tr2bl w:val="nil"/>
                  </w:tcBorders>
                  <w:shd w:val="clear" w:color="auto" w:fill="auto"/>
                  <w:vAlign w:val="center"/>
                </w:tcPr>
                <w:p>
                  <w:pPr>
                    <w:jc w:val="center"/>
                    <w:rPr>
                      <w:rFonts w:hint="default" w:ascii="Times New Roman" w:hAnsi="Times New Roman" w:cs="Times New Roman"/>
                      <w:color w:val="auto"/>
                      <w:kern w:val="0"/>
                      <w:u w:val="none"/>
                    </w:rPr>
                  </w:pPr>
                  <w:r>
                    <w:rPr>
                      <w:rFonts w:hint="eastAsia" w:ascii="Times New Roman" w:hAnsi="Times New Roman" w:cs="Times New Roman"/>
                      <w:color w:val="auto"/>
                      <w:u w:val="none"/>
                      <w:lang w:eastAsia="zh-CN"/>
                    </w:rPr>
                    <w:t>新建</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Times New Roman" w:hAnsi="Times New Roman" w:eastAsia="宋体" w:cs="Times New Roman"/>
                <w:bCs/>
                <w:strike w:val="0"/>
                <w:dstrike w:val="0"/>
                <w:color w:val="auto"/>
                <w:sz w:val="24"/>
                <w:szCs w:val="24"/>
                <w:highlight w:val="none"/>
                <w:u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ind w:left="0" w:leftChars="0" w:firstLine="482" w:firstLineChars="200"/>
              <w:jc w:val="both"/>
              <w:textAlignment w:val="auto"/>
              <w:rPr>
                <w:rFonts w:hint="default" w:ascii="Times New Roman" w:hAnsi="Times New Roman" w:eastAsia="宋体" w:cs="Times New Roman"/>
                <w:b/>
                <w:bCs w:val="0"/>
                <w:strike w:val="0"/>
                <w:dstrike w:val="0"/>
                <w:color w:val="auto"/>
                <w:sz w:val="24"/>
                <w:szCs w:val="24"/>
                <w:highlight w:val="none"/>
                <w:u w:val="none"/>
                <w:lang w:val="en-US" w:eastAsia="zh-CN"/>
              </w:rPr>
            </w:pPr>
            <w:r>
              <w:rPr>
                <w:rFonts w:hint="default" w:ascii="Times New Roman" w:hAnsi="Times New Roman" w:eastAsia="宋体" w:cs="Times New Roman"/>
                <w:b/>
                <w:bCs w:val="0"/>
                <w:strike w:val="0"/>
                <w:dstrike w:val="0"/>
                <w:color w:val="auto"/>
                <w:sz w:val="24"/>
                <w:szCs w:val="24"/>
                <w:highlight w:val="none"/>
                <w:u w:val="none"/>
                <w:lang w:val="en-US" w:eastAsia="zh-CN"/>
              </w:rPr>
              <w:t>产品方案</w:t>
            </w:r>
          </w:p>
          <w:p>
            <w:pPr>
              <w:spacing w:line="360" w:lineRule="auto"/>
              <w:ind w:firstLine="480" w:firstLineChars="200"/>
              <w:rPr>
                <w:b/>
                <w:bCs/>
                <w:color w:val="000000" w:themeColor="text1"/>
                <w:u w:val="none"/>
                <w14:textFill>
                  <w14:solidFill>
                    <w14:schemeClr w14:val="tx1"/>
                  </w14:solidFill>
                </w14:textFill>
              </w:rPr>
            </w:pPr>
            <w:r>
              <w:rPr>
                <w:color w:val="000000" w:themeColor="text1"/>
                <w:sz w:val="24"/>
                <w:szCs w:val="24"/>
                <w:u w:val="none"/>
                <w14:textFill>
                  <w14:solidFill>
                    <w14:schemeClr w14:val="tx1"/>
                  </w14:solidFill>
                </w14:textFill>
              </w:rPr>
              <w:t>本项目</w:t>
            </w:r>
            <w:r>
              <w:rPr>
                <w:rFonts w:hint="eastAsia"/>
                <w:color w:val="000000" w:themeColor="text1"/>
                <w:sz w:val="24"/>
                <w:szCs w:val="24"/>
                <w:u w:val="none"/>
                <w:lang w:eastAsia="zh-CN"/>
                <w14:textFill>
                  <w14:solidFill>
                    <w14:schemeClr w14:val="tx1"/>
                  </w14:solidFill>
                </w14:textFill>
              </w:rPr>
              <w:t>产品方案</w:t>
            </w:r>
            <w:r>
              <w:rPr>
                <w:color w:val="000000" w:themeColor="text1"/>
                <w:sz w:val="24"/>
                <w:szCs w:val="24"/>
                <w:u w:val="none"/>
                <w14:textFill>
                  <w14:solidFill>
                    <w14:schemeClr w14:val="tx1"/>
                  </w14:solidFill>
                </w14:textFill>
              </w:rPr>
              <w:t>详见下表</w:t>
            </w:r>
            <w:r>
              <w:rPr>
                <w:rFonts w:hint="eastAsia"/>
                <w:color w:val="000000" w:themeColor="text1"/>
                <w:sz w:val="24"/>
                <w:szCs w:val="24"/>
                <w:u w:val="none"/>
                <w14:textFill>
                  <w14:solidFill>
                    <w14:schemeClr w14:val="tx1"/>
                  </w14:solidFill>
                </w14:textFill>
              </w:rPr>
              <w:t>2</w:t>
            </w:r>
            <w:r>
              <w:rPr>
                <w:rFonts w:hint="eastAsia"/>
                <w:color w:val="000000" w:themeColor="text1"/>
                <w:sz w:val="24"/>
                <w:szCs w:val="24"/>
                <w:u w:val="none"/>
                <w:lang w:val="en-US" w:eastAsia="zh-CN"/>
                <w14:textFill>
                  <w14:solidFill>
                    <w14:schemeClr w14:val="tx1"/>
                  </w14:solidFill>
                </w14:textFill>
              </w:rPr>
              <w:t>-2</w:t>
            </w:r>
            <w:r>
              <w:rPr>
                <w:color w:val="000000" w:themeColor="text1"/>
                <w:sz w:val="24"/>
                <w:szCs w:val="24"/>
                <w:u w:val="none"/>
                <w14:textFill>
                  <w14:solidFill>
                    <w14:schemeClr w14:val="tx1"/>
                  </w14:solidFill>
                </w14:textFill>
              </w:rPr>
              <w:t>。</w:t>
            </w:r>
          </w:p>
          <w:p>
            <w:pPr>
              <w:jc w:val="center"/>
              <w:rPr>
                <w:color w:val="000000" w:themeColor="text1"/>
                <w:u w:val="none"/>
                <w14:textFill>
                  <w14:solidFill>
                    <w14:schemeClr w14:val="tx1"/>
                  </w14:solidFill>
                </w14:textFill>
              </w:rPr>
            </w:pPr>
            <w:r>
              <w:rPr>
                <w:b/>
                <w:bCs/>
                <w:color w:val="000000" w:themeColor="text1"/>
                <w:u w:val="none"/>
                <w14:textFill>
                  <w14:solidFill>
                    <w14:schemeClr w14:val="tx1"/>
                  </w14:solidFill>
                </w14:textFill>
              </w:rPr>
              <w:t>表</w:t>
            </w:r>
            <w:r>
              <w:rPr>
                <w:rFonts w:hint="eastAsia"/>
                <w:b/>
                <w:bCs/>
                <w:color w:val="000000" w:themeColor="text1"/>
                <w:u w:val="none"/>
                <w14:textFill>
                  <w14:solidFill>
                    <w14:schemeClr w14:val="tx1"/>
                  </w14:solidFill>
                </w14:textFill>
              </w:rPr>
              <w:t>2</w:t>
            </w:r>
            <w:r>
              <w:rPr>
                <w:rFonts w:hint="eastAsia"/>
                <w:b/>
                <w:bCs/>
                <w:color w:val="000000" w:themeColor="text1"/>
                <w:u w:val="none"/>
                <w:lang w:val="en-US" w:eastAsia="zh-CN"/>
                <w14:textFill>
                  <w14:solidFill>
                    <w14:schemeClr w14:val="tx1"/>
                  </w14:solidFill>
                </w14:textFill>
              </w:rPr>
              <w:t>-2</w:t>
            </w:r>
            <w:r>
              <w:rPr>
                <w:rFonts w:hint="eastAsia"/>
                <w:b/>
                <w:bCs/>
                <w:color w:val="000000" w:themeColor="text1"/>
                <w:u w:val="none"/>
                <w14:textFill>
                  <w14:solidFill>
                    <w14:schemeClr w14:val="tx1"/>
                  </w14:solidFill>
                </w14:textFill>
              </w:rPr>
              <w:t xml:space="preserve">  </w:t>
            </w:r>
            <w:r>
              <w:rPr>
                <w:b/>
                <w:bCs/>
                <w:color w:val="000000" w:themeColor="text1"/>
                <w:u w:val="none"/>
                <w14:textFill>
                  <w14:solidFill>
                    <w14:schemeClr w14:val="tx1"/>
                  </w14:solidFill>
                </w14:textFill>
              </w:rPr>
              <w:t>产品生产规模一览表</w:t>
            </w:r>
          </w:p>
          <w:tbl>
            <w:tblPr>
              <w:tblStyle w:val="1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997"/>
              <w:gridCol w:w="1159"/>
              <w:gridCol w:w="1002"/>
              <w:gridCol w:w="46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7" w:type="pct"/>
                  <w:tcBorders>
                    <w:tl2br w:val="nil"/>
                    <w:tr2bl w:val="nil"/>
                  </w:tcBorders>
                  <w:vAlign w:val="center"/>
                </w:tcPr>
                <w:p>
                  <w:pPr>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序号</w:t>
                  </w:r>
                </w:p>
              </w:tc>
              <w:tc>
                <w:tcPr>
                  <w:tcW w:w="596" w:type="pct"/>
                  <w:tcBorders>
                    <w:tl2br w:val="nil"/>
                    <w:tr2bl w:val="nil"/>
                  </w:tcBorders>
                  <w:vAlign w:val="center"/>
                </w:tcPr>
                <w:p>
                  <w:pPr>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产品</w:t>
                  </w:r>
                </w:p>
              </w:tc>
              <w:tc>
                <w:tcPr>
                  <w:tcW w:w="693" w:type="pct"/>
                  <w:tcBorders>
                    <w:tl2br w:val="nil"/>
                    <w:tr2bl w:val="nil"/>
                  </w:tcBorders>
                  <w:vAlign w:val="center"/>
                </w:tcPr>
                <w:p>
                  <w:pPr>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规模</w:t>
                  </w:r>
                </w:p>
              </w:tc>
              <w:tc>
                <w:tcPr>
                  <w:tcW w:w="599" w:type="pct"/>
                  <w:tcBorders>
                    <w:tl2br w:val="nil"/>
                    <w:tr2bl w:val="nil"/>
                  </w:tcBorders>
                  <w:vAlign w:val="center"/>
                </w:tcPr>
                <w:p>
                  <w:pPr>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去向</w:t>
                  </w:r>
                </w:p>
              </w:tc>
              <w:tc>
                <w:tcPr>
                  <w:tcW w:w="2783" w:type="pct"/>
                  <w:tcBorders>
                    <w:tl2br w:val="nil"/>
                    <w:tr2bl w:val="nil"/>
                  </w:tcBorders>
                  <w:vAlign w:val="center"/>
                </w:tcPr>
                <w:p>
                  <w:pPr>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7" w:type="pct"/>
                  <w:tcBorders>
                    <w:tl2br w:val="nil"/>
                    <w:tr2bl w:val="nil"/>
                  </w:tcBorders>
                  <w:vAlign w:val="center"/>
                </w:tcPr>
                <w:p>
                  <w:pPr>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1</w:t>
                  </w:r>
                </w:p>
              </w:tc>
              <w:tc>
                <w:tcPr>
                  <w:tcW w:w="596" w:type="pct"/>
                  <w:tcBorders>
                    <w:tl2br w:val="nil"/>
                    <w:tr2bl w:val="nil"/>
                  </w:tcBorders>
                  <w:vAlign w:val="center"/>
                </w:tcPr>
                <w:p>
                  <w:pPr>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机制砂</w:t>
                  </w:r>
                </w:p>
              </w:tc>
              <w:tc>
                <w:tcPr>
                  <w:tcW w:w="693" w:type="pct"/>
                  <w:tcBorders>
                    <w:tl2br w:val="nil"/>
                    <w:tr2bl w:val="nil"/>
                  </w:tcBorders>
                  <w:vAlign w:val="center"/>
                </w:tcPr>
                <w:p>
                  <w:pPr>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60万</w:t>
                  </w:r>
                  <w:r>
                    <w:rPr>
                      <w:color w:val="000000" w:themeColor="text1"/>
                      <w:u w:val="none"/>
                      <w14:textFill>
                        <w14:solidFill>
                          <w14:schemeClr w14:val="tx1"/>
                        </w14:solidFill>
                      </w14:textFill>
                    </w:rPr>
                    <w:t>t/a</w:t>
                  </w:r>
                </w:p>
              </w:tc>
              <w:tc>
                <w:tcPr>
                  <w:tcW w:w="599" w:type="pct"/>
                  <w:tcBorders>
                    <w:tl2br w:val="nil"/>
                    <w:tr2bl w:val="nil"/>
                  </w:tcBorders>
                </w:tcPr>
                <w:p>
                  <w:pPr>
                    <w:jc w:val="center"/>
                    <w:rPr>
                      <w:rFonts w:hint="eastAsia" w:eastAsia="宋体"/>
                      <w:color w:val="auto"/>
                      <w:u w:val="none"/>
                      <w:lang w:eastAsia="zh-CN"/>
                    </w:rPr>
                  </w:pPr>
                  <w:r>
                    <w:rPr>
                      <w:rFonts w:hint="eastAsia"/>
                      <w:color w:val="auto"/>
                      <w:u w:val="none"/>
                      <w:lang w:eastAsia="zh-CN"/>
                    </w:rPr>
                    <w:t>部分</w:t>
                  </w:r>
                  <w:r>
                    <w:rPr>
                      <w:rFonts w:hint="eastAsia"/>
                      <w:color w:val="auto"/>
                      <w:u w:val="none"/>
                    </w:rPr>
                    <w:t>外售周边施工现场</w:t>
                  </w:r>
                  <w:r>
                    <w:rPr>
                      <w:rFonts w:hint="eastAsia"/>
                      <w:color w:val="auto"/>
                      <w:u w:val="none"/>
                      <w:lang w:eastAsia="zh-CN"/>
                    </w:rPr>
                    <w:t>，部分自用</w:t>
                  </w:r>
                </w:p>
              </w:tc>
              <w:tc>
                <w:tcPr>
                  <w:tcW w:w="2783" w:type="pct"/>
                  <w:tcBorders>
                    <w:tl2br w:val="nil"/>
                    <w:tr2bl w:val="nil"/>
                  </w:tcBorders>
                  <w:vAlign w:val="center"/>
                </w:tcPr>
                <w:p>
                  <w:pPr>
                    <w:jc w:val="center"/>
                    <w:rPr>
                      <w:color w:val="auto"/>
                      <w:u w:val="none"/>
                    </w:rPr>
                  </w:pPr>
                  <w:r>
                    <w:rPr>
                      <w:rFonts w:hint="eastAsia"/>
                      <w:color w:val="auto"/>
                      <w:u w:val="none"/>
                    </w:rPr>
                    <w:t>规格为</w:t>
                  </w:r>
                  <w:r>
                    <w:rPr>
                      <w:rFonts w:hint="eastAsia"/>
                      <w:color w:val="auto"/>
                      <w:u w:val="none"/>
                      <w:lang w:val="en-US" w:eastAsia="zh-CN"/>
                    </w:rPr>
                    <w:t>3</w:t>
                  </w:r>
                  <w:r>
                    <w:rPr>
                      <w:rFonts w:hint="eastAsia"/>
                      <w:color w:val="auto"/>
                      <w:u w:val="none"/>
                    </w:rPr>
                    <w:t>~</w:t>
                  </w:r>
                  <w:r>
                    <w:rPr>
                      <w:rFonts w:hint="eastAsia"/>
                      <w:color w:val="auto"/>
                      <w:u w:val="none"/>
                      <w:lang w:val="en-US" w:eastAsia="zh-CN"/>
                    </w:rPr>
                    <w:t>6</w:t>
                  </w:r>
                  <w:r>
                    <w:rPr>
                      <w:rFonts w:hint="eastAsia"/>
                      <w:color w:val="auto"/>
                      <w:u w:val="none"/>
                    </w:rPr>
                    <w:t>mm，含水率约为</w:t>
                  </w:r>
                  <w:r>
                    <w:rPr>
                      <w:rFonts w:hint="eastAsia"/>
                      <w:color w:val="auto"/>
                      <w:u w:val="none"/>
                      <w:lang w:val="en-US" w:eastAsia="zh-CN"/>
                    </w:rPr>
                    <w:t>8</w:t>
                  </w:r>
                  <w:r>
                    <w:rPr>
                      <w:rFonts w:hint="eastAsia"/>
                      <w:color w:val="auto"/>
                      <w:u w:val="none"/>
                    </w:rPr>
                    <w:t>%，</w:t>
                  </w:r>
                  <w:r>
                    <w:rPr>
                      <w:rFonts w:hint="eastAsia"/>
                      <w:color w:val="auto"/>
                      <w:u w:val="none"/>
                      <w:lang w:eastAsia="zh-CN"/>
                    </w:rPr>
                    <w:t>含泥率为</w:t>
                  </w:r>
                  <w:r>
                    <w:rPr>
                      <w:rFonts w:hint="eastAsia"/>
                      <w:color w:val="auto"/>
                      <w:u w:val="none"/>
                      <w:lang w:val="en-US" w:eastAsia="zh-CN"/>
                    </w:rPr>
                    <w:t>3%</w:t>
                  </w:r>
                  <w:r>
                    <w:rPr>
                      <w:rFonts w:hint="eastAsia"/>
                      <w:color w:val="auto"/>
                      <w:u w:val="none"/>
                    </w:rPr>
                    <w:t>采用汽运方式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7" w:type="pct"/>
                  <w:tcBorders>
                    <w:tl2br w:val="nil"/>
                    <w:tr2bl w:val="nil"/>
                  </w:tcBorders>
                  <w:vAlign w:val="center"/>
                </w:tcPr>
                <w:p>
                  <w:pPr>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2</w:t>
                  </w:r>
                </w:p>
              </w:tc>
              <w:tc>
                <w:tcPr>
                  <w:tcW w:w="596" w:type="pct"/>
                  <w:tcBorders>
                    <w:tl2br w:val="nil"/>
                    <w:tr2bl w:val="nil"/>
                  </w:tcBorders>
                  <w:vAlign w:val="center"/>
                </w:tcPr>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eastAsia="zh-CN"/>
                      <w14:textFill>
                        <w14:solidFill>
                          <w14:schemeClr w14:val="tx1"/>
                        </w14:solidFill>
                      </w14:textFill>
                    </w:rPr>
                    <w:t>混凝土</w:t>
                  </w:r>
                </w:p>
              </w:tc>
              <w:tc>
                <w:tcPr>
                  <w:tcW w:w="693" w:type="pct"/>
                  <w:tcBorders>
                    <w:tl2br w:val="nil"/>
                    <w:tr2bl w:val="nil"/>
                  </w:tcBorders>
                  <w:vAlign w:val="center"/>
                </w:tcPr>
                <w:p>
                  <w:pPr>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5万m</w:t>
                  </w:r>
                  <w:r>
                    <w:rPr>
                      <w:rFonts w:hint="eastAsia"/>
                      <w:color w:val="000000" w:themeColor="text1"/>
                      <w:u w:val="none"/>
                      <w:vertAlign w:val="superscript"/>
                      <w:lang w:val="en-US" w:eastAsia="zh-CN"/>
                      <w14:textFill>
                        <w14:solidFill>
                          <w14:schemeClr w14:val="tx1"/>
                        </w14:solidFill>
                      </w14:textFill>
                    </w:rPr>
                    <w:t>3</w:t>
                  </w:r>
                  <w:r>
                    <w:rPr>
                      <w:rFonts w:hint="eastAsia"/>
                      <w:color w:val="000000" w:themeColor="text1"/>
                      <w:u w:val="none"/>
                      <w:lang w:val="en-US" w:eastAsia="zh-CN"/>
                      <w14:textFill>
                        <w14:solidFill>
                          <w14:schemeClr w14:val="tx1"/>
                        </w14:solidFill>
                      </w14:textFill>
                    </w:rPr>
                    <w:t>/a</w:t>
                  </w:r>
                </w:p>
              </w:tc>
              <w:tc>
                <w:tcPr>
                  <w:tcW w:w="599" w:type="pct"/>
                  <w:tcBorders>
                    <w:tl2br w:val="nil"/>
                    <w:tr2bl w:val="nil"/>
                  </w:tcBorders>
                </w:tcPr>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eastAsia="zh-CN"/>
                      <w14:textFill>
                        <w14:solidFill>
                          <w14:schemeClr w14:val="tx1"/>
                        </w14:solidFill>
                      </w14:textFill>
                    </w:rPr>
                    <w:t>外售周边单位</w:t>
                  </w:r>
                </w:p>
              </w:tc>
              <w:tc>
                <w:tcPr>
                  <w:tcW w:w="2783" w:type="pct"/>
                  <w:tcBorders>
                    <w:tl2br w:val="nil"/>
                    <w:tr2bl w:val="nil"/>
                  </w:tcBorders>
                  <w:vAlign w:val="center"/>
                </w:tcPr>
                <w:p>
                  <w:pPr>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罐车运输方式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l2br w:val="nil"/>
                    <w:tr2bl w:val="nil"/>
                  </w:tcBorders>
                  <w:vAlign w:val="center"/>
                </w:tcPr>
                <w:p>
                  <w:pPr>
                    <w:pStyle w:val="20"/>
                    <w:spacing w:before="2"/>
                    <w:ind w:left="108"/>
                    <w:rPr>
                      <w:rFonts w:hint="default" w:ascii="Times New Roman" w:hAnsi="Times New Roman" w:cs="Times New Roman"/>
                      <w:sz w:val="18"/>
                      <w:u w:val="none"/>
                    </w:rPr>
                  </w:pPr>
                  <w:r>
                    <w:rPr>
                      <w:rFonts w:hint="default" w:ascii="Times New Roman" w:hAnsi="Times New Roman" w:cs="Times New Roman"/>
                      <w:sz w:val="18"/>
                      <w:u w:val="none"/>
                    </w:rPr>
                    <w:t>产品质量标准：本项目中的机制砂石质量标准应按照《建筑用砂国家技术标准》（</w:t>
                  </w:r>
                  <w:r>
                    <w:rPr>
                      <w:rFonts w:hint="default" w:ascii="Times New Roman" w:hAnsi="Times New Roman" w:eastAsia="Times New Roman" w:cs="Times New Roman"/>
                      <w:sz w:val="18"/>
                      <w:u w:val="none"/>
                    </w:rPr>
                    <w:t>BG 14684-2001</w:t>
                  </w:r>
                  <w:r>
                    <w:rPr>
                      <w:rFonts w:hint="default" w:ascii="Times New Roman" w:hAnsi="Times New Roman" w:cs="Times New Roman"/>
                      <w:sz w:val="18"/>
                      <w:u w:val="none"/>
                    </w:rPr>
                    <w:t>）、</w:t>
                  </w:r>
                </w:p>
                <w:p>
                  <w:pPr>
                    <w:jc w:val="center"/>
                    <w:rPr>
                      <w:rFonts w:hint="eastAsia"/>
                      <w:color w:val="000000" w:themeColor="text1"/>
                      <w:u w:val="none"/>
                      <w:lang w:val="en-US" w:eastAsia="zh-CN"/>
                      <w14:textFill>
                        <w14:solidFill>
                          <w14:schemeClr w14:val="tx1"/>
                        </w14:solidFill>
                      </w14:textFill>
                    </w:rPr>
                  </w:pPr>
                  <w:r>
                    <w:rPr>
                      <w:rFonts w:hint="default" w:ascii="Times New Roman" w:hAnsi="Times New Roman" w:cs="Times New Roman"/>
                      <w:spacing w:val="-5"/>
                      <w:sz w:val="18"/>
                      <w:u w:val="none"/>
                    </w:rPr>
                    <w:t>《建筑用卵石、碎石》</w:t>
                  </w:r>
                  <w:r>
                    <w:rPr>
                      <w:rFonts w:hint="default" w:ascii="Times New Roman" w:hAnsi="Times New Roman" w:cs="Times New Roman"/>
                      <w:sz w:val="18"/>
                      <w:u w:val="none"/>
                    </w:rPr>
                    <w:t>（</w:t>
                  </w:r>
                  <w:r>
                    <w:rPr>
                      <w:rFonts w:hint="default" w:ascii="Times New Roman" w:hAnsi="Times New Roman" w:eastAsia="Times New Roman" w:cs="Times New Roman"/>
                      <w:sz w:val="18"/>
                      <w:u w:val="none"/>
                    </w:rPr>
                    <w:t>GB/T14685-2001</w:t>
                  </w:r>
                  <w:r>
                    <w:rPr>
                      <w:rFonts w:hint="default" w:ascii="Times New Roman" w:hAnsi="Times New Roman" w:cs="Times New Roman"/>
                      <w:sz w:val="18"/>
                      <w:u w:val="none"/>
                    </w:rPr>
                    <w:t>）</w:t>
                  </w:r>
                  <w:r>
                    <w:rPr>
                      <w:rFonts w:hint="default" w:ascii="Times New Roman" w:hAnsi="Times New Roman" w:cs="Times New Roman"/>
                      <w:spacing w:val="-6"/>
                      <w:sz w:val="18"/>
                      <w:u w:val="none"/>
                    </w:rPr>
                    <w:t>作为砂、石产品标准来实施，《普通混凝土砂、石质量及检验方法标准》（</w:t>
                  </w:r>
                  <w:r>
                    <w:rPr>
                      <w:rFonts w:hint="default" w:ascii="Times New Roman" w:hAnsi="Times New Roman" w:eastAsia="Times New Roman" w:cs="Times New Roman"/>
                      <w:spacing w:val="-6"/>
                      <w:sz w:val="18"/>
                      <w:u w:val="none"/>
                    </w:rPr>
                    <w:t>JGJ52-2006</w:t>
                  </w:r>
                  <w:r>
                    <w:rPr>
                      <w:rFonts w:hint="default" w:ascii="Times New Roman" w:hAnsi="Times New Roman" w:cs="Times New Roman"/>
                      <w:spacing w:val="-6"/>
                      <w:sz w:val="18"/>
                      <w:u w:val="none"/>
                    </w:rPr>
                    <w:t>）作为应用性规范来实施</w:t>
                  </w:r>
                </w:p>
              </w:tc>
            </w:tr>
          </w:tbl>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57" w:beforeLines="50" w:line="360" w:lineRule="auto"/>
              <w:jc w:val="both"/>
              <w:textAlignment w:val="auto"/>
              <w:rPr>
                <w:rFonts w:hint="eastAsia" w:ascii="Times New Roman" w:hAnsi="Times New Roman" w:eastAsia="宋体" w:cs="Times New Roman"/>
                <w:b w:val="0"/>
                <w:bCs/>
                <w:strike w:val="0"/>
                <w:dstrike w:val="0"/>
                <w:color w:val="auto"/>
                <w:sz w:val="24"/>
                <w:szCs w:val="24"/>
                <w:highlight w:val="none"/>
                <w:u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57" w:beforeLines="50" w:line="360" w:lineRule="auto"/>
              <w:ind w:leftChars="200"/>
              <w:jc w:val="both"/>
              <w:textAlignment w:val="auto"/>
              <w:rPr>
                <w:rFonts w:hint="eastAsia" w:ascii="Times New Roman" w:hAnsi="Times New Roman" w:eastAsia="宋体" w:cs="Times New Roman"/>
                <w:b/>
                <w:bCs w:val="0"/>
                <w:strike w:val="0"/>
                <w:dstrike w:val="0"/>
                <w:color w:val="auto"/>
                <w:sz w:val="24"/>
                <w:szCs w:val="24"/>
                <w:highlight w:val="none"/>
                <w:u w:val="none"/>
                <w:lang w:val="en-US" w:eastAsia="zh-CN"/>
              </w:rPr>
            </w:pPr>
            <w:r>
              <w:rPr>
                <w:rFonts w:hint="eastAsia" w:cs="Times New Roman"/>
                <w:b/>
                <w:bCs w:val="0"/>
                <w:strike w:val="0"/>
                <w:dstrike w:val="0"/>
                <w:color w:val="auto"/>
                <w:sz w:val="24"/>
                <w:szCs w:val="24"/>
                <w:highlight w:val="none"/>
                <w:u w:val="none"/>
                <w:lang w:val="en-US" w:eastAsia="zh-CN"/>
              </w:rPr>
              <w:t>3、</w:t>
            </w:r>
            <w:r>
              <w:rPr>
                <w:rFonts w:hint="eastAsia" w:ascii="Times New Roman" w:hAnsi="Times New Roman" w:eastAsia="宋体" w:cs="Times New Roman"/>
                <w:b/>
                <w:bCs w:val="0"/>
                <w:strike w:val="0"/>
                <w:dstrike w:val="0"/>
                <w:color w:val="auto"/>
                <w:sz w:val="24"/>
                <w:szCs w:val="24"/>
                <w:highlight w:val="none"/>
                <w:u w:val="none"/>
                <w:lang w:val="en-US" w:eastAsia="zh-CN"/>
              </w:rPr>
              <w:t>生产设备</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Cs/>
                <w:strike w:val="0"/>
                <w:dstrike w:val="0"/>
                <w:color w:val="auto"/>
                <w:sz w:val="24"/>
                <w:szCs w:val="24"/>
                <w:highlight w:val="none"/>
                <w:u w:val="none"/>
                <w:lang w:val="en-US" w:eastAsia="zh-CN"/>
              </w:rPr>
            </w:pPr>
            <w:r>
              <w:rPr>
                <w:rFonts w:hint="eastAsia" w:ascii="Times New Roman" w:hAnsi="Times New Roman" w:eastAsia="宋体" w:cs="Times New Roman"/>
                <w:bCs/>
                <w:strike w:val="0"/>
                <w:dstrike w:val="0"/>
                <w:color w:val="auto"/>
                <w:sz w:val="24"/>
                <w:szCs w:val="24"/>
                <w:highlight w:val="none"/>
                <w:u w:val="none"/>
                <w:lang w:val="en-US" w:eastAsia="zh-CN"/>
              </w:rPr>
              <w:t>项目</w:t>
            </w:r>
            <w:r>
              <w:rPr>
                <w:rFonts w:hint="eastAsia" w:cs="Times New Roman"/>
                <w:bCs/>
                <w:strike w:val="0"/>
                <w:dstrike w:val="0"/>
                <w:color w:val="auto"/>
                <w:sz w:val="24"/>
                <w:szCs w:val="24"/>
                <w:highlight w:val="none"/>
                <w:u w:val="none"/>
                <w:lang w:val="en-US" w:eastAsia="zh-CN"/>
              </w:rPr>
              <w:t>制砂</w:t>
            </w:r>
            <w:r>
              <w:rPr>
                <w:rFonts w:hint="eastAsia" w:ascii="Times New Roman" w:hAnsi="Times New Roman" w:eastAsia="宋体" w:cs="Times New Roman"/>
                <w:bCs/>
                <w:strike w:val="0"/>
                <w:dstrike w:val="0"/>
                <w:color w:val="auto"/>
                <w:sz w:val="24"/>
                <w:szCs w:val="24"/>
                <w:highlight w:val="none"/>
                <w:u w:val="none"/>
                <w:lang w:val="en-US" w:eastAsia="zh-CN"/>
              </w:rPr>
              <w:t>主要设备清单见表2-3</w:t>
            </w:r>
            <w:r>
              <w:rPr>
                <w:rFonts w:hint="eastAsia" w:cs="Times New Roman"/>
                <w:bCs/>
                <w:strike w:val="0"/>
                <w:dstrike w:val="0"/>
                <w:color w:val="auto"/>
                <w:sz w:val="24"/>
                <w:szCs w:val="24"/>
                <w:highlight w:val="none"/>
                <w:u w:val="none"/>
                <w:lang w:val="en-US" w:eastAsia="zh-CN"/>
              </w:rPr>
              <w:t>，混凝土生产设备见下表2-4</w:t>
            </w:r>
            <w:r>
              <w:rPr>
                <w:rFonts w:hint="eastAsia" w:ascii="Times New Roman" w:hAnsi="Times New Roman" w:eastAsia="宋体" w:cs="Times New Roman"/>
                <w:bCs/>
                <w:strike w:val="0"/>
                <w:dstrike w:val="0"/>
                <w:color w:val="auto"/>
                <w:sz w:val="24"/>
                <w:szCs w:val="24"/>
                <w:highlight w:val="none"/>
                <w:u w:val="none"/>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val="0"/>
                <w:strike w:val="0"/>
                <w:dstrike w:val="0"/>
                <w:color w:val="auto"/>
                <w:sz w:val="21"/>
                <w:szCs w:val="21"/>
                <w:highlight w:val="none"/>
                <w:u w:val="none"/>
                <w:lang w:val="en-US" w:eastAsia="zh-CN"/>
              </w:rPr>
            </w:pPr>
            <w:r>
              <w:rPr>
                <w:rFonts w:hint="eastAsia" w:ascii="Times New Roman" w:hAnsi="Times New Roman" w:eastAsia="宋体" w:cs="Times New Roman"/>
                <w:b/>
                <w:bCs w:val="0"/>
                <w:strike w:val="0"/>
                <w:dstrike w:val="0"/>
                <w:color w:val="auto"/>
                <w:sz w:val="21"/>
                <w:szCs w:val="21"/>
                <w:highlight w:val="none"/>
                <w:u w:val="none"/>
                <w:lang w:val="en-US" w:eastAsia="zh-CN"/>
              </w:rPr>
              <w:t xml:space="preserve">表2-3  </w:t>
            </w:r>
            <w:r>
              <w:rPr>
                <w:rFonts w:hint="eastAsia" w:cs="Times New Roman"/>
                <w:b/>
                <w:bCs w:val="0"/>
                <w:strike w:val="0"/>
                <w:dstrike w:val="0"/>
                <w:color w:val="auto"/>
                <w:sz w:val="21"/>
                <w:szCs w:val="21"/>
                <w:highlight w:val="none"/>
                <w:u w:val="none"/>
                <w:lang w:val="en-US" w:eastAsia="zh-CN"/>
              </w:rPr>
              <w:t>制砂</w:t>
            </w:r>
            <w:r>
              <w:rPr>
                <w:rFonts w:hint="eastAsia" w:ascii="Times New Roman" w:hAnsi="Times New Roman" w:eastAsia="宋体" w:cs="Times New Roman"/>
                <w:b/>
                <w:bCs w:val="0"/>
                <w:strike w:val="0"/>
                <w:dstrike w:val="0"/>
                <w:color w:val="auto"/>
                <w:sz w:val="21"/>
                <w:szCs w:val="21"/>
                <w:highlight w:val="none"/>
                <w:u w:val="none"/>
                <w:lang w:val="en-US" w:eastAsia="zh-CN"/>
              </w:rPr>
              <w:t>生产设备一览表</w:t>
            </w:r>
          </w:p>
          <w:tbl>
            <w:tblPr>
              <w:tblStyle w:val="15"/>
              <w:tblW w:w="82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Layout w:type="autofit"/>
              <w:tblCellMar>
                <w:top w:w="0" w:type="dxa"/>
                <w:left w:w="108" w:type="dxa"/>
                <w:bottom w:w="0" w:type="dxa"/>
                <w:right w:w="108" w:type="dxa"/>
              </w:tblCellMar>
            </w:tblPr>
            <w:tblGrid>
              <w:gridCol w:w="830"/>
              <w:gridCol w:w="1524"/>
              <w:gridCol w:w="846"/>
              <w:gridCol w:w="1016"/>
              <w:gridCol w:w="2372"/>
              <w:gridCol w:w="16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830" w:type="dxa"/>
                  <w:tcBorders>
                    <w:tl2br w:val="nil"/>
                    <w:tr2bl w:val="nil"/>
                  </w:tcBorders>
                  <w:vAlign w:val="center"/>
                </w:tcPr>
                <w:p>
                  <w:pPr>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序号</w:t>
                  </w:r>
                </w:p>
              </w:tc>
              <w:tc>
                <w:tcPr>
                  <w:tcW w:w="1524" w:type="dxa"/>
                  <w:tcBorders>
                    <w:tl2br w:val="nil"/>
                    <w:tr2bl w:val="nil"/>
                  </w:tcBorders>
                  <w:vAlign w:val="center"/>
                </w:tcPr>
                <w:p>
                  <w:pPr>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设备名称</w:t>
                  </w:r>
                </w:p>
              </w:tc>
              <w:tc>
                <w:tcPr>
                  <w:tcW w:w="846" w:type="dxa"/>
                  <w:tcBorders>
                    <w:tl2br w:val="nil"/>
                    <w:tr2bl w:val="nil"/>
                  </w:tcBorders>
                  <w:vAlign w:val="center"/>
                </w:tcPr>
                <w:p>
                  <w:pPr>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数量</w:t>
                  </w:r>
                </w:p>
              </w:tc>
              <w:tc>
                <w:tcPr>
                  <w:tcW w:w="1016" w:type="dxa"/>
                  <w:tcBorders>
                    <w:tl2br w:val="nil"/>
                    <w:tr2bl w:val="nil"/>
                  </w:tcBorders>
                  <w:vAlign w:val="center"/>
                </w:tcPr>
                <w:p>
                  <w:pPr>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单位</w:t>
                  </w:r>
                </w:p>
              </w:tc>
              <w:tc>
                <w:tcPr>
                  <w:tcW w:w="2372" w:type="dxa"/>
                  <w:tcBorders>
                    <w:tl2br w:val="nil"/>
                    <w:tr2bl w:val="nil"/>
                  </w:tcBorders>
                  <w:vAlign w:val="center"/>
                </w:tcPr>
                <w:p>
                  <w:pPr>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设备型号</w:t>
                  </w:r>
                </w:p>
              </w:tc>
              <w:tc>
                <w:tcPr>
                  <w:tcW w:w="1688" w:type="dxa"/>
                  <w:tcBorders>
                    <w:tl2br w:val="nil"/>
                    <w:tr2bl w:val="nil"/>
                  </w:tcBorders>
                  <w:vAlign w:val="center"/>
                </w:tcPr>
                <w:p>
                  <w:pPr>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产地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830" w:type="dxa"/>
                  <w:tcBorders>
                    <w:tl2br w:val="nil"/>
                    <w:tr2bl w:val="nil"/>
                  </w:tcBorders>
                  <w:vAlign w:val="center"/>
                </w:tcPr>
                <w:p>
                  <w:pPr>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1</w:t>
                  </w:r>
                </w:p>
              </w:tc>
              <w:tc>
                <w:tcPr>
                  <w:tcW w:w="1524" w:type="dxa"/>
                  <w:tcBorders>
                    <w:tl2br w:val="nil"/>
                    <w:tr2bl w:val="nil"/>
                  </w:tcBorders>
                  <w:vAlign w:val="center"/>
                </w:tcPr>
                <w:p>
                  <w:pPr>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给料机</w:t>
                  </w:r>
                </w:p>
              </w:tc>
              <w:tc>
                <w:tcPr>
                  <w:tcW w:w="846" w:type="dxa"/>
                  <w:tcBorders>
                    <w:tl2br w:val="nil"/>
                    <w:tr2bl w:val="nil"/>
                  </w:tcBorders>
                  <w:vAlign w:val="center"/>
                </w:tcPr>
                <w:p>
                  <w:pPr>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1</w:t>
                  </w:r>
                </w:p>
              </w:tc>
              <w:tc>
                <w:tcPr>
                  <w:tcW w:w="1016" w:type="dxa"/>
                  <w:tcBorders>
                    <w:tl2br w:val="nil"/>
                    <w:tr2bl w:val="nil"/>
                  </w:tcBorders>
                  <w:vAlign w:val="center"/>
                </w:tcPr>
                <w:p>
                  <w:pPr>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台</w:t>
                  </w:r>
                </w:p>
              </w:tc>
              <w:tc>
                <w:tcPr>
                  <w:tcW w:w="2372" w:type="dxa"/>
                  <w:tcBorders>
                    <w:tl2br w:val="nil"/>
                    <w:tr2bl w:val="nil"/>
                  </w:tcBorders>
                  <w:vAlign w:val="center"/>
                </w:tcPr>
                <w:p>
                  <w:pPr>
                    <w:snapToGrid w:val="0"/>
                    <w:jc w:val="center"/>
                    <w:rPr>
                      <w:color w:val="000000" w:themeColor="text1"/>
                      <w:u w:val="none"/>
                      <w14:textFill>
                        <w14:solidFill>
                          <w14:schemeClr w14:val="tx1"/>
                        </w14:solidFill>
                      </w14:textFill>
                    </w:rPr>
                  </w:pPr>
                  <w:r>
                    <w:rPr>
                      <w:rFonts w:hint="eastAsia" w:ascii="宋体" w:hAnsi="宋体" w:eastAsia="宋体" w:cs="宋体"/>
                      <w:sz w:val="21"/>
                      <w:szCs w:val="21"/>
                      <w:u w:val="none"/>
                    </w:rPr>
                    <w:t>GZG1242</w:t>
                  </w:r>
                </w:p>
              </w:tc>
              <w:tc>
                <w:tcPr>
                  <w:tcW w:w="1688" w:type="dxa"/>
                  <w:tcBorders>
                    <w:tl2br w:val="nil"/>
                    <w:tr2bl w:val="nil"/>
                  </w:tcBorders>
                  <w:vAlign w:val="center"/>
                </w:tcPr>
                <w:p>
                  <w:pPr>
                    <w:snapToGrid w:val="0"/>
                    <w:jc w:val="center"/>
                    <w:rPr>
                      <w:color w:val="000000" w:themeColor="text1"/>
                      <w:u w:val="none"/>
                      <w14:textFill>
                        <w14:solidFill>
                          <w14:schemeClr w14:val="tx1"/>
                        </w14:solidFill>
                      </w14:textFill>
                    </w:rPr>
                  </w:pPr>
                  <w:r>
                    <w:rPr>
                      <w:rFonts w:hint="eastAsia" w:ascii="宋体" w:hAnsi="宋体" w:eastAsia="宋体" w:cs="宋体"/>
                      <w:sz w:val="21"/>
                      <w:szCs w:val="21"/>
                      <w:u w:val="none"/>
                    </w:rPr>
                    <w:t>上海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830" w:type="dxa"/>
                  <w:tcBorders>
                    <w:tl2br w:val="nil"/>
                    <w:tr2bl w:val="nil"/>
                  </w:tcBorders>
                  <w:vAlign w:val="center"/>
                </w:tcPr>
                <w:p>
                  <w:pPr>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2</w:t>
                  </w:r>
                </w:p>
              </w:tc>
              <w:tc>
                <w:tcPr>
                  <w:tcW w:w="1524" w:type="dxa"/>
                  <w:tcBorders>
                    <w:tl2br w:val="nil"/>
                    <w:tr2bl w:val="nil"/>
                  </w:tcBorders>
                  <w:vAlign w:val="center"/>
                </w:tcPr>
                <w:p>
                  <w:pPr>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颚式破碎机</w:t>
                  </w:r>
                </w:p>
              </w:tc>
              <w:tc>
                <w:tcPr>
                  <w:tcW w:w="846" w:type="dxa"/>
                  <w:tcBorders>
                    <w:tl2br w:val="nil"/>
                    <w:tr2bl w:val="nil"/>
                  </w:tcBorders>
                  <w:vAlign w:val="center"/>
                </w:tcPr>
                <w:p>
                  <w:pPr>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1</w:t>
                  </w:r>
                </w:p>
              </w:tc>
              <w:tc>
                <w:tcPr>
                  <w:tcW w:w="1016" w:type="dxa"/>
                  <w:tcBorders>
                    <w:tl2br w:val="nil"/>
                    <w:tr2bl w:val="nil"/>
                  </w:tcBorders>
                  <w:vAlign w:val="center"/>
                </w:tcPr>
                <w:p>
                  <w:pPr>
                    <w:jc w:val="center"/>
                    <w:rPr>
                      <w:u w:val="none"/>
                    </w:rPr>
                  </w:pPr>
                  <w:r>
                    <w:rPr>
                      <w:rFonts w:hint="eastAsia"/>
                      <w:u w:val="none"/>
                    </w:rPr>
                    <w:t>台</w:t>
                  </w:r>
                </w:p>
              </w:tc>
              <w:tc>
                <w:tcPr>
                  <w:tcW w:w="2372" w:type="dxa"/>
                  <w:tcBorders>
                    <w:tl2br w:val="nil"/>
                    <w:tr2bl w:val="nil"/>
                  </w:tcBorders>
                  <w:vAlign w:val="center"/>
                </w:tcPr>
                <w:p>
                  <w:pPr>
                    <w:snapToGrid w:val="0"/>
                    <w:jc w:val="center"/>
                    <w:rPr>
                      <w:color w:val="000000" w:themeColor="text1"/>
                      <w:u w:val="none"/>
                      <w14:textFill>
                        <w14:solidFill>
                          <w14:schemeClr w14:val="tx1"/>
                        </w14:solidFill>
                      </w14:textFill>
                    </w:rPr>
                  </w:pPr>
                  <w:r>
                    <w:rPr>
                      <w:rFonts w:ascii="宋体" w:hAnsi="宋体" w:eastAsia="宋体" w:cs="宋体"/>
                      <w:sz w:val="21"/>
                      <w:szCs w:val="21"/>
                      <w:u w:val="none"/>
                    </w:rPr>
                    <w:t>PE600*900</w:t>
                  </w:r>
                </w:p>
              </w:tc>
              <w:tc>
                <w:tcPr>
                  <w:tcW w:w="1688" w:type="dxa"/>
                  <w:tcBorders>
                    <w:tl2br w:val="nil"/>
                    <w:tr2bl w:val="nil"/>
                  </w:tcBorders>
                  <w:vAlign w:val="center"/>
                </w:tcPr>
                <w:p>
                  <w:pPr>
                    <w:snapToGrid w:val="0"/>
                    <w:jc w:val="center"/>
                    <w:rPr>
                      <w:color w:val="000000" w:themeColor="text1"/>
                      <w:u w:val="none"/>
                      <w14:textFill>
                        <w14:solidFill>
                          <w14:schemeClr w14:val="tx1"/>
                        </w14:solidFill>
                      </w14:textFill>
                    </w:rPr>
                  </w:pPr>
                  <w:r>
                    <w:rPr>
                      <w:rFonts w:ascii="宋体" w:hAnsi="宋体" w:eastAsia="宋体" w:cs="宋体"/>
                      <w:sz w:val="21"/>
                      <w:szCs w:val="21"/>
                      <w:u w:val="none"/>
                    </w:rPr>
                    <w:t>湖北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830" w:type="dxa"/>
                  <w:tcBorders>
                    <w:tl2br w:val="nil"/>
                    <w:tr2bl w:val="nil"/>
                  </w:tcBorders>
                  <w:vAlign w:val="center"/>
                </w:tcPr>
                <w:p>
                  <w:pPr>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3</w:t>
                  </w:r>
                </w:p>
              </w:tc>
              <w:tc>
                <w:tcPr>
                  <w:tcW w:w="1524" w:type="dxa"/>
                  <w:tcBorders>
                    <w:tl2br w:val="nil"/>
                    <w:tr2bl w:val="nil"/>
                  </w:tcBorders>
                  <w:vAlign w:val="center"/>
                </w:tcPr>
                <w:p>
                  <w:pPr>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圆锥破</w:t>
                  </w:r>
                </w:p>
              </w:tc>
              <w:tc>
                <w:tcPr>
                  <w:tcW w:w="846" w:type="dxa"/>
                  <w:tcBorders>
                    <w:tl2br w:val="nil"/>
                    <w:tr2bl w:val="nil"/>
                  </w:tcBorders>
                  <w:vAlign w:val="center"/>
                </w:tcPr>
                <w:p>
                  <w:pPr>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1</w:t>
                  </w:r>
                </w:p>
              </w:tc>
              <w:tc>
                <w:tcPr>
                  <w:tcW w:w="1016" w:type="dxa"/>
                  <w:tcBorders>
                    <w:tl2br w:val="nil"/>
                    <w:tr2bl w:val="nil"/>
                  </w:tcBorders>
                  <w:vAlign w:val="center"/>
                </w:tcPr>
                <w:p>
                  <w:pPr>
                    <w:jc w:val="center"/>
                    <w:rPr>
                      <w:u w:val="none"/>
                    </w:rPr>
                  </w:pPr>
                  <w:r>
                    <w:rPr>
                      <w:rFonts w:hint="eastAsia"/>
                      <w:u w:val="none"/>
                    </w:rPr>
                    <w:t>台</w:t>
                  </w:r>
                </w:p>
              </w:tc>
              <w:tc>
                <w:tcPr>
                  <w:tcW w:w="2372" w:type="dxa"/>
                  <w:tcBorders>
                    <w:tl2br w:val="nil"/>
                    <w:tr2bl w:val="nil"/>
                  </w:tcBorders>
                  <w:vAlign w:val="center"/>
                </w:tcPr>
                <w:p>
                  <w:pPr>
                    <w:snapToGrid w:val="0"/>
                    <w:jc w:val="center"/>
                    <w:rPr>
                      <w:color w:val="000000" w:themeColor="text1"/>
                      <w:u w:val="none"/>
                      <w14:textFill>
                        <w14:solidFill>
                          <w14:schemeClr w14:val="tx1"/>
                        </w14:solidFill>
                      </w14:textFill>
                    </w:rPr>
                  </w:pPr>
                  <w:r>
                    <w:rPr>
                      <w:rFonts w:ascii="宋体" w:hAnsi="宋体" w:eastAsia="宋体" w:cs="宋体"/>
                      <w:sz w:val="21"/>
                      <w:szCs w:val="21"/>
                      <w:u w:val="none"/>
                    </w:rPr>
                    <w:t>HP300</w:t>
                  </w:r>
                </w:p>
              </w:tc>
              <w:tc>
                <w:tcPr>
                  <w:tcW w:w="1688" w:type="dxa"/>
                  <w:tcBorders>
                    <w:tl2br w:val="nil"/>
                    <w:tr2bl w:val="nil"/>
                  </w:tcBorders>
                  <w:vAlign w:val="center"/>
                </w:tcPr>
                <w:p>
                  <w:pPr>
                    <w:snapToGrid w:val="0"/>
                    <w:jc w:val="center"/>
                    <w:rPr>
                      <w:color w:val="000000" w:themeColor="text1"/>
                      <w:u w:val="none"/>
                      <w14:textFill>
                        <w14:solidFill>
                          <w14:schemeClr w14:val="tx1"/>
                        </w14:solidFill>
                      </w14:textFill>
                    </w:rPr>
                  </w:pPr>
                  <w:r>
                    <w:rPr>
                      <w:rFonts w:ascii="宋体" w:hAnsi="宋体" w:eastAsia="宋体" w:cs="宋体"/>
                      <w:sz w:val="21"/>
                      <w:szCs w:val="21"/>
                      <w:u w:val="none"/>
                    </w:rPr>
                    <w:t>河南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830" w:type="dxa"/>
                  <w:tcBorders>
                    <w:tl2br w:val="nil"/>
                    <w:tr2bl w:val="nil"/>
                  </w:tcBorders>
                  <w:vAlign w:val="center"/>
                </w:tcPr>
                <w:p>
                  <w:pPr>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t>4</w:t>
                  </w:r>
                </w:p>
              </w:tc>
              <w:tc>
                <w:tcPr>
                  <w:tcW w:w="1524" w:type="dxa"/>
                  <w:tcBorders>
                    <w:tl2br w:val="nil"/>
                    <w:tr2bl w:val="nil"/>
                  </w:tcBorders>
                  <w:vAlign w:val="center"/>
                </w:tcPr>
                <w:p>
                  <w:pPr>
                    <w:snapToGrid w:val="0"/>
                    <w:jc w:val="center"/>
                    <w:rPr>
                      <w:color w:val="000000" w:themeColor="text1"/>
                      <w:u w:val="none"/>
                      <w14:textFill>
                        <w14:solidFill>
                          <w14:schemeClr w14:val="tx1"/>
                        </w14:solidFill>
                      </w14:textFill>
                    </w:rPr>
                  </w:pPr>
                  <w:r>
                    <w:rPr>
                      <w:rFonts w:ascii="宋体" w:hAnsi="宋体" w:eastAsia="宋体" w:cs="宋体"/>
                      <w:sz w:val="21"/>
                      <w:szCs w:val="21"/>
                      <w:u w:val="none"/>
                    </w:rPr>
                    <w:t>制砂机</w:t>
                  </w:r>
                </w:p>
              </w:tc>
              <w:tc>
                <w:tcPr>
                  <w:tcW w:w="846" w:type="dxa"/>
                  <w:tcBorders>
                    <w:tl2br w:val="nil"/>
                    <w:tr2bl w:val="nil"/>
                  </w:tcBorders>
                  <w:vAlign w:val="center"/>
                </w:tcPr>
                <w:p>
                  <w:pPr>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1</w:t>
                  </w:r>
                </w:p>
              </w:tc>
              <w:tc>
                <w:tcPr>
                  <w:tcW w:w="1016" w:type="dxa"/>
                  <w:tcBorders>
                    <w:tl2br w:val="nil"/>
                    <w:tr2bl w:val="nil"/>
                  </w:tcBorders>
                  <w:vAlign w:val="center"/>
                </w:tcPr>
                <w:p>
                  <w:pPr>
                    <w:jc w:val="center"/>
                    <w:rPr>
                      <w:u w:val="none"/>
                    </w:rPr>
                  </w:pPr>
                  <w:r>
                    <w:rPr>
                      <w:rFonts w:hint="eastAsia"/>
                      <w:u w:val="none"/>
                    </w:rPr>
                    <w:t>台</w:t>
                  </w:r>
                </w:p>
              </w:tc>
              <w:tc>
                <w:tcPr>
                  <w:tcW w:w="2372" w:type="dxa"/>
                  <w:tcBorders>
                    <w:tl2br w:val="nil"/>
                    <w:tr2bl w:val="nil"/>
                  </w:tcBorders>
                  <w:vAlign w:val="center"/>
                </w:tcPr>
                <w:p>
                  <w:pPr>
                    <w:snapToGrid w:val="0"/>
                    <w:jc w:val="center"/>
                    <w:rPr>
                      <w:color w:val="000000" w:themeColor="text1"/>
                      <w:u w:val="none"/>
                      <w14:textFill>
                        <w14:solidFill>
                          <w14:schemeClr w14:val="tx1"/>
                        </w14:solidFill>
                      </w14:textFill>
                    </w:rPr>
                  </w:pPr>
                  <w:r>
                    <w:rPr>
                      <w:rFonts w:ascii="宋体" w:hAnsi="宋体" w:eastAsia="宋体" w:cs="宋体"/>
                      <w:sz w:val="21"/>
                      <w:szCs w:val="21"/>
                      <w:u w:val="none"/>
                    </w:rPr>
                    <w:t>TV95</w:t>
                  </w:r>
                </w:p>
              </w:tc>
              <w:tc>
                <w:tcPr>
                  <w:tcW w:w="1688" w:type="dxa"/>
                  <w:tcBorders>
                    <w:tl2br w:val="nil"/>
                    <w:tr2bl w:val="nil"/>
                  </w:tcBorders>
                  <w:vAlign w:val="center"/>
                </w:tcPr>
                <w:p>
                  <w:pPr>
                    <w:snapToGrid w:val="0"/>
                    <w:jc w:val="center"/>
                    <w:rPr>
                      <w:color w:val="000000" w:themeColor="text1"/>
                      <w:u w:val="none"/>
                      <w14:textFill>
                        <w14:solidFill>
                          <w14:schemeClr w14:val="tx1"/>
                        </w14:solidFill>
                      </w14:textFill>
                    </w:rPr>
                  </w:pPr>
                  <w:r>
                    <w:rPr>
                      <w:rFonts w:ascii="宋体" w:hAnsi="宋体" w:eastAsia="宋体" w:cs="宋体"/>
                      <w:sz w:val="21"/>
                      <w:szCs w:val="21"/>
                      <w:u w:val="none"/>
                    </w:rPr>
                    <w:t>上海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830" w:type="dxa"/>
                  <w:tcBorders>
                    <w:tl2br w:val="nil"/>
                    <w:tr2bl w:val="nil"/>
                  </w:tcBorders>
                  <w:vAlign w:val="center"/>
                </w:tcPr>
                <w:p>
                  <w:pPr>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5</w:t>
                  </w:r>
                </w:p>
              </w:tc>
              <w:tc>
                <w:tcPr>
                  <w:tcW w:w="1524" w:type="dxa"/>
                  <w:tcBorders>
                    <w:tl2br w:val="nil"/>
                    <w:tr2bl w:val="nil"/>
                  </w:tcBorders>
                  <w:vAlign w:val="center"/>
                </w:tcPr>
                <w:p>
                  <w:pPr>
                    <w:snapToGrid w:val="0"/>
                    <w:jc w:val="center"/>
                    <w:rPr>
                      <w:rFonts w:hint="eastAsia" w:ascii="宋体" w:hAnsi="宋体" w:eastAsia="宋体" w:cs="宋体"/>
                      <w:sz w:val="21"/>
                      <w:szCs w:val="21"/>
                      <w:u w:val="none"/>
                      <w:lang w:eastAsia="zh-CN"/>
                    </w:rPr>
                  </w:pPr>
                  <w:r>
                    <w:rPr>
                      <w:rFonts w:hint="eastAsia" w:ascii="宋体" w:hAnsi="宋体" w:cs="宋体"/>
                      <w:sz w:val="21"/>
                      <w:szCs w:val="21"/>
                      <w:u w:val="none"/>
                      <w:lang w:eastAsia="zh-CN"/>
                    </w:rPr>
                    <w:t>搅砂机</w:t>
                  </w:r>
                </w:p>
              </w:tc>
              <w:tc>
                <w:tcPr>
                  <w:tcW w:w="846" w:type="dxa"/>
                  <w:tcBorders>
                    <w:tl2br w:val="nil"/>
                    <w:tr2bl w:val="nil"/>
                  </w:tcBorders>
                  <w:vAlign w:val="center"/>
                </w:tcPr>
                <w:p>
                  <w:pPr>
                    <w:jc w:val="cente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1</w:t>
                  </w:r>
                </w:p>
              </w:tc>
              <w:tc>
                <w:tcPr>
                  <w:tcW w:w="1016" w:type="dxa"/>
                  <w:tcBorders>
                    <w:tl2br w:val="nil"/>
                    <w:tr2bl w:val="nil"/>
                  </w:tcBorders>
                  <w:vAlign w:val="center"/>
                </w:tcPr>
                <w:p>
                  <w:pPr>
                    <w:jc w:val="center"/>
                    <w:rPr>
                      <w:rFonts w:hint="eastAsia"/>
                      <w:u w:val="none"/>
                    </w:rPr>
                  </w:pPr>
                  <w:r>
                    <w:rPr>
                      <w:rFonts w:hint="eastAsia"/>
                      <w:u w:val="none"/>
                    </w:rPr>
                    <w:t>台</w:t>
                  </w:r>
                </w:p>
              </w:tc>
              <w:tc>
                <w:tcPr>
                  <w:tcW w:w="2372" w:type="dxa"/>
                  <w:tcBorders>
                    <w:tl2br w:val="nil"/>
                    <w:tr2bl w:val="nil"/>
                  </w:tcBorders>
                  <w:vAlign w:val="center"/>
                </w:tcPr>
                <w:p>
                  <w:pPr>
                    <w:snapToGrid w:val="0"/>
                    <w:jc w:val="center"/>
                    <w:rPr>
                      <w:rFonts w:hint="eastAsia" w:ascii="宋体" w:hAnsi="宋体" w:eastAsia="宋体" w:cs="宋体"/>
                      <w:sz w:val="21"/>
                      <w:szCs w:val="21"/>
                      <w:u w:val="none"/>
                      <w:lang w:val="en-US" w:eastAsia="zh-CN"/>
                    </w:rPr>
                  </w:pPr>
                  <w:r>
                    <w:rPr>
                      <w:rFonts w:hint="eastAsia" w:ascii="宋体" w:hAnsi="宋体" w:cs="宋体"/>
                      <w:sz w:val="21"/>
                      <w:szCs w:val="21"/>
                      <w:u w:val="none"/>
                      <w:lang w:val="en-US" w:eastAsia="zh-CN"/>
                    </w:rPr>
                    <w:t>/</w:t>
                  </w:r>
                </w:p>
              </w:tc>
              <w:tc>
                <w:tcPr>
                  <w:tcW w:w="1688" w:type="dxa"/>
                  <w:tcBorders>
                    <w:tl2br w:val="nil"/>
                    <w:tr2bl w:val="nil"/>
                  </w:tcBorders>
                  <w:vAlign w:val="center"/>
                </w:tcPr>
                <w:p>
                  <w:pPr>
                    <w:snapToGrid w:val="0"/>
                    <w:jc w:val="center"/>
                    <w:rPr>
                      <w:rFonts w:hint="eastAsia" w:ascii="宋体" w:hAnsi="宋体" w:eastAsia="宋体" w:cs="宋体"/>
                      <w:sz w:val="21"/>
                      <w:szCs w:val="21"/>
                      <w:u w:val="none"/>
                      <w:lang w:val="en-US" w:eastAsia="zh-CN"/>
                    </w:rPr>
                  </w:pPr>
                  <w:r>
                    <w:rPr>
                      <w:rFonts w:hint="eastAsia" w:ascii="宋体" w:hAnsi="宋体" w:cs="宋体"/>
                      <w:sz w:val="21"/>
                      <w:szCs w:val="21"/>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830" w:type="dxa"/>
                  <w:tcBorders>
                    <w:tl2br w:val="nil"/>
                    <w:tr2bl w:val="nil"/>
                  </w:tcBorders>
                  <w:vAlign w:val="center"/>
                </w:tcPr>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6</w:t>
                  </w:r>
                </w:p>
              </w:tc>
              <w:tc>
                <w:tcPr>
                  <w:tcW w:w="1524" w:type="dxa"/>
                  <w:tcBorders>
                    <w:tl2br w:val="nil"/>
                    <w:tr2bl w:val="nil"/>
                  </w:tcBorders>
                  <w:vAlign w:val="center"/>
                </w:tcPr>
                <w:p>
                  <w:pPr>
                    <w:snapToGrid w:val="0"/>
                    <w:jc w:val="center"/>
                    <w:rPr>
                      <w:rFonts w:hint="eastAsia" w:eastAsia="宋体"/>
                      <w:color w:val="000000" w:themeColor="text1"/>
                      <w:u w:val="none"/>
                      <w:lang w:eastAsia="zh-CN"/>
                      <w14:textFill>
                        <w14:solidFill>
                          <w14:schemeClr w14:val="tx1"/>
                        </w14:solidFill>
                      </w14:textFill>
                    </w:rPr>
                  </w:pPr>
                  <w:r>
                    <w:rPr>
                      <w:rFonts w:hint="eastAsia" w:ascii="宋体" w:hAnsi="宋体" w:cs="宋体"/>
                      <w:sz w:val="21"/>
                      <w:szCs w:val="21"/>
                      <w:u w:val="none"/>
                      <w:lang w:eastAsia="zh-CN"/>
                    </w:rPr>
                    <w:t>振动筛</w:t>
                  </w:r>
                </w:p>
              </w:tc>
              <w:tc>
                <w:tcPr>
                  <w:tcW w:w="846" w:type="dxa"/>
                  <w:tcBorders>
                    <w:tl2br w:val="nil"/>
                    <w:tr2bl w:val="nil"/>
                  </w:tcBorders>
                  <w:vAlign w:val="center"/>
                </w:tcPr>
                <w:p>
                  <w:pPr>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2</w:t>
                  </w:r>
                </w:p>
              </w:tc>
              <w:tc>
                <w:tcPr>
                  <w:tcW w:w="1016" w:type="dxa"/>
                  <w:tcBorders>
                    <w:tl2br w:val="nil"/>
                    <w:tr2bl w:val="nil"/>
                  </w:tcBorders>
                  <w:vAlign w:val="center"/>
                </w:tcPr>
                <w:p>
                  <w:pPr>
                    <w:jc w:val="center"/>
                    <w:rPr>
                      <w:color w:val="000000" w:themeColor="text1"/>
                      <w:u w:val="none"/>
                      <w14:textFill>
                        <w14:solidFill>
                          <w14:schemeClr w14:val="tx1"/>
                        </w14:solidFill>
                      </w14:textFill>
                    </w:rPr>
                  </w:pPr>
                  <w:r>
                    <w:rPr>
                      <w:rFonts w:hint="eastAsia"/>
                      <w:u w:val="none"/>
                    </w:rPr>
                    <w:t>台</w:t>
                  </w:r>
                </w:p>
              </w:tc>
              <w:tc>
                <w:tcPr>
                  <w:tcW w:w="2372" w:type="dxa"/>
                  <w:tcBorders>
                    <w:tl2br w:val="nil"/>
                    <w:tr2bl w:val="nil"/>
                  </w:tcBorders>
                  <w:vAlign w:val="center"/>
                </w:tcPr>
                <w:p>
                  <w:pPr>
                    <w:snapToGrid w:val="0"/>
                    <w:jc w:val="center"/>
                    <w:rPr>
                      <w:color w:val="000000" w:themeColor="text1"/>
                      <w:u w:val="none"/>
                      <w14:textFill>
                        <w14:solidFill>
                          <w14:schemeClr w14:val="tx1"/>
                        </w14:solidFill>
                      </w14:textFill>
                    </w:rPr>
                  </w:pPr>
                  <w:r>
                    <w:rPr>
                      <w:rFonts w:ascii="宋体" w:hAnsi="宋体" w:eastAsia="宋体" w:cs="宋体"/>
                      <w:sz w:val="21"/>
                      <w:szCs w:val="21"/>
                      <w:u w:val="none"/>
                    </w:rPr>
                    <w:t>3YK2460</w:t>
                  </w:r>
                </w:p>
              </w:tc>
              <w:tc>
                <w:tcPr>
                  <w:tcW w:w="1688" w:type="dxa"/>
                  <w:tcBorders>
                    <w:tl2br w:val="nil"/>
                    <w:tr2bl w:val="nil"/>
                  </w:tcBorders>
                  <w:vAlign w:val="center"/>
                </w:tcPr>
                <w:p>
                  <w:pPr>
                    <w:snapToGrid w:val="0"/>
                    <w:jc w:val="center"/>
                    <w:rPr>
                      <w:color w:val="000000" w:themeColor="text1"/>
                      <w:u w:val="none"/>
                      <w14:textFill>
                        <w14:solidFill>
                          <w14:schemeClr w14:val="tx1"/>
                        </w14:solidFill>
                      </w14:textFill>
                    </w:rPr>
                  </w:pPr>
                  <w:r>
                    <w:rPr>
                      <w:rFonts w:ascii="宋体" w:hAnsi="宋体" w:eastAsia="宋体" w:cs="宋体"/>
                      <w:sz w:val="21"/>
                      <w:szCs w:val="21"/>
                      <w:u w:val="none"/>
                    </w:rPr>
                    <w:t>成都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830" w:type="dxa"/>
                  <w:tcBorders>
                    <w:tl2br w:val="nil"/>
                    <w:tr2bl w:val="nil"/>
                  </w:tcBorders>
                  <w:vAlign w:val="center"/>
                </w:tcPr>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7</w:t>
                  </w:r>
                </w:p>
              </w:tc>
              <w:tc>
                <w:tcPr>
                  <w:tcW w:w="1524" w:type="dxa"/>
                  <w:tcBorders>
                    <w:tl2br w:val="nil"/>
                    <w:tr2bl w:val="nil"/>
                  </w:tcBorders>
                  <w:vAlign w:val="center"/>
                </w:tcPr>
                <w:p>
                  <w:pPr>
                    <w:snapToGrid w:val="0"/>
                    <w:jc w:val="center"/>
                    <w:rPr>
                      <w:color w:val="000000" w:themeColor="text1"/>
                      <w:u w:val="none"/>
                      <w14:textFill>
                        <w14:solidFill>
                          <w14:schemeClr w14:val="tx1"/>
                        </w14:solidFill>
                      </w14:textFill>
                    </w:rPr>
                  </w:pPr>
                  <w:r>
                    <w:rPr>
                      <w:rFonts w:ascii="宋体" w:hAnsi="宋体" w:eastAsia="宋体" w:cs="宋体"/>
                      <w:sz w:val="21"/>
                      <w:szCs w:val="21"/>
                      <w:u w:val="none"/>
                    </w:rPr>
                    <w:t>运输带</w:t>
                  </w:r>
                </w:p>
              </w:tc>
              <w:tc>
                <w:tcPr>
                  <w:tcW w:w="846" w:type="dxa"/>
                  <w:tcBorders>
                    <w:tl2br w:val="nil"/>
                    <w:tr2bl w:val="nil"/>
                  </w:tcBorders>
                  <w:vAlign w:val="center"/>
                </w:tcPr>
                <w:p>
                  <w:pPr>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10</w:t>
                  </w:r>
                </w:p>
              </w:tc>
              <w:tc>
                <w:tcPr>
                  <w:tcW w:w="1016" w:type="dxa"/>
                  <w:tcBorders>
                    <w:tl2br w:val="nil"/>
                    <w:tr2bl w:val="nil"/>
                  </w:tcBorders>
                  <w:vAlign w:val="center"/>
                </w:tcPr>
                <w:p>
                  <w:pPr>
                    <w:jc w:val="center"/>
                    <w:rPr>
                      <w:rFonts w:hint="eastAsia" w:eastAsia="宋体"/>
                      <w:color w:val="000000" w:themeColor="text1"/>
                      <w:u w:val="none"/>
                      <w:lang w:eastAsia="zh-CN"/>
                      <w14:textFill>
                        <w14:solidFill>
                          <w14:schemeClr w14:val="tx1"/>
                        </w14:solidFill>
                      </w14:textFill>
                    </w:rPr>
                  </w:pPr>
                  <w:r>
                    <w:rPr>
                      <w:rFonts w:hint="eastAsia"/>
                      <w:u w:val="none"/>
                      <w:lang w:eastAsia="zh-CN"/>
                    </w:rPr>
                    <w:t>条</w:t>
                  </w:r>
                </w:p>
              </w:tc>
              <w:tc>
                <w:tcPr>
                  <w:tcW w:w="2372" w:type="dxa"/>
                  <w:tcBorders>
                    <w:tl2br w:val="nil"/>
                    <w:tr2bl w:val="nil"/>
                  </w:tcBorders>
                  <w:vAlign w:val="center"/>
                </w:tcPr>
                <w:p>
                  <w:pPr>
                    <w:jc w:val="cente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VB900</w:t>
                  </w:r>
                </w:p>
              </w:tc>
              <w:tc>
                <w:tcPr>
                  <w:tcW w:w="1688" w:type="dxa"/>
                  <w:tcBorders>
                    <w:tl2br w:val="nil"/>
                    <w:tr2bl w:val="nil"/>
                  </w:tcBorders>
                  <w:vAlign w:val="center"/>
                </w:tcPr>
                <w:p>
                  <w:pPr>
                    <w:snapToGrid w:val="0"/>
                    <w:jc w:val="center"/>
                    <w:rPr>
                      <w:color w:val="000000" w:themeColor="text1"/>
                      <w:u w:val="none"/>
                      <w14:textFill>
                        <w14:solidFill>
                          <w14:schemeClr w14:val="tx1"/>
                        </w14:solidFill>
                      </w14:textFill>
                    </w:rPr>
                  </w:pPr>
                  <w:r>
                    <w:rPr>
                      <w:rFonts w:ascii="宋体" w:hAnsi="宋体" w:eastAsia="宋体" w:cs="宋体"/>
                      <w:sz w:val="21"/>
                      <w:szCs w:val="21"/>
                      <w:u w:val="none"/>
                    </w:rPr>
                    <w:t>自制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830" w:type="dxa"/>
                  <w:tcBorders>
                    <w:tl2br w:val="nil"/>
                    <w:tr2bl w:val="nil"/>
                  </w:tcBorders>
                  <w:vAlign w:val="center"/>
                </w:tcPr>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8</w:t>
                  </w:r>
                </w:p>
              </w:tc>
              <w:tc>
                <w:tcPr>
                  <w:tcW w:w="1524" w:type="dxa"/>
                  <w:tcBorders>
                    <w:tl2br w:val="nil"/>
                    <w:tr2bl w:val="nil"/>
                  </w:tcBorders>
                  <w:vAlign w:val="center"/>
                </w:tcPr>
                <w:p>
                  <w:pPr>
                    <w:snapToGrid w:val="0"/>
                    <w:jc w:val="center"/>
                    <w:rPr>
                      <w:color w:val="000000" w:themeColor="text1"/>
                      <w:u w:val="none"/>
                      <w14:textFill>
                        <w14:solidFill>
                          <w14:schemeClr w14:val="tx1"/>
                        </w14:solidFill>
                      </w14:textFill>
                    </w:rPr>
                  </w:pPr>
                  <w:r>
                    <w:rPr>
                      <w:rFonts w:ascii="宋体" w:hAnsi="宋体" w:eastAsia="宋体" w:cs="宋体"/>
                      <w:sz w:val="21"/>
                      <w:szCs w:val="21"/>
                      <w:u w:val="none"/>
                    </w:rPr>
                    <w:t>运输车辆</w:t>
                  </w:r>
                </w:p>
              </w:tc>
              <w:tc>
                <w:tcPr>
                  <w:tcW w:w="846" w:type="dxa"/>
                  <w:tcBorders>
                    <w:tl2br w:val="nil"/>
                    <w:tr2bl w:val="nil"/>
                  </w:tcBorders>
                  <w:vAlign w:val="center"/>
                </w:tcPr>
                <w:p>
                  <w:pPr>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4</w:t>
                  </w:r>
                </w:p>
              </w:tc>
              <w:tc>
                <w:tcPr>
                  <w:tcW w:w="1016" w:type="dxa"/>
                  <w:tcBorders>
                    <w:tl2br w:val="nil"/>
                    <w:tr2bl w:val="nil"/>
                  </w:tcBorders>
                  <w:vAlign w:val="center"/>
                </w:tcPr>
                <w:p>
                  <w:pPr>
                    <w:jc w:val="center"/>
                    <w:rPr>
                      <w:color w:val="000000" w:themeColor="text1"/>
                      <w:u w:val="none"/>
                      <w14:textFill>
                        <w14:solidFill>
                          <w14:schemeClr w14:val="tx1"/>
                        </w14:solidFill>
                      </w14:textFill>
                    </w:rPr>
                  </w:pPr>
                  <w:r>
                    <w:rPr>
                      <w:rFonts w:hint="eastAsia"/>
                      <w:u w:val="none"/>
                    </w:rPr>
                    <w:t>台</w:t>
                  </w:r>
                </w:p>
              </w:tc>
              <w:tc>
                <w:tcPr>
                  <w:tcW w:w="2372" w:type="dxa"/>
                  <w:tcBorders>
                    <w:tl2br w:val="nil"/>
                    <w:tr2bl w:val="nil"/>
                  </w:tcBorders>
                  <w:vAlign w:val="center"/>
                </w:tcPr>
                <w:p>
                  <w:pPr>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w:t>
                  </w:r>
                </w:p>
              </w:tc>
              <w:tc>
                <w:tcPr>
                  <w:tcW w:w="1688" w:type="dxa"/>
                  <w:tcBorders>
                    <w:tl2br w:val="nil"/>
                    <w:tr2bl w:val="nil"/>
                  </w:tcBorders>
                  <w:vAlign w:val="center"/>
                </w:tcPr>
                <w:p>
                  <w:pPr>
                    <w:snapToGrid w:val="0"/>
                    <w:jc w:val="center"/>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90" w:hRule="atLeast"/>
              </w:trPr>
              <w:tc>
                <w:tcPr>
                  <w:tcW w:w="830" w:type="dxa"/>
                  <w:tcBorders>
                    <w:tl2br w:val="nil"/>
                    <w:tr2bl w:val="nil"/>
                  </w:tcBorders>
                  <w:vAlign w:val="center"/>
                </w:tcPr>
                <w:p>
                  <w:pPr>
                    <w:jc w:val="center"/>
                    <w:rPr>
                      <w:rFonts w:hint="eastAsia" w:eastAsia="宋体"/>
                      <w:color w:val="000000" w:themeColor="text1"/>
                      <w:u w:val="none"/>
                      <w:lang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9</w:t>
                  </w:r>
                </w:p>
              </w:tc>
              <w:tc>
                <w:tcPr>
                  <w:tcW w:w="1524" w:type="dxa"/>
                  <w:tcBorders>
                    <w:tl2br w:val="nil"/>
                    <w:tr2bl w:val="nil"/>
                  </w:tcBorders>
                  <w:vAlign w:val="center"/>
                </w:tcPr>
                <w:p>
                  <w:pPr>
                    <w:snapToGrid w:val="0"/>
                    <w:jc w:val="center"/>
                    <w:rPr>
                      <w:color w:val="000000" w:themeColor="text1"/>
                      <w:u w:val="none"/>
                      <w14:textFill>
                        <w14:solidFill>
                          <w14:schemeClr w14:val="tx1"/>
                        </w14:solidFill>
                      </w14:textFill>
                    </w:rPr>
                  </w:pPr>
                  <w:r>
                    <w:rPr>
                      <w:rFonts w:ascii="宋体" w:hAnsi="宋体" w:eastAsia="宋体" w:cs="宋体"/>
                      <w:sz w:val="21"/>
                      <w:szCs w:val="21"/>
                      <w:u w:val="none"/>
                    </w:rPr>
                    <w:t>装载机</w:t>
                  </w:r>
                </w:p>
              </w:tc>
              <w:tc>
                <w:tcPr>
                  <w:tcW w:w="846" w:type="dxa"/>
                  <w:tcBorders>
                    <w:tl2br w:val="nil"/>
                    <w:tr2bl w:val="nil"/>
                  </w:tcBorders>
                  <w:vAlign w:val="center"/>
                </w:tcPr>
                <w:p>
                  <w:pPr>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3</w:t>
                  </w:r>
                </w:p>
              </w:tc>
              <w:tc>
                <w:tcPr>
                  <w:tcW w:w="1016" w:type="dxa"/>
                  <w:tcBorders>
                    <w:tl2br w:val="nil"/>
                    <w:tr2bl w:val="nil"/>
                  </w:tcBorders>
                  <w:vAlign w:val="center"/>
                </w:tcPr>
                <w:p>
                  <w:pPr>
                    <w:jc w:val="center"/>
                    <w:rPr>
                      <w:color w:val="000000" w:themeColor="text1"/>
                      <w:u w:val="none"/>
                      <w14:textFill>
                        <w14:solidFill>
                          <w14:schemeClr w14:val="tx1"/>
                        </w14:solidFill>
                      </w14:textFill>
                    </w:rPr>
                  </w:pPr>
                  <w:r>
                    <w:rPr>
                      <w:rFonts w:hint="eastAsia"/>
                      <w:u w:val="none"/>
                    </w:rPr>
                    <w:t>台</w:t>
                  </w:r>
                </w:p>
              </w:tc>
              <w:tc>
                <w:tcPr>
                  <w:tcW w:w="2372" w:type="dxa"/>
                  <w:tcBorders>
                    <w:tl2br w:val="nil"/>
                    <w:tr2bl w:val="nil"/>
                  </w:tcBorders>
                  <w:vAlign w:val="center"/>
                </w:tcPr>
                <w:p>
                  <w:pPr>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w:t>
                  </w:r>
                </w:p>
              </w:tc>
              <w:tc>
                <w:tcPr>
                  <w:tcW w:w="1688" w:type="dxa"/>
                  <w:tcBorders>
                    <w:tl2br w:val="nil"/>
                    <w:tr2bl w:val="nil"/>
                  </w:tcBorders>
                  <w:vAlign w:val="center"/>
                </w:tcPr>
                <w:p>
                  <w:pPr>
                    <w:snapToGrid w:val="0"/>
                    <w:jc w:val="center"/>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240" w:lineRule="auto"/>
              <w:ind w:leftChars="200"/>
              <w:jc w:val="center"/>
              <w:textAlignment w:val="auto"/>
              <w:rPr>
                <w:rFonts w:hint="eastAsia" w:ascii="Times New Roman" w:hAnsi="Times New Roman" w:eastAsia="宋体" w:cs="Times New Roman"/>
                <w:b/>
                <w:bCs w:val="0"/>
                <w:strike w:val="0"/>
                <w:dstrike w:val="0"/>
                <w:color w:val="auto"/>
                <w:sz w:val="21"/>
                <w:szCs w:val="21"/>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240" w:lineRule="auto"/>
              <w:ind w:leftChars="200"/>
              <w:jc w:val="center"/>
              <w:textAlignment w:val="auto"/>
              <w:rPr>
                <w:rFonts w:hint="eastAsia" w:cs="Times New Roman"/>
                <w:b/>
                <w:bCs w:val="0"/>
                <w:strike w:val="0"/>
                <w:dstrike w:val="0"/>
                <w:color w:val="auto"/>
                <w:sz w:val="24"/>
                <w:szCs w:val="24"/>
                <w:highlight w:val="none"/>
                <w:u w:val="none"/>
                <w:lang w:val="en-US" w:eastAsia="zh-CN"/>
              </w:rPr>
            </w:pPr>
            <w:r>
              <w:rPr>
                <w:rFonts w:hint="eastAsia" w:ascii="Times New Roman" w:hAnsi="Times New Roman" w:eastAsia="宋体" w:cs="Times New Roman"/>
                <w:b/>
                <w:bCs w:val="0"/>
                <w:strike w:val="0"/>
                <w:dstrike w:val="0"/>
                <w:color w:val="auto"/>
                <w:sz w:val="21"/>
                <w:szCs w:val="21"/>
                <w:highlight w:val="none"/>
                <w:u w:val="none"/>
                <w:lang w:val="en-US" w:eastAsia="zh-CN"/>
              </w:rPr>
              <w:t>表2-</w:t>
            </w:r>
            <w:r>
              <w:rPr>
                <w:rFonts w:hint="eastAsia" w:ascii="Times New Roman" w:hAnsi="Times New Roman" w:cs="Times New Roman"/>
                <w:b/>
                <w:bCs w:val="0"/>
                <w:strike w:val="0"/>
                <w:dstrike w:val="0"/>
                <w:color w:val="auto"/>
                <w:sz w:val="21"/>
                <w:szCs w:val="21"/>
                <w:highlight w:val="none"/>
                <w:u w:val="none"/>
                <w:lang w:val="en-US" w:eastAsia="zh-CN"/>
              </w:rPr>
              <w:t>4</w:t>
            </w:r>
            <w:r>
              <w:rPr>
                <w:rFonts w:hint="eastAsia" w:ascii="Times New Roman" w:hAnsi="Times New Roman" w:eastAsia="宋体" w:cs="Times New Roman"/>
                <w:b/>
                <w:bCs w:val="0"/>
                <w:strike w:val="0"/>
                <w:dstrike w:val="0"/>
                <w:color w:val="auto"/>
                <w:sz w:val="21"/>
                <w:szCs w:val="21"/>
                <w:highlight w:val="none"/>
                <w:u w:val="none"/>
                <w:lang w:val="en-US" w:eastAsia="zh-CN"/>
              </w:rPr>
              <w:t xml:space="preserve"> </w:t>
            </w:r>
            <w:r>
              <w:rPr>
                <w:rFonts w:hint="eastAsia" w:ascii="Times New Roman" w:hAnsi="Times New Roman" w:cs="Times New Roman"/>
                <w:b/>
                <w:bCs w:val="0"/>
                <w:strike w:val="0"/>
                <w:dstrike w:val="0"/>
                <w:color w:val="auto"/>
                <w:sz w:val="21"/>
                <w:szCs w:val="21"/>
                <w:highlight w:val="none"/>
                <w:u w:val="none"/>
                <w:lang w:val="en-US" w:eastAsia="zh-CN"/>
              </w:rPr>
              <w:t>混凝土</w:t>
            </w:r>
            <w:r>
              <w:rPr>
                <w:rFonts w:hint="eastAsia" w:ascii="Times New Roman" w:hAnsi="Times New Roman" w:eastAsia="宋体" w:cs="Times New Roman"/>
                <w:b/>
                <w:bCs w:val="0"/>
                <w:strike w:val="0"/>
                <w:dstrike w:val="0"/>
                <w:color w:val="auto"/>
                <w:sz w:val="21"/>
                <w:szCs w:val="21"/>
                <w:highlight w:val="none"/>
                <w:u w:val="none"/>
                <w:lang w:val="en-US" w:eastAsia="zh-CN"/>
              </w:rPr>
              <w:t>生产设备一览表</w:t>
            </w:r>
          </w:p>
          <w:tbl>
            <w:tblPr>
              <w:tblStyle w:val="1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2434"/>
              <w:gridCol w:w="696"/>
              <w:gridCol w:w="927"/>
              <w:gridCol w:w="2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69" w:type="pct"/>
                  <w:gridSpan w:val="2"/>
                  <w:tcBorders>
                    <w:tl2br w:val="nil"/>
                    <w:tr2bl w:val="nil"/>
                  </w:tcBorders>
                  <w:vAlign w:val="center"/>
                </w:tcPr>
                <w:p>
                  <w:pPr>
                    <w:adjustRightInd w:val="0"/>
                    <w:snapToGrid w:val="0"/>
                    <w:jc w:val="center"/>
                    <w:rPr>
                      <w:color w:val="auto"/>
                      <w:szCs w:val="21"/>
                      <w:u w:val="none"/>
                    </w:rPr>
                  </w:pPr>
                  <w:r>
                    <w:rPr>
                      <w:color w:val="auto"/>
                      <w:szCs w:val="21"/>
                      <w:u w:val="none"/>
                    </w:rPr>
                    <w:t>设备名称</w:t>
                  </w:r>
                </w:p>
              </w:tc>
              <w:tc>
                <w:tcPr>
                  <w:tcW w:w="416" w:type="pct"/>
                  <w:tcBorders>
                    <w:tl2br w:val="nil"/>
                    <w:tr2bl w:val="nil"/>
                  </w:tcBorders>
                  <w:vAlign w:val="center"/>
                </w:tcPr>
                <w:p>
                  <w:pPr>
                    <w:adjustRightInd w:val="0"/>
                    <w:snapToGrid w:val="0"/>
                    <w:jc w:val="center"/>
                    <w:rPr>
                      <w:color w:val="auto"/>
                      <w:szCs w:val="21"/>
                      <w:u w:val="none"/>
                    </w:rPr>
                  </w:pPr>
                  <w:r>
                    <w:rPr>
                      <w:color w:val="auto"/>
                      <w:szCs w:val="21"/>
                      <w:u w:val="none"/>
                    </w:rPr>
                    <w:t>单位</w:t>
                  </w:r>
                </w:p>
              </w:tc>
              <w:tc>
                <w:tcPr>
                  <w:tcW w:w="554" w:type="pct"/>
                  <w:tcBorders>
                    <w:tl2br w:val="nil"/>
                    <w:tr2bl w:val="nil"/>
                  </w:tcBorders>
                  <w:vAlign w:val="center"/>
                </w:tcPr>
                <w:p>
                  <w:pPr>
                    <w:adjustRightInd w:val="0"/>
                    <w:snapToGrid w:val="0"/>
                    <w:jc w:val="center"/>
                    <w:rPr>
                      <w:color w:val="auto"/>
                      <w:szCs w:val="21"/>
                      <w:u w:val="none"/>
                    </w:rPr>
                  </w:pPr>
                  <w:r>
                    <w:rPr>
                      <w:color w:val="auto"/>
                      <w:szCs w:val="21"/>
                      <w:u w:val="none"/>
                    </w:rPr>
                    <w:t>数量</w:t>
                  </w:r>
                </w:p>
              </w:tc>
              <w:tc>
                <w:tcPr>
                  <w:tcW w:w="1659" w:type="pct"/>
                  <w:tcBorders>
                    <w:tl2br w:val="nil"/>
                    <w:tr2bl w:val="nil"/>
                  </w:tcBorders>
                  <w:vAlign w:val="center"/>
                </w:tcPr>
                <w:p>
                  <w:pPr>
                    <w:adjustRightInd w:val="0"/>
                    <w:snapToGrid w:val="0"/>
                    <w:jc w:val="center"/>
                    <w:rPr>
                      <w:rFonts w:hint="eastAsia" w:eastAsia="宋体"/>
                      <w:color w:val="auto"/>
                      <w:szCs w:val="21"/>
                      <w:u w:val="none"/>
                      <w:lang w:eastAsia="zh-CN"/>
                    </w:rPr>
                  </w:pPr>
                  <w:r>
                    <w:rPr>
                      <w:rFonts w:hint="eastAsia"/>
                      <w:color w:val="auto"/>
                      <w:szCs w:val="21"/>
                      <w:u w:val="none"/>
                      <w:lang w:eastAsia="zh-CN"/>
                    </w:rPr>
                    <w:t>规格产能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搅拌机</w:t>
                  </w:r>
                </w:p>
              </w:tc>
              <w:tc>
                <w:tcPr>
                  <w:tcW w:w="1455"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搅拌主机</w:t>
                  </w:r>
                </w:p>
              </w:tc>
              <w:tc>
                <w:tcPr>
                  <w:tcW w:w="416"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台</w:t>
                  </w:r>
                </w:p>
              </w:tc>
              <w:tc>
                <w:tcPr>
                  <w:tcW w:w="554" w:type="pct"/>
                  <w:tcBorders>
                    <w:tl2br w:val="nil"/>
                    <w:tr2bl w:val="nil"/>
                  </w:tcBorders>
                  <w:vAlign w:val="center"/>
                </w:tcPr>
                <w:p>
                  <w:pPr>
                    <w:adjustRightInd w:val="0"/>
                    <w:snapToGrid w:val="0"/>
                    <w:jc w:val="center"/>
                    <w:rPr>
                      <w:rFonts w:hint="eastAsia" w:eastAsia="宋体"/>
                      <w:color w:val="auto"/>
                      <w:szCs w:val="21"/>
                      <w:u w:val="none"/>
                      <w:lang w:eastAsia="zh-CN"/>
                    </w:rPr>
                  </w:pPr>
                  <w:r>
                    <w:rPr>
                      <w:rFonts w:hint="eastAsia"/>
                      <w:color w:val="auto"/>
                      <w:szCs w:val="21"/>
                      <w:u w:val="none"/>
                      <w:lang w:val="en-US" w:eastAsia="zh-CN"/>
                    </w:rPr>
                    <w:t>1</w:t>
                  </w:r>
                </w:p>
              </w:tc>
              <w:tc>
                <w:tcPr>
                  <w:tcW w:w="1659" w:type="pct"/>
                  <w:tcBorders>
                    <w:tl2br w:val="nil"/>
                    <w:tr2bl w:val="nil"/>
                  </w:tcBorders>
                  <w:vAlign w:val="center"/>
                </w:tcPr>
                <w:p>
                  <w:pPr>
                    <w:adjustRightInd w:val="0"/>
                    <w:snapToGrid w:val="0"/>
                    <w:jc w:val="center"/>
                    <w:rPr>
                      <w:rFonts w:hint="eastAsia" w:eastAsia="宋体"/>
                      <w:color w:val="auto"/>
                      <w:szCs w:val="21"/>
                      <w:u w:val="none"/>
                      <w:lang w:val="en-US" w:eastAsia="zh-CN"/>
                    </w:rPr>
                  </w:pPr>
                  <w:r>
                    <w:rPr>
                      <w:rFonts w:hint="eastAsia"/>
                      <w:color w:val="auto"/>
                      <w:szCs w:val="21"/>
                      <w:u w:val="none"/>
                      <w:lang w:val="en-US" w:eastAsia="zh-CN"/>
                    </w:rPr>
                    <w:t>120t/h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vMerge w:val="restart"/>
                  <w:tcBorders>
                    <w:tl2br w:val="nil"/>
                    <w:tr2bl w:val="nil"/>
                  </w:tcBorders>
                  <w:vAlign w:val="center"/>
                </w:tcPr>
                <w:p>
                  <w:pPr>
                    <w:adjustRightInd w:val="0"/>
                    <w:snapToGrid w:val="0"/>
                    <w:jc w:val="center"/>
                    <w:rPr>
                      <w:color w:val="auto"/>
                      <w:szCs w:val="21"/>
                      <w:u w:val="none"/>
                    </w:rPr>
                  </w:pPr>
                  <w:r>
                    <w:rPr>
                      <w:rFonts w:hint="eastAsia"/>
                      <w:color w:val="auto"/>
                      <w:szCs w:val="21"/>
                      <w:u w:val="none"/>
                    </w:rPr>
                    <w:t>主体钢结构（二层）</w:t>
                  </w:r>
                </w:p>
              </w:tc>
              <w:tc>
                <w:tcPr>
                  <w:tcW w:w="1455"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搅拌层平台</w:t>
                  </w:r>
                </w:p>
              </w:tc>
              <w:tc>
                <w:tcPr>
                  <w:tcW w:w="416"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套</w:t>
                  </w:r>
                </w:p>
              </w:tc>
              <w:tc>
                <w:tcPr>
                  <w:tcW w:w="554" w:type="pct"/>
                  <w:tcBorders>
                    <w:tl2br w:val="nil"/>
                    <w:tr2bl w:val="nil"/>
                  </w:tcBorders>
                  <w:vAlign w:val="center"/>
                </w:tcPr>
                <w:p>
                  <w:pPr>
                    <w:adjustRightInd w:val="0"/>
                    <w:snapToGrid w:val="0"/>
                    <w:jc w:val="center"/>
                    <w:rPr>
                      <w:rFonts w:hint="eastAsia" w:eastAsia="宋体"/>
                      <w:color w:val="auto"/>
                      <w:szCs w:val="21"/>
                      <w:u w:val="none"/>
                      <w:lang w:eastAsia="zh-CN"/>
                    </w:rPr>
                  </w:pPr>
                  <w:r>
                    <w:rPr>
                      <w:rFonts w:hint="eastAsia"/>
                      <w:color w:val="auto"/>
                      <w:szCs w:val="21"/>
                      <w:u w:val="none"/>
                      <w:lang w:val="en-US" w:eastAsia="zh-CN"/>
                    </w:rPr>
                    <w:t>1</w:t>
                  </w:r>
                </w:p>
              </w:tc>
              <w:tc>
                <w:tcPr>
                  <w:tcW w:w="1659"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vMerge w:val="continue"/>
                  <w:tcBorders>
                    <w:tl2br w:val="nil"/>
                    <w:tr2bl w:val="nil"/>
                  </w:tcBorders>
                  <w:vAlign w:val="center"/>
                </w:tcPr>
                <w:p>
                  <w:pPr>
                    <w:adjustRightInd w:val="0"/>
                    <w:snapToGrid w:val="0"/>
                    <w:jc w:val="center"/>
                    <w:rPr>
                      <w:color w:val="auto"/>
                      <w:szCs w:val="21"/>
                      <w:u w:val="none"/>
                    </w:rPr>
                  </w:pPr>
                </w:p>
              </w:tc>
              <w:tc>
                <w:tcPr>
                  <w:tcW w:w="1455"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配料层平台</w:t>
                  </w:r>
                </w:p>
              </w:tc>
              <w:tc>
                <w:tcPr>
                  <w:tcW w:w="416"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件</w:t>
                  </w:r>
                </w:p>
              </w:tc>
              <w:tc>
                <w:tcPr>
                  <w:tcW w:w="554" w:type="pct"/>
                  <w:tcBorders>
                    <w:tl2br w:val="nil"/>
                    <w:tr2bl w:val="nil"/>
                  </w:tcBorders>
                  <w:vAlign w:val="center"/>
                </w:tcPr>
                <w:p>
                  <w:pPr>
                    <w:adjustRightInd w:val="0"/>
                    <w:snapToGrid w:val="0"/>
                    <w:jc w:val="center"/>
                    <w:rPr>
                      <w:rFonts w:hint="eastAsia" w:eastAsia="宋体"/>
                      <w:color w:val="auto"/>
                      <w:szCs w:val="21"/>
                      <w:u w:val="none"/>
                      <w:lang w:eastAsia="zh-CN"/>
                    </w:rPr>
                  </w:pPr>
                  <w:r>
                    <w:rPr>
                      <w:rFonts w:hint="eastAsia"/>
                      <w:color w:val="auto"/>
                      <w:szCs w:val="21"/>
                      <w:u w:val="none"/>
                      <w:lang w:val="en-US" w:eastAsia="zh-CN"/>
                    </w:rPr>
                    <w:t>1</w:t>
                  </w:r>
                </w:p>
              </w:tc>
              <w:tc>
                <w:tcPr>
                  <w:tcW w:w="1659"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vMerge w:val="continue"/>
                  <w:tcBorders>
                    <w:tl2br w:val="nil"/>
                    <w:tr2bl w:val="nil"/>
                  </w:tcBorders>
                  <w:vAlign w:val="center"/>
                </w:tcPr>
                <w:p>
                  <w:pPr>
                    <w:adjustRightInd w:val="0"/>
                    <w:snapToGrid w:val="0"/>
                    <w:jc w:val="center"/>
                    <w:rPr>
                      <w:color w:val="auto"/>
                      <w:szCs w:val="21"/>
                      <w:u w:val="none"/>
                    </w:rPr>
                  </w:pPr>
                </w:p>
              </w:tc>
              <w:tc>
                <w:tcPr>
                  <w:tcW w:w="1455"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接料漏斗</w:t>
                  </w:r>
                </w:p>
              </w:tc>
              <w:tc>
                <w:tcPr>
                  <w:tcW w:w="416"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个</w:t>
                  </w:r>
                </w:p>
              </w:tc>
              <w:tc>
                <w:tcPr>
                  <w:tcW w:w="55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1</w:t>
                  </w:r>
                </w:p>
              </w:tc>
              <w:tc>
                <w:tcPr>
                  <w:tcW w:w="1659"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vMerge w:val="restart"/>
                  <w:tcBorders>
                    <w:tl2br w:val="nil"/>
                    <w:tr2bl w:val="nil"/>
                  </w:tcBorders>
                  <w:vAlign w:val="center"/>
                </w:tcPr>
                <w:p>
                  <w:pPr>
                    <w:adjustRightInd w:val="0"/>
                    <w:snapToGrid w:val="0"/>
                    <w:jc w:val="center"/>
                    <w:rPr>
                      <w:color w:val="auto"/>
                      <w:szCs w:val="21"/>
                      <w:u w:val="none"/>
                    </w:rPr>
                  </w:pPr>
                  <w:r>
                    <w:rPr>
                      <w:rFonts w:hint="eastAsia"/>
                      <w:color w:val="auto"/>
                      <w:szCs w:val="21"/>
                      <w:u w:val="none"/>
                    </w:rPr>
                    <w:t>骨料皮带机上料系统及待料系统</w:t>
                  </w:r>
                </w:p>
              </w:tc>
              <w:tc>
                <w:tcPr>
                  <w:tcW w:w="1455"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皮带机电动滚筒</w:t>
                  </w:r>
                </w:p>
              </w:tc>
              <w:tc>
                <w:tcPr>
                  <w:tcW w:w="416"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套</w:t>
                  </w:r>
                </w:p>
              </w:tc>
              <w:tc>
                <w:tcPr>
                  <w:tcW w:w="554" w:type="pct"/>
                  <w:tcBorders>
                    <w:tl2br w:val="nil"/>
                    <w:tr2bl w:val="nil"/>
                  </w:tcBorders>
                  <w:vAlign w:val="center"/>
                </w:tcPr>
                <w:p>
                  <w:pPr>
                    <w:adjustRightInd w:val="0"/>
                    <w:snapToGrid w:val="0"/>
                    <w:jc w:val="center"/>
                    <w:rPr>
                      <w:rFonts w:hint="eastAsia" w:eastAsia="宋体"/>
                      <w:color w:val="auto"/>
                      <w:szCs w:val="21"/>
                      <w:u w:val="none"/>
                      <w:lang w:eastAsia="zh-CN"/>
                    </w:rPr>
                  </w:pPr>
                  <w:r>
                    <w:rPr>
                      <w:rFonts w:hint="eastAsia"/>
                      <w:color w:val="auto"/>
                      <w:szCs w:val="21"/>
                      <w:u w:val="none"/>
                      <w:lang w:val="en-US" w:eastAsia="zh-CN"/>
                    </w:rPr>
                    <w:t>2</w:t>
                  </w:r>
                </w:p>
              </w:tc>
              <w:tc>
                <w:tcPr>
                  <w:tcW w:w="1659"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外装式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vMerge w:val="continue"/>
                  <w:tcBorders>
                    <w:tl2br w:val="nil"/>
                    <w:tr2bl w:val="nil"/>
                  </w:tcBorders>
                  <w:vAlign w:val="center"/>
                </w:tcPr>
                <w:p>
                  <w:pPr>
                    <w:adjustRightInd w:val="0"/>
                    <w:snapToGrid w:val="0"/>
                    <w:jc w:val="center"/>
                    <w:rPr>
                      <w:color w:val="auto"/>
                      <w:szCs w:val="21"/>
                      <w:u w:val="none"/>
                    </w:rPr>
                  </w:pPr>
                </w:p>
              </w:tc>
              <w:tc>
                <w:tcPr>
                  <w:tcW w:w="1455"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缓冲斗</w:t>
                  </w:r>
                </w:p>
              </w:tc>
              <w:tc>
                <w:tcPr>
                  <w:tcW w:w="416"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套</w:t>
                  </w:r>
                </w:p>
              </w:tc>
              <w:tc>
                <w:tcPr>
                  <w:tcW w:w="55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1</w:t>
                  </w:r>
                </w:p>
              </w:tc>
              <w:tc>
                <w:tcPr>
                  <w:tcW w:w="1659"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vMerge w:val="continue"/>
                  <w:tcBorders>
                    <w:tl2br w:val="nil"/>
                    <w:tr2bl w:val="nil"/>
                  </w:tcBorders>
                  <w:vAlign w:val="center"/>
                </w:tcPr>
                <w:p>
                  <w:pPr>
                    <w:adjustRightInd w:val="0"/>
                    <w:snapToGrid w:val="0"/>
                    <w:jc w:val="center"/>
                    <w:rPr>
                      <w:color w:val="auto"/>
                      <w:szCs w:val="21"/>
                      <w:u w:val="none"/>
                    </w:rPr>
                  </w:pPr>
                </w:p>
              </w:tc>
              <w:tc>
                <w:tcPr>
                  <w:tcW w:w="1455"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等待料仓</w:t>
                  </w:r>
                </w:p>
              </w:tc>
              <w:tc>
                <w:tcPr>
                  <w:tcW w:w="416"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个</w:t>
                  </w:r>
                </w:p>
              </w:tc>
              <w:tc>
                <w:tcPr>
                  <w:tcW w:w="55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1</w:t>
                  </w:r>
                </w:p>
              </w:tc>
              <w:tc>
                <w:tcPr>
                  <w:tcW w:w="1659"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容积3.2m</w:t>
                  </w:r>
                  <w:r>
                    <w:rPr>
                      <w:rFonts w:hint="eastAsia"/>
                      <w:color w:val="auto"/>
                      <w:szCs w:val="21"/>
                      <w:u w:val="none"/>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vMerge w:val="continue"/>
                  <w:tcBorders>
                    <w:tl2br w:val="nil"/>
                    <w:tr2bl w:val="nil"/>
                  </w:tcBorders>
                  <w:vAlign w:val="center"/>
                </w:tcPr>
                <w:p>
                  <w:pPr>
                    <w:adjustRightInd w:val="0"/>
                    <w:snapToGrid w:val="0"/>
                    <w:jc w:val="center"/>
                    <w:rPr>
                      <w:color w:val="auto"/>
                      <w:szCs w:val="21"/>
                      <w:u w:val="none"/>
                    </w:rPr>
                  </w:pPr>
                </w:p>
              </w:tc>
              <w:tc>
                <w:tcPr>
                  <w:tcW w:w="1455"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卸料气缸</w:t>
                  </w:r>
                </w:p>
              </w:tc>
              <w:tc>
                <w:tcPr>
                  <w:tcW w:w="416"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套</w:t>
                  </w:r>
                </w:p>
              </w:tc>
              <w:tc>
                <w:tcPr>
                  <w:tcW w:w="55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1</w:t>
                  </w:r>
                </w:p>
              </w:tc>
              <w:tc>
                <w:tcPr>
                  <w:tcW w:w="1659"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SC100*300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vMerge w:val="restart"/>
                  <w:tcBorders>
                    <w:tl2br w:val="nil"/>
                    <w:tr2bl w:val="nil"/>
                  </w:tcBorders>
                  <w:vAlign w:val="center"/>
                </w:tcPr>
                <w:p>
                  <w:pPr>
                    <w:adjustRightInd w:val="0"/>
                    <w:snapToGrid w:val="0"/>
                    <w:jc w:val="center"/>
                    <w:rPr>
                      <w:color w:val="auto"/>
                      <w:szCs w:val="21"/>
                      <w:u w:val="none"/>
                    </w:rPr>
                  </w:pPr>
                  <w:r>
                    <w:rPr>
                      <w:rFonts w:hint="eastAsia"/>
                      <w:color w:val="auto"/>
                      <w:szCs w:val="21"/>
                      <w:u w:val="none"/>
                    </w:rPr>
                    <w:t>PLD1600三仓型配料机（分称称量）</w:t>
                  </w:r>
                </w:p>
              </w:tc>
              <w:tc>
                <w:tcPr>
                  <w:tcW w:w="1455"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皮带机电动滚筒</w:t>
                  </w:r>
                </w:p>
              </w:tc>
              <w:tc>
                <w:tcPr>
                  <w:tcW w:w="416"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台</w:t>
                  </w:r>
                </w:p>
              </w:tc>
              <w:tc>
                <w:tcPr>
                  <w:tcW w:w="55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1</w:t>
                  </w:r>
                </w:p>
              </w:tc>
              <w:tc>
                <w:tcPr>
                  <w:tcW w:w="1659"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7.6Kw带速1.6m/s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vMerge w:val="continue"/>
                  <w:tcBorders>
                    <w:tl2br w:val="nil"/>
                    <w:tr2bl w:val="nil"/>
                  </w:tcBorders>
                  <w:vAlign w:val="center"/>
                </w:tcPr>
                <w:p>
                  <w:pPr>
                    <w:adjustRightInd w:val="0"/>
                    <w:snapToGrid w:val="0"/>
                    <w:jc w:val="center"/>
                    <w:rPr>
                      <w:color w:val="auto"/>
                      <w:szCs w:val="21"/>
                      <w:u w:val="none"/>
                    </w:rPr>
                  </w:pPr>
                </w:p>
              </w:tc>
              <w:tc>
                <w:tcPr>
                  <w:tcW w:w="1455"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储料斗</w:t>
                  </w:r>
                </w:p>
              </w:tc>
              <w:tc>
                <w:tcPr>
                  <w:tcW w:w="416"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个</w:t>
                  </w:r>
                </w:p>
              </w:tc>
              <w:tc>
                <w:tcPr>
                  <w:tcW w:w="55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4</w:t>
                  </w:r>
                </w:p>
              </w:tc>
              <w:tc>
                <w:tcPr>
                  <w:tcW w:w="1659" w:type="pct"/>
                  <w:tcBorders>
                    <w:tl2br w:val="nil"/>
                    <w:tr2bl w:val="nil"/>
                  </w:tcBorders>
                  <w:vAlign w:val="center"/>
                </w:tcPr>
                <w:p>
                  <w:pPr>
                    <w:adjustRightInd w:val="0"/>
                    <w:snapToGrid w:val="0"/>
                    <w:jc w:val="center"/>
                    <w:rPr>
                      <w:color w:val="auto"/>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vMerge w:val="continue"/>
                  <w:tcBorders>
                    <w:tl2br w:val="nil"/>
                    <w:tr2bl w:val="nil"/>
                  </w:tcBorders>
                  <w:vAlign w:val="center"/>
                </w:tcPr>
                <w:p>
                  <w:pPr>
                    <w:adjustRightInd w:val="0"/>
                    <w:snapToGrid w:val="0"/>
                    <w:jc w:val="center"/>
                    <w:rPr>
                      <w:color w:val="auto"/>
                      <w:szCs w:val="21"/>
                      <w:u w:val="none"/>
                    </w:rPr>
                  </w:pPr>
                </w:p>
              </w:tc>
              <w:tc>
                <w:tcPr>
                  <w:tcW w:w="1455"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称量传感器</w:t>
                  </w:r>
                </w:p>
              </w:tc>
              <w:tc>
                <w:tcPr>
                  <w:tcW w:w="416"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个</w:t>
                  </w:r>
                </w:p>
              </w:tc>
              <w:tc>
                <w:tcPr>
                  <w:tcW w:w="55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4</w:t>
                  </w:r>
                </w:p>
              </w:tc>
              <w:tc>
                <w:tcPr>
                  <w:tcW w:w="1659"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1000KG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原料筒库</w:t>
                  </w:r>
                </w:p>
              </w:tc>
              <w:tc>
                <w:tcPr>
                  <w:tcW w:w="1455"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水泥储罐（</w:t>
                  </w:r>
                  <w:r>
                    <w:rPr>
                      <w:rFonts w:hint="eastAsia"/>
                      <w:color w:val="auto"/>
                      <w:szCs w:val="21"/>
                      <w:u w:val="none"/>
                      <w:lang w:val="en-US" w:eastAsia="zh-CN"/>
                    </w:rPr>
                    <w:t>4</w:t>
                  </w:r>
                  <w:r>
                    <w:rPr>
                      <w:rFonts w:hint="eastAsia"/>
                      <w:color w:val="auto"/>
                      <w:szCs w:val="21"/>
                      <w:u w:val="none"/>
                    </w:rPr>
                    <w:t>个）和粉煤灰/石灰石储罐（2个）</w:t>
                  </w:r>
                </w:p>
              </w:tc>
              <w:tc>
                <w:tcPr>
                  <w:tcW w:w="416"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个</w:t>
                  </w:r>
                </w:p>
              </w:tc>
              <w:tc>
                <w:tcPr>
                  <w:tcW w:w="554" w:type="pct"/>
                  <w:tcBorders>
                    <w:tl2br w:val="nil"/>
                    <w:tr2bl w:val="nil"/>
                  </w:tcBorders>
                  <w:vAlign w:val="center"/>
                </w:tcPr>
                <w:p>
                  <w:pPr>
                    <w:adjustRightInd w:val="0"/>
                    <w:snapToGrid w:val="0"/>
                    <w:jc w:val="center"/>
                    <w:rPr>
                      <w:rFonts w:hint="eastAsia" w:eastAsia="宋体"/>
                      <w:color w:val="auto"/>
                      <w:szCs w:val="21"/>
                      <w:u w:val="none"/>
                      <w:lang w:eastAsia="zh-CN"/>
                    </w:rPr>
                  </w:pPr>
                  <w:r>
                    <w:rPr>
                      <w:rFonts w:hint="eastAsia"/>
                      <w:color w:val="auto"/>
                      <w:szCs w:val="21"/>
                      <w:u w:val="none"/>
                      <w:lang w:val="en-US" w:eastAsia="zh-CN"/>
                    </w:rPr>
                    <w:t>6</w:t>
                  </w:r>
                </w:p>
              </w:tc>
              <w:tc>
                <w:tcPr>
                  <w:tcW w:w="1659" w:type="pct"/>
                  <w:tcBorders>
                    <w:tl2br w:val="nil"/>
                    <w:tr2bl w:val="nil"/>
                  </w:tcBorders>
                  <w:vAlign w:val="center"/>
                </w:tcPr>
                <w:p>
                  <w:pPr>
                    <w:adjustRightInd w:val="0"/>
                    <w:snapToGrid w:val="0"/>
                    <w:jc w:val="center"/>
                    <w:rPr>
                      <w:color w:val="auto"/>
                      <w:szCs w:val="21"/>
                      <w:u w:val="none"/>
                    </w:rPr>
                  </w:pPr>
                  <w:r>
                    <w:rPr>
                      <w:rFonts w:hint="eastAsia"/>
                      <w:color w:val="auto"/>
                      <w:szCs w:val="21"/>
                      <w:u w:val="none"/>
                      <w:lang w:val="en-US" w:eastAsia="zh-CN"/>
                    </w:rPr>
                    <w:t>100t/个（</w:t>
                  </w:r>
                  <w:r>
                    <w:rPr>
                      <w:rFonts w:hint="eastAsia"/>
                      <w:color w:val="auto"/>
                      <w:szCs w:val="21"/>
                      <w:u w:val="none"/>
                    </w:rPr>
                    <w:t>配备</w:t>
                  </w:r>
                  <w:r>
                    <w:rPr>
                      <w:rFonts w:hint="eastAsia"/>
                      <w:color w:val="auto"/>
                      <w:szCs w:val="21"/>
                      <w:u w:val="none"/>
                      <w:lang w:eastAsia="zh-CN"/>
                    </w:rPr>
                    <w:t>脉冲布袋</w:t>
                  </w:r>
                  <w:r>
                    <w:rPr>
                      <w:rFonts w:hint="eastAsia"/>
                      <w:color w:val="auto"/>
                      <w:szCs w:val="21"/>
                      <w:u w:val="none"/>
                    </w:rPr>
                    <w:t>除尘器</w:t>
                  </w:r>
                  <w:r>
                    <w:rPr>
                      <w:rFonts w:hint="eastAsia"/>
                      <w:color w:val="auto"/>
                      <w:szCs w:val="21"/>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螺旋机</w:t>
                  </w:r>
                </w:p>
              </w:tc>
              <w:tc>
                <w:tcPr>
                  <w:tcW w:w="1455"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8米-</w:t>
                  </w:r>
                  <w:r>
                    <w:rPr>
                      <w:color w:val="auto"/>
                      <w:szCs w:val="21"/>
                      <w:u w:val="none"/>
                    </w:rPr>
                    <w:t>Ф</w:t>
                  </w:r>
                  <w:r>
                    <w:rPr>
                      <w:rFonts w:hint="eastAsia"/>
                      <w:color w:val="auto"/>
                      <w:szCs w:val="21"/>
                      <w:u w:val="none"/>
                    </w:rPr>
                    <w:t>219mm</w:t>
                  </w:r>
                </w:p>
              </w:tc>
              <w:tc>
                <w:tcPr>
                  <w:tcW w:w="416"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台</w:t>
                  </w:r>
                </w:p>
              </w:tc>
              <w:tc>
                <w:tcPr>
                  <w:tcW w:w="55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2</w:t>
                  </w:r>
                </w:p>
              </w:tc>
              <w:tc>
                <w:tcPr>
                  <w:tcW w:w="1659"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11Kw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水计量系统</w:t>
                  </w:r>
                </w:p>
              </w:tc>
              <w:tc>
                <w:tcPr>
                  <w:tcW w:w="1455"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w:t>
                  </w:r>
                </w:p>
              </w:tc>
              <w:tc>
                <w:tcPr>
                  <w:tcW w:w="416"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套</w:t>
                  </w:r>
                </w:p>
              </w:tc>
              <w:tc>
                <w:tcPr>
                  <w:tcW w:w="55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1</w:t>
                  </w:r>
                </w:p>
              </w:tc>
              <w:tc>
                <w:tcPr>
                  <w:tcW w:w="1659"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外加剂计量系统</w:t>
                  </w:r>
                </w:p>
              </w:tc>
              <w:tc>
                <w:tcPr>
                  <w:tcW w:w="1455"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w:t>
                  </w:r>
                </w:p>
              </w:tc>
              <w:tc>
                <w:tcPr>
                  <w:tcW w:w="416"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套</w:t>
                  </w:r>
                </w:p>
              </w:tc>
              <w:tc>
                <w:tcPr>
                  <w:tcW w:w="55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1</w:t>
                  </w:r>
                </w:p>
              </w:tc>
              <w:tc>
                <w:tcPr>
                  <w:tcW w:w="1659"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水泥计量系统</w:t>
                  </w:r>
                </w:p>
              </w:tc>
              <w:tc>
                <w:tcPr>
                  <w:tcW w:w="1455"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w:t>
                  </w:r>
                </w:p>
              </w:tc>
              <w:tc>
                <w:tcPr>
                  <w:tcW w:w="416"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套</w:t>
                  </w:r>
                </w:p>
              </w:tc>
              <w:tc>
                <w:tcPr>
                  <w:tcW w:w="55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1</w:t>
                  </w:r>
                </w:p>
              </w:tc>
              <w:tc>
                <w:tcPr>
                  <w:tcW w:w="1659"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粉煤灰混加计量系统</w:t>
                  </w:r>
                </w:p>
              </w:tc>
              <w:tc>
                <w:tcPr>
                  <w:tcW w:w="1455"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w:t>
                  </w:r>
                </w:p>
              </w:tc>
              <w:tc>
                <w:tcPr>
                  <w:tcW w:w="416"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套</w:t>
                  </w:r>
                </w:p>
              </w:tc>
              <w:tc>
                <w:tcPr>
                  <w:tcW w:w="55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1</w:t>
                  </w:r>
                </w:p>
              </w:tc>
              <w:tc>
                <w:tcPr>
                  <w:tcW w:w="1659"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tcBorders>
                    <w:tl2br w:val="nil"/>
                    <w:tr2bl w:val="nil"/>
                  </w:tcBorders>
                  <w:vAlign w:val="center"/>
                </w:tcPr>
                <w:p>
                  <w:pPr>
                    <w:adjustRightInd w:val="0"/>
                    <w:snapToGrid w:val="0"/>
                    <w:jc w:val="center"/>
                    <w:rPr>
                      <w:color w:val="auto"/>
                      <w:szCs w:val="21"/>
                      <w:u w:val="none"/>
                    </w:rPr>
                  </w:pPr>
                  <w:r>
                    <w:rPr>
                      <w:color w:val="auto"/>
                      <w:szCs w:val="21"/>
                      <w:u w:val="none"/>
                    </w:rPr>
                    <w:t>混凝土罐车</w:t>
                  </w:r>
                </w:p>
              </w:tc>
              <w:tc>
                <w:tcPr>
                  <w:tcW w:w="1455"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w:t>
                  </w:r>
                </w:p>
              </w:tc>
              <w:tc>
                <w:tcPr>
                  <w:tcW w:w="416" w:type="pct"/>
                  <w:tcBorders>
                    <w:tl2br w:val="nil"/>
                    <w:tr2bl w:val="nil"/>
                  </w:tcBorders>
                  <w:vAlign w:val="center"/>
                </w:tcPr>
                <w:p>
                  <w:pPr>
                    <w:adjustRightInd w:val="0"/>
                    <w:snapToGrid w:val="0"/>
                    <w:jc w:val="center"/>
                    <w:rPr>
                      <w:color w:val="auto"/>
                      <w:szCs w:val="21"/>
                      <w:u w:val="none"/>
                    </w:rPr>
                  </w:pPr>
                  <w:r>
                    <w:rPr>
                      <w:color w:val="auto"/>
                      <w:szCs w:val="21"/>
                      <w:u w:val="none"/>
                    </w:rPr>
                    <w:t>台</w:t>
                  </w:r>
                </w:p>
              </w:tc>
              <w:tc>
                <w:tcPr>
                  <w:tcW w:w="554" w:type="pct"/>
                  <w:tcBorders>
                    <w:tl2br w:val="nil"/>
                    <w:tr2bl w:val="nil"/>
                  </w:tcBorders>
                  <w:vAlign w:val="center"/>
                </w:tcPr>
                <w:p>
                  <w:pPr>
                    <w:adjustRightInd w:val="0"/>
                    <w:snapToGrid w:val="0"/>
                    <w:jc w:val="center"/>
                    <w:rPr>
                      <w:rFonts w:hint="eastAsia" w:eastAsia="宋体"/>
                      <w:color w:val="auto"/>
                      <w:szCs w:val="21"/>
                      <w:u w:val="none"/>
                      <w:lang w:eastAsia="zh-CN"/>
                    </w:rPr>
                  </w:pPr>
                  <w:r>
                    <w:rPr>
                      <w:rFonts w:hint="eastAsia"/>
                      <w:color w:val="auto"/>
                      <w:szCs w:val="21"/>
                      <w:u w:val="none"/>
                      <w:lang w:val="en-US" w:eastAsia="zh-CN"/>
                    </w:rPr>
                    <w:t>4</w:t>
                  </w:r>
                </w:p>
              </w:tc>
              <w:tc>
                <w:tcPr>
                  <w:tcW w:w="1659" w:type="pct"/>
                  <w:tcBorders>
                    <w:tl2br w:val="nil"/>
                    <w:tr2bl w:val="nil"/>
                  </w:tcBorders>
                  <w:vAlign w:val="center"/>
                </w:tcPr>
                <w:p>
                  <w:pPr>
                    <w:adjustRightInd w:val="0"/>
                    <w:snapToGrid w:val="0"/>
                    <w:jc w:val="center"/>
                    <w:rPr>
                      <w:color w:val="auto"/>
                      <w:szCs w:val="21"/>
                      <w:u w:val="none"/>
                    </w:rPr>
                  </w:pPr>
                  <w:r>
                    <w:rPr>
                      <w:color w:val="auto"/>
                      <w:szCs w:val="21"/>
                      <w:u w:val="none"/>
                    </w:rPr>
                    <w:t>10立方米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装载车</w:t>
                  </w:r>
                </w:p>
              </w:tc>
              <w:tc>
                <w:tcPr>
                  <w:tcW w:w="1455"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w:t>
                  </w:r>
                </w:p>
              </w:tc>
              <w:tc>
                <w:tcPr>
                  <w:tcW w:w="416"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辆</w:t>
                  </w:r>
                </w:p>
              </w:tc>
              <w:tc>
                <w:tcPr>
                  <w:tcW w:w="554"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1</w:t>
                  </w:r>
                </w:p>
              </w:tc>
              <w:tc>
                <w:tcPr>
                  <w:tcW w:w="1659" w:type="pct"/>
                  <w:tcBorders>
                    <w:tl2br w:val="nil"/>
                    <w:tr2bl w:val="nil"/>
                  </w:tcBorders>
                  <w:vAlign w:val="center"/>
                </w:tcPr>
                <w:p>
                  <w:pPr>
                    <w:adjustRightInd w:val="0"/>
                    <w:snapToGrid w:val="0"/>
                    <w:jc w:val="center"/>
                    <w:rPr>
                      <w:color w:val="auto"/>
                      <w:szCs w:val="21"/>
                      <w:u w:val="none"/>
                    </w:rPr>
                  </w:pPr>
                  <w:r>
                    <w:rPr>
                      <w:rFonts w:hint="eastAsia"/>
                      <w:color w:val="auto"/>
                      <w:szCs w:val="21"/>
                      <w:u w:val="none"/>
                    </w:rPr>
                    <w:t>/</w:t>
                  </w:r>
                </w:p>
              </w:tc>
            </w:tr>
          </w:tbl>
          <w:p>
            <w:pPr>
              <w:adjustRightInd w:val="0"/>
              <w:snapToGrid w:val="0"/>
              <w:jc w:val="center"/>
              <w:rPr>
                <w:b/>
                <w:bCs/>
                <w:sz w:val="21"/>
                <w:szCs w:val="21"/>
                <w:u w:val="none"/>
              </w:rPr>
            </w:pPr>
            <w:r>
              <w:rPr>
                <w:rFonts w:hint="eastAsia"/>
                <w:b/>
                <w:bCs/>
                <w:sz w:val="21"/>
                <w:szCs w:val="21"/>
                <w:u w:val="none"/>
              </w:rPr>
              <w:t>表</w:t>
            </w:r>
            <w:r>
              <w:rPr>
                <w:rFonts w:hint="eastAsia"/>
                <w:b/>
                <w:bCs/>
                <w:sz w:val="21"/>
                <w:szCs w:val="21"/>
                <w:u w:val="none"/>
                <w:lang w:val="en-US" w:eastAsia="zh-CN"/>
              </w:rPr>
              <w:t>2-5</w:t>
            </w:r>
            <w:r>
              <w:rPr>
                <w:rFonts w:hint="eastAsia"/>
                <w:b/>
                <w:bCs/>
                <w:sz w:val="21"/>
                <w:szCs w:val="21"/>
                <w:u w:val="none"/>
              </w:rPr>
              <w:t xml:space="preserve"> 实验室设备一览表</w:t>
            </w:r>
          </w:p>
          <w:tbl>
            <w:tblPr>
              <w:tblStyle w:val="16"/>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8"/>
              <w:gridCol w:w="2159"/>
              <w:gridCol w:w="2159"/>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tcPr>
                <w:p>
                  <w:pPr>
                    <w:adjustRightInd w:val="0"/>
                    <w:snapToGrid w:val="0"/>
                    <w:jc w:val="center"/>
                    <w:rPr>
                      <w:szCs w:val="21"/>
                      <w:u w:val="none"/>
                    </w:rPr>
                  </w:pPr>
                  <w:r>
                    <w:rPr>
                      <w:rFonts w:hint="eastAsia"/>
                      <w:szCs w:val="21"/>
                      <w:u w:val="none"/>
                    </w:rPr>
                    <w:t>序号</w:t>
                  </w:r>
                </w:p>
              </w:tc>
              <w:tc>
                <w:tcPr>
                  <w:tcW w:w="2159" w:type="dxa"/>
                </w:tcPr>
                <w:p>
                  <w:pPr>
                    <w:adjustRightInd w:val="0"/>
                    <w:snapToGrid w:val="0"/>
                    <w:jc w:val="center"/>
                    <w:rPr>
                      <w:szCs w:val="21"/>
                      <w:u w:val="none"/>
                    </w:rPr>
                  </w:pPr>
                  <w:r>
                    <w:rPr>
                      <w:rFonts w:hint="eastAsia"/>
                      <w:szCs w:val="21"/>
                      <w:u w:val="none"/>
                    </w:rPr>
                    <w:t>设备名称</w:t>
                  </w:r>
                </w:p>
              </w:tc>
              <w:tc>
                <w:tcPr>
                  <w:tcW w:w="2159" w:type="dxa"/>
                </w:tcPr>
                <w:p>
                  <w:pPr>
                    <w:adjustRightInd w:val="0"/>
                    <w:snapToGrid w:val="0"/>
                    <w:jc w:val="center"/>
                    <w:rPr>
                      <w:szCs w:val="21"/>
                      <w:u w:val="none"/>
                    </w:rPr>
                  </w:pPr>
                  <w:r>
                    <w:rPr>
                      <w:rFonts w:hint="eastAsia"/>
                      <w:szCs w:val="21"/>
                      <w:u w:val="none"/>
                    </w:rPr>
                    <w:t>性能要求</w:t>
                  </w:r>
                </w:p>
              </w:tc>
              <w:tc>
                <w:tcPr>
                  <w:tcW w:w="2159" w:type="dxa"/>
                </w:tcPr>
                <w:p>
                  <w:pPr>
                    <w:adjustRightInd w:val="0"/>
                    <w:snapToGrid w:val="0"/>
                    <w:jc w:val="center"/>
                    <w:rPr>
                      <w:szCs w:val="21"/>
                      <w:u w:val="none"/>
                    </w:rPr>
                  </w:pPr>
                  <w:r>
                    <w:rPr>
                      <w:rFonts w:hint="eastAsia"/>
                      <w:szCs w:val="21"/>
                      <w:u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Align w:val="center"/>
                </w:tcPr>
                <w:p>
                  <w:pPr>
                    <w:adjustRightInd w:val="0"/>
                    <w:snapToGrid w:val="0"/>
                    <w:jc w:val="center"/>
                    <w:rPr>
                      <w:szCs w:val="21"/>
                      <w:u w:val="none"/>
                    </w:rPr>
                  </w:pPr>
                  <w:r>
                    <w:rPr>
                      <w:rFonts w:hint="eastAsia"/>
                      <w:szCs w:val="21"/>
                      <w:u w:val="none"/>
                    </w:rPr>
                    <w:t>1</w:t>
                  </w:r>
                </w:p>
              </w:tc>
              <w:tc>
                <w:tcPr>
                  <w:tcW w:w="2159" w:type="dxa"/>
                  <w:vAlign w:val="center"/>
                </w:tcPr>
                <w:p>
                  <w:pPr>
                    <w:adjustRightInd w:val="0"/>
                    <w:snapToGrid w:val="0"/>
                    <w:jc w:val="center"/>
                    <w:rPr>
                      <w:szCs w:val="21"/>
                      <w:u w:val="none"/>
                    </w:rPr>
                  </w:pPr>
                  <w:r>
                    <w:rPr>
                      <w:rFonts w:hint="eastAsia"/>
                      <w:szCs w:val="21"/>
                      <w:u w:val="none"/>
                    </w:rPr>
                    <w:t>电脑混凝土压力试验机</w:t>
                  </w:r>
                </w:p>
              </w:tc>
              <w:tc>
                <w:tcPr>
                  <w:tcW w:w="2159" w:type="dxa"/>
                  <w:vAlign w:val="center"/>
                </w:tcPr>
                <w:p>
                  <w:pPr>
                    <w:adjustRightInd w:val="0"/>
                    <w:snapToGrid w:val="0"/>
                    <w:jc w:val="center"/>
                    <w:rPr>
                      <w:szCs w:val="21"/>
                      <w:u w:val="none"/>
                    </w:rPr>
                  </w:pPr>
                  <w:r>
                    <w:rPr>
                      <w:rFonts w:hint="eastAsia"/>
                      <w:szCs w:val="21"/>
                      <w:u w:val="none"/>
                    </w:rPr>
                    <w:t>电脑自动控制</w:t>
                  </w:r>
                </w:p>
              </w:tc>
              <w:tc>
                <w:tcPr>
                  <w:tcW w:w="2159" w:type="dxa"/>
                  <w:vAlign w:val="center"/>
                </w:tcPr>
                <w:p>
                  <w:pPr>
                    <w:adjustRightInd w:val="0"/>
                    <w:snapToGrid w:val="0"/>
                    <w:jc w:val="center"/>
                    <w:rPr>
                      <w:szCs w:val="21"/>
                      <w:u w:val="none"/>
                    </w:rPr>
                  </w:pPr>
                  <w:r>
                    <w:rPr>
                      <w:rFonts w:hint="eastAsia"/>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Align w:val="center"/>
                </w:tcPr>
                <w:p>
                  <w:pPr>
                    <w:adjustRightInd w:val="0"/>
                    <w:snapToGrid w:val="0"/>
                    <w:jc w:val="center"/>
                    <w:rPr>
                      <w:szCs w:val="21"/>
                      <w:u w:val="none"/>
                    </w:rPr>
                  </w:pPr>
                  <w:r>
                    <w:rPr>
                      <w:rFonts w:hint="eastAsia"/>
                      <w:szCs w:val="21"/>
                      <w:u w:val="none"/>
                    </w:rPr>
                    <w:t>2</w:t>
                  </w:r>
                </w:p>
              </w:tc>
              <w:tc>
                <w:tcPr>
                  <w:tcW w:w="2159" w:type="dxa"/>
                  <w:vAlign w:val="center"/>
                </w:tcPr>
                <w:p>
                  <w:pPr>
                    <w:adjustRightInd w:val="0"/>
                    <w:snapToGrid w:val="0"/>
                    <w:jc w:val="center"/>
                    <w:rPr>
                      <w:szCs w:val="21"/>
                      <w:u w:val="none"/>
                    </w:rPr>
                  </w:pPr>
                  <w:r>
                    <w:rPr>
                      <w:rFonts w:hint="eastAsia"/>
                      <w:szCs w:val="21"/>
                      <w:u w:val="none"/>
                    </w:rPr>
                    <w:t>电热鼓风干燥箱</w:t>
                  </w:r>
                </w:p>
              </w:tc>
              <w:tc>
                <w:tcPr>
                  <w:tcW w:w="2159" w:type="dxa"/>
                  <w:vAlign w:val="center"/>
                </w:tcPr>
                <w:p>
                  <w:pPr>
                    <w:adjustRightInd w:val="0"/>
                    <w:snapToGrid w:val="0"/>
                    <w:jc w:val="center"/>
                    <w:rPr>
                      <w:szCs w:val="21"/>
                      <w:u w:val="none"/>
                    </w:rPr>
                  </w:pPr>
                  <w:r>
                    <w:rPr>
                      <w:rFonts w:hint="eastAsia"/>
                      <w:szCs w:val="21"/>
                      <w:u w:val="none"/>
                    </w:rPr>
                    <w:t>室温</w:t>
                  </w:r>
                  <w:r>
                    <w:rPr>
                      <w:rFonts w:ascii="Arial" w:hAnsi="Arial" w:cs="Arial"/>
                      <w:szCs w:val="21"/>
                      <w:u w:val="none"/>
                    </w:rPr>
                    <w:t>≥</w:t>
                  </w:r>
                  <w:r>
                    <w:rPr>
                      <w:rFonts w:hint="eastAsia"/>
                      <w:szCs w:val="21"/>
                      <w:u w:val="none"/>
                    </w:rPr>
                    <w:t>300摄氏度</w:t>
                  </w:r>
                </w:p>
              </w:tc>
              <w:tc>
                <w:tcPr>
                  <w:tcW w:w="2159" w:type="dxa"/>
                  <w:vAlign w:val="center"/>
                </w:tcPr>
                <w:p>
                  <w:pPr>
                    <w:adjustRightInd w:val="0"/>
                    <w:snapToGrid w:val="0"/>
                    <w:jc w:val="center"/>
                    <w:rPr>
                      <w:szCs w:val="21"/>
                      <w:u w:val="none"/>
                    </w:rPr>
                  </w:pPr>
                  <w:r>
                    <w:rPr>
                      <w:rFonts w:hint="eastAsia"/>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8" w:type="dxa"/>
                  <w:vAlign w:val="center"/>
                </w:tcPr>
                <w:p>
                  <w:pPr>
                    <w:adjustRightInd w:val="0"/>
                    <w:snapToGrid w:val="0"/>
                    <w:jc w:val="center"/>
                    <w:rPr>
                      <w:szCs w:val="21"/>
                      <w:u w:val="none"/>
                    </w:rPr>
                  </w:pPr>
                  <w:r>
                    <w:rPr>
                      <w:rFonts w:hint="eastAsia"/>
                      <w:szCs w:val="21"/>
                      <w:u w:val="none"/>
                    </w:rPr>
                    <w:t>3</w:t>
                  </w:r>
                </w:p>
              </w:tc>
              <w:tc>
                <w:tcPr>
                  <w:tcW w:w="2159" w:type="dxa"/>
                  <w:vAlign w:val="center"/>
                </w:tcPr>
                <w:p>
                  <w:pPr>
                    <w:adjustRightInd w:val="0"/>
                    <w:snapToGrid w:val="0"/>
                    <w:jc w:val="center"/>
                    <w:rPr>
                      <w:szCs w:val="21"/>
                      <w:u w:val="none"/>
                    </w:rPr>
                  </w:pPr>
                  <w:r>
                    <w:rPr>
                      <w:rFonts w:hint="eastAsia"/>
                      <w:szCs w:val="21"/>
                      <w:u w:val="none"/>
                    </w:rPr>
                    <w:t>混凝土拌合物含气量测定仪</w:t>
                  </w:r>
                </w:p>
              </w:tc>
              <w:tc>
                <w:tcPr>
                  <w:tcW w:w="2159" w:type="dxa"/>
                  <w:vAlign w:val="center"/>
                </w:tcPr>
                <w:p>
                  <w:pPr>
                    <w:adjustRightInd w:val="0"/>
                    <w:snapToGrid w:val="0"/>
                    <w:jc w:val="center"/>
                    <w:rPr>
                      <w:szCs w:val="21"/>
                      <w:u w:val="none"/>
                    </w:rPr>
                  </w:pPr>
                  <w:r>
                    <w:rPr>
                      <w:rFonts w:hint="eastAsia"/>
                      <w:szCs w:val="21"/>
                      <w:u w:val="none"/>
                    </w:rPr>
                    <w:t>/</w:t>
                  </w:r>
                </w:p>
              </w:tc>
              <w:tc>
                <w:tcPr>
                  <w:tcW w:w="2159" w:type="dxa"/>
                  <w:vAlign w:val="center"/>
                </w:tcPr>
                <w:p>
                  <w:pPr>
                    <w:adjustRightInd w:val="0"/>
                    <w:snapToGrid w:val="0"/>
                    <w:jc w:val="center"/>
                    <w:rPr>
                      <w:szCs w:val="21"/>
                      <w:u w:val="none"/>
                    </w:rPr>
                  </w:pPr>
                  <w:r>
                    <w:rPr>
                      <w:rFonts w:hint="eastAsia"/>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Align w:val="center"/>
                </w:tcPr>
                <w:p>
                  <w:pPr>
                    <w:adjustRightInd w:val="0"/>
                    <w:snapToGrid w:val="0"/>
                    <w:jc w:val="center"/>
                    <w:rPr>
                      <w:szCs w:val="21"/>
                      <w:u w:val="none"/>
                    </w:rPr>
                  </w:pPr>
                  <w:r>
                    <w:rPr>
                      <w:rFonts w:hint="eastAsia"/>
                      <w:szCs w:val="21"/>
                      <w:u w:val="none"/>
                    </w:rPr>
                    <w:t>4</w:t>
                  </w:r>
                </w:p>
              </w:tc>
              <w:tc>
                <w:tcPr>
                  <w:tcW w:w="2159" w:type="dxa"/>
                  <w:vAlign w:val="center"/>
                </w:tcPr>
                <w:p>
                  <w:pPr>
                    <w:adjustRightInd w:val="0"/>
                    <w:snapToGrid w:val="0"/>
                    <w:jc w:val="center"/>
                    <w:rPr>
                      <w:szCs w:val="21"/>
                      <w:u w:val="none"/>
                    </w:rPr>
                  </w:pPr>
                  <w:r>
                    <w:rPr>
                      <w:rFonts w:hint="eastAsia"/>
                      <w:szCs w:val="21"/>
                      <w:u w:val="none"/>
                    </w:rPr>
                    <w:t>混凝土试验用搅拌机</w:t>
                  </w:r>
                </w:p>
              </w:tc>
              <w:tc>
                <w:tcPr>
                  <w:tcW w:w="2159" w:type="dxa"/>
                  <w:vAlign w:val="center"/>
                </w:tcPr>
                <w:p>
                  <w:pPr>
                    <w:adjustRightInd w:val="0"/>
                    <w:snapToGrid w:val="0"/>
                    <w:jc w:val="center"/>
                    <w:rPr>
                      <w:szCs w:val="21"/>
                      <w:u w:val="none"/>
                    </w:rPr>
                  </w:pPr>
                  <w:r>
                    <w:rPr>
                      <w:rFonts w:hint="eastAsia"/>
                      <w:szCs w:val="21"/>
                      <w:u w:val="none"/>
                    </w:rPr>
                    <w:t>卧式</w:t>
                  </w:r>
                </w:p>
              </w:tc>
              <w:tc>
                <w:tcPr>
                  <w:tcW w:w="2159" w:type="dxa"/>
                  <w:vAlign w:val="center"/>
                </w:tcPr>
                <w:p>
                  <w:pPr>
                    <w:adjustRightInd w:val="0"/>
                    <w:snapToGrid w:val="0"/>
                    <w:jc w:val="center"/>
                    <w:rPr>
                      <w:szCs w:val="21"/>
                      <w:u w:val="none"/>
                    </w:rPr>
                  </w:pPr>
                  <w:r>
                    <w:rPr>
                      <w:rFonts w:hint="eastAsia"/>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Align w:val="center"/>
                </w:tcPr>
                <w:p>
                  <w:pPr>
                    <w:adjustRightInd w:val="0"/>
                    <w:snapToGrid w:val="0"/>
                    <w:jc w:val="center"/>
                    <w:rPr>
                      <w:szCs w:val="21"/>
                      <w:u w:val="none"/>
                    </w:rPr>
                  </w:pPr>
                  <w:r>
                    <w:rPr>
                      <w:rFonts w:hint="eastAsia"/>
                      <w:szCs w:val="21"/>
                      <w:u w:val="none"/>
                    </w:rPr>
                    <w:t>5</w:t>
                  </w:r>
                </w:p>
              </w:tc>
              <w:tc>
                <w:tcPr>
                  <w:tcW w:w="2159" w:type="dxa"/>
                  <w:vAlign w:val="center"/>
                </w:tcPr>
                <w:p>
                  <w:pPr>
                    <w:adjustRightInd w:val="0"/>
                    <w:snapToGrid w:val="0"/>
                    <w:jc w:val="center"/>
                    <w:rPr>
                      <w:szCs w:val="21"/>
                      <w:u w:val="none"/>
                    </w:rPr>
                  </w:pPr>
                  <w:r>
                    <w:rPr>
                      <w:rFonts w:hint="eastAsia"/>
                      <w:szCs w:val="21"/>
                      <w:u w:val="none"/>
                    </w:rPr>
                    <w:t>混凝土贯入阻力测定仪</w:t>
                  </w:r>
                </w:p>
              </w:tc>
              <w:tc>
                <w:tcPr>
                  <w:tcW w:w="2159" w:type="dxa"/>
                  <w:vAlign w:val="center"/>
                </w:tcPr>
                <w:p>
                  <w:pPr>
                    <w:adjustRightInd w:val="0"/>
                    <w:snapToGrid w:val="0"/>
                    <w:jc w:val="center"/>
                    <w:rPr>
                      <w:szCs w:val="21"/>
                      <w:u w:val="none"/>
                    </w:rPr>
                  </w:pPr>
                  <w:r>
                    <w:rPr>
                      <w:rFonts w:hint="eastAsia"/>
                      <w:szCs w:val="21"/>
                      <w:u w:val="none"/>
                    </w:rPr>
                    <w:t>/</w:t>
                  </w:r>
                </w:p>
              </w:tc>
              <w:tc>
                <w:tcPr>
                  <w:tcW w:w="2159" w:type="dxa"/>
                  <w:vAlign w:val="center"/>
                </w:tcPr>
                <w:p>
                  <w:pPr>
                    <w:adjustRightInd w:val="0"/>
                    <w:snapToGrid w:val="0"/>
                    <w:jc w:val="center"/>
                    <w:rPr>
                      <w:szCs w:val="21"/>
                      <w:u w:val="none"/>
                    </w:rPr>
                  </w:pPr>
                  <w:r>
                    <w:rPr>
                      <w:rFonts w:hint="eastAsia"/>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Align w:val="center"/>
                </w:tcPr>
                <w:p>
                  <w:pPr>
                    <w:adjustRightInd w:val="0"/>
                    <w:snapToGrid w:val="0"/>
                    <w:jc w:val="center"/>
                    <w:rPr>
                      <w:szCs w:val="21"/>
                      <w:u w:val="none"/>
                    </w:rPr>
                  </w:pPr>
                  <w:r>
                    <w:rPr>
                      <w:rFonts w:hint="eastAsia"/>
                      <w:szCs w:val="21"/>
                      <w:u w:val="none"/>
                    </w:rPr>
                    <w:t>6</w:t>
                  </w:r>
                </w:p>
              </w:tc>
              <w:tc>
                <w:tcPr>
                  <w:tcW w:w="2159" w:type="dxa"/>
                  <w:vAlign w:val="center"/>
                </w:tcPr>
                <w:p>
                  <w:pPr>
                    <w:adjustRightInd w:val="0"/>
                    <w:snapToGrid w:val="0"/>
                    <w:jc w:val="center"/>
                    <w:rPr>
                      <w:szCs w:val="21"/>
                      <w:u w:val="none"/>
                    </w:rPr>
                  </w:pPr>
                  <w:r>
                    <w:rPr>
                      <w:rFonts w:hint="eastAsia"/>
                      <w:szCs w:val="21"/>
                      <w:u w:val="none"/>
                    </w:rPr>
                    <w:t>混凝土抗压试模</w:t>
                  </w:r>
                </w:p>
              </w:tc>
              <w:tc>
                <w:tcPr>
                  <w:tcW w:w="2159" w:type="dxa"/>
                  <w:vAlign w:val="center"/>
                </w:tcPr>
                <w:p>
                  <w:pPr>
                    <w:adjustRightInd w:val="0"/>
                    <w:snapToGrid w:val="0"/>
                    <w:jc w:val="center"/>
                    <w:rPr>
                      <w:szCs w:val="21"/>
                      <w:u w:val="none"/>
                    </w:rPr>
                  </w:pPr>
                  <w:r>
                    <w:rPr>
                      <w:rFonts w:hint="eastAsia"/>
                      <w:szCs w:val="21"/>
                      <w:u w:val="none"/>
                    </w:rPr>
                    <w:t>塑料</w:t>
                  </w:r>
                </w:p>
              </w:tc>
              <w:tc>
                <w:tcPr>
                  <w:tcW w:w="2159" w:type="dxa"/>
                  <w:vAlign w:val="center"/>
                </w:tcPr>
                <w:p>
                  <w:pPr>
                    <w:adjustRightInd w:val="0"/>
                    <w:snapToGrid w:val="0"/>
                    <w:jc w:val="center"/>
                    <w:rPr>
                      <w:szCs w:val="21"/>
                      <w:u w:val="none"/>
                    </w:rPr>
                  </w:pPr>
                  <w:r>
                    <w:rPr>
                      <w:rFonts w:hint="eastAsia"/>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8" w:type="dxa"/>
                  <w:vAlign w:val="center"/>
                </w:tcPr>
                <w:p>
                  <w:pPr>
                    <w:adjustRightInd w:val="0"/>
                    <w:snapToGrid w:val="0"/>
                    <w:jc w:val="center"/>
                    <w:rPr>
                      <w:szCs w:val="21"/>
                      <w:u w:val="none"/>
                    </w:rPr>
                  </w:pPr>
                  <w:r>
                    <w:rPr>
                      <w:rFonts w:hint="eastAsia"/>
                      <w:szCs w:val="21"/>
                      <w:u w:val="none"/>
                    </w:rPr>
                    <w:t>7</w:t>
                  </w:r>
                </w:p>
              </w:tc>
              <w:tc>
                <w:tcPr>
                  <w:tcW w:w="2159" w:type="dxa"/>
                  <w:vAlign w:val="center"/>
                </w:tcPr>
                <w:p>
                  <w:pPr>
                    <w:adjustRightInd w:val="0"/>
                    <w:snapToGrid w:val="0"/>
                    <w:jc w:val="center"/>
                    <w:rPr>
                      <w:szCs w:val="21"/>
                      <w:u w:val="none"/>
                    </w:rPr>
                  </w:pPr>
                  <w:r>
                    <w:rPr>
                      <w:rFonts w:hint="eastAsia"/>
                      <w:szCs w:val="21"/>
                      <w:u w:val="none"/>
                    </w:rPr>
                    <w:t>混凝土标准养护设备</w:t>
                  </w:r>
                </w:p>
              </w:tc>
              <w:tc>
                <w:tcPr>
                  <w:tcW w:w="2159" w:type="dxa"/>
                  <w:vAlign w:val="center"/>
                </w:tcPr>
                <w:p>
                  <w:pPr>
                    <w:adjustRightInd w:val="0"/>
                    <w:snapToGrid w:val="0"/>
                    <w:jc w:val="center"/>
                    <w:rPr>
                      <w:szCs w:val="21"/>
                      <w:u w:val="none"/>
                    </w:rPr>
                  </w:pPr>
                  <w:r>
                    <w:rPr>
                      <w:rFonts w:hint="eastAsia"/>
                      <w:szCs w:val="21"/>
                      <w:u w:val="none"/>
                    </w:rPr>
                    <w:t>/</w:t>
                  </w:r>
                </w:p>
              </w:tc>
              <w:tc>
                <w:tcPr>
                  <w:tcW w:w="2159" w:type="dxa"/>
                  <w:vAlign w:val="center"/>
                </w:tcPr>
                <w:p>
                  <w:pPr>
                    <w:adjustRightInd w:val="0"/>
                    <w:snapToGrid w:val="0"/>
                    <w:jc w:val="center"/>
                    <w:rPr>
                      <w:szCs w:val="21"/>
                      <w:u w:val="none"/>
                    </w:rPr>
                  </w:pPr>
                  <w:r>
                    <w:rPr>
                      <w:rFonts w:hint="eastAsia"/>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Align w:val="center"/>
                </w:tcPr>
                <w:p>
                  <w:pPr>
                    <w:adjustRightInd w:val="0"/>
                    <w:snapToGrid w:val="0"/>
                    <w:jc w:val="center"/>
                    <w:rPr>
                      <w:szCs w:val="21"/>
                      <w:u w:val="none"/>
                    </w:rPr>
                  </w:pPr>
                  <w:r>
                    <w:rPr>
                      <w:rFonts w:hint="eastAsia"/>
                      <w:szCs w:val="21"/>
                      <w:u w:val="none"/>
                    </w:rPr>
                    <w:t>8</w:t>
                  </w:r>
                </w:p>
              </w:tc>
              <w:tc>
                <w:tcPr>
                  <w:tcW w:w="2159" w:type="dxa"/>
                  <w:vAlign w:val="center"/>
                </w:tcPr>
                <w:p>
                  <w:pPr>
                    <w:adjustRightInd w:val="0"/>
                    <w:snapToGrid w:val="0"/>
                    <w:jc w:val="center"/>
                    <w:rPr>
                      <w:szCs w:val="21"/>
                      <w:u w:val="none"/>
                    </w:rPr>
                  </w:pPr>
                  <w:r>
                    <w:rPr>
                      <w:rFonts w:hint="eastAsia"/>
                      <w:szCs w:val="21"/>
                      <w:u w:val="none"/>
                    </w:rPr>
                    <w:t>混凝土抗渗仪</w:t>
                  </w:r>
                </w:p>
              </w:tc>
              <w:tc>
                <w:tcPr>
                  <w:tcW w:w="2159" w:type="dxa"/>
                  <w:vAlign w:val="center"/>
                </w:tcPr>
                <w:p>
                  <w:pPr>
                    <w:adjustRightInd w:val="0"/>
                    <w:snapToGrid w:val="0"/>
                    <w:jc w:val="center"/>
                    <w:rPr>
                      <w:szCs w:val="21"/>
                      <w:u w:val="none"/>
                    </w:rPr>
                  </w:pPr>
                  <w:r>
                    <w:rPr>
                      <w:rFonts w:hint="eastAsia"/>
                      <w:szCs w:val="21"/>
                      <w:u w:val="none"/>
                    </w:rPr>
                    <w:t>数显，自动调压</w:t>
                  </w:r>
                </w:p>
              </w:tc>
              <w:tc>
                <w:tcPr>
                  <w:tcW w:w="2159" w:type="dxa"/>
                  <w:vAlign w:val="center"/>
                </w:tcPr>
                <w:p>
                  <w:pPr>
                    <w:adjustRightInd w:val="0"/>
                    <w:snapToGrid w:val="0"/>
                    <w:jc w:val="center"/>
                    <w:rPr>
                      <w:szCs w:val="21"/>
                      <w:u w:val="none"/>
                    </w:rPr>
                  </w:pPr>
                  <w:r>
                    <w:rPr>
                      <w:rFonts w:hint="eastAsia"/>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Align w:val="center"/>
                </w:tcPr>
                <w:p>
                  <w:pPr>
                    <w:adjustRightInd w:val="0"/>
                    <w:snapToGrid w:val="0"/>
                    <w:jc w:val="center"/>
                    <w:rPr>
                      <w:szCs w:val="21"/>
                      <w:u w:val="none"/>
                    </w:rPr>
                  </w:pPr>
                  <w:r>
                    <w:rPr>
                      <w:rFonts w:hint="eastAsia"/>
                      <w:szCs w:val="21"/>
                      <w:u w:val="none"/>
                    </w:rPr>
                    <w:t>9</w:t>
                  </w:r>
                </w:p>
              </w:tc>
              <w:tc>
                <w:tcPr>
                  <w:tcW w:w="2159" w:type="dxa"/>
                  <w:vAlign w:val="center"/>
                </w:tcPr>
                <w:p>
                  <w:pPr>
                    <w:adjustRightInd w:val="0"/>
                    <w:snapToGrid w:val="0"/>
                    <w:jc w:val="center"/>
                    <w:rPr>
                      <w:szCs w:val="21"/>
                      <w:u w:val="none"/>
                    </w:rPr>
                  </w:pPr>
                  <w:r>
                    <w:rPr>
                      <w:rFonts w:hint="eastAsia"/>
                      <w:szCs w:val="21"/>
                      <w:u w:val="none"/>
                    </w:rPr>
                    <w:t>砼压力泌水仪</w:t>
                  </w:r>
                </w:p>
              </w:tc>
              <w:tc>
                <w:tcPr>
                  <w:tcW w:w="2159" w:type="dxa"/>
                  <w:vAlign w:val="center"/>
                </w:tcPr>
                <w:p>
                  <w:pPr>
                    <w:adjustRightInd w:val="0"/>
                    <w:snapToGrid w:val="0"/>
                    <w:jc w:val="center"/>
                    <w:rPr>
                      <w:szCs w:val="21"/>
                      <w:u w:val="none"/>
                    </w:rPr>
                  </w:pPr>
                  <w:r>
                    <w:rPr>
                      <w:rFonts w:hint="eastAsia"/>
                      <w:szCs w:val="21"/>
                      <w:u w:val="none"/>
                    </w:rPr>
                    <w:t>/</w:t>
                  </w:r>
                </w:p>
              </w:tc>
              <w:tc>
                <w:tcPr>
                  <w:tcW w:w="2159" w:type="dxa"/>
                  <w:vAlign w:val="center"/>
                </w:tcPr>
                <w:p>
                  <w:pPr>
                    <w:adjustRightInd w:val="0"/>
                    <w:snapToGrid w:val="0"/>
                    <w:jc w:val="center"/>
                    <w:rPr>
                      <w:szCs w:val="21"/>
                      <w:u w:val="none"/>
                    </w:rPr>
                  </w:pPr>
                  <w:r>
                    <w:rPr>
                      <w:rFonts w:hint="eastAsia"/>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Align w:val="center"/>
                </w:tcPr>
                <w:p>
                  <w:pPr>
                    <w:adjustRightInd w:val="0"/>
                    <w:snapToGrid w:val="0"/>
                    <w:jc w:val="center"/>
                    <w:rPr>
                      <w:szCs w:val="21"/>
                      <w:u w:val="none"/>
                    </w:rPr>
                  </w:pPr>
                  <w:r>
                    <w:rPr>
                      <w:rFonts w:hint="eastAsia"/>
                      <w:szCs w:val="21"/>
                      <w:u w:val="none"/>
                    </w:rPr>
                    <w:t>10</w:t>
                  </w:r>
                </w:p>
              </w:tc>
              <w:tc>
                <w:tcPr>
                  <w:tcW w:w="2159" w:type="dxa"/>
                  <w:vAlign w:val="center"/>
                </w:tcPr>
                <w:p>
                  <w:pPr>
                    <w:adjustRightInd w:val="0"/>
                    <w:snapToGrid w:val="0"/>
                    <w:jc w:val="center"/>
                    <w:rPr>
                      <w:szCs w:val="21"/>
                      <w:u w:val="none"/>
                    </w:rPr>
                  </w:pPr>
                  <w:r>
                    <w:rPr>
                      <w:rFonts w:hint="eastAsia"/>
                      <w:szCs w:val="21"/>
                      <w:u w:val="none"/>
                    </w:rPr>
                    <w:t>振动台</w:t>
                  </w:r>
                </w:p>
              </w:tc>
              <w:tc>
                <w:tcPr>
                  <w:tcW w:w="2159" w:type="dxa"/>
                  <w:vAlign w:val="center"/>
                </w:tcPr>
                <w:p>
                  <w:pPr>
                    <w:adjustRightInd w:val="0"/>
                    <w:snapToGrid w:val="0"/>
                    <w:jc w:val="center"/>
                    <w:rPr>
                      <w:szCs w:val="21"/>
                      <w:u w:val="none"/>
                    </w:rPr>
                  </w:pPr>
                  <w:r>
                    <w:rPr>
                      <w:rFonts w:hint="eastAsia"/>
                      <w:szCs w:val="21"/>
                      <w:u w:val="none"/>
                    </w:rPr>
                    <w:t>/</w:t>
                  </w:r>
                </w:p>
              </w:tc>
              <w:tc>
                <w:tcPr>
                  <w:tcW w:w="2159" w:type="dxa"/>
                  <w:vAlign w:val="center"/>
                </w:tcPr>
                <w:p>
                  <w:pPr>
                    <w:adjustRightInd w:val="0"/>
                    <w:snapToGrid w:val="0"/>
                    <w:jc w:val="center"/>
                    <w:rPr>
                      <w:szCs w:val="21"/>
                      <w:u w:val="none"/>
                    </w:rPr>
                  </w:pPr>
                  <w:r>
                    <w:rPr>
                      <w:rFonts w:hint="eastAsia"/>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8" w:type="dxa"/>
                  <w:vAlign w:val="center"/>
                </w:tcPr>
                <w:p>
                  <w:pPr>
                    <w:adjustRightInd w:val="0"/>
                    <w:snapToGrid w:val="0"/>
                    <w:jc w:val="center"/>
                    <w:rPr>
                      <w:szCs w:val="21"/>
                      <w:u w:val="none"/>
                    </w:rPr>
                  </w:pPr>
                  <w:r>
                    <w:rPr>
                      <w:rFonts w:hint="eastAsia"/>
                      <w:szCs w:val="21"/>
                      <w:u w:val="none"/>
                    </w:rPr>
                    <w:t>11</w:t>
                  </w:r>
                </w:p>
              </w:tc>
              <w:tc>
                <w:tcPr>
                  <w:tcW w:w="2159" w:type="dxa"/>
                  <w:vAlign w:val="center"/>
                </w:tcPr>
                <w:p>
                  <w:pPr>
                    <w:adjustRightInd w:val="0"/>
                    <w:snapToGrid w:val="0"/>
                    <w:jc w:val="center"/>
                    <w:rPr>
                      <w:szCs w:val="21"/>
                      <w:u w:val="none"/>
                    </w:rPr>
                  </w:pPr>
                  <w:r>
                    <w:rPr>
                      <w:rFonts w:hint="eastAsia"/>
                      <w:szCs w:val="21"/>
                      <w:u w:val="none"/>
                    </w:rPr>
                    <w:t>砂、石子筛</w:t>
                  </w:r>
                </w:p>
              </w:tc>
              <w:tc>
                <w:tcPr>
                  <w:tcW w:w="2159" w:type="dxa"/>
                  <w:vAlign w:val="center"/>
                </w:tcPr>
                <w:p>
                  <w:pPr>
                    <w:adjustRightInd w:val="0"/>
                    <w:snapToGrid w:val="0"/>
                    <w:jc w:val="center"/>
                    <w:rPr>
                      <w:szCs w:val="21"/>
                      <w:u w:val="none"/>
                    </w:rPr>
                  </w:pPr>
                  <w:r>
                    <w:rPr>
                      <w:rFonts w:hint="eastAsia"/>
                      <w:szCs w:val="21"/>
                      <w:u w:val="none"/>
                    </w:rPr>
                    <w:t>/</w:t>
                  </w:r>
                </w:p>
              </w:tc>
              <w:tc>
                <w:tcPr>
                  <w:tcW w:w="2159" w:type="dxa"/>
                  <w:vAlign w:val="center"/>
                </w:tcPr>
                <w:p>
                  <w:pPr>
                    <w:adjustRightInd w:val="0"/>
                    <w:snapToGrid w:val="0"/>
                    <w:jc w:val="center"/>
                    <w:rPr>
                      <w:szCs w:val="21"/>
                      <w:u w:val="none"/>
                    </w:rPr>
                  </w:pPr>
                  <w:r>
                    <w:rPr>
                      <w:rFonts w:hint="eastAsia"/>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Align w:val="center"/>
                </w:tcPr>
                <w:p>
                  <w:pPr>
                    <w:adjustRightInd w:val="0"/>
                    <w:snapToGrid w:val="0"/>
                    <w:jc w:val="center"/>
                    <w:rPr>
                      <w:szCs w:val="21"/>
                      <w:u w:val="none"/>
                    </w:rPr>
                  </w:pPr>
                  <w:r>
                    <w:rPr>
                      <w:rFonts w:hint="eastAsia"/>
                      <w:szCs w:val="21"/>
                      <w:u w:val="none"/>
                    </w:rPr>
                    <w:t>12</w:t>
                  </w:r>
                </w:p>
              </w:tc>
              <w:tc>
                <w:tcPr>
                  <w:tcW w:w="2159" w:type="dxa"/>
                  <w:vAlign w:val="center"/>
                </w:tcPr>
                <w:p>
                  <w:pPr>
                    <w:adjustRightInd w:val="0"/>
                    <w:snapToGrid w:val="0"/>
                    <w:jc w:val="center"/>
                    <w:rPr>
                      <w:szCs w:val="21"/>
                      <w:u w:val="none"/>
                    </w:rPr>
                  </w:pPr>
                  <w:r>
                    <w:rPr>
                      <w:rFonts w:hint="eastAsia"/>
                      <w:szCs w:val="21"/>
                      <w:u w:val="none"/>
                    </w:rPr>
                    <w:t>震击式标准振筛机</w:t>
                  </w:r>
                </w:p>
              </w:tc>
              <w:tc>
                <w:tcPr>
                  <w:tcW w:w="2159" w:type="dxa"/>
                  <w:vAlign w:val="center"/>
                </w:tcPr>
                <w:p>
                  <w:pPr>
                    <w:adjustRightInd w:val="0"/>
                    <w:snapToGrid w:val="0"/>
                    <w:jc w:val="center"/>
                    <w:rPr>
                      <w:szCs w:val="21"/>
                      <w:u w:val="none"/>
                    </w:rPr>
                  </w:pPr>
                  <w:r>
                    <w:rPr>
                      <w:rFonts w:hint="eastAsia"/>
                      <w:szCs w:val="21"/>
                      <w:u w:val="none"/>
                    </w:rPr>
                    <w:t>/</w:t>
                  </w:r>
                </w:p>
              </w:tc>
              <w:tc>
                <w:tcPr>
                  <w:tcW w:w="2159" w:type="dxa"/>
                  <w:vAlign w:val="center"/>
                </w:tcPr>
                <w:p>
                  <w:pPr>
                    <w:adjustRightInd w:val="0"/>
                    <w:snapToGrid w:val="0"/>
                    <w:jc w:val="center"/>
                    <w:rPr>
                      <w:szCs w:val="21"/>
                      <w:u w:val="none"/>
                    </w:rPr>
                  </w:pPr>
                  <w:r>
                    <w:rPr>
                      <w:rFonts w:hint="eastAsia"/>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Align w:val="center"/>
                </w:tcPr>
                <w:p>
                  <w:pPr>
                    <w:adjustRightInd w:val="0"/>
                    <w:snapToGrid w:val="0"/>
                    <w:jc w:val="center"/>
                    <w:rPr>
                      <w:szCs w:val="21"/>
                      <w:u w:val="none"/>
                    </w:rPr>
                  </w:pPr>
                  <w:r>
                    <w:rPr>
                      <w:rFonts w:hint="eastAsia"/>
                      <w:szCs w:val="21"/>
                      <w:u w:val="none"/>
                    </w:rPr>
                    <w:t>13</w:t>
                  </w:r>
                </w:p>
              </w:tc>
              <w:tc>
                <w:tcPr>
                  <w:tcW w:w="2159" w:type="dxa"/>
                  <w:vAlign w:val="center"/>
                </w:tcPr>
                <w:p>
                  <w:pPr>
                    <w:adjustRightInd w:val="0"/>
                    <w:snapToGrid w:val="0"/>
                    <w:jc w:val="center"/>
                    <w:rPr>
                      <w:szCs w:val="21"/>
                      <w:u w:val="none"/>
                    </w:rPr>
                  </w:pPr>
                  <w:r>
                    <w:rPr>
                      <w:rFonts w:hint="eastAsia"/>
                      <w:szCs w:val="21"/>
                      <w:u w:val="none"/>
                    </w:rPr>
                    <w:t>压碎值仪</w:t>
                  </w:r>
                </w:p>
              </w:tc>
              <w:tc>
                <w:tcPr>
                  <w:tcW w:w="2159" w:type="dxa"/>
                  <w:vAlign w:val="center"/>
                </w:tcPr>
                <w:p>
                  <w:pPr>
                    <w:adjustRightInd w:val="0"/>
                    <w:snapToGrid w:val="0"/>
                    <w:jc w:val="center"/>
                    <w:rPr>
                      <w:szCs w:val="21"/>
                      <w:u w:val="none"/>
                    </w:rPr>
                  </w:pPr>
                  <w:r>
                    <w:rPr>
                      <w:rFonts w:hint="eastAsia"/>
                      <w:szCs w:val="21"/>
                      <w:u w:val="none"/>
                    </w:rPr>
                    <w:t>ISO加厚</w:t>
                  </w:r>
                </w:p>
              </w:tc>
              <w:tc>
                <w:tcPr>
                  <w:tcW w:w="2159" w:type="dxa"/>
                  <w:vAlign w:val="center"/>
                </w:tcPr>
                <w:p>
                  <w:pPr>
                    <w:adjustRightInd w:val="0"/>
                    <w:snapToGrid w:val="0"/>
                    <w:jc w:val="center"/>
                    <w:rPr>
                      <w:szCs w:val="21"/>
                      <w:u w:val="none"/>
                    </w:rPr>
                  </w:pPr>
                  <w:r>
                    <w:rPr>
                      <w:rFonts w:hint="eastAsia"/>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Align w:val="center"/>
                </w:tcPr>
                <w:p>
                  <w:pPr>
                    <w:adjustRightInd w:val="0"/>
                    <w:snapToGrid w:val="0"/>
                    <w:jc w:val="center"/>
                    <w:rPr>
                      <w:szCs w:val="21"/>
                      <w:u w:val="none"/>
                    </w:rPr>
                  </w:pPr>
                  <w:r>
                    <w:rPr>
                      <w:rFonts w:hint="eastAsia"/>
                      <w:szCs w:val="21"/>
                      <w:u w:val="none"/>
                    </w:rPr>
                    <w:t>14</w:t>
                  </w:r>
                </w:p>
              </w:tc>
              <w:tc>
                <w:tcPr>
                  <w:tcW w:w="2159" w:type="dxa"/>
                  <w:vAlign w:val="center"/>
                </w:tcPr>
                <w:p>
                  <w:pPr>
                    <w:adjustRightInd w:val="0"/>
                    <w:snapToGrid w:val="0"/>
                    <w:jc w:val="center"/>
                    <w:rPr>
                      <w:szCs w:val="21"/>
                      <w:u w:val="none"/>
                    </w:rPr>
                  </w:pPr>
                  <w:r>
                    <w:rPr>
                      <w:rFonts w:hint="eastAsia"/>
                      <w:szCs w:val="21"/>
                      <w:u w:val="none"/>
                    </w:rPr>
                    <w:t>抗渗试模塑料</w:t>
                  </w:r>
                </w:p>
              </w:tc>
              <w:tc>
                <w:tcPr>
                  <w:tcW w:w="2159" w:type="dxa"/>
                  <w:vAlign w:val="center"/>
                </w:tcPr>
                <w:p>
                  <w:pPr>
                    <w:adjustRightInd w:val="0"/>
                    <w:snapToGrid w:val="0"/>
                    <w:jc w:val="center"/>
                    <w:rPr>
                      <w:szCs w:val="21"/>
                      <w:u w:val="none"/>
                    </w:rPr>
                  </w:pPr>
                  <w:r>
                    <w:rPr>
                      <w:rFonts w:hint="eastAsia"/>
                      <w:szCs w:val="21"/>
                      <w:u w:val="none"/>
                    </w:rPr>
                    <w:t>塑料</w:t>
                  </w:r>
                </w:p>
              </w:tc>
              <w:tc>
                <w:tcPr>
                  <w:tcW w:w="2159" w:type="dxa"/>
                  <w:vAlign w:val="center"/>
                </w:tcPr>
                <w:p>
                  <w:pPr>
                    <w:adjustRightInd w:val="0"/>
                    <w:snapToGrid w:val="0"/>
                    <w:jc w:val="center"/>
                    <w:rPr>
                      <w:szCs w:val="21"/>
                      <w:u w:val="none"/>
                    </w:rPr>
                  </w:pPr>
                  <w:r>
                    <w:rPr>
                      <w:rFonts w:hint="eastAsia"/>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8" w:type="dxa"/>
                  <w:vAlign w:val="center"/>
                </w:tcPr>
                <w:p>
                  <w:pPr>
                    <w:adjustRightInd w:val="0"/>
                    <w:snapToGrid w:val="0"/>
                    <w:jc w:val="center"/>
                    <w:rPr>
                      <w:szCs w:val="21"/>
                      <w:u w:val="none"/>
                    </w:rPr>
                  </w:pPr>
                  <w:r>
                    <w:rPr>
                      <w:rFonts w:hint="eastAsia"/>
                      <w:szCs w:val="21"/>
                      <w:u w:val="none"/>
                    </w:rPr>
                    <w:t>15</w:t>
                  </w:r>
                </w:p>
              </w:tc>
              <w:tc>
                <w:tcPr>
                  <w:tcW w:w="2159" w:type="dxa"/>
                  <w:vAlign w:val="center"/>
                </w:tcPr>
                <w:p>
                  <w:pPr>
                    <w:adjustRightInd w:val="0"/>
                    <w:snapToGrid w:val="0"/>
                    <w:jc w:val="center"/>
                    <w:rPr>
                      <w:szCs w:val="21"/>
                      <w:u w:val="none"/>
                    </w:rPr>
                  </w:pPr>
                  <w:r>
                    <w:rPr>
                      <w:rFonts w:hint="eastAsia"/>
                      <w:szCs w:val="21"/>
                      <w:u w:val="none"/>
                    </w:rPr>
                    <w:t>坍落度测定仪</w:t>
                  </w:r>
                </w:p>
              </w:tc>
              <w:tc>
                <w:tcPr>
                  <w:tcW w:w="2159" w:type="dxa"/>
                  <w:vAlign w:val="center"/>
                </w:tcPr>
                <w:p>
                  <w:pPr>
                    <w:adjustRightInd w:val="0"/>
                    <w:snapToGrid w:val="0"/>
                    <w:jc w:val="center"/>
                    <w:rPr>
                      <w:szCs w:val="21"/>
                      <w:u w:val="none"/>
                    </w:rPr>
                  </w:pPr>
                  <w:r>
                    <w:rPr>
                      <w:rFonts w:hint="eastAsia"/>
                      <w:szCs w:val="21"/>
                      <w:u w:val="none"/>
                    </w:rPr>
                    <w:t>特加厚含标尺、捣棒、漏斗</w:t>
                  </w:r>
                </w:p>
              </w:tc>
              <w:tc>
                <w:tcPr>
                  <w:tcW w:w="2159" w:type="dxa"/>
                  <w:vAlign w:val="center"/>
                </w:tcPr>
                <w:p>
                  <w:pPr>
                    <w:adjustRightInd w:val="0"/>
                    <w:snapToGrid w:val="0"/>
                    <w:jc w:val="center"/>
                    <w:rPr>
                      <w:szCs w:val="21"/>
                      <w:u w:val="none"/>
                    </w:rPr>
                  </w:pPr>
                  <w:r>
                    <w:rPr>
                      <w:rFonts w:hint="eastAsia"/>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Align w:val="center"/>
                </w:tcPr>
                <w:p>
                  <w:pPr>
                    <w:adjustRightInd w:val="0"/>
                    <w:snapToGrid w:val="0"/>
                    <w:jc w:val="center"/>
                    <w:rPr>
                      <w:szCs w:val="21"/>
                      <w:u w:val="none"/>
                    </w:rPr>
                  </w:pPr>
                  <w:r>
                    <w:rPr>
                      <w:rFonts w:hint="eastAsia"/>
                      <w:szCs w:val="21"/>
                      <w:u w:val="none"/>
                    </w:rPr>
                    <w:t>16</w:t>
                  </w:r>
                </w:p>
              </w:tc>
              <w:tc>
                <w:tcPr>
                  <w:tcW w:w="2159" w:type="dxa"/>
                  <w:vAlign w:val="center"/>
                </w:tcPr>
                <w:p>
                  <w:pPr>
                    <w:adjustRightInd w:val="0"/>
                    <w:snapToGrid w:val="0"/>
                    <w:jc w:val="center"/>
                    <w:rPr>
                      <w:szCs w:val="21"/>
                      <w:u w:val="none"/>
                    </w:rPr>
                  </w:pPr>
                  <w:r>
                    <w:rPr>
                      <w:rFonts w:hint="eastAsia"/>
                      <w:szCs w:val="21"/>
                      <w:u w:val="none"/>
                    </w:rPr>
                    <w:t>针片状规准仪</w:t>
                  </w:r>
                </w:p>
              </w:tc>
              <w:tc>
                <w:tcPr>
                  <w:tcW w:w="2159" w:type="dxa"/>
                  <w:vAlign w:val="center"/>
                </w:tcPr>
                <w:p>
                  <w:pPr>
                    <w:adjustRightInd w:val="0"/>
                    <w:snapToGrid w:val="0"/>
                    <w:jc w:val="center"/>
                    <w:rPr>
                      <w:szCs w:val="21"/>
                      <w:u w:val="none"/>
                    </w:rPr>
                  </w:pPr>
                  <w:r>
                    <w:rPr>
                      <w:rFonts w:hint="eastAsia"/>
                      <w:szCs w:val="21"/>
                      <w:u w:val="none"/>
                    </w:rPr>
                    <w:t>/</w:t>
                  </w:r>
                </w:p>
              </w:tc>
              <w:tc>
                <w:tcPr>
                  <w:tcW w:w="2159" w:type="dxa"/>
                  <w:vAlign w:val="center"/>
                </w:tcPr>
                <w:p>
                  <w:pPr>
                    <w:adjustRightInd w:val="0"/>
                    <w:snapToGrid w:val="0"/>
                    <w:jc w:val="center"/>
                    <w:rPr>
                      <w:szCs w:val="21"/>
                      <w:u w:val="none"/>
                    </w:rPr>
                  </w:pPr>
                  <w:r>
                    <w:rPr>
                      <w:rFonts w:hint="eastAsia"/>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Align w:val="center"/>
                </w:tcPr>
                <w:p>
                  <w:pPr>
                    <w:adjustRightInd w:val="0"/>
                    <w:snapToGrid w:val="0"/>
                    <w:jc w:val="center"/>
                    <w:rPr>
                      <w:szCs w:val="21"/>
                      <w:u w:val="none"/>
                    </w:rPr>
                  </w:pPr>
                  <w:r>
                    <w:rPr>
                      <w:rFonts w:hint="eastAsia"/>
                      <w:szCs w:val="21"/>
                      <w:u w:val="none"/>
                    </w:rPr>
                    <w:t>17</w:t>
                  </w:r>
                </w:p>
              </w:tc>
              <w:tc>
                <w:tcPr>
                  <w:tcW w:w="2159" w:type="dxa"/>
                  <w:vAlign w:val="center"/>
                </w:tcPr>
                <w:p>
                  <w:pPr>
                    <w:adjustRightInd w:val="0"/>
                    <w:snapToGrid w:val="0"/>
                    <w:jc w:val="center"/>
                    <w:rPr>
                      <w:szCs w:val="21"/>
                      <w:u w:val="none"/>
                    </w:rPr>
                  </w:pPr>
                  <w:r>
                    <w:rPr>
                      <w:rFonts w:hint="eastAsia"/>
                      <w:szCs w:val="21"/>
                      <w:u w:val="none"/>
                    </w:rPr>
                    <w:t>容量桶</w:t>
                  </w:r>
                </w:p>
              </w:tc>
              <w:tc>
                <w:tcPr>
                  <w:tcW w:w="2159" w:type="dxa"/>
                  <w:vAlign w:val="center"/>
                </w:tcPr>
                <w:p>
                  <w:pPr>
                    <w:adjustRightInd w:val="0"/>
                    <w:snapToGrid w:val="0"/>
                    <w:jc w:val="center"/>
                    <w:rPr>
                      <w:szCs w:val="21"/>
                      <w:u w:val="none"/>
                    </w:rPr>
                  </w:pPr>
                  <w:r>
                    <w:rPr>
                      <w:rFonts w:hint="eastAsia"/>
                      <w:szCs w:val="21"/>
                      <w:u w:val="none"/>
                    </w:rPr>
                    <w:t>1-30L</w:t>
                  </w:r>
                </w:p>
              </w:tc>
              <w:tc>
                <w:tcPr>
                  <w:tcW w:w="2159" w:type="dxa"/>
                  <w:vAlign w:val="center"/>
                </w:tcPr>
                <w:p>
                  <w:pPr>
                    <w:adjustRightInd w:val="0"/>
                    <w:snapToGrid w:val="0"/>
                    <w:jc w:val="center"/>
                    <w:rPr>
                      <w:szCs w:val="21"/>
                      <w:u w:val="none"/>
                    </w:rPr>
                  </w:pPr>
                  <w:r>
                    <w:rPr>
                      <w:rFonts w:hint="eastAsia"/>
                      <w:szCs w:val="21"/>
                      <w:u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Align w:val="center"/>
                </w:tcPr>
                <w:p>
                  <w:pPr>
                    <w:adjustRightInd w:val="0"/>
                    <w:snapToGrid w:val="0"/>
                    <w:jc w:val="center"/>
                    <w:rPr>
                      <w:szCs w:val="21"/>
                      <w:u w:val="none"/>
                    </w:rPr>
                  </w:pPr>
                  <w:r>
                    <w:rPr>
                      <w:rFonts w:hint="eastAsia"/>
                      <w:szCs w:val="21"/>
                      <w:u w:val="none"/>
                    </w:rPr>
                    <w:t>18</w:t>
                  </w:r>
                </w:p>
              </w:tc>
              <w:tc>
                <w:tcPr>
                  <w:tcW w:w="2159" w:type="dxa"/>
                  <w:vAlign w:val="center"/>
                </w:tcPr>
                <w:p>
                  <w:pPr>
                    <w:adjustRightInd w:val="0"/>
                    <w:snapToGrid w:val="0"/>
                    <w:jc w:val="center"/>
                    <w:rPr>
                      <w:szCs w:val="21"/>
                      <w:u w:val="none"/>
                    </w:rPr>
                  </w:pPr>
                  <w:r>
                    <w:rPr>
                      <w:rFonts w:hint="eastAsia"/>
                      <w:szCs w:val="21"/>
                      <w:u w:val="none"/>
                    </w:rPr>
                    <w:t>混凝土抗压试模</w:t>
                  </w:r>
                </w:p>
              </w:tc>
              <w:tc>
                <w:tcPr>
                  <w:tcW w:w="2159" w:type="dxa"/>
                  <w:vAlign w:val="center"/>
                </w:tcPr>
                <w:p>
                  <w:pPr>
                    <w:adjustRightInd w:val="0"/>
                    <w:snapToGrid w:val="0"/>
                    <w:jc w:val="center"/>
                    <w:rPr>
                      <w:szCs w:val="21"/>
                      <w:u w:val="none"/>
                    </w:rPr>
                  </w:pPr>
                  <w:r>
                    <w:rPr>
                      <w:rFonts w:hint="eastAsia"/>
                      <w:szCs w:val="21"/>
                      <w:u w:val="none"/>
                    </w:rPr>
                    <w:t>塑料</w:t>
                  </w:r>
                </w:p>
              </w:tc>
              <w:tc>
                <w:tcPr>
                  <w:tcW w:w="2159" w:type="dxa"/>
                  <w:vAlign w:val="center"/>
                </w:tcPr>
                <w:p>
                  <w:pPr>
                    <w:adjustRightInd w:val="0"/>
                    <w:snapToGrid w:val="0"/>
                    <w:jc w:val="center"/>
                    <w:rPr>
                      <w:szCs w:val="21"/>
                      <w:u w:val="none"/>
                    </w:rPr>
                  </w:pPr>
                  <w:r>
                    <w:rPr>
                      <w:rFonts w:hint="eastAsia"/>
                      <w:szCs w:val="21"/>
                      <w:u w:val="none"/>
                    </w:rPr>
                    <w:t>1</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cs="Times New Roman"/>
                <w:b/>
                <w:bCs w:val="0"/>
                <w:strike w:val="0"/>
                <w:dstrike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ascii="Times New Roman" w:hAnsi="Times New Roman" w:eastAsia="宋体" w:cs="Times New Roman"/>
                <w:b/>
                <w:bCs w:val="0"/>
                <w:strike w:val="0"/>
                <w:dstrike w:val="0"/>
                <w:color w:val="auto"/>
                <w:sz w:val="24"/>
                <w:szCs w:val="24"/>
                <w:highlight w:val="none"/>
                <w:lang w:val="en-US" w:eastAsia="zh-CN"/>
              </w:rPr>
            </w:pPr>
            <w:r>
              <w:rPr>
                <w:rFonts w:hint="eastAsia" w:cs="Times New Roman"/>
                <w:b/>
                <w:bCs w:val="0"/>
                <w:strike w:val="0"/>
                <w:dstrike w:val="0"/>
                <w:color w:val="auto"/>
                <w:sz w:val="24"/>
                <w:szCs w:val="24"/>
                <w:highlight w:val="none"/>
                <w:lang w:val="en-US" w:eastAsia="zh-CN"/>
              </w:rPr>
              <w:t>4、</w:t>
            </w:r>
            <w:r>
              <w:rPr>
                <w:rFonts w:hint="eastAsia" w:ascii="Times New Roman" w:hAnsi="Times New Roman" w:eastAsia="宋体" w:cs="Times New Roman"/>
                <w:b/>
                <w:bCs w:val="0"/>
                <w:strike w:val="0"/>
                <w:dstrike w:val="0"/>
                <w:color w:val="auto"/>
                <w:sz w:val="24"/>
                <w:szCs w:val="24"/>
                <w:highlight w:val="none"/>
                <w:lang w:val="en-US" w:eastAsia="zh-CN"/>
              </w:rPr>
              <w:t>项目主要原辅材料消耗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Cs/>
                <w:strike w:val="0"/>
                <w:dstrike w:val="0"/>
                <w:color w:val="auto"/>
                <w:sz w:val="24"/>
                <w:szCs w:val="24"/>
                <w:highlight w:val="none"/>
                <w:lang w:val="en-US" w:eastAsia="zh-CN"/>
              </w:rPr>
            </w:pPr>
            <w:r>
              <w:rPr>
                <w:rFonts w:hint="eastAsia" w:ascii="Times New Roman" w:hAnsi="Times New Roman" w:eastAsia="宋体" w:cs="Times New Roman"/>
                <w:bCs/>
                <w:strike w:val="0"/>
                <w:dstrike w:val="0"/>
                <w:color w:val="auto"/>
                <w:sz w:val="24"/>
                <w:szCs w:val="24"/>
                <w:highlight w:val="none"/>
                <w:lang w:val="en-US" w:eastAsia="zh-CN"/>
              </w:rPr>
              <w:t>本项目原辅材料消耗情况具体见表2-</w:t>
            </w:r>
            <w:r>
              <w:rPr>
                <w:rFonts w:hint="eastAsia" w:cs="Times New Roman"/>
                <w:bCs/>
                <w:strike w:val="0"/>
                <w:dstrike w:val="0"/>
                <w:color w:val="auto"/>
                <w:sz w:val="24"/>
                <w:szCs w:val="24"/>
                <w:highlight w:val="none"/>
                <w:lang w:val="en-US" w:eastAsia="zh-CN"/>
              </w:rPr>
              <w:t>6</w:t>
            </w:r>
            <w:r>
              <w:rPr>
                <w:rFonts w:hint="eastAsia" w:ascii="Times New Roman" w:hAnsi="Times New Roman" w:eastAsia="宋体" w:cs="Times New Roman"/>
                <w:bCs/>
                <w:strike w:val="0"/>
                <w:dstrike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2" w:firstLineChars="200"/>
              <w:jc w:val="center"/>
              <w:textAlignment w:val="auto"/>
              <w:rPr>
                <w:rFonts w:hint="eastAsia" w:ascii="Times New Roman" w:hAnsi="Times New Roman" w:eastAsia="宋体" w:cs="Times New Roman"/>
                <w:b/>
                <w:bCs w:val="0"/>
                <w:strike w:val="0"/>
                <w:dstrike w:val="0"/>
                <w:color w:val="auto"/>
                <w:sz w:val="21"/>
                <w:szCs w:val="21"/>
                <w:highlight w:val="none"/>
                <w:lang w:val="en-US" w:eastAsia="zh-CN"/>
              </w:rPr>
            </w:pPr>
            <w:r>
              <w:rPr>
                <w:rFonts w:hint="eastAsia" w:ascii="Times New Roman" w:hAnsi="Times New Roman" w:eastAsia="宋体" w:cs="Times New Roman"/>
                <w:b/>
                <w:bCs w:val="0"/>
                <w:strike w:val="0"/>
                <w:dstrike w:val="0"/>
                <w:color w:val="auto"/>
                <w:sz w:val="21"/>
                <w:szCs w:val="21"/>
                <w:highlight w:val="none"/>
                <w:lang w:val="en-US" w:eastAsia="zh-CN"/>
              </w:rPr>
              <w:t>表2-</w:t>
            </w:r>
            <w:r>
              <w:rPr>
                <w:rFonts w:hint="eastAsia" w:cs="Times New Roman"/>
                <w:b/>
                <w:bCs w:val="0"/>
                <w:strike w:val="0"/>
                <w:dstrike w:val="0"/>
                <w:color w:val="auto"/>
                <w:sz w:val="21"/>
                <w:szCs w:val="21"/>
                <w:highlight w:val="none"/>
                <w:lang w:val="en-US" w:eastAsia="zh-CN"/>
              </w:rPr>
              <w:t>6</w:t>
            </w:r>
            <w:r>
              <w:rPr>
                <w:rFonts w:hint="eastAsia" w:ascii="Times New Roman" w:hAnsi="Times New Roman" w:eastAsia="宋体" w:cs="Times New Roman"/>
                <w:b/>
                <w:bCs w:val="0"/>
                <w:strike w:val="0"/>
                <w:dstrike w:val="0"/>
                <w:color w:val="auto"/>
                <w:sz w:val="21"/>
                <w:szCs w:val="21"/>
                <w:highlight w:val="none"/>
                <w:lang w:val="en-US" w:eastAsia="zh-CN"/>
              </w:rPr>
              <w:t xml:space="preserve"> 本项目原辅材料消耗汇总表</w:t>
            </w:r>
          </w:p>
          <w:tbl>
            <w:tblPr>
              <w:tblStyle w:val="15"/>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Layout w:type="autofit"/>
              <w:tblCellMar>
                <w:top w:w="0" w:type="dxa"/>
                <w:left w:w="108" w:type="dxa"/>
                <w:bottom w:w="0" w:type="dxa"/>
                <w:right w:w="108" w:type="dxa"/>
              </w:tblCellMar>
            </w:tblPr>
            <w:tblGrid>
              <w:gridCol w:w="796"/>
              <w:gridCol w:w="937"/>
              <w:gridCol w:w="1294"/>
              <w:gridCol w:w="1679"/>
              <w:gridCol w:w="1709"/>
              <w:gridCol w:w="19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6" w:type="pct"/>
                  <w:tcBorders>
                    <w:tl2br w:val="nil"/>
                    <w:tr2bl w:val="nil"/>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序 号</w:t>
                  </w:r>
                </w:p>
              </w:tc>
              <w:tc>
                <w:tcPr>
                  <w:tcW w:w="560" w:type="pct"/>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类别</w:t>
                  </w:r>
                </w:p>
              </w:tc>
              <w:tc>
                <w:tcPr>
                  <w:tcW w:w="774" w:type="pct"/>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名称</w:t>
                  </w:r>
                </w:p>
              </w:tc>
              <w:tc>
                <w:tcPr>
                  <w:tcW w:w="1004" w:type="pct"/>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总用量</w:t>
                  </w:r>
                  <w:r>
                    <w:rPr>
                      <w:rFonts w:hint="default" w:ascii="Times New Roman" w:hAnsi="Times New Roman" w:cs="Times New Roman"/>
                      <w:lang w:eastAsia="zh-CN"/>
                    </w:rPr>
                    <w:t>（</w:t>
                  </w:r>
                  <w:r>
                    <w:rPr>
                      <w:rFonts w:hint="default" w:ascii="Times New Roman" w:hAnsi="Times New Roman" w:cs="Times New Roman"/>
                    </w:rPr>
                    <w:t>t/a</w:t>
                  </w:r>
                  <w:r>
                    <w:rPr>
                      <w:rFonts w:hint="default" w:ascii="Times New Roman" w:hAnsi="Times New Roman" w:cs="Times New Roman"/>
                      <w:lang w:eastAsia="zh-CN"/>
                    </w:rPr>
                    <w:t>）</w:t>
                  </w:r>
                </w:p>
              </w:tc>
              <w:tc>
                <w:tcPr>
                  <w:tcW w:w="1022" w:type="pct"/>
                  <w:tcBorders>
                    <w:tl2br w:val="nil"/>
                    <w:tr2bl w:val="nil"/>
                  </w:tcBorders>
                  <w:vAlign w:val="center"/>
                </w:tcPr>
                <w:p>
                  <w:pPr>
                    <w:jc w:val="center"/>
                  </w:pPr>
                  <w:r>
                    <w:rPr>
                      <w:rFonts w:hint="eastAsia"/>
                    </w:rPr>
                    <w:t>储存方式</w:t>
                  </w:r>
                </w:p>
              </w:tc>
              <w:tc>
                <w:tcPr>
                  <w:tcW w:w="1161" w:type="pct"/>
                  <w:tcBorders>
                    <w:tl2br w:val="nil"/>
                    <w:tr2bl w:val="nil"/>
                  </w:tcBorders>
                  <w:vAlign w:val="center"/>
                </w:tcPr>
                <w:p>
                  <w:pPr>
                    <w:jc w:val="center"/>
                  </w:pPr>
                  <w: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6" w:type="pct"/>
                  <w:tcBorders>
                    <w:tl2br w:val="nil"/>
                    <w:tr2bl w:val="nil"/>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560" w:type="pct"/>
                  <w:tcBorders>
                    <w:tl2br w:val="nil"/>
                    <w:tr2bl w:val="nil"/>
                  </w:tcBorders>
                  <w:vAlign w:val="center"/>
                </w:tcPr>
                <w:p>
                  <w:pPr>
                    <w:jc w:val="center"/>
                    <w:rPr>
                      <w:color w:val="000000" w:themeColor="text1"/>
                      <w:u w:val="single"/>
                      <w14:textFill>
                        <w14:solidFill>
                          <w14:schemeClr w14:val="tx1"/>
                        </w14:solidFill>
                      </w14:textFill>
                    </w:rPr>
                  </w:pPr>
                  <w:r>
                    <w:rPr>
                      <w:rFonts w:hint="eastAsia"/>
                      <w:color w:val="000000" w:themeColor="text1"/>
                      <w:u w:val="single"/>
                      <w:lang w:eastAsia="zh-CN"/>
                      <w14:textFill>
                        <w14:solidFill>
                          <w14:schemeClr w14:val="tx1"/>
                        </w14:solidFill>
                      </w14:textFill>
                    </w:rPr>
                    <w:t>制砂</w:t>
                  </w:r>
                  <w:r>
                    <w:rPr>
                      <w:rFonts w:hint="eastAsia"/>
                      <w:color w:val="000000" w:themeColor="text1"/>
                      <w:u w:val="single"/>
                      <w14:textFill>
                        <w14:solidFill>
                          <w14:schemeClr w14:val="tx1"/>
                        </w14:solidFill>
                      </w14:textFill>
                    </w:rPr>
                    <w:t>原辅材料</w:t>
                  </w:r>
                </w:p>
              </w:tc>
              <w:tc>
                <w:tcPr>
                  <w:tcW w:w="774" w:type="pct"/>
                  <w:tcBorders>
                    <w:tl2br w:val="nil"/>
                    <w:tr2bl w:val="nil"/>
                  </w:tcBorders>
                  <w:vAlign w:val="center"/>
                </w:tcPr>
                <w:p>
                  <w:pPr>
                    <w:jc w:val="center"/>
                    <w:rPr>
                      <w:rFonts w:hint="default" w:ascii="Times New Roman" w:hAnsi="Times New Roman" w:cs="Times New Roman"/>
                      <w:u w:val="single"/>
                    </w:rPr>
                  </w:pPr>
                  <w:r>
                    <w:rPr>
                      <w:rFonts w:hint="default" w:ascii="Times New Roman" w:hAnsi="Times New Roman" w:cs="Times New Roman"/>
                      <w:u w:val="single"/>
                    </w:rPr>
                    <w:t>河卵石</w:t>
                  </w:r>
                </w:p>
              </w:tc>
              <w:tc>
                <w:tcPr>
                  <w:tcW w:w="1004" w:type="pct"/>
                  <w:tcBorders>
                    <w:tl2br w:val="nil"/>
                    <w:tr2bl w:val="nil"/>
                  </w:tcBorders>
                  <w:vAlign w:val="center"/>
                </w:tcPr>
                <w:p>
                  <w:pPr>
                    <w:jc w:val="center"/>
                    <w:rPr>
                      <w:rFonts w:hint="default" w:ascii="Times New Roman" w:hAnsi="Times New Roman" w:cs="Times New Roman"/>
                      <w:u w:val="single"/>
                    </w:rPr>
                  </w:pPr>
                  <w:r>
                    <w:rPr>
                      <w:rFonts w:hint="default" w:ascii="Times New Roman" w:hAnsi="Times New Roman" w:cs="Times New Roman"/>
                      <w:u w:val="single"/>
                    </w:rPr>
                    <w:t>6</w:t>
                  </w:r>
                  <w:r>
                    <w:rPr>
                      <w:rFonts w:hint="default" w:ascii="Times New Roman" w:hAnsi="Times New Roman" w:cs="Times New Roman"/>
                      <w:u w:val="single"/>
                      <w:lang w:val="en-US" w:eastAsia="zh-CN"/>
                    </w:rPr>
                    <w:t>3</w:t>
                  </w:r>
                  <w:r>
                    <w:rPr>
                      <w:rFonts w:hint="default" w:ascii="Times New Roman" w:hAnsi="Times New Roman" w:cs="Times New Roman"/>
                      <w:u w:val="single"/>
                    </w:rPr>
                    <w:t>万</w:t>
                  </w:r>
                </w:p>
              </w:tc>
              <w:tc>
                <w:tcPr>
                  <w:tcW w:w="1022" w:type="pct"/>
                  <w:tcBorders>
                    <w:tl2br w:val="nil"/>
                    <w:tr2bl w:val="nil"/>
                  </w:tcBorders>
                  <w:vAlign w:val="center"/>
                </w:tcPr>
                <w:p>
                  <w:pPr>
                    <w:jc w:val="center"/>
                    <w:rPr>
                      <w:rFonts w:ascii="宋体" w:hAnsi="宋体" w:cs="宋体"/>
                      <w:u w:val="single"/>
                    </w:rPr>
                  </w:pPr>
                  <w:r>
                    <w:rPr>
                      <w:rFonts w:hint="eastAsia" w:ascii="宋体" w:hAnsi="宋体" w:cs="宋体"/>
                      <w:u w:val="single"/>
                    </w:rPr>
                    <w:t>汽运</w:t>
                  </w:r>
                </w:p>
              </w:tc>
              <w:tc>
                <w:tcPr>
                  <w:tcW w:w="1161" w:type="pct"/>
                  <w:tcBorders>
                    <w:tl2br w:val="nil"/>
                    <w:tr2bl w:val="nil"/>
                  </w:tcBorders>
                  <w:vAlign w:val="center"/>
                </w:tcPr>
                <w:p>
                  <w:pPr>
                    <w:jc w:val="center"/>
                    <w:rPr>
                      <w:color w:val="auto"/>
                      <w:u w:val="single"/>
                    </w:rPr>
                  </w:pPr>
                  <w:r>
                    <w:rPr>
                      <w:rFonts w:hint="eastAsia" w:ascii="宋体" w:hAnsi="宋体" w:cs="宋体"/>
                      <w:color w:val="auto"/>
                      <w:u w:val="single"/>
                    </w:rPr>
                    <w:t>含水率约为8%，含泥率在</w:t>
                  </w:r>
                  <w:r>
                    <w:rPr>
                      <w:rFonts w:hint="eastAsia" w:ascii="宋体" w:hAnsi="宋体" w:cs="宋体"/>
                      <w:color w:val="auto"/>
                      <w:u w:val="single"/>
                      <w:lang w:val="en-US" w:eastAsia="zh-CN"/>
                    </w:rPr>
                    <w:t>2</w:t>
                  </w:r>
                  <w:r>
                    <w:rPr>
                      <w:rFonts w:hint="eastAsia" w:ascii="宋体" w:hAnsi="宋体" w:cs="宋体"/>
                      <w:color w:val="auto"/>
                      <w:u w:val="single"/>
                    </w:rPr>
                    <w:t>%以下，来源为</w:t>
                  </w:r>
                  <w:r>
                    <w:rPr>
                      <w:rFonts w:hint="eastAsia" w:ascii="宋体" w:hAnsi="宋体" w:cs="宋体"/>
                      <w:color w:val="auto"/>
                      <w:u w:val="single"/>
                      <w:lang w:eastAsia="zh-CN"/>
                    </w:rPr>
                    <w:t>涔水下游</w:t>
                  </w:r>
                  <w:r>
                    <w:rPr>
                      <w:color w:val="auto"/>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6" w:type="pct"/>
                  <w:vMerge w:val="restart"/>
                  <w:tcBorders>
                    <w:tl2br w:val="nil"/>
                    <w:tr2bl w:val="nil"/>
                  </w:tcBorders>
                  <w:vAlign w:val="center"/>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560" w:type="pct"/>
                  <w:vMerge w:val="restart"/>
                  <w:tcBorders>
                    <w:tl2br w:val="nil"/>
                    <w:tr2bl w:val="nil"/>
                  </w:tcBorders>
                  <w:vAlign w:val="center"/>
                </w:tcPr>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生产混凝土</w:t>
                  </w:r>
                </w:p>
              </w:tc>
              <w:tc>
                <w:tcPr>
                  <w:tcW w:w="774" w:type="pct"/>
                  <w:tcBorders>
                    <w:tl2br w:val="nil"/>
                    <w:tr2bl w:val="nil"/>
                  </w:tcBorders>
                  <w:vAlign w:val="center"/>
                </w:tcPr>
                <w:p>
                  <w:pPr>
                    <w:adjustRightInd w:val="0"/>
                    <w:snapToGrid w:val="0"/>
                    <w:jc w:val="center"/>
                    <w:rPr>
                      <w:rFonts w:hint="eastAsia" w:ascii="宋体" w:hAnsi="宋体" w:cs="宋体"/>
                    </w:rPr>
                  </w:pPr>
                  <w:r>
                    <w:rPr>
                      <w:rFonts w:hint="eastAsia"/>
                      <w:szCs w:val="21"/>
                      <w:u w:val="none"/>
                    </w:rPr>
                    <w:t>水泥</w:t>
                  </w:r>
                </w:p>
              </w:tc>
              <w:tc>
                <w:tcPr>
                  <w:tcW w:w="1004" w:type="pct"/>
                  <w:tcBorders>
                    <w:tl2br w:val="nil"/>
                    <w:tr2bl w:val="nil"/>
                  </w:tcBorders>
                  <w:vAlign w:val="center"/>
                </w:tcPr>
                <w:p>
                  <w:pPr>
                    <w:adjustRightInd w:val="0"/>
                    <w:snapToGrid w:val="0"/>
                    <w:jc w:val="center"/>
                    <w:rPr>
                      <w:rFonts w:hint="default" w:ascii="宋体" w:hAnsi="宋体" w:eastAsia="宋体" w:cs="宋体"/>
                      <w:lang w:val="en-US" w:eastAsia="zh-CN"/>
                    </w:rPr>
                  </w:pPr>
                  <w:r>
                    <w:rPr>
                      <w:rFonts w:hint="eastAsia"/>
                      <w:szCs w:val="21"/>
                      <w:u w:val="none"/>
                      <w:lang w:val="en-US" w:eastAsia="zh-CN"/>
                    </w:rPr>
                    <w:t>14605</w:t>
                  </w:r>
                </w:p>
              </w:tc>
              <w:tc>
                <w:tcPr>
                  <w:tcW w:w="1022" w:type="pct"/>
                  <w:tcBorders>
                    <w:tl2br w:val="nil"/>
                    <w:tr2bl w:val="nil"/>
                  </w:tcBorders>
                  <w:vAlign w:val="center"/>
                </w:tcPr>
                <w:p>
                  <w:pPr>
                    <w:jc w:val="center"/>
                    <w:rPr>
                      <w:rFonts w:hint="eastAsia" w:ascii="宋体" w:hAnsi="宋体" w:cs="宋体"/>
                      <w:u w:val="none"/>
                    </w:rPr>
                  </w:pPr>
                  <w:r>
                    <w:rPr>
                      <w:rFonts w:hint="eastAsia" w:ascii="宋体" w:hAnsi="宋体" w:cs="宋体"/>
                      <w:u w:val="none"/>
                    </w:rPr>
                    <w:t>汽运</w:t>
                  </w:r>
                </w:p>
              </w:tc>
              <w:tc>
                <w:tcPr>
                  <w:tcW w:w="1161" w:type="pct"/>
                  <w:tcBorders>
                    <w:tl2br w:val="nil"/>
                    <w:tr2bl w:val="nil"/>
                  </w:tcBorders>
                  <w:vAlign w:val="center"/>
                </w:tcPr>
                <w:p>
                  <w:pPr>
                    <w:adjustRightInd w:val="0"/>
                    <w:snapToGrid w:val="0"/>
                    <w:jc w:val="center"/>
                    <w:rPr>
                      <w:rFonts w:hint="eastAsia" w:ascii="宋体" w:hAnsi="宋体" w:cs="宋体"/>
                      <w:color w:val="auto"/>
                      <w:u w:val="none"/>
                    </w:rPr>
                  </w:pPr>
                  <w:r>
                    <w:rPr>
                      <w:rFonts w:hint="eastAsia"/>
                      <w:color w:val="auto"/>
                      <w:szCs w:val="21"/>
                      <w:u w:val="none"/>
                    </w:rPr>
                    <w:t>散装，储存于筒库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6" w:type="pct"/>
                  <w:vMerge w:val="continue"/>
                  <w:tcBorders>
                    <w:tl2br w:val="nil"/>
                    <w:tr2bl w:val="nil"/>
                  </w:tcBorders>
                  <w:vAlign w:val="center"/>
                </w:tcPr>
                <w:p>
                  <w:pPr>
                    <w:jc w:val="center"/>
                    <w:rPr>
                      <w:color w:val="000000" w:themeColor="text1"/>
                      <w14:textFill>
                        <w14:solidFill>
                          <w14:schemeClr w14:val="tx1"/>
                        </w14:solidFill>
                      </w14:textFill>
                    </w:rPr>
                  </w:pPr>
                </w:p>
              </w:tc>
              <w:tc>
                <w:tcPr>
                  <w:tcW w:w="560" w:type="pct"/>
                  <w:vMerge w:val="continue"/>
                  <w:tcBorders>
                    <w:tl2br w:val="nil"/>
                    <w:tr2bl w:val="nil"/>
                  </w:tcBorders>
                  <w:vAlign w:val="center"/>
                </w:tcPr>
                <w:p>
                  <w:pPr>
                    <w:jc w:val="center"/>
                    <w:rPr>
                      <w:rFonts w:hint="eastAsia"/>
                      <w:color w:val="000000" w:themeColor="text1"/>
                      <w14:textFill>
                        <w14:solidFill>
                          <w14:schemeClr w14:val="tx1"/>
                        </w14:solidFill>
                      </w14:textFill>
                    </w:rPr>
                  </w:pPr>
                </w:p>
              </w:tc>
              <w:tc>
                <w:tcPr>
                  <w:tcW w:w="774" w:type="pct"/>
                  <w:tcBorders>
                    <w:tl2br w:val="nil"/>
                    <w:tr2bl w:val="nil"/>
                  </w:tcBorders>
                  <w:vAlign w:val="center"/>
                </w:tcPr>
                <w:p>
                  <w:pPr>
                    <w:adjustRightInd w:val="0"/>
                    <w:snapToGrid w:val="0"/>
                    <w:jc w:val="center"/>
                    <w:rPr>
                      <w:rFonts w:hint="eastAsia" w:ascii="宋体" w:hAnsi="宋体" w:cs="宋体"/>
                    </w:rPr>
                  </w:pPr>
                  <w:r>
                    <w:rPr>
                      <w:rFonts w:hint="eastAsia"/>
                      <w:szCs w:val="21"/>
                      <w:u w:val="none"/>
                    </w:rPr>
                    <w:t>粉煤灰</w:t>
                  </w:r>
                </w:p>
              </w:tc>
              <w:tc>
                <w:tcPr>
                  <w:tcW w:w="1004" w:type="pct"/>
                  <w:tcBorders>
                    <w:tl2br w:val="nil"/>
                    <w:tr2bl w:val="nil"/>
                  </w:tcBorders>
                  <w:vAlign w:val="center"/>
                </w:tcPr>
                <w:p>
                  <w:pPr>
                    <w:adjustRightInd w:val="0"/>
                    <w:snapToGrid w:val="0"/>
                    <w:jc w:val="center"/>
                    <w:rPr>
                      <w:rFonts w:hint="default" w:ascii="宋体" w:hAnsi="宋体" w:eastAsia="宋体" w:cs="宋体"/>
                      <w:lang w:val="en-US" w:eastAsia="zh-CN"/>
                    </w:rPr>
                  </w:pPr>
                  <w:r>
                    <w:rPr>
                      <w:rFonts w:hint="eastAsia"/>
                      <w:szCs w:val="21"/>
                      <w:u w:val="none"/>
                      <w:lang w:val="en-US" w:eastAsia="zh-CN"/>
                    </w:rPr>
                    <w:t>2875</w:t>
                  </w:r>
                </w:p>
              </w:tc>
              <w:tc>
                <w:tcPr>
                  <w:tcW w:w="1022" w:type="pct"/>
                  <w:tcBorders>
                    <w:tl2br w:val="nil"/>
                    <w:tr2bl w:val="nil"/>
                  </w:tcBorders>
                  <w:vAlign w:val="center"/>
                </w:tcPr>
                <w:p>
                  <w:pPr>
                    <w:jc w:val="center"/>
                    <w:rPr>
                      <w:rFonts w:hint="eastAsia" w:ascii="宋体" w:hAnsi="宋体" w:cs="宋体"/>
                    </w:rPr>
                  </w:pPr>
                  <w:r>
                    <w:rPr>
                      <w:rFonts w:hint="eastAsia" w:ascii="宋体" w:hAnsi="宋体" w:cs="宋体"/>
                    </w:rPr>
                    <w:t>汽运</w:t>
                  </w:r>
                </w:p>
              </w:tc>
              <w:tc>
                <w:tcPr>
                  <w:tcW w:w="1161" w:type="pct"/>
                  <w:tcBorders>
                    <w:tl2br w:val="nil"/>
                    <w:tr2bl w:val="nil"/>
                  </w:tcBorders>
                  <w:vAlign w:val="center"/>
                </w:tcPr>
                <w:p>
                  <w:pPr>
                    <w:adjustRightInd w:val="0"/>
                    <w:snapToGrid w:val="0"/>
                    <w:jc w:val="center"/>
                    <w:rPr>
                      <w:rFonts w:hint="eastAsia" w:ascii="宋体" w:hAnsi="宋体" w:cs="宋体"/>
                    </w:rPr>
                  </w:pPr>
                  <w:r>
                    <w:rPr>
                      <w:rFonts w:hint="eastAsia"/>
                      <w:szCs w:val="21"/>
                      <w:u w:val="none"/>
                    </w:rPr>
                    <w:t>储存于筒库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6" w:type="pct"/>
                  <w:vMerge w:val="continue"/>
                  <w:tcBorders>
                    <w:tl2br w:val="nil"/>
                    <w:tr2bl w:val="nil"/>
                  </w:tcBorders>
                  <w:vAlign w:val="center"/>
                </w:tcPr>
                <w:p>
                  <w:pPr>
                    <w:jc w:val="center"/>
                    <w:rPr>
                      <w:color w:val="000000" w:themeColor="text1"/>
                      <w14:textFill>
                        <w14:solidFill>
                          <w14:schemeClr w14:val="tx1"/>
                        </w14:solidFill>
                      </w14:textFill>
                    </w:rPr>
                  </w:pPr>
                </w:p>
              </w:tc>
              <w:tc>
                <w:tcPr>
                  <w:tcW w:w="560" w:type="pct"/>
                  <w:vMerge w:val="continue"/>
                  <w:tcBorders>
                    <w:tl2br w:val="nil"/>
                    <w:tr2bl w:val="nil"/>
                  </w:tcBorders>
                  <w:vAlign w:val="center"/>
                </w:tcPr>
                <w:p>
                  <w:pPr>
                    <w:jc w:val="center"/>
                    <w:rPr>
                      <w:rFonts w:hint="eastAsia"/>
                      <w:color w:val="000000" w:themeColor="text1"/>
                      <w14:textFill>
                        <w14:solidFill>
                          <w14:schemeClr w14:val="tx1"/>
                        </w14:solidFill>
                      </w14:textFill>
                    </w:rPr>
                  </w:pPr>
                </w:p>
              </w:tc>
              <w:tc>
                <w:tcPr>
                  <w:tcW w:w="774" w:type="pct"/>
                  <w:tcBorders>
                    <w:tl2br w:val="nil"/>
                    <w:tr2bl w:val="nil"/>
                  </w:tcBorders>
                  <w:vAlign w:val="center"/>
                </w:tcPr>
                <w:p>
                  <w:pPr>
                    <w:adjustRightInd w:val="0"/>
                    <w:snapToGrid w:val="0"/>
                    <w:jc w:val="center"/>
                    <w:rPr>
                      <w:rFonts w:hint="eastAsia" w:ascii="宋体" w:hAnsi="宋体" w:cs="宋体"/>
                    </w:rPr>
                  </w:pPr>
                  <w:r>
                    <w:rPr>
                      <w:rFonts w:hint="eastAsia"/>
                      <w:szCs w:val="21"/>
                      <w:u w:val="none"/>
                    </w:rPr>
                    <w:t>细砂</w:t>
                  </w:r>
                </w:p>
              </w:tc>
              <w:tc>
                <w:tcPr>
                  <w:tcW w:w="1004" w:type="pct"/>
                  <w:tcBorders>
                    <w:tl2br w:val="nil"/>
                    <w:tr2bl w:val="nil"/>
                  </w:tcBorders>
                  <w:vAlign w:val="center"/>
                </w:tcPr>
                <w:p>
                  <w:pPr>
                    <w:adjustRightInd w:val="0"/>
                    <w:snapToGrid w:val="0"/>
                    <w:jc w:val="center"/>
                    <w:rPr>
                      <w:rFonts w:hint="default" w:ascii="宋体" w:hAnsi="宋体" w:eastAsia="宋体" w:cs="宋体"/>
                      <w:lang w:val="en-US" w:eastAsia="zh-CN"/>
                    </w:rPr>
                  </w:pPr>
                  <w:r>
                    <w:rPr>
                      <w:rFonts w:hint="eastAsia"/>
                      <w:szCs w:val="21"/>
                      <w:u w:val="none"/>
                      <w:lang w:val="en-US" w:eastAsia="zh-CN"/>
                    </w:rPr>
                    <w:t>43700</w:t>
                  </w:r>
                </w:p>
              </w:tc>
              <w:tc>
                <w:tcPr>
                  <w:tcW w:w="1022" w:type="pct"/>
                  <w:tcBorders>
                    <w:tl2br w:val="nil"/>
                    <w:tr2bl w:val="nil"/>
                  </w:tcBorders>
                  <w:vAlign w:val="center"/>
                </w:tcPr>
                <w:p>
                  <w:pPr>
                    <w:jc w:val="center"/>
                    <w:rPr>
                      <w:rFonts w:hint="eastAsia" w:ascii="宋体" w:hAnsi="宋体" w:cs="宋体"/>
                    </w:rPr>
                  </w:pPr>
                  <w:r>
                    <w:rPr>
                      <w:rFonts w:hint="eastAsia" w:ascii="宋体" w:hAnsi="宋体" w:cs="宋体"/>
                    </w:rPr>
                    <w:t>汽运</w:t>
                  </w:r>
                </w:p>
              </w:tc>
              <w:tc>
                <w:tcPr>
                  <w:tcW w:w="1161" w:type="pct"/>
                  <w:tcBorders>
                    <w:tl2br w:val="nil"/>
                    <w:tr2bl w:val="nil"/>
                  </w:tcBorders>
                  <w:vAlign w:val="center"/>
                </w:tcPr>
                <w:p>
                  <w:pPr>
                    <w:adjustRightInd w:val="0"/>
                    <w:snapToGrid w:val="0"/>
                    <w:jc w:val="center"/>
                    <w:rPr>
                      <w:rFonts w:hint="eastAsia" w:ascii="宋体" w:hAnsi="宋体" w:cs="宋体"/>
                    </w:rPr>
                  </w:pPr>
                  <w:r>
                    <w:rPr>
                      <w:szCs w:val="21"/>
                      <w:u w:val="none"/>
                    </w:rPr>
                    <w:t>储存于原料堆</w:t>
                  </w:r>
                  <w:r>
                    <w:rPr>
                      <w:rFonts w:hint="eastAsia"/>
                      <w:szCs w:val="21"/>
                      <w:u w:val="none"/>
                    </w:rPr>
                    <w:t>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6" w:type="pct"/>
                  <w:vMerge w:val="continue"/>
                  <w:tcBorders>
                    <w:tl2br w:val="nil"/>
                    <w:tr2bl w:val="nil"/>
                  </w:tcBorders>
                  <w:vAlign w:val="center"/>
                </w:tcPr>
                <w:p>
                  <w:pPr>
                    <w:jc w:val="center"/>
                    <w:rPr>
                      <w:color w:val="000000" w:themeColor="text1"/>
                      <w14:textFill>
                        <w14:solidFill>
                          <w14:schemeClr w14:val="tx1"/>
                        </w14:solidFill>
                      </w14:textFill>
                    </w:rPr>
                  </w:pPr>
                </w:p>
              </w:tc>
              <w:tc>
                <w:tcPr>
                  <w:tcW w:w="560" w:type="pct"/>
                  <w:vMerge w:val="continue"/>
                  <w:tcBorders>
                    <w:tl2br w:val="nil"/>
                    <w:tr2bl w:val="nil"/>
                  </w:tcBorders>
                  <w:vAlign w:val="center"/>
                </w:tcPr>
                <w:p>
                  <w:pPr>
                    <w:jc w:val="center"/>
                    <w:rPr>
                      <w:rFonts w:hint="eastAsia"/>
                      <w:color w:val="000000" w:themeColor="text1"/>
                      <w14:textFill>
                        <w14:solidFill>
                          <w14:schemeClr w14:val="tx1"/>
                        </w14:solidFill>
                      </w14:textFill>
                    </w:rPr>
                  </w:pPr>
                </w:p>
              </w:tc>
              <w:tc>
                <w:tcPr>
                  <w:tcW w:w="774" w:type="pct"/>
                  <w:tcBorders>
                    <w:tl2br w:val="nil"/>
                    <w:tr2bl w:val="nil"/>
                  </w:tcBorders>
                  <w:vAlign w:val="center"/>
                </w:tcPr>
                <w:p>
                  <w:pPr>
                    <w:adjustRightInd w:val="0"/>
                    <w:snapToGrid w:val="0"/>
                    <w:jc w:val="center"/>
                    <w:rPr>
                      <w:rFonts w:hint="eastAsia" w:ascii="宋体" w:hAnsi="宋体" w:cs="宋体"/>
                    </w:rPr>
                  </w:pPr>
                  <w:r>
                    <w:rPr>
                      <w:rFonts w:hint="eastAsia"/>
                      <w:szCs w:val="21"/>
                      <w:u w:val="none"/>
                    </w:rPr>
                    <w:t>碎石</w:t>
                  </w:r>
                </w:p>
              </w:tc>
              <w:tc>
                <w:tcPr>
                  <w:tcW w:w="1004" w:type="pct"/>
                  <w:tcBorders>
                    <w:tl2br w:val="nil"/>
                    <w:tr2bl w:val="nil"/>
                  </w:tcBorders>
                  <w:vAlign w:val="center"/>
                </w:tcPr>
                <w:p>
                  <w:pPr>
                    <w:adjustRightInd w:val="0"/>
                    <w:snapToGrid w:val="0"/>
                    <w:jc w:val="center"/>
                    <w:rPr>
                      <w:rFonts w:hint="default" w:ascii="宋体" w:hAnsi="宋体" w:eastAsia="宋体" w:cs="宋体"/>
                      <w:lang w:val="en-US" w:eastAsia="zh-CN"/>
                    </w:rPr>
                  </w:pPr>
                  <w:r>
                    <w:rPr>
                      <w:rFonts w:hint="eastAsia"/>
                      <w:szCs w:val="21"/>
                      <w:u w:val="none"/>
                      <w:lang w:val="en-US" w:eastAsia="zh-CN"/>
                    </w:rPr>
                    <w:t>50945</w:t>
                  </w:r>
                </w:p>
              </w:tc>
              <w:tc>
                <w:tcPr>
                  <w:tcW w:w="1022" w:type="pct"/>
                  <w:tcBorders>
                    <w:tl2br w:val="nil"/>
                    <w:tr2bl w:val="nil"/>
                  </w:tcBorders>
                  <w:vAlign w:val="center"/>
                </w:tcPr>
                <w:p>
                  <w:pPr>
                    <w:jc w:val="center"/>
                    <w:rPr>
                      <w:rFonts w:hint="eastAsia" w:ascii="宋体" w:hAnsi="宋体" w:cs="宋体"/>
                    </w:rPr>
                  </w:pPr>
                  <w:r>
                    <w:rPr>
                      <w:rFonts w:hint="eastAsia" w:ascii="宋体" w:hAnsi="宋体" w:cs="宋体"/>
                    </w:rPr>
                    <w:t>汽运</w:t>
                  </w:r>
                </w:p>
              </w:tc>
              <w:tc>
                <w:tcPr>
                  <w:tcW w:w="1161" w:type="pct"/>
                  <w:tcBorders>
                    <w:tl2br w:val="nil"/>
                    <w:tr2bl w:val="nil"/>
                  </w:tcBorders>
                  <w:vAlign w:val="center"/>
                </w:tcPr>
                <w:p>
                  <w:pPr>
                    <w:adjustRightInd w:val="0"/>
                    <w:snapToGrid w:val="0"/>
                    <w:jc w:val="center"/>
                    <w:rPr>
                      <w:rFonts w:hint="eastAsia" w:ascii="宋体" w:hAnsi="宋体" w:cs="宋体"/>
                    </w:rPr>
                  </w:pPr>
                  <w:r>
                    <w:rPr>
                      <w:szCs w:val="21"/>
                      <w:u w:val="none"/>
                    </w:rPr>
                    <w:t>储存于原料堆</w:t>
                  </w:r>
                  <w:r>
                    <w:rPr>
                      <w:rFonts w:hint="eastAsia"/>
                      <w:szCs w:val="21"/>
                      <w:u w:val="none"/>
                    </w:rPr>
                    <w:t>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PrEx>
              <w:tc>
                <w:tcPr>
                  <w:tcW w:w="476" w:type="pct"/>
                  <w:vMerge w:val="continue"/>
                  <w:tcBorders>
                    <w:tl2br w:val="nil"/>
                    <w:tr2bl w:val="nil"/>
                  </w:tcBorders>
                  <w:vAlign w:val="center"/>
                </w:tcPr>
                <w:p>
                  <w:pPr>
                    <w:jc w:val="center"/>
                    <w:rPr>
                      <w:color w:val="000000" w:themeColor="text1"/>
                      <w14:textFill>
                        <w14:solidFill>
                          <w14:schemeClr w14:val="tx1"/>
                        </w14:solidFill>
                      </w14:textFill>
                    </w:rPr>
                  </w:pPr>
                </w:p>
              </w:tc>
              <w:tc>
                <w:tcPr>
                  <w:tcW w:w="560" w:type="pct"/>
                  <w:vMerge w:val="continue"/>
                  <w:tcBorders>
                    <w:tl2br w:val="nil"/>
                    <w:tr2bl w:val="nil"/>
                  </w:tcBorders>
                  <w:vAlign w:val="center"/>
                </w:tcPr>
                <w:p>
                  <w:pPr>
                    <w:jc w:val="center"/>
                    <w:rPr>
                      <w:rFonts w:hint="eastAsia"/>
                      <w:color w:val="000000" w:themeColor="text1"/>
                      <w14:textFill>
                        <w14:solidFill>
                          <w14:schemeClr w14:val="tx1"/>
                        </w14:solidFill>
                      </w14:textFill>
                    </w:rPr>
                  </w:pPr>
                </w:p>
              </w:tc>
              <w:tc>
                <w:tcPr>
                  <w:tcW w:w="774" w:type="pct"/>
                  <w:tcBorders>
                    <w:tl2br w:val="nil"/>
                    <w:tr2bl w:val="nil"/>
                  </w:tcBorders>
                  <w:vAlign w:val="center"/>
                </w:tcPr>
                <w:p>
                  <w:pPr>
                    <w:adjustRightInd w:val="0"/>
                    <w:snapToGrid w:val="0"/>
                    <w:jc w:val="center"/>
                    <w:rPr>
                      <w:rFonts w:hint="eastAsia" w:ascii="宋体" w:hAnsi="宋体" w:cs="宋体"/>
                    </w:rPr>
                  </w:pPr>
                  <w:r>
                    <w:rPr>
                      <w:rFonts w:hint="eastAsia"/>
                      <w:szCs w:val="21"/>
                      <w:u w:val="none"/>
                    </w:rPr>
                    <w:t>减水剂</w:t>
                  </w:r>
                </w:p>
              </w:tc>
              <w:tc>
                <w:tcPr>
                  <w:tcW w:w="1004" w:type="pct"/>
                  <w:tcBorders>
                    <w:tl2br w:val="nil"/>
                    <w:tr2bl w:val="nil"/>
                  </w:tcBorders>
                  <w:vAlign w:val="center"/>
                </w:tcPr>
                <w:p>
                  <w:pPr>
                    <w:adjustRightInd w:val="0"/>
                    <w:snapToGrid w:val="0"/>
                    <w:jc w:val="center"/>
                    <w:rPr>
                      <w:rFonts w:hint="default" w:ascii="宋体" w:hAnsi="宋体" w:eastAsia="宋体" w:cs="宋体"/>
                      <w:lang w:val="en-US" w:eastAsia="zh-CN"/>
                    </w:rPr>
                  </w:pPr>
                  <w:r>
                    <w:rPr>
                      <w:rFonts w:hint="eastAsia"/>
                      <w:szCs w:val="21"/>
                      <w:u w:val="none"/>
                      <w:lang w:val="en-US" w:eastAsia="zh-CN"/>
                    </w:rPr>
                    <w:t>2875</w:t>
                  </w:r>
                </w:p>
              </w:tc>
              <w:tc>
                <w:tcPr>
                  <w:tcW w:w="1022" w:type="pct"/>
                  <w:tcBorders>
                    <w:tl2br w:val="nil"/>
                    <w:tr2bl w:val="nil"/>
                  </w:tcBorders>
                  <w:vAlign w:val="center"/>
                </w:tcPr>
                <w:p>
                  <w:pPr>
                    <w:jc w:val="center"/>
                    <w:rPr>
                      <w:rFonts w:hint="eastAsia" w:ascii="宋体" w:hAnsi="宋体" w:cs="宋体"/>
                    </w:rPr>
                  </w:pPr>
                  <w:r>
                    <w:rPr>
                      <w:rFonts w:hint="eastAsia" w:ascii="宋体" w:hAnsi="宋体" w:cs="宋体"/>
                    </w:rPr>
                    <w:t>汽运</w:t>
                  </w:r>
                </w:p>
              </w:tc>
              <w:tc>
                <w:tcPr>
                  <w:tcW w:w="1161" w:type="pct"/>
                  <w:tcBorders>
                    <w:tl2br w:val="nil"/>
                    <w:tr2bl w:val="nil"/>
                  </w:tcBorders>
                  <w:vAlign w:val="center"/>
                </w:tcPr>
                <w:p>
                  <w:pPr>
                    <w:adjustRightInd w:val="0"/>
                    <w:snapToGrid w:val="0"/>
                    <w:jc w:val="center"/>
                    <w:rPr>
                      <w:rFonts w:hint="eastAsia" w:ascii="宋体" w:hAnsi="宋体" w:cs="宋体"/>
                    </w:rPr>
                  </w:pPr>
                  <w:r>
                    <w:rPr>
                      <w:rFonts w:hint="eastAsia"/>
                      <w:szCs w:val="21"/>
                      <w:u w:val="none"/>
                    </w:rPr>
                    <w:t xml:space="preserve">外购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6" w:type="pct"/>
                  <w:vMerge w:val="continue"/>
                  <w:tcBorders>
                    <w:tl2br w:val="nil"/>
                    <w:tr2bl w:val="nil"/>
                  </w:tcBorders>
                  <w:vAlign w:val="center"/>
                </w:tcPr>
                <w:p>
                  <w:pPr>
                    <w:jc w:val="center"/>
                    <w:rPr>
                      <w:color w:val="000000" w:themeColor="text1"/>
                      <w14:textFill>
                        <w14:solidFill>
                          <w14:schemeClr w14:val="tx1"/>
                        </w14:solidFill>
                      </w14:textFill>
                    </w:rPr>
                  </w:pPr>
                </w:p>
              </w:tc>
              <w:tc>
                <w:tcPr>
                  <w:tcW w:w="560" w:type="pct"/>
                  <w:vMerge w:val="continue"/>
                  <w:tcBorders>
                    <w:tl2br w:val="nil"/>
                    <w:tr2bl w:val="nil"/>
                  </w:tcBorders>
                  <w:vAlign w:val="center"/>
                </w:tcPr>
                <w:p>
                  <w:pPr>
                    <w:jc w:val="center"/>
                    <w:rPr>
                      <w:rFonts w:hint="eastAsia"/>
                      <w:color w:val="000000" w:themeColor="text1"/>
                      <w14:textFill>
                        <w14:solidFill>
                          <w14:schemeClr w14:val="tx1"/>
                        </w14:solidFill>
                      </w14:textFill>
                    </w:rPr>
                  </w:pPr>
                </w:p>
              </w:tc>
              <w:tc>
                <w:tcPr>
                  <w:tcW w:w="774" w:type="pct"/>
                  <w:tcBorders>
                    <w:tl2br w:val="nil"/>
                    <w:tr2bl w:val="nil"/>
                  </w:tcBorders>
                  <w:vAlign w:val="center"/>
                </w:tcPr>
                <w:p>
                  <w:pPr>
                    <w:adjustRightInd w:val="0"/>
                    <w:snapToGrid w:val="0"/>
                    <w:jc w:val="center"/>
                    <w:rPr>
                      <w:rFonts w:hint="eastAsia" w:eastAsia="宋体"/>
                      <w:szCs w:val="21"/>
                      <w:u w:val="none"/>
                      <w:lang w:eastAsia="zh-CN"/>
                    </w:rPr>
                  </w:pPr>
                  <w:r>
                    <w:rPr>
                      <w:rFonts w:hint="eastAsia"/>
                      <w:szCs w:val="21"/>
                      <w:u w:val="none"/>
                      <w:lang w:eastAsia="zh-CN"/>
                    </w:rPr>
                    <w:t>原料用水</w:t>
                  </w:r>
                </w:p>
              </w:tc>
              <w:tc>
                <w:tcPr>
                  <w:tcW w:w="1004" w:type="pct"/>
                  <w:tcBorders>
                    <w:tl2br w:val="nil"/>
                    <w:tr2bl w:val="nil"/>
                  </w:tcBorders>
                  <w:vAlign w:val="center"/>
                </w:tcPr>
                <w:p>
                  <w:pPr>
                    <w:adjustRightInd w:val="0"/>
                    <w:snapToGrid w:val="0"/>
                    <w:jc w:val="center"/>
                    <w:rPr>
                      <w:rFonts w:hint="default"/>
                      <w:szCs w:val="21"/>
                      <w:u w:val="none"/>
                      <w:lang w:val="en-US" w:eastAsia="zh-CN"/>
                    </w:rPr>
                  </w:pPr>
                  <w:r>
                    <w:rPr>
                      <w:rFonts w:hint="eastAsia"/>
                      <w:szCs w:val="21"/>
                      <w:u w:val="none"/>
                      <w:lang w:val="en-US" w:eastAsia="zh-CN"/>
                    </w:rPr>
                    <w:t>5000</w:t>
                  </w:r>
                </w:p>
              </w:tc>
              <w:tc>
                <w:tcPr>
                  <w:tcW w:w="1022" w:type="pct"/>
                  <w:tcBorders>
                    <w:tl2br w:val="nil"/>
                    <w:tr2bl w:val="nil"/>
                  </w:tcBorders>
                  <w:vAlign w:val="center"/>
                </w:tcPr>
                <w:p>
                  <w:pPr>
                    <w:jc w:val="center"/>
                    <w:rPr>
                      <w:rFonts w:hint="eastAsia" w:ascii="宋体" w:hAnsi="宋体" w:eastAsia="宋体" w:cs="宋体"/>
                      <w:lang w:val="en-US" w:eastAsia="zh-CN"/>
                    </w:rPr>
                  </w:pPr>
                  <w:r>
                    <w:rPr>
                      <w:rFonts w:hint="eastAsia" w:ascii="宋体" w:hAnsi="宋体" w:cs="宋体"/>
                      <w:lang w:val="en-US" w:eastAsia="zh-CN"/>
                    </w:rPr>
                    <w:t>/</w:t>
                  </w:r>
                </w:p>
              </w:tc>
              <w:tc>
                <w:tcPr>
                  <w:tcW w:w="1161" w:type="pct"/>
                  <w:tcBorders>
                    <w:tl2br w:val="nil"/>
                    <w:tr2bl w:val="nil"/>
                  </w:tcBorders>
                  <w:vAlign w:val="center"/>
                </w:tcPr>
                <w:p>
                  <w:pPr>
                    <w:adjustRightInd w:val="0"/>
                    <w:snapToGrid w:val="0"/>
                    <w:jc w:val="center"/>
                    <w:rPr>
                      <w:rFonts w:hint="default" w:eastAsia="宋体"/>
                      <w:szCs w:val="21"/>
                      <w:u w:val="none"/>
                      <w:lang w:val="en-US" w:eastAsia="zh-CN"/>
                    </w:rPr>
                  </w:pPr>
                  <w:r>
                    <w:rPr>
                      <w:rFonts w:hint="eastAsia"/>
                      <w:szCs w:val="21"/>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6" w:type="pct"/>
                  <w:vMerge w:val="continue"/>
                  <w:tcBorders>
                    <w:tl2br w:val="nil"/>
                    <w:tr2bl w:val="nil"/>
                  </w:tcBorders>
                  <w:vAlign w:val="center"/>
                </w:tcPr>
                <w:p>
                  <w:pPr>
                    <w:jc w:val="center"/>
                    <w:rPr>
                      <w:color w:val="000000" w:themeColor="text1"/>
                      <w14:textFill>
                        <w14:solidFill>
                          <w14:schemeClr w14:val="tx1"/>
                        </w14:solidFill>
                      </w14:textFill>
                    </w:rPr>
                  </w:pPr>
                </w:p>
              </w:tc>
              <w:tc>
                <w:tcPr>
                  <w:tcW w:w="560" w:type="pct"/>
                  <w:tcBorders>
                    <w:tl2br w:val="nil"/>
                    <w:tr2bl w:val="nil"/>
                  </w:tcBorders>
                  <w:vAlign w:val="center"/>
                </w:tcPr>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处理污水</w:t>
                  </w:r>
                </w:p>
              </w:tc>
              <w:tc>
                <w:tcPr>
                  <w:tcW w:w="774" w:type="pct"/>
                  <w:tcBorders>
                    <w:tl2br w:val="nil"/>
                    <w:tr2bl w:val="nil"/>
                  </w:tcBorders>
                  <w:vAlign w:val="center"/>
                </w:tcPr>
                <w:p>
                  <w:pPr>
                    <w:adjustRightInd w:val="0"/>
                    <w:snapToGrid w:val="0"/>
                    <w:jc w:val="center"/>
                    <w:rPr>
                      <w:rFonts w:hint="eastAsia" w:eastAsia="宋体"/>
                      <w:szCs w:val="21"/>
                      <w:u w:val="none"/>
                      <w:lang w:eastAsia="zh-CN"/>
                    </w:rPr>
                  </w:pPr>
                  <w:r>
                    <w:rPr>
                      <w:rFonts w:hint="eastAsia"/>
                      <w:szCs w:val="21"/>
                      <w:u w:val="none"/>
                      <w:lang w:eastAsia="zh-CN"/>
                    </w:rPr>
                    <w:t>絮凝剂</w:t>
                  </w:r>
                </w:p>
              </w:tc>
              <w:tc>
                <w:tcPr>
                  <w:tcW w:w="1004" w:type="pct"/>
                  <w:tcBorders>
                    <w:tl2br w:val="nil"/>
                    <w:tr2bl w:val="nil"/>
                  </w:tcBorders>
                  <w:vAlign w:val="center"/>
                </w:tcPr>
                <w:p>
                  <w:pPr>
                    <w:jc w:val="center"/>
                    <w:rPr>
                      <w:rFonts w:hint="default" w:ascii="宋体" w:hAnsi="宋体" w:eastAsia="宋体" w:cs="宋体"/>
                      <w:lang w:val="en-US" w:eastAsia="zh-CN"/>
                    </w:rPr>
                  </w:pPr>
                  <w:r>
                    <w:rPr>
                      <w:rFonts w:hint="eastAsia" w:ascii="宋体" w:hAnsi="宋体" w:cs="宋体"/>
                      <w:lang w:val="en-US" w:eastAsia="zh-CN"/>
                    </w:rPr>
                    <w:t>12</w:t>
                  </w:r>
                </w:p>
              </w:tc>
              <w:tc>
                <w:tcPr>
                  <w:tcW w:w="1022" w:type="pct"/>
                  <w:tcBorders>
                    <w:tl2br w:val="nil"/>
                    <w:tr2bl w:val="nil"/>
                  </w:tcBorders>
                  <w:vAlign w:val="center"/>
                </w:tcPr>
                <w:p>
                  <w:pPr>
                    <w:jc w:val="center"/>
                    <w:rPr>
                      <w:rFonts w:hint="eastAsia" w:ascii="宋体" w:hAnsi="宋体" w:cs="宋体"/>
                    </w:rPr>
                  </w:pPr>
                  <w:r>
                    <w:rPr>
                      <w:rFonts w:hint="eastAsia" w:ascii="宋体" w:hAnsi="宋体" w:cs="宋体"/>
                    </w:rPr>
                    <w:t>汽运</w:t>
                  </w:r>
                </w:p>
              </w:tc>
              <w:tc>
                <w:tcPr>
                  <w:tcW w:w="1161" w:type="pct"/>
                  <w:tcBorders>
                    <w:tl2br w:val="nil"/>
                    <w:tr2bl w:val="nil"/>
                  </w:tcBorders>
                  <w:vAlign w:val="center"/>
                </w:tcPr>
                <w:p>
                  <w:pPr>
                    <w:jc w:val="center"/>
                    <w:rPr>
                      <w:rFonts w:hint="default" w:ascii="宋体" w:hAnsi="宋体" w:eastAsia="宋体" w:cs="宋体"/>
                      <w:lang w:val="en-US" w:eastAsia="zh-CN"/>
                    </w:rPr>
                  </w:pPr>
                  <w:r>
                    <w:rPr>
                      <w:rFonts w:hint="eastAsia" w:ascii="宋体" w:hAnsi="宋体" w:cs="宋体"/>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6" w:type="pct"/>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560" w:type="pct"/>
                  <w:vMerge w:val="restart"/>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能源</w:t>
                  </w:r>
                </w:p>
              </w:tc>
              <w:tc>
                <w:tcPr>
                  <w:tcW w:w="774" w:type="pct"/>
                  <w:tcBorders>
                    <w:tl2br w:val="nil"/>
                    <w:tr2bl w:val="nil"/>
                  </w:tcBorders>
                  <w:vAlign w:val="center"/>
                </w:tcPr>
                <w:p>
                  <w:pPr>
                    <w:jc w:val="center"/>
                  </w:pPr>
                  <w:r>
                    <w:rPr>
                      <w:rFonts w:hint="eastAsia" w:ascii="宋体" w:hAnsi="宋体" w:cs="宋体"/>
                    </w:rPr>
                    <w:t>电</w:t>
                  </w:r>
                </w:p>
              </w:tc>
              <w:tc>
                <w:tcPr>
                  <w:tcW w:w="1004" w:type="pct"/>
                  <w:tcBorders>
                    <w:tl2br w:val="nil"/>
                    <w:tr2bl w:val="nil"/>
                  </w:tcBorders>
                  <w:vAlign w:val="center"/>
                </w:tcPr>
                <w:p>
                  <w:pPr>
                    <w:jc w:val="center"/>
                  </w:pPr>
                  <w:r>
                    <w:rPr>
                      <w:rFonts w:hint="eastAsia" w:ascii="宋体" w:hAnsi="宋体" w:cs="宋体"/>
                    </w:rPr>
                    <w:t>12万KW·h/年</w:t>
                  </w:r>
                </w:p>
              </w:tc>
              <w:tc>
                <w:tcPr>
                  <w:tcW w:w="1022" w:type="pct"/>
                  <w:tcBorders>
                    <w:tl2br w:val="nil"/>
                    <w:tr2bl w:val="nil"/>
                  </w:tcBorders>
                  <w:vAlign w:val="center"/>
                </w:tcPr>
                <w:p>
                  <w:pPr>
                    <w:jc w:val="center"/>
                    <w:rPr>
                      <w:rFonts w:ascii="宋体" w:hAnsi="宋体" w:cs="宋体"/>
                    </w:rPr>
                  </w:pPr>
                  <w:r>
                    <w:rPr>
                      <w:rFonts w:hint="eastAsia" w:ascii="宋体" w:hAnsi="宋体" w:cs="宋体"/>
                    </w:rPr>
                    <w:t>/</w:t>
                  </w:r>
                </w:p>
              </w:tc>
              <w:tc>
                <w:tcPr>
                  <w:tcW w:w="1161" w:type="pct"/>
                  <w:tcBorders>
                    <w:tl2br w:val="nil"/>
                    <w:tr2bl w:val="nil"/>
                  </w:tcBorders>
                  <w:vAlign w:val="center"/>
                </w:tcPr>
                <w:p>
                  <w:pPr>
                    <w:jc w:val="center"/>
                  </w:pPr>
                  <w:r>
                    <w:rPr>
                      <w:rFonts w:hint="eastAsia" w:ascii="宋体" w:hAnsi="宋体" w:cs="宋体"/>
                    </w:rPr>
                    <w:t>乡镇电网提供电源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76" w:type="pct"/>
                  <w:tcBorders>
                    <w:tl2br w:val="nil"/>
                    <w:tr2bl w:val="nil"/>
                  </w:tcBorders>
                  <w:vAlign w:val="center"/>
                </w:tcPr>
                <w:p>
                  <w:pPr>
                    <w:jc w:val="center"/>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560" w:type="pct"/>
                  <w:vMerge w:val="continue"/>
                  <w:tcBorders>
                    <w:tl2br w:val="nil"/>
                    <w:tr2bl w:val="nil"/>
                  </w:tcBorders>
                  <w:vAlign w:val="center"/>
                </w:tcPr>
                <w:p>
                  <w:pPr>
                    <w:jc w:val="center"/>
                    <w:rPr>
                      <w:color w:val="000000" w:themeColor="text1"/>
                      <w14:textFill>
                        <w14:solidFill>
                          <w14:schemeClr w14:val="tx1"/>
                        </w14:solidFill>
                      </w14:textFill>
                    </w:rPr>
                  </w:pPr>
                </w:p>
              </w:tc>
              <w:tc>
                <w:tcPr>
                  <w:tcW w:w="774" w:type="pct"/>
                  <w:tcBorders>
                    <w:tl2br w:val="nil"/>
                    <w:tr2bl w:val="nil"/>
                  </w:tcBorders>
                  <w:vAlign w:val="center"/>
                </w:tcPr>
                <w:p>
                  <w:pPr>
                    <w:jc w:val="center"/>
                  </w:pPr>
                  <w:r>
                    <w:rPr>
                      <w:rFonts w:hint="eastAsia" w:ascii="宋体" w:hAnsi="宋体" w:cs="宋体"/>
                    </w:rPr>
                    <w:t>水</w:t>
                  </w:r>
                </w:p>
              </w:tc>
              <w:tc>
                <w:tcPr>
                  <w:tcW w:w="1004" w:type="pct"/>
                  <w:tcBorders>
                    <w:tl2br w:val="nil"/>
                    <w:tr2bl w:val="nil"/>
                  </w:tcBorders>
                  <w:vAlign w:val="center"/>
                </w:tcPr>
                <w:p>
                  <w:pPr>
                    <w:jc w:val="center"/>
                  </w:pPr>
                  <w:r>
                    <w:rPr>
                      <w:rFonts w:hint="eastAsia" w:ascii="宋体" w:hAnsi="宋体" w:cs="宋体"/>
                    </w:rPr>
                    <w:t>9000t/a</w:t>
                  </w:r>
                </w:p>
              </w:tc>
              <w:tc>
                <w:tcPr>
                  <w:tcW w:w="1022" w:type="pct"/>
                  <w:tcBorders>
                    <w:tl2br w:val="nil"/>
                    <w:tr2bl w:val="nil"/>
                  </w:tcBorders>
                  <w:vAlign w:val="center"/>
                </w:tcPr>
                <w:p>
                  <w:pPr>
                    <w:jc w:val="center"/>
                    <w:rPr>
                      <w:rFonts w:ascii="宋体" w:hAnsi="宋体" w:cs="宋体"/>
                    </w:rPr>
                  </w:pPr>
                  <w:r>
                    <w:rPr>
                      <w:rFonts w:hint="eastAsia" w:ascii="宋体" w:hAnsi="宋体" w:cs="宋体"/>
                    </w:rPr>
                    <w:t>/</w:t>
                  </w:r>
                </w:p>
              </w:tc>
              <w:tc>
                <w:tcPr>
                  <w:tcW w:w="1161" w:type="pct"/>
                  <w:tcBorders>
                    <w:tl2br w:val="nil"/>
                    <w:tr2bl w:val="nil"/>
                  </w:tcBorders>
                  <w:vAlign w:val="center"/>
                </w:tcPr>
                <w:p>
                  <w:pPr>
                    <w:jc w:val="center"/>
                  </w:pPr>
                  <w:r>
                    <w:rPr>
                      <w:rFonts w:hint="eastAsia" w:ascii="宋体" w:hAnsi="宋体" w:cs="宋体"/>
                    </w:rPr>
                    <w:t>自来水管网</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default" w:ascii="Times New Roman" w:hAnsi="Times New Roman" w:eastAsia="宋体" w:cs="Times New Roman"/>
                <w:b/>
                <w:bCs w:val="0"/>
                <w:strike w:val="0"/>
                <w:dstrike w:val="0"/>
                <w:color w:val="auto"/>
                <w:sz w:val="24"/>
                <w:szCs w:val="24"/>
                <w:highlight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2" w:firstLineChars="200"/>
              <w:jc w:val="both"/>
              <w:textAlignment w:val="auto"/>
              <w:rPr>
                <w:rFonts w:hint="eastAsia" w:ascii="Times New Roman" w:hAnsi="Times New Roman" w:eastAsia="宋体" w:cs="Times New Roman"/>
                <w:b/>
                <w:bCs w:val="0"/>
                <w:strike w:val="0"/>
                <w:dstrike w:val="0"/>
                <w:color w:val="auto"/>
                <w:sz w:val="24"/>
                <w:szCs w:val="24"/>
                <w:highlight w:val="none"/>
                <w:lang w:val="en-US" w:eastAsia="zh-CN"/>
              </w:rPr>
            </w:pPr>
            <w:r>
              <w:rPr>
                <w:rFonts w:hint="eastAsia" w:ascii="Times New Roman" w:hAnsi="Times New Roman" w:eastAsia="宋体" w:cs="Times New Roman"/>
                <w:b/>
                <w:bCs w:val="0"/>
                <w:strike w:val="0"/>
                <w:dstrike w:val="0"/>
                <w:color w:val="auto"/>
                <w:sz w:val="24"/>
                <w:szCs w:val="24"/>
                <w:highlight w:val="none"/>
                <w:lang w:val="en-US" w:eastAsia="zh-CN"/>
              </w:rPr>
              <w:t>劳动定员及工作制度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bCs/>
                <w:strike w:val="0"/>
                <w:dstrike w:val="0"/>
                <w:color w:val="auto"/>
                <w:sz w:val="24"/>
                <w:szCs w:val="24"/>
                <w:highlight w:val="none"/>
                <w:lang w:val="en-US" w:eastAsia="zh-CN"/>
              </w:rPr>
            </w:pPr>
            <w:r>
              <w:rPr>
                <w:rFonts w:hint="eastAsia" w:ascii="Times New Roman" w:hAnsi="Times New Roman" w:eastAsia="宋体" w:cs="Times New Roman"/>
                <w:bCs/>
                <w:strike w:val="0"/>
                <w:dstrike w:val="0"/>
                <w:color w:val="auto"/>
                <w:sz w:val="24"/>
                <w:szCs w:val="24"/>
                <w:highlight w:val="none"/>
                <w:lang w:val="en-US" w:eastAsia="zh-CN"/>
              </w:rPr>
              <w:t>项目劳动定员</w:t>
            </w:r>
            <w:r>
              <w:rPr>
                <w:rFonts w:hint="eastAsia" w:cs="Times New Roman"/>
                <w:bCs/>
                <w:strike w:val="0"/>
                <w:dstrike w:val="0"/>
                <w:color w:val="auto"/>
                <w:sz w:val="24"/>
                <w:szCs w:val="24"/>
                <w:highlight w:val="none"/>
                <w:lang w:val="en-US" w:eastAsia="zh-CN"/>
              </w:rPr>
              <w:t>12</w:t>
            </w:r>
            <w:r>
              <w:rPr>
                <w:rFonts w:hint="eastAsia" w:ascii="Times New Roman" w:hAnsi="Times New Roman" w:eastAsia="宋体" w:cs="Times New Roman"/>
                <w:bCs/>
                <w:strike w:val="0"/>
                <w:dstrike w:val="0"/>
                <w:color w:val="auto"/>
                <w:sz w:val="24"/>
                <w:szCs w:val="24"/>
                <w:highlight w:val="none"/>
                <w:lang w:val="en-US" w:eastAsia="zh-CN"/>
              </w:rPr>
              <w:t>人，</w:t>
            </w:r>
            <w:r>
              <w:rPr>
                <w:rFonts w:hint="eastAsia" w:cs="Times New Roman"/>
                <w:bCs/>
                <w:strike w:val="0"/>
                <w:dstrike w:val="0"/>
                <w:color w:val="auto"/>
                <w:sz w:val="24"/>
                <w:szCs w:val="24"/>
                <w:highlight w:val="none"/>
                <w:lang w:val="en-US" w:eastAsia="zh-CN"/>
              </w:rPr>
              <w:t>用餐12人</w:t>
            </w:r>
            <w:r>
              <w:rPr>
                <w:rFonts w:hint="eastAsia" w:ascii="Times New Roman" w:hAnsi="Times New Roman" w:eastAsia="宋体" w:cs="Times New Roman"/>
                <w:bCs/>
                <w:strike w:val="0"/>
                <w:dstrike w:val="0"/>
                <w:color w:val="auto"/>
                <w:sz w:val="24"/>
                <w:szCs w:val="24"/>
                <w:highlight w:val="none"/>
                <w:lang w:val="en-US" w:eastAsia="zh-CN"/>
              </w:rPr>
              <w:t>，采用1班工作制</w:t>
            </w:r>
            <w:r>
              <w:rPr>
                <w:rFonts w:hint="eastAsia" w:cs="Times New Roman"/>
                <w:bCs/>
                <w:strike w:val="0"/>
                <w:dstrike w:val="0"/>
                <w:color w:val="auto"/>
                <w:sz w:val="24"/>
                <w:szCs w:val="24"/>
                <w:highlight w:val="none"/>
                <w:lang w:val="en-US" w:eastAsia="zh-CN"/>
              </w:rPr>
              <w:t>，</w:t>
            </w:r>
            <w:r>
              <w:rPr>
                <w:rFonts w:hint="eastAsia" w:ascii="Times New Roman" w:hAnsi="Times New Roman" w:eastAsia="宋体" w:cs="Times New Roman"/>
                <w:bCs/>
                <w:strike w:val="0"/>
                <w:dstrike w:val="0"/>
                <w:color w:val="auto"/>
                <w:sz w:val="24"/>
                <w:szCs w:val="24"/>
                <w:highlight w:val="none"/>
                <w:lang w:val="en-US" w:eastAsia="zh-CN"/>
              </w:rPr>
              <w:t>每班工作8小时，全年工作天数为</w:t>
            </w:r>
            <w:r>
              <w:rPr>
                <w:rFonts w:hint="eastAsia" w:cs="Times New Roman"/>
                <w:bCs/>
                <w:strike w:val="0"/>
                <w:dstrike w:val="0"/>
                <w:color w:val="auto"/>
                <w:sz w:val="24"/>
                <w:szCs w:val="24"/>
                <w:highlight w:val="none"/>
                <w:lang w:val="en-US" w:eastAsia="zh-CN"/>
              </w:rPr>
              <w:t>300</w:t>
            </w:r>
            <w:r>
              <w:rPr>
                <w:rFonts w:hint="eastAsia" w:ascii="Times New Roman" w:hAnsi="Times New Roman" w:eastAsia="宋体" w:cs="Times New Roman"/>
                <w:bCs/>
                <w:strike w:val="0"/>
                <w:dstrike w:val="0"/>
                <w:color w:val="auto"/>
                <w:sz w:val="24"/>
                <w:szCs w:val="24"/>
                <w:highlight w:val="none"/>
                <w:lang w:val="en-US" w:eastAsia="zh-CN"/>
              </w:rPr>
              <w:t>天。</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2" w:firstLineChars="200"/>
              <w:jc w:val="both"/>
              <w:textAlignment w:val="auto"/>
              <w:rPr>
                <w:rFonts w:hint="default" w:ascii="Times New Roman" w:hAnsi="Times New Roman" w:eastAsia="宋体" w:cs="Times New Roman"/>
                <w:b/>
                <w:bCs w:val="0"/>
                <w:strike w:val="0"/>
                <w:dstrike w:val="0"/>
                <w:color w:val="auto"/>
                <w:sz w:val="24"/>
                <w:szCs w:val="24"/>
                <w:highlight w:val="none"/>
                <w:lang w:val="en-US" w:eastAsia="zh-CN"/>
              </w:rPr>
            </w:pPr>
            <w:r>
              <w:rPr>
                <w:rFonts w:hint="eastAsia" w:ascii="Times New Roman" w:hAnsi="Times New Roman" w:eastAsia="宋体" w:cs="Times New Roman"/>
                <w:b/>
                <w:bCs w:val="0"/>
                <w:strike w:val="0"/>
                <w:dstrike w:val="0"/>
                <w:color w:val="auto"/>
                <w:sz w:val="24"/>
                <w:szCs w:val="24"/>
                <w:highlight w:val="none"/>
                <w:lang w:val="en-US" w:eastAsia="zh-CN"/>
              </w:rPr>
              <w:t>厂区平面布置</w:t>
            </w:r>
          </w:p>
          <w:p>
            <w:pPr>
              <w:adjustRightInd w:val="0"/>
              <w:snapToGrid w:val="0"/>
              <w:spacing w:line="360" w:lineRule="auto"/>
              <w:ind w:firstLine="480" w:firstLineChars="200"/>
              <w:rPr>
                <w:rFonts w:hint="eastAsia" w:ascii="Times New Roman" w:hAnsi="Times New Roman" w:eastAsia="宋体" w:cs="Times New Roman"/>
                <w:bCs/>
                <w:strike w:val="0"/>
                <w:dstrike w:val="0"/>
                <w:color w:val="auto"/>
                <w:sz w:val="24"/>
                <w:szCs w:val="24"/>
                <w:highlight w:val="none"/>
                <w:lang w:val="en-US" w:eastAsia="zh-CN"/>
              </w:rPr>
            </w:pPr>
            <w:r>
              <w:rPr>
                <w:rFonts w:hint="eastAsia"/>
                <w:sz w:val="24"/>
                <w:u w:val="none"/>
              </w:rPr>
              <w:t>根据</w:t>
            </w:r>
            <w:r>
              <w:rPr>
                <w:rFonts w:hint="eastAsia"/>
                <w:sz w:val="24"/>
                <w:u w:val="none"/>
                <w:lang w:eastAsia="zh-CN"/>
              </w:rPr>
              <w:t>厂区</w:t>
            </w:r>
            <w:r>
              <w:rPr>
                <w:rFonts w:hint="eastAsia"/>
                <w:sz w:val="24"/>
                <w:u w:val="none"/>
              </w:rPr>
              <w:t>平面布置图</w:t>
            </w:r>
            <w:r>
              <w:rPr>
                <w:rFonts w:hint="eastAsia"/>
                <w:sz w:val="24"/>
                <w:u w:val="none"/>
                <w:lang w:eastAsia="zh-CN"/>
              </w:rPr>
              <w:t>设计</w:t>
            </w:r>
            <w:r>
              <w:rPr>
                <w:rFonts w:hint="eastAsia"/>
                <w:sz w:val="24"/>
                <w:u w:val="none"/>
              </w:rPr>
              <w:t>，项目建设地</w:t>
            </w:r>
            <w:r>
              <w:rPr>
                <w:rFonts w:hint="eastAsia"/>
                <w:sz w:val="24"/>
                <w:u w:val="none"/>
                <w:lang w:eastAsia="zh-CN"/>
              </w:rPr>
              <w:t>入口位于西北侧，靠近生活办公区，储油区设置在其西侧，厂区西侧为产品堆场，中部布置为混凝土车间，混凝土车间南侧为机制砂生产车间，原料堆场在最南侧</w:t>
            </w:r>
            <w:r>
              <w:rPr>
                <w:rFonts w:hint="eastAsia"/>
                <w:sz w:val="24"/>
                <w:u w:val="none"/>
              </w:rPr>
              <w:t>，生产车间为全封闭厂房，包括配料仓、配料斗、搅拌主机</w:t>
            </w:r>
            <w:r>
              <w:rPr>
                <w:rFonts w:hint="eastAsia"/>
                <w:sz w:val="24"/>
                <w:u w:val="none"/>
                <w:lang w:eastAsia="zh-CN"/>
              </w:rPr>
              <w:t>、</w:t>
            </w:r>
            <w:r>
              <w:rPr>
                <w:rFonts w:hint="eastAsia"/>
                <w:sz w:val="24"/>
                <w:u w:val="none"/>
              </w:rPr>
              <w:t>砂石堆场等；</w:t>
            </w:r>
            <w:r>
              <w:rPr>
                <w:rFonts w:hint="eastAsia"/>
                <w:sz w:val="24"/>
                <w:u w:val="none"/>
                <w:lang w:eastAsia="zh-CN"/>
              </w:rPr>
              <w:t>洗车平台设置在出入口</w:t>
            </w:r>
            <w:r>
              <w:rPr>
                <w:rFonts w:hint="eastAsia"/>
                <w:sz w:val="24"/>
                <w:u w:val="none"/>
              </w:rPr>
              <w:t>；化粪池位于厂区办公区北侧</w:t>
            </w:r>
            <w:r>
              <w:rPr>
                <w:rFonts w:hint="eastAsia"/>
                <w:sz w:val="24"/>
                <w:u w:val="none"/>
                <w:lang w:eastAsia="zh-CN"/>
              </w:rPr>
              <w:t>，污水处理设施设置在东南角。</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strike w:val="0"/>
                <w:dstrike w:val="0"/>
                <w:color w:val="auto"/>
                <w:sz w:val="24"/>
                <w:szCs w:val="24"/>
                <w:highlight w:val="none"/>
                <w:lang w:val="en-US" w:eastAsia="zh-CN"/>
              </w:rPr>
            </w:pPr>
            <w:r>
              <w:rPr>
                <w:rFonts w:hint="eastAsia" w:ascii="Times New Roman" w:hAnsi="Times New Roman" w:eastAsia="宋体" w:cs="Times New Roman"/>
                <w:bCs/>
                <w:strike w:val="0"/>
                <w:dstrike w:val="0"/>
                <w:color w:val="auto"/>
                <w:sz w:val="24"/>
                <w:szCs w:val="24"/>
                <w:highlight w:val="none"/>
                <w:lang w:val="en-US" w:eastAsia="zh-CN"/>
              </w:rPr>
              <w:t>本项目建构筑物及主要设备设施的布局具体见总平面布置图</w:t>
            </w:r>
            <w:r>
              <w:rPr>
                <w:rFonts w:hint="default" w:ascii="Times New Roman" w:hAnsi="Times New Roman" w:eastAsia="宋体" w:cs="Times New Roman"/>
                <w:bCs/>
                <w:strike w:val="0"/>
                <w:dstrike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jc w:val="both"/>
              <w:textAlignment w:val="auto"/>
              <w:rPr>
                <w:rFonts w:hint="default" w:ascii="Times New Roman" w:hAnsi="Times New Roman" w:eastAsia="宋体" w:cs="Times New Roman"/>
                <w:b/>
                <w:bCs w:val="0"/>
                <w:strike w:val="0"/>
                <w:dstrike w:val="0"/>
                <w:color w:val="auto"/>
                <w:sz w:val="24"/>
                <w:szCs w:val="24"/>
                <w:lang w:val="en-US" w:eastAsia="zh-CN"/>
              </w:rPr>
            </w:pPr>
            <w:r>
              <w:rPr>
                <w:rFonts w:hint="eastAsia" w:cs="Times New Roman"/>
                <w:b/>
                <w:bCs w:val="0"/>
                <w:strike w:val="0"/>
                <w:dstrike w:val="0"/>
                <w:color w:val="auto"/>
                <w:sz w:val="24"/>
                <w:szCs w:val="24"/>
                <w:lang w:val="en-US" w:eastAsia="zh-CN"/>
              </w:rPr>
              <w:t>5</w:t>
            </w:r>
            <w:r>
              <w:rPr>
                <w:rFonts w:hint="default" w:ascii="Times New Roman" w:hAnsi="Times New Roman" w:eastAsia="宋体" w:cs="Times New Roman"/>
                <w:b/>
                <w:bCs w:val="0"/>
                <w:strike w:val="0"/>
                <w:dstrike w:val="0"/>
                <w:color w:val="auto"/>
                <w:sz w:val="24"/>
                <w:szCs w:val="24"/>
                <w:lang w:val="en-US" w:eastAsia="zh-CN"/>
              </w:rPr>
              <w:t>、施工计划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strike w:val="0"/>
                <w:dstrike w:val="0"/>
                <w:color w:val="auto"/>
                <w:sz w:val="24"/>
                <w:szCs w:val="24"/>
                <w:lang w:val="en-US" w:eastAsia="zh-CN"/>
              </w:rPr>
            </w:pPr>
            <w:r>
              <w:rPr>
                <w:rFonts w:hint="default" w:ascii="Times New Roman" w:hAnsi="Times New Roman" w:eastAsia="宋体" w:cs="Times New Roman"/>
                <w:bCs/>
                <w:strike w:val="0"/>
                <w:dstrike w:val="0"/>
                <w:color w:val="auto"/>
                <w:sz w:val="24"/>
                <w:szCs w:val="24"/>
                <w:lang w:val="en-US" w:eastAsia="zh-CN"/>
              </w:rPr>
              <w:t>施工安排：2021年</w:t>
            </w:r>
            <w:r>
              <w:rPr>
                <w:rFonts w:hint="eastAsia" w:ascii="Times New Roman" w:hAnsi="Times New Roman" w:cs="Times New Roman"/>
                <w:bCs/>
                <w:strike w:val="0"/>
                <w:dstrike w:val="0"/>
                <w:color w:val="auto"/>
                <w:sz w:val="24"/>
                <w:szCs w:val="24"/>
                <w:lang w:val="en-US" w:eastAsia="zh-CN"/>
              </w:rPr>
              <w:t>7</w:t>
            </w:r>
            <w:r>
              <w:rPr>
                <w:rFonts w:hint="default" w:ascii="Times New Roman" w:hAnsi="Times New Roman" w:eastAsia="宋体" w:cs="Times New Roman"/>
                <w:bCs/>
                <w:strike w:val="0"/>
                <w:dstrike w:val="0"/>
                <w:color w:val="auto"/>
                <w:sz w:val="24"/>
                <w:szCs w:val="24"/>
                <w:lang w:val="en-US" w:eastAsia="zh-CN"/>
              </w:rPr>
              <w:t>月</w:t>
            </w:r>
            <w:r>
              <w:rPr>
                <w:rFonts w:hint="eastAsia" w:ascii="Times New Roman" w:hAnsi="Times New Roman" w:cs="Times New Roman"/>
                <w:bCs/>
                <w:strike w:val="0"/>
                <w:dstrike w:val="0"/>
                <w:color w:val="auto"/>
                <w:sz w:val="24"/>
                <w:szCs w:val="24"/>
                <w:lang w:val="en-US" w:eastAsia="zh-CN"/>
              </w:rPr>
              <w:t>15日</w:t>
            </w:r>
            <w:r>
              <w:rPr>
                <w:rFonts w:hint="default" w:ascii="Times New Roman" w:hAnsi="Times New Roman" w:eastAsia="宋体" w:cs="Times New Roman"/>
                <w:bCs/>
                <w:strike w:val="0"/>
                <w:dstrike w:val="0"/>
                <w:color w:val="auto"/>
                <w:sz w:val="24"/>
                <w:szCs w:val="24"/>
                <w:lang w:val="en-US" w:eastAsia="zh-CN"/>
              </w:rPr>
              <w:t>-202</w:t>
            </w:r>
            <w:r>
              <w:rPr>
                <w:rFonts w:hint="eastAsia" w:ascii="Times New Roman" w:hAnsi="Times New Roman" w:cs="Times New Roman"/>
                <w:bCs/>
                <w:strike w:val="0"/>
                <w:dstrike w:val="0"/>
                <w:color w:val="auto"/>
                <w:sz w:val="24"/>
                <w:szCs w:val="24"/>
                <w:lang w:val="en-US" w:eastAsia="zh-CN"/>
              </w:rPr>
              <w:t>1</w:t>
            </w:r>
            <w:r>
              <w:rPr>
                <w:rFonts w:hint="default" w:ascii="Times New Roman" w:hAnsi="Times New Roman" w:eastAsia="宋体" w:cs="Times New Roman"/>
                <w:bCs/>
                <w:strike w:val="0"/>
                <w:dstrike w:val="0"/>
                <w:color w:val="auto"/>
                <w:sz w:val="24"/>
                <w:szCs w:val="24"/>
                <w:lang w:val="en-US" w:eastAsia="zh-CN"/>
              </w:rPr>
              <w:t>年</w:t>
            </w:r>
            <w:r>
              <w:rPr>
                <w:rFonts w:hint="eastAsia" w:ascii="Times New Roman" w:hAnsi="Times New Roman" w:cs="Times New Roman"/>
                <w:bCs/>
                <w:strike w:val="0"/>
                <w:dstrike w:val="0"/>
                <w:color w:val="auto"/>
                <w:sz w:val="24"/>
                <w:szCs w:val="24"/>
                <w:lang w:val="en-US" w:eastAsia="zh-CN"/>
              </w:rPr>
              <w:t>9</w:t>
            </w:r>
            <w:r>
              <w:rPr>
                <w:rFonts w:hint="default" w:ascii="Times New Roman" w:hAnsi="Times New Roman" w:eastAsia="宋体" w:cs="Times New Roman"/>
                <w:bCs/>
                <w:strike w:val="0"/>
                <w:dstrike w:val="0"/>
                <w:color w:val="auto"/>
                <w:sz w:val="24"/>
                <w:szCs w:val="24"/>
                <w:lang w:val="en-US" w:eastAsia="zh-CN"/>
              </w:rPr>
              <w:t>月</w:t>
            </w:r>
            <w:r>
              <w:rPr>
                <w:rFonts w:hint="eastAsia" w:ascii="Times New Roman" w:hAnsi="Times New Roman" w:cs="Times New Roman"/>
                <w:bCs/>
                <w:strike w:val="0"/>
                <w:dstrike w:val="0"/>
                <w:color w:val="auto"/>
                <w:sz w:val="24"/>
                <w:szCs w:val="24"/>
                <w:lang w:val="en-US" w:eastAsia="zh-CN"/>
              </w:rPr>
              <w:t>15日</w:t>
            </w:r>
            <w:r>
              <w:rPr>
                <w:rFonts w:hint="default" w:ascii="Times New Roman" w:hAnsi="Times New Roman" w:eastAsia="宋体" w:cs="Times New Roman"/>
                <w:bCs/>
                <w:strike w:val="0"/>
                <w:dstrike w:val="0"/>
                <w:color w:val="auto"/>
                <w:sz w:val="24"/>
                <w:szCs w:val="24"/>
                <w:lang w:val="en-US" w:eastAsia="zh-CN"/>
              </w:rPr>
              <w:t>，共</w:t>
            </w:r>
            <w:r>
              <w:rPr>
                <w:rFonts w:hint="eastAsia" w:ascii="Times New Roman" w:hAnsi="Times New Roman" w:cs="Times New Roman"/>
                <w:bCs/>
                <w:strike w:val="0"/>
                <w:dstrike w:val="0"/>
                <w:color w:val="auto"/>
                <w:sz w:val="24"/>
                <w:szCs w:val="24"/>
                <w:lang w:val="en-US" w:eastAsia="zh-CN"/>
              </w:rPr>
              <w:t>2</w:t>
            </w:r>
            <w:r>
              <w:rPr>
                <w:rFonts w:hint="default" w:ascii="Times New Roman" w:hAnsi="Times New Roman" w:eastAsia="宋体" w:cs="Times New Roman"/>
                <w:bCs/>
                <w:strike w:val="0"/>
                <w:dstrike w:val="0"/>
                <w:color w:val="auto"/>
                <w:sz w:val="24"/>
                <w:szCs w:val="24"/>
                <w:lang w:val="en-US" w:eastAsia="zh-CN"/>
              </w:rPr>
              <w:t>个月，</w:t>
            </w:r>
            <w:r>
              <w:rPr>
                <w:rFonts w:hint="default" w:ascii="Times New Roman" w:hAnsi="Times New Roman" w:cs="Times New Roman"/>
                <w:sz w:val="24"/>
                <w:szCs w:val="24"/>
              </w:rPr>
              <w:t>不设施工营地，施工人员均自行安排或附近人员</w:t>
            </w:r>
            <w:r>
              <w:rPr>
                <w:rFonts w:hint="default" w:ascii="Times New Roman" w:hAnsi="Times New Roman" w:eastAsia="宋体" w:cs="Times New Roman"/>
                <w:bCs/>
                <w:strike w:val="0"/>
                <w:dstrike w:val="0"/>
                <w:color w:val="auto"/>
                <w:sz w:val="24"/>
                <w:szCs w:val="24"/>
                <w:lang w:val="en-US" w:eastAsia="zh-CN"/>
              </w:rPr>
              <w:t>。</w:t>
            </w:r>
          </w:p>
          <w:p>
            <w:pPr>
              <w:spacing w:line="360" w:lineRule="auto"/>
              <w:ind w:firstLine="482" w:firstLineChars="200"/>
              <w:rPr>
                <w:rFonts w:hint="default" w:ascii="Times New Roman" w:hAnsi="Times New Roman" w:cs="Times New Roman"/>
                <w:b/>
                <w:bCs/>
                <w:color w:val="000000"/>
                <w:sz w:val="24"/>
                <w:szCs w:val="24"/>
              </w:rPr>
            </w:pPr>
            <w:r>
              <w:rPr>
                <w:rFonts w:hint="eastAsia" w:cs="Times New Roman"/>
                <w:b/>
                <w:bCs/>
                <w:color w:val="000000"/>
                <w:sz w:val="24"/>
                <w:szCs w:val="24"/>
                <w:lang w:val="en-US" w:eastAsia="zh-CN"/>
              </w:rPr>
              <w:t>6</w:t>
            </w:r>
            <w:r>
              <w:rPr>
                <w:rFonts w:hint="default" w:ascii="Times New Roman" w:hAnsi="Times New Roman" w:eastAsia="宋体" w:cs="Times New Roman"/>
                <w:b/>
                <w:bCs/>
                <w:color w:val="000000"/>
                <w:sz w:val="24"/>
                <w:szCs w:val="24"/>
                <w:lang w:val="en-US" w:eastAsia="zh-CN"/>
              </w:rPr>
              <w:t>、</w:t>
            </w:r>
            <w:r>
              <w:rPr>
                <w:rFonts w:hint="default" w:ascii="Times New Roman" w:hAnsi="Times New Roman" w:eastAsia="宋体" w:cs="Times New Roman"/>
                <w:b/>
                <w:bCs/>
                <w:color w:val="000000"/>
                <w:sz w:val="24"/>
                <w:szCs w:val="24"/>
              </w:rPr>
              <w:t>项</w:t>
            </w:r>
            <w:r>
              <w:rPr>
                <w:rFonts w:hint="default" w:ascii="Times New Roman" w:hAnsi="Times New Roman" w:cs="Times New Roman"/>
                <w:b/>
                <w:bCs/>
                <w:color w:val="000000"/>
                <w:sz w:val="24"/>
                <w:szCs w:val="24"/>
              </w:rPr>
              <w:t>目投资及资金筹措</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strike w:val="0"/>
                <w:dstrike w:val="0"/>
                <w:color w:val="auto"/>
                <w:sz w:val="24"/>
                <w:szCs w:val="24"/>
                <w:highlight w:val="none"/>
                <w:lang w:val="en-US" w:eastAsia="zh-CN"/>
              </w:rPr>
            </w:pPr>
            <w:r>
              <w:rPr>
                <w:rFonts w:hint="default" w:ascii="Times New Roman" w:hAnsi="Times New Roman" w:cs="Times New Roman"/>
                <w:color w:val="000000"/>
                <w:sz w:val="24"/>
                <w:szCs w:val="24"/>
              </w:rPr>
              <w:t>项目总投资</w:t>
            </w:r>
            <w:r>
              <w:rPr>
                <w:rFonts w:hint="eastAsia" w:ascii="Times New Roman" w:hAnsi="Times New Roman" w:cs="Times New Roman"/>
                <w:color w:val="000000"/>
                <w:sz w:val="24"/>
                <w:szCs w:val="24"/>
                <w:lang w:val="en-US" w:eastAsia="zh-CN"/>
              </w:rPr>
              <w:t>500</w:t>
            </w:r>
            <w:r>
              <w:rPr>
                <w:rFonts w:hint="default" w:ascii="Times New Roman" w:hAnsi="Times New Roman" w:cs="Times New Roman"/>
                <w:color w:val="000000"/>
                <w:sz w:val="24"/>
                <w:szCs w:val="24"/>
              </w:rPr>
              <w:t>万元，全部由建设单位自筹</w:t>
            </w:r>
            <w:r>
              <w:rPr>
                <w:rFonts w:hint="default" w:ascii="Times New Roman" w:hAnsi="Times New Roman" w:eastAsia="宋体" w:cs="Times New Roman"/>
                <w:bCs/>
                <w:strike w:val="0"/>
                <w:dstrike w:val="0"/>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48" w:type="dxa"/>
            <w:noWrap w:val="0"/>
            <w:vAlign w:val="center"/>
          </w:tcPr>
          <w:p>
            <w:pPr>
              <w:pStyle w:val="13"/>
              <w:adjustRightInd w:val="0"/>
              <w:snapToGrid w:val="0"/>
              <w:spacing w:before="0" w:beforeAutospacing="0" w:after="0" w:afterAutospacing="0"/>
              <w:jc w:val="center"/>
              <w:rPr>
                <w:rFonts w:hint="default" w:ascii="Times New Roman" w:hAnsi="Times New Roman" w:eastAsia="宋体" w:cs="Times New Roman"/>
                <w:strike w:val="0"/>
                <w:dstrike w:val="0"/>
                <w:color w:val="auto"/>
                <w:sz w:val="24"/>
                <w:szCs w:val="24"/>
                <w:highlight w:val="none"/>
              </w:rPr>
            </w:pPr>
            <w:r>
              <w:rPr>
                <w:rFonts w:hint="default" w:ascii="Times New Roman" w:hAnsi="Times New Roman" w:eastAsia="宋体" w:cs="Times New Roman"/>
                <w:strike w:val="0"/>
                <w:dstrike w:val="0"/>
                <w:color w:val="auto"/>
                <w:sz w:val="24"/>
                <w:szCs w:val="24"/>
                <w:highlight w:val="none"/>
                <w:shd w:val="clear" w:color="auto" w:fill="auto"/>
              </w:rPr>
              <w:t>工艺流程和产排污环节</w:t>
            </w:r>
          </w:p>
        </w:tc>
        <w:tc>
          <w:tcPr>
            <w:tcW w:w="83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firstLine="480" w:firstLineChars="200"/>
              <w:jc w:val="both"/>
              <w:textAlignment w:val="auto"/>
              <w:rPr>
                <w:rFonts w:hint="default"/>
                <w:sz w:val="24"/>
                <w:szCs w:val="24"/>
                <w:lang w:val="en-US" w:eastAsia="zh-CN"/>
              </w:rPr>
            </w:pPr>
            <w:r>
              <w:rPr>
                <w:rFonts w:hint="eastAsia"/>
                <w:sz w:val="24"/>
                <w:szCs w:val="24"/>
                <w:lang w:val="en-US" w:eastAsia="zh-CN"/>
              </w:rPr>
              <w:t>1、</w:t>
            </w:r>
            <w:r>
              <w:rPr>
                <w:rFonts w:hint="default"/>
                <w:sz w:val="24"/>
                <w:szCs w:val="24"/>
                <w:lang w:val="en-US" w:eastAsia="zh-CN"/>
              </w:rPr>
              <w:t>工艺流程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sz w:val="24"/>
                <w:szCs w:val="24"/>
                <w:lang w:val="en-US" w:eastAsia="zh-CN"/>
              </w:rPr>
            </w:pPr>
            <w:r>
              <w:rPr>
                <w:rFonts w:hint="eastAsia"/>
                <w:sz w:val="24"/>
                <w:szCs w:val="24"/>
                <w:lang w:val="en-US" w:eastAsia="zh-CN"/>
              </w:rPr>
              <w:t>1）、机制砂生产工艺流程，</w:t>
            </w:r>
            <w:r>
              <w:rPr>
                <w:rFonts w:hint="default"/>
                <w:sz w:val="24"/>
                <w:szCs w:val="24"/>
                <w:lang w:val="en-US" w:eastAsia="zh-CN"/>
              </w:rPr>
              <w:t>见图</w:t>
            </w:r>
            <w:r>
              <w:rPr>
                <w:rFonts w:hint="eastAsia"/>
                <w:sz w:val="24"/>
                <w:szCs w:val="24"/>
                <w:lang w:val="en-US" w:eastAsia="zh-CN"/>
              </w:rPr>
              <w:t>2-1</w:t>
            </w:r>
            <w:r>
              <w:rPr>
                <w:rFonts w:hint="default"/>
                <w:sz w:val="24"/>
                <w:szCs w:val="24"/>
                <w:lang w:val="en-US" w:eastAsia="zh-CN"/>
              </w:rPr>
              <w:t>所示。</w:t>
            </w:r>
          </w:p>
          <w:p>
            <w:pPr>
              <w:spacing w:line="360" w:lineRule="auto"/>
              <w:ind w:firstLine="420" w:firstLineChars="200"/>
            </w:pPr>
            <w:r>
              <w:drawing>
                <wp:inline distT="0" distB="0" distL="114300" distR="114300">
                  <wp:extent cx="4993640" cy="2839720"/>
                  <wp:effectExtent l="0" t="0" r="16510" b="1778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8"/>
                          <a:stretch>
                            <a:fillRect/>
                          </a:stretch>
                        </pic:blipFill>
                        <pic:spPr>
                          <a:xfrm>
                            <a:off x="0" y="0"/>
                            <a:ext cx="4993640" cy="283972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b/>
                <w:bCs/>
                <w:lang w:val="en-US" w:eastAsia="zh-CN"/>
              </w:rPr>
            </w:pPr>
            <w:r>
              <w:rPr>
                <w:rFonts w:hint="eastAsia"/>
                <w:b/>
                <w:bCs/>
                <w:lang w:val="en-US" w:eastAsia="zh-CN"/>
              </w:rPr>
              <w:t>图2-1  工艺流程示意图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①工艺流程说明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sz w:val="24"/>
                <w:szCs w:val="24"/>
              </w:rPr>
            </w:pPr>
            <w:r>
              <w:rPr>
                <w:rFonts w:hint="eastAsia"/>
                <w:sz w:val="24"/>
                <w:szCs w:val="24"/>
              </w:rPr>
              <w:t>项目直接外购河卵石存放在厂东侧原料堆场，经运输车运至生产加工区，首先是经过给料机给料，送至颚破机内进行破碎，再通过皮带输送机送入圆锥破碎机内，再经过皮带输送（廊道密闭）至振动筛，进行筛分分级，最后进入立轴式破碎机，再经过振动筛筛分</w:t>
            </w:r>
            <w:r>
              <w:rPr>
                <w:rFonts w:hint="eastAsia"/>
                <w:sz w:val="24"/>
                <w:szCs w:val="24"/>
                <w:lang w:eastAsia="zh-CN"/>
              </w:rPr>
              <w:t>水洗，再进入搅砂机</w:t>
            </w:r>
            <w:r>
              <w:rPr>
                <w:rFonts w:hint="eastAsia"/>
                <w:sz w:val="24"/>
                <w:szCs w:val="24"/>
              </w:rPr>
              <w:t>，水洗的泥浆进入沉淀池，粒径未达到要求的通过返料输送带返料至</w:t>
            </w:r>
            <w:r>
              <w:rPr>
                <w:rFonts w:hint="eastAsia"/>
                <w:sz w:val="24"/>
                <w:szCs w:val="24"/>
                <w:lang w:eastAsia="zh-CN"/>
              </w:rPr>
              <w:t>圆锥破</w:t>
            </w:r>
            <w:r>
              <w:rPr>
                <w:rFonts w:hint="eastAsia"/>
                <w:sz w:val="24"/>
                <w:szCs w:val="24"/>
              </w:rPr>
              <w:t>内，破碎后碎石再次进入振动筛进行筛分分级。振动过筛均使用湿式作业，控制含水率约为20%，控制料水比例为1:2（体积比），产生的泥浆水经泥水分离脱水系统处理后的进入沉淀池后循环使用于生产，不外排。</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rPr>
            </w:pPr>
            <w:r>
              <w:rPr>
                <w:rFonts w:hint="eastAsia"/>
                <w:sz w:val="24"/>
                <w:szCs w:val="24"/>
              </w:rPr>
              <w:t>生产过程中产生的泥水经管道输送至</w:t>
            </w:r>
            <w:r>
              <w:rPr>
                <w:rFonts w:hint="eastAsia"/>
                <w:sz w:val="24"/>
                <w:szCs w:val="24"/>
                <w:lang w:eastAsia="zh-CN"/>
              </w:rPr>
              <w:t>沉淀池再进入</w:t>
            </w:r>
            <w:r>
              <w:rPr>
                <w:rFonts w:hint="eastAsia"/>
                <w:sz w:val="24"/>
                <w:szCs w:val="24"/>
              </w:rPr>
              <w:t>沉淀罐，在絮流沉淀罐中投加絮凝剂，加速泥水的沉淀，沉淀的泥水通过管道输送至</w:t>
            </w:r>
            <w:r>
              <w:rPr>
                <w:rFonts w:hint="eastAsia"/>
                <w:sz w:val="24"/>
                <w:szCs w:val="24"/>
                <w:lang w:eastAsia="zh-CN"/>
              </w:rPr>
              <w:t>板框</w:t>
            </w:r>
            <w:r>
              <w:rPr>
                <w:rFonts w:hint="eastAsia"/>
                <w:sz w:val="24"/>
                <w:szCs w:val="24"/>
              </w:rPr>
              <w:t>压滤机进行脱水，脱水后的泥饼运至暂存堆场区统一处理，脱水产生的清水进入沉淀池（清水池）回用于生产。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2）混凝土生产工艺流程</w:t>
            </w:r>
          </w:p>
          <w:p>
            <w:pPr>
              <w:bidi w:val="0"/>
              <w:rPr>
                <w:rFonts w:hint="default"/>
                <w:lang w:val="en-US" w:eastAsia="zh-CN"/>
              </w:rPr>
            </w:pPr>
            <w:r>
              <w:drawing>
                <wp:inline distT="0" distB="0" distL="114300" distR="114300">
                  <wp:extent cx="5336540" cy="3898265"/>
                  <wp:effectExtent l="0" t="0" r="16510" b="6985"/>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9"/>
                          <a:stretch>
                            <a:fillRect/>
                          </a:stretch>
                        </pic:blipFill>
                        <pic:spPr>
                          <a:xfrm>
                            <a:off x="0" y="0"/>
                            <a:ext cx="5336540" cy="3898265"/>
                          </a:xfrm>
                          <a:prstGeom prst="rect">
                            <a:avLst/>
                          </a:prstGeom>
                          <a:noFill/>
                          <a:ln>
                            <a:noFill/>
                          </a:ln>
                        </pic:spPr>
                      </pic:pic>
                    </a:graphicData>
                  </a:graphic>
                </wp:inline>
              </w:drawing>
            </w: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b/>
                <w:bCs/>
                <w:lang w:val="en-US" w:eastAsia="zh-CN"/>
              </w:rPr>
            </w:pPr>
            <w:r>
              <w:rPr>
                <w:rFonts w:hint="eastAsia"/>
                <w:b/>
                <w:bCs/>
                <w:lang w:val="en-US" w:eastAsia="zh-CN"/>
              </w:rPr>
              <w:t>图2-2  工艺流程示意图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①工艺流程说明</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项目所需原料</w:t>
            </w:r>
            <w:r>
              <w:rPr>
                <w:rFonts w:hint="eastAsia"/>
                <w:color w:val="000000" w:themeColor="text1"/>
                <w:sz w:val="24"/>
                <w:lang w:eastAsia="zh-CN"/>
                <w14:textFill>
                  <w14:solidFill>
                    <w14:schemeClr w14:val="tx1"/>
                  </w14:solidFill>
                </w14:textFill>
              </w:rPr>
              <w:t>砂石为自行生产，粉煤灰、水泥、添加剂外购</w:t>
            </w:r>
            <w:r>
              <w:rPr>
                <w:rFonts w:hint="default"/>
                <w:color w:val="000000" w:themeColor="text1"/>
                <w:sz w:val="24"/>
                <w14:textFill>
                  <w14:solidFill>
                    <w14:schemeClr w14:val="tx1"/>
                  </w14:solidFill>
                </w14:textFill>
              </w:rPr>
              <w:t>，可直接进入生产线。</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eastAsia="宋体"/>
                <w:color w:val="000000" w:themeColor="text1"/>
                <w:sz w:val="24"/>
                <w:lang w:eastAsia="zh-CN"/>
                <w14:textFill>
                  <w14:solidFill>
                    <w14:schemeClr w14:val="tx1"/>
                  </w14:solidFill>
                </w14:textFill>
              </w:rPr>
            </w:pPr>
            <w:r>
              <w:rPr>
                <w:rFonts w:hint="default"/>
                <w:color w:val="000000" w:themeColor="text1"/>
                <w:sz w:val="24"/>
                <w14:textFill>
                  <w14:solidFill>
                    <w14:schemeClr w14:val="tx1"/>
                  </w14:solidFill>
                </w14:textFill>
              </w:rPr>
              <w:t>项目所有工序均为物理过程</w:t>
            </w:r>
            <w:r>
              <w:rPr>
                <w:rFonts w:hint="eastAsia"/>
                <w:color w:val="000000" w:themeColor="text1"/>
                <w:sz w:val="24"/>
                <w:lang w:eastAsia="zh-CN"/>
                <w14:textFill>
                  <w14:solidFill>
                    <w14:schemeClr w14:val="tx1"/>
                  </w14:solidFill>
                </w14:textFill>
              </w:rPr>
              <w:t>，</w:t>
            </w:r>
            <w:r>
              <w:rPr>
                <w:rFonts w:hint="default"/>
                <w:color w:val="000000" w:themeColor="text1"/>
                <w:sz w:val="24"/>
                <w14:textFill>
                  <w14:solidFill>
                    <w14:schemeClr w14:val="tx1"/>
                  </w14:solidFill>
                </w14:textFill>
              </w:rPr>
              <w:t>分为4个阶段：配料、投料、搅拌和卸料。生产过程由电脑控制，按照原料配比，对原材料进行称量。砂、石通过传送带送入集料中间仓再进入搅拌机；水泥、粉煤灰则由压缩空气法吹入专用筒仓，辅以螺旋输送机送入搅拌机；水由清水计量系统抽入供给，所有原辅材料称量后一起送至搅拌机内进行搅拌，按规定时间充分搅拌均匀后，再进入受料斗</w:t>
            </w:r>
            <w:r>
              <w:rPr>
                <w:rFonts w:hint="eastAsia"/>
                <w:color w:val="000000" w:themeColor="text1"/>
                <w:sz w:val="24"/>
                <w:lang w:eastAsia="zh-CN"/>
                <w14:textFill>
                  <w14:solidFill>
                    <w14:schemeClr w14:val="tx1"/>
                  </w14:solidFill>
                </w14:textFill>
              </w:rPr>
              <w:t>，即为成品。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2、产污环节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废水：本项目制砂生产废水主要为运输车辆清洗废水、洗砂废水；</w:t>
            </w:r>
            <w:r>
              <w:rPr>
                <w:rFonts w:hint="eastAsia"/>
                <w:color w:val="000000" w:themeColor="text1"/>
                <w:sz w:val="24"/>
                <w:u w:val="none"/>
                <w:lang w:eastAsia="zh-CN"/>
                <w14:textFill>
                  <w14:solidFill>
                    <w14:schemeClr w14:val="tx1"/>
                  </w14:solidFill>
                </w14:textFill>
              </w:rPr>
              <w:t>混凝土</w:t>
            </w:r>
            <w:r>
              <w:rPr>
                <w:rFonts w:hint="eastAsia"/>
                <w:color w:val="000000" w:themeColor="text1"/>
                <w:sz w:val="24"/>
                <w:u w:val="none"/>
                <w14:textFill>
                  <w14:solidFill>
                    <w14:schemeClr w14:val="tx1"/>
                  </w14:solidFill>
                </w14:textFill>
              </w:rPr>
              <w:t>生产线过程中需要加水进行搅拌，加入的水全部移至产品中，不会有废水排放，砂石均从外面采购，在项目内也不用再进行清洗，不会有砂石清洗废水产生，但对</w:t>
            </w:r>
            <w:r>
              <w:rPr>
                <w:rFonts w:hint="eastAsia"/>
                <w:color w:val="000000" w:themeColor="text1"/>
                <w:sz w:val="24"/>
                <w:u w:val="none"/>
                <w:lang w:eastAsia="zh-CN"/>
                <w14:textFill>
                  <w14:solidFill>
                    <w14:schemeClr w14:val="tx1"/>
                  </w14:solidFill>
                </w14:textFill>
              </w:rPr>
              <w:t>混凝土</w:t>
            </w:r>
            <w:r>
              <w:rPr>
                <w:rFonts w:hint="eastAsia"/>
                <w:color w:val="000000" w:themeColor="text1"/>
                <w:sz w:val="24"/>
                <w:u w:val="none"/>
                <w14:textFill>
                  <w14:solidFill>
                    <w14:schemeClr w14:val="tx1"/>
                  </w14:solidFill>
                </w14:textFill>
              </w:rPr>
              <w:t>搅拌设备、运输车辆及地面清洗会产生清洗废水</w:t>
            </w:r>
            <w:r>
              <w:rPr>
                <w:rFonts w:hint="eastAsia"/>
                <w:color w:val="000000" w:themeColor="text1"/>
                <w:sz w:val="24"/>
                <w:u w:val="none"/>
                <w:lang w:eastAsia="zh-CN"/>
                <w14:textFill>
                  <w14:solidFill>
                    <w14:schemeClr w14:val="tx1"/>
                  </w14:solidFill>
                </w14:textFill>
              </w:rPr>
              <w:t>；员工生活污水</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废气：本项目生产废气主要为砂石堆放、输送、下料机、破碎过程产生的颗粒物；水泥、石子、砂子</w:t>
            </w:r>
            <w:r>
              <w:rPr>
                <w:rFonts w:hint="default"/>
                <w:color w:val="000000" w:themeColor="text1"/>
                <w:sz w:val="24"/>
                <w14:textFill>
                  <w14:solidFill>
                    <w14:schemeClr w14:val="tx1"/>
                  </w14:solidFill>
                </w14:textFill>
              </w:rPr>
              <w:t>物料输送储存粉尘、物料混合搅拌粉尘、</w:t>
            </w:r>
            <w:r>
              <w:rPr>
                <w:rFonts w:hint="eastAsia"/>
                <w:color w:val="000000" w:themeColor="text1"/>
                <w:sz w:val="24"/>
                <w:lang w:eastAsia="zh-CN"/>
                <w14:textFill>
                  <w14:solidFill>
                    <w14:schemeClr w14:val="tx1"/>
                  </w14:solidFill>
                </w14:textFill>
              </w:rPr>
              <w:t>原料仓库</w:t>
            </w:r>
            <w:r>
              <w:rPr>
                <w:rFonts w:hint="default"/>
                <w:color w:val="000000" w:themeColor="text1"/>
                <w:sz w:val="24"/>
                <w14:textFill>
                  <w14:solidFill>
                    <w14:schemeClr w14:val="tx1"/>
                  </w14:solidFill>
                </w14:textFill>
              </w:rPr>
              <w:t>粉尘、运输道路扬尘</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固废：本项目生产产生的固废废弃物为泥水分离脱水系统分离出来的泥饼、除尘器收集的原料、沉淀池沉渣及办公区和生活区的生活垃圾。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sz w:val="24"/>
                <w:szCs w:val="24"/>
                <w:lang w:val="en-US" w:eastAsia="zh-CN"/>
              </w:rPr>
              <w:t>噪声：本项目噪声主要是生产线各设备运行过程中产生的噪声。</w:t>
            </w:r>
          </w:p>
          <w:p>
            <w:pPr>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48" w:type="dxa"/>
            <w:noWrap w:val="0"/>
            <w:vAlign w:val="center"/>
          </w:tcPr>
          <w:p>
            <w:pPr>
              <w:pStyle w:val="13"/>
              <w:adjustRightInd w:val="0"/>
              <w:snapToGrid w:val="0"/>
              <w:spacing w:before="0" w:beforeAutospacing="0" w:after="0" w:afterAutospacing="0"/>
              <w:jc w:val="center"/>
              <w:rPr>
                <w:rFonts w:hint="default" w:ascii="Times New Roman" w:hAnsi="Times New Roman" w:eastAsia="宋体" w:cs="Times New Roman"/>
                <w:strike w:val="0"/>
                <w:dstrike w:val="0"/>
                <w:color w:val="auto"/>
                <w:sz w:val="24"/>
                <w:szCs w:val="24"/>
                <w:highlight w:val="none"/>
              </w:rPr>
            </w:pPr>
            <w:r>
              <w:rPr>
                <w:rFonts w:hint="default" w:ascii="Times New Roman" w:hAnsi="Times New Roman" w:eastAsia="宋体" w:cs="Times New Roman"/>
                <w:bCs/>
                <w:strike w:val="0"/>
                <w:dstrike w:val="0"/>
                <w:color w:val="auto"/>
                <w:kern w:val="2"/>
                <w:sz w:val="24"/>
                <w:szCs w:val="24"/>
                <w:highlight w:val="none"/>
              </w:rPr>
              <w:t>与项目有关的原有环境污染问题</w:t>
            </w:r>
          </w:p>
        </w:tc>
        <w:tc>
          <w:tcPr>
            <w:tcW w:w="831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u w:val="none"/>
                <w:lang w:val="en-US" w:eastAsia="zh-CN"/>
              </w:rPr>
            </w:pPr>
            <w:r>
              <w:rPr>
                <w:rFonts w:hint="eastAsia" w:cs="Times New Roman"/>
                <w:bCs/>
                <w:strike w:val="0"/>
                <w:dstrike w:val="0"/>
                <w:color w:val="auto"/>
                <w:sz w:val="24"/>
                <w:szCs w:val="24"/>
                <w:highlight w:val="none"/>
                <w:u w:val="none"/>
                <w:lang w:val="en-US" w:eastAsia="zh-CN"/>
              </w:rPr>
              <w:t>湖南金地利新农村建设项目投资有限公司澧县王家厂分公司，在柳津村6组建设有混凝土生产线，2019年12月9日该公司中标澧县涔水干流砂石采区一标砂石开采劳务外包项目，该公司采砂环评已审批，目前厂区新增制砂生产线。本厂区土地采取有偿租赁形式，为建设用地，且用地手续齐全（有国土部门的手续及用地红线图），厂区目前的建设现状为混凝土生产线运行中，现不对外进行售卖，仅供厂区建设需要，机制砂设备进行安装，厂区车间在建设过程中，现存在的环境污染问题为：混凝生产车间未进行全封闭，地面未进行硬化，无污水处理设施，现要求企业在建设制砂车间的同时对原有的污染</w:t>
            </w:r>
            <w:r>
              <w:rPr>
                <w:rFonts w:hint="eastAsia"/>
                <w:sz w:val="24"/>
                <w:szCs w:val="24"/>
                <w:u w:val="none"/>
                <w:lang w:val="en-US" w:eastAsia="zh-CN"/>
              </w:rPr>
              <w:t>进行整改。整改措施如下表所述。</w:t>
            </w:r>
          </w:p>
          <w:p>
            <w:pPr>
              <w:bidi w:val="0"/>
              <w:spacing w:line="360" w:lineRule="auto"/>
              <w:jc w:val="center"/>
              <w:rPr>
                <w:rFonts w:hint="default"/>
                <w:b/>
                <w:bCs/>
                <w:sz w:val="21"/>
                <w:szCs w:val="21"/>
                <w:u w:val="none"/>
                <w:lang w:val="en-US" w:eastAsia="zh-CN"/>
              </w:rPr>
            </w:pPr>
            <w:r>
              <w:rPr>
                <w:rFonts w:hint="eastAsia"/>
                <w:b/>
                <w:bCs/>
                <w:sz w:val="21"/>
                <w:szCs w:val="21"/>
                <w:u w:val="none"/>
                <w:lang w:val="en-US" w:eastAsia="zh-CN"/>
              </w:rPr>
              <w:t>表2-7 整改措施一览表</w:t>
            </w:r>
          </w:p>
          <w:tbl>
            <w:tblPr>
              <w:tblStyle w:val="16"/>
              <w:tblW w:w="8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3269"/>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pStyle w:val="2"/>
                    <w:tabs>
                      <w:tab w:val="left" w:pos="1142"/>
                    </w:tabs>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序号</w:t>
                  </w:r>
                </w:p>
              </w:tc>
              <w:tc>
                <w:tcPr>
                  <w:tcW w:w="3269" w:type="dxa"/>
                  <w:vAlign w:val="center"/>
                </w:tcPr>
                <w:p>
                  <w:pPr>
                    <w:pStyle w:val="2"/>
                    <w:tabs>
                      <w:tab w:val="left" w:pos="797"/>
                    </w:tabs>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存在问题</w:t>
                  </w:r>
                </w:p>
              </w:tc>
              <w:tc>
                <w:tcPr>
                  <w:tcW w:w="4157" w:type="dxa"/>
                  <w:vAlign w:val="center"/>
                </w:tcPr>
                <w:p>
                  <w:pPr>
                    <w:pStyle w:val="2"/>
                    <w:tabs>
                      <w:tab w:val="left" w:pos="1142"/>
                    </w:tabs>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70" w:type="dxa"/>
                  <w:vAlign w:val="center"/>
                </w:tcPr>
                <w:p>
                  <w:pPr>
                    <w:pStyle w:val="2"/>
                    <w:tabs>
                      <w:tab w:val="left" w:pos="1142"/>
                    </w:tabs>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1</w:t>
                  </w:r>
                </w:p>
              </w:tc>
              <w:tc>
                <w:tcPr>
                  <w:tcW w:w="3269" w:type="dxa"/>
                  <w:vAlign w:val="center"/>
                </w:tcPr>
                <w:p>
                  <w:pPr>
                    <w:pStyle w:val="2"/>
                    <w:tabs>
                      <w:tab w:val="left" w:pos="1142"/>
                    </w:tabs>
                    <w:jc w:val="center"/>
                    <w:rPr>
                      <w:rFonts w:hint="default"/>
                      <w:color w:val="auto"/>
                      <w:sz w:val="21"/>
                      <w:szCs w:val="21"/>
                      <w:u w:val="none"/>
                      <w:vertAlign w:val="baseline"/>
                      <w:lang w:val="en-US" w:eastAsia="zh-CN"/>
                    </w:rPr>
                  </w:pPr>
                  <w:r>
                    <w:rPr>
                      <w:rFonts w:hint="eastAsia" w:cs="Times New Roman"/>
                      <w:bCs/>
                      <w:strike w:val="0"/>
                      <w:dstrike w:val="0"/>
                      <w:color w:val="auto"/>
                      <w:sz w:val="21"/>
                      <w:szCs w:val="21"/>
                      <w:highlight w:val="none"/>
                      <w:u w:val="none"/>
                      <w:lang w:val="en-US" w:eastAsia="zh-CN"/>
                    </w:rPr>
                    <w:t>混凝土生产车间未进行封闭，地面未进行硬化</w:t>
                  </w:r>
                </w:p>
              </w:tc>
              <w:tc>
                <w:tcPr>
                  <w:tcW w:w="4157" w:type="dxa"/>
                  <w:vAlign w:val="center"/>
                </w:tcPr>
                <w:p>
                  <w:pPr>
                    <w:pStyle w:val="2"/>
                    <w:tabs>
                      <w:tab w:val="left" w:pos="1142"/>
                    </w:tabs>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建议企业对混凝土车间进行封闭，封闭式生产，对厂区地面进行硬化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pStyle w:val="2"/>
                    <w:tabs>
                      <w:tab w:val="left" w:pos="1142"/>
                    </w:tabs>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2</w:t>
                  </w:r>
                </w:p>
              </w:tc>
              <w:tc>
                <w:tcPr>
                  <w:tcW w:w="3269" w:type="dxa"/>
                  <w:vAlign w:val="center"/>
                </w:tcPr>
                <w:p>
                  <w:pPr>
                    <w:pStyle w:val="2"/>
                    <w:tabs>
                      <w:tab w:val="left" w:pos="1142"/>
                    </w:tabs>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厂区内未进行雨污分流，无污水收集和处理措施，未设置洗车平台</w:t>
                  </w:r>
                </w:p>
              </w:tc>
              <w:tc>
                <w:tcPr>
                  <w:tcW w:w="4157" w:type="dxa"/>
                  <w:vAlign w:val="center"/>
                </w:tcPr>
                <w:p>
                  <w:pPr>
                    <w:pStyle w:val="2"/>
                    <w:tabs>
                      <w:tab w:val="left" w:pos="1142"/>
                    </w:tabs>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企业进行雨污分流，在厂区出入口设置一处洗车平台，对进出的车辆的轮胎进行冲洗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pPr>
                    <w:pStyle w:val="2"/>
                    <w:tabs>
                      <w:tab w:val="left" w:pos="1142"/>
                    </w:tabs>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3</w:t>
                  </w:r>
                </w:p>
              </w:tc>
              <w:tc>
                <w:tcPr>
                  <w:tcW w:w="3269" w:type="dxa"/>
                  <w:vAlign w:val="center"/>
                </w:tcPr>
                <w:p>
                  <w:pPr>
                    <w:pStyle w:val="2"/>
                    <w:tabs>
                      <w:tab w:val="left" w:pos="1142"/>
                    </w:tabs>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未设置危险废物暂存间</w:t>
                  </w:r>
                </w:p>
              </w:tc>
              <w:tc>
                <w:tcPr>
                  <w:tcW w:w="4157" w:type="dxa"/>
                  <w:vAlign w:val="center"/>
                </w:tcPr>
                <w:p>
                  <w:pPr>
                    <w:pStyle w:val="2"/>
                    <w:tabs>
                      <w:tab w:val="left" w:pos="1142"/>
                    </w:tabs>
                    <w:jc w:val="center"/>
                    <w:rPr>
                      <w:rFonts w:hint="default"/>
                      <w:color w:val="auto"/>
                      <w:sz w:val="21"/>
                      <w:szCs w:val="21"/>
                      <w:u w:val="none"/>
                      <w:vertAlign w:val="baseline"/>
                      <w:lang w:val="en-US" w:eastAsia="zh-CN"/>
                    </w:rPr>
                  </w:pPr>
                  <w:r>
                    <w:rPr>
                      <w:rFonts w:hint="eastAsia"/>
                      <w:color w:val="auto"/>
                      <w:sz w:val="21"/>
                      <w:szCs w:val="21"/>
                      <w:u w:val="none"/>
                      <w:vertAlign w:val="baseline"/>
                      <w:lang w:val="en-US" w:eastAsia="zh-CN"/>
                    </w:rPr>
                    <w:t>企业设置危险废物暂存间，地面硬化，防风防雨防流失，委托有资质的单位进行处理</w:t>
                  </w:r>
                </w:p>
              </w:tc>
            </w:tr>
          </w:tbl>
          <w:p>
            <w:pPr>
              <w:bidi w:val="0"/>
              <w:spacing w:line="360" w:lineRule="auto"/>
              <w:jc w:val="center"/>
              <w:rPr>
                <w:rFonts w:hint="eastAsia"/>
                <w:b/>
                <w:bCs/>
                <w:sz w:val="21"/>
                <w:szCs w:val="21"/>
                <w:lang w:val="en-US" w:eastAsia="zh-CN"/>
              </w:rPr>
            </w:pPr>
          </w:p>
          <w:p>
            <w:pPr>
              <w:bidi w:val="0"/>
              <w:spacing w:line="360" w:lineRule="auto"/>
              <w:jc w:val="center"/>
              <w:rPr>
                <w:rFonts w:hint="eastAsia"/>
                <w:b/>
                <w:bCs/>
                <w:sz w:val="21"/>
                <w:szCs w:val="21"/>
                <w:lang w:val="en-US" w:eastAsia="zh-CN"/>
              </w:rPr>
            </w:pPr>
          </w:p>
          <w:p>
            <w:pPr>
              <w:bidi w:val="0"/>
              <w:spacing w:line="360" w:lineRule="auto"/>
              <w:jc w:val="center"/>
              <w:rPr>
                <w:rFonts w:hint="eastAsia"/>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both"/>
              <w:textAlignment w:val="auto"/>
              <w:rPr>
                <w:rFonts w:hint="default" w:ascii="Times New Roman" w:hAnsi="Times New Roman" w:eastAsia="宋体" w:cs="Times New Roman"/>
                <w:bCs/>
                <w:strike w:val="0"/>
                <w:dstrike w:val="0"/>
                <w:color w:val="auto"/>
                <w:sz w:val="24"/>
                <w:szCs w:val="24"/>
                <w:highlight w:val="none"/>
                <w:lang w:val="en-US" w:eastAsia="zh-CN"/>
              </w:rPr>
            </w:pPr>
          </w:p>
        </w:tc>
      </w:tr>
    </w:tbl>
    <w:p>
      <w:pPr>
        <w:bidi w:val="0"/>
        <w:rPr>
          <w:rFonts w:hint="default"/>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3"/>
        <w:adjustRightInd w:val="0"/>
        <w:snapToGrid w:val="0"/>
        <w:spacing w:before="0" w:beforeAutospacing="0" w:after="0" w:afterAutospacing="0" w:line="14" w:lineRule="auto"/>
        <w:jc w:val="both"/>
        <w:outlineLvl w:val="0"/>
        <w:rPr>
          <w:rFonts w:hint="default" w:ascii="Times New Roman" w:hAnsi="Times New Roman" w:eastAsia="黑体" w:cs="Times New Roman"/>
          <w:snapToGrid w:val="0"/>
          <w:color w:val="auto"/>
          <w:sz w:val="30"/>
          <w:szCs w:val="30"/>
          <w:highlight w:val="none"/>
        </w:rPr>
      </w:pPr>
    </w:p>
    <w:p>
      <w:pPr>
        <w:pStyle w:val="13"/>
        <w:shd w:val="clear" w:color="auto" w:fill="auto"/>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三、区域环境质量现状、环境保护目标及评价标准</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2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800" w:type="dxa"/>
            <w:noWrap w:val="0"/>
            <w:vAlign w:val="center"/>
          </w:tcPr>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区域</w:t>
            </w:r>
          </w:p>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环境</w:t>
            </w:r>
          </w:p>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质量</w:t>
            </w:r>
          </w:p>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现状</w:t>
            </w:r>
          </w:p>
        </w:tc>
        <w:tc>
          <w:tcPr>
            <w:tcW w:w="8190"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outlineLvl w:val="0"/>
              <w:rPr>
                <w:rFonts w:hint="eastAsia" w:ascii="Times New Roman" w:hAnsi="Times New Roman" w:eastAsia="宋体" w:cs="Times New Roman"/>
                <w:b/>
                <w:bCs/>
                <w:color w:val="auto"/>
                <w:sz w:val="24"/>
                <w:szCs w:val="24"/>
                <w:highlight w:val="none"/>
                <w:lang w:eastAsia="zh-CN"/>
              </w:rPr>
            </w:pPr>
            <w:r>
              <w:rPr>
                <w:rFonts w:ascii="Times New Roman" w:hAnsi="Times New Roman" w:eastAsia="宋体" w:cs="Times New Roman"/>
                <w:b/>
                <w:bCs/>
                <w:color w:val="auto"/>
                <w:sz w:val="24"/>
                <w:szCs w:val="24"/>
                <w:highlight w:val="none"/>
              </w:rPr>
              <w:t>1、</w:t>
            </w:r>
            <w:r>
              <w:rPr>
                <w:rFonts w:hint="eastAsia" w:ascii="Times New Roman" w:hAnsi="Times New Roman" w:eastAsia="宋体" w:cs="Times New Roman"/>
                <w:b/>
                <w:bCs/>
                <w:color w:val="auto"/>
                <w:sz w:val="24"/>
                <w:szCs w:val="24"/>
                <w:highlight w:val="none"/>
                <w:lang w:eastAsia="zh-CN"/>
              </w:rPr>
              <w:t>大气环境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rFonts w:hint="eastAsia"/>
                <w:sz w:val="24"/>
                <w:szCs w:val="24"/>
                <w:lang w:val="en-US" w:eastAsia="zh-CN"/>
              </w:rPr>
              <w:t>（1）区域环境空气质量达标判定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u w:val="none"/>
              </w:rPr>
            </w:pPr>
            <w:r>
              <w:rPr>
                <w:sz w:val="24"/>
                <w:szCs w:val="24"/>
                <w:u w:val="none"/>
              </w:rPr>
              <w:t>项目所在区域大气环境属二类功能区，执行《环境空气质量标准》（GB3095-2012）二级标准。为了解本项目所在区域大气环境质量现状，本次环境影响评价空气质量现状监测数据引用《常德市生态环境局关于20</w:t>
            </w:r>
            <w:r>
              <w:rPr>
                <w:rFonts w:hint="eastAsia"/>
                <w:sz w:val="24"/>
                <w:szCs w:val="24"/>
                <w:u w:val="none"/>
                <w:lang w:val="en-US" w:eastAsia="zh-CN"/>
              </w:rPr>
              <w:t>20</w:t>
            </w:r>
            <w:r>
              <w:rPr>
                <w:sz w:val="24"/>
                <w:szCs w:val="24"/>
                <w:u w:val="none"/>
              </w:rPr>
              <w:t>年12月全市环境质量状况的通报》中附件3“20</w:t>
            </w:r>
            <w:r>
              <w:rPr>
                <w:rFonts w:hint="eastAsia"/>
                <w:sz w:val="24"/>
                <w:szCs w:val="24"/>
                <w:u w:val="none"/>
                <w:lang w:val="en-US" w:eastAsia="zh-CN"/>
              </w:rPr>
              <w:t>20</w:t>
            </w:r>
            <w:r>
              <w:rPr>
                <w:sz w:val="24"/>
                <w:szCs w:val="24"/>
                <w:u w:val="none"/>
              </w:rPr>
              <w:t>年1～12月常德市环境空气质量状况”，环境空气质量现状见表</w:t>
            </w:r>
            <w:r>
              <w:rPr>
                <w:rFonts w:hint="eastAsia"/>
                <w:sz w:val="24"/>
                <w:szCs w:val="24"/>
                <w:u w:val="none"/>
                <w:lang w:val="en-US" w:eastAsia="zh-CN"/>
              </w:rPr>
              <w:t>3</w:t>
            </w:r>
            <w:r>
              <w:rPr>
                <w:sz w:val="24"/>
                <w:szCs w:val="24"/>
                <w:u w:val="none"/>
              </w:rPr>
              <w:t>-</w:t>
            </w:r>
            <w:r>
              <w:rPr>
                <w:rFonts w:hint="eastAsia"/>
                <w:sz w:val="24"/>
                <w:szCs w:val="24"/>
                <w:u w:val="none"/>
                <w:lang w:val="en-US" w:eastAsia="zh-CN"/>
              </w:rPr>
              <w:t>1</w:t>
            </w:r>
            <w:r>
              <w:rPr>
                <w:sz w:val="24"/>
                <w:szCs w:val="24"/>
                <w:u w:val="none"/>
              </w:rPr>
              <w:t>。</w:t>
            </w:r>
          </w:p>
          <w:p>
            <w:pPr>
              <w:autoSpaceDE w:val="0"/>
              <w:autoSpaceDN w:val="0"/>
              <w:spacing w:line="240" w:lineRule="auto"/>
              <w:jc w:val="center"/>
              <w:rPr>
                <w:rFonts w:ascii="Times New Roman" w:hAnsi="Times New Roman" w:eastAsia="宋体" w:cs="Times New Roman"/>
                <w:b/>
                <w:color w:val="auto"/>
                <w:kern w:val="0"/>
                <w:sz w:val="21"/>
                <w:szCs w:val="21"/>
                <w:highlight w:val="none"/>
                <w:u w:val="none"/>
              </w:rPr>
            </w:pPr>
            <w:r>
              <w:rPr>
                <w:rFonts w:ascii="Times New Roman" w:hAnsi="Times New Roman" w:eastAsia="宋体" w:cs="Times New Roman"/>
                <w:b/>
                <w:color w:val="auto"/>
                <w:kern w:val="0"/>
                <w:sz w:val="21"/>
                <w:szCs w:val="21"/>
                <w:highlight w:val="none"/>
                <w:u w:val="none"/>
              </w:rPr>
              <w:t>表</w:t>
            </w:r>
            <w:r>
              <w:rPr>
                <w:rFonts w:hint="eastAsia" w:ascii="Times New Roman" w:hAnsi="Times New Roman" w:eastAsia="宋体" w:cs="Times New Roman"/>
                <w:b/>
                <w:color w:val="auto"/>
                <w:kern w:val="0"/>
                <w:sz w:val="21"/>
                <w:szCs w:val="21"/>
                <w:highlight w:val="none"/>
                <w:u w:val="none"/>
                <w:lang w:val="en-US" w:eastAsia="zh-CN"/>
              </w:rPr>
              <w:t>3</w:t>
            </w:r>
            <w:r>
              <w:rPr>
                <w:rFonts w:ascii="Times New Roman" w:hAnsi="Times New Roman" w:eastAsia="宋体" w:cs="Times New Roman"/>
                <w:b/>
                <w:color w:val="auto"/>
                <w:kern w:val="0"/>
                <w:sz w:val="21"/>
                <w:szCs w:val="21"/>
                <w:highlight w:val="none"/>
                <w:u w:val="none"/>
              </w:rPr>
              <w:t>-</w:t>
            </w:r>
            <w:r>
              <w:rPr>
                <w:rFonts w:hint="eastAsia" w:cs="Times New Roman"/>
                <w:b/>
                <w:color w:val="auto"/>
                <w:kern w:val="0"/>
                <w:sz w:val="21"/>
                <w:szCs w:val="21"/>
                <w:highlight w:val="none"/>
                <w:u w:val="none"/>
                <w:lang w:val="en-US" w:eastAsia="zh-CN"/>
              </w:rPr>
              <w:t xml:space="preserve">1 </w:t>
            </w:r>
            <w:r>
              <w:rPr>
                <w:rFonts w:ascii="Times New Roman" w:hAnsi="Times New Roman" w:eastAsia="宋体" w:cs="Times New Roman"/>
                <w:b/>
                <w:color w:val="auto"/>
                <w:kern w:val="0"/>
                <w:sz w:val="21"/>
                <w:szCs w:val="21"/>
                <w:highlight w:val="none"/>
                <w:u w:val="none"/>
              </w:rPr>
              <w:t xml:space="preserve"> 20</w:t>
            </w:r>
            <w:r>
              <w:rPr>
                <w:rFonts w:hint="eastAsia" w:cs="Times New Roman"/>
                <w:b/>
                <w:color w:val="auto"/>
                <w:kern w:val="0"/>
                <w:sz w:val="21"/>
                <w:szCs w:val="21"/>
                <w:highlight w:val="none"/>
                <w:u w:val="none"/>
                <w:lang w:val="en-US" w:eastAsia="zh-CN"/>
              </w:rPr>
              <w:t>20</w:t>
            </w:r>
            <w:r>
              <w:rPr>
                <w:rFonts w:ascii="Times New Roman" w:hAnsi="Times New Roman" w:eastAsia="宋体" w:cs="Times New Roman"/>
                <w:b/>
                <w:color w:val="auto"/>
                <w:kern w:val="0"/>
                <w:sz w:val="21"/>
                <w:szCs w:val="21"/>
                <w:highlight w:val="none"/>
                <w:u w:val="none"/>
              </w:rPr>
              <w:t>年基本污染物环境质量现状</w:t>
            </w:r>
          </w:p>
          <w:tbl>
            <w:tblPr>
              <w:tblStyle w:val="15"/>
              <w:tblW w:w="4998"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19"/>
              <w:gridCol w:w="890"/>
              <w:gridCol w:w="1784"/>
              <w:gridCol w:w="1313"/>
              <w:gridCol w:w="1313"/>
              <w:gridCol w:w="920"/>
              <w:gridCol w:w="86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596" w:type="pc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
                      <w:bCs w:val="0"/>
                      <w:color w:val="auto"/>
                      <w:kern w:val="0"/>
                      <w:sz w:val="21"/>
                      <w:szCs w:val="21"/>
                      <w:highlight w:val="none"/>
                      <w:u w:val="none"/>
                      <w:lang w:bidi="ar"/>
                    </w:rPr>
                  </w:pPr>
                  <w:r>
                    <w:rPr>
                      <w:rFonts w:ascii="Times New Roman" w:hAnsi="Times New Roman" w:eastAsia="宋体" w:cs="Times New Roman"/>
                      <w:b/>
                      <w:bCs w:val="0"/>
                      <w:color w:val="auto"/>
                      <w:kern w:val="0"/>
                      <w:sz w:val="21"/>
                      <w:szCs w:val="21"/>
                      <w:highlight w:val="none"/>
                      <w:u w:val="none"/>
                      <w:lang w:bidi="ar"/>
                    </w:rPr>
                    <w:t>点位</w:t>
                  </w:r>
                </w:p>
                <w:p>
                  <w:pPr>
                    <w:autoSpaceDE w:val="0"/>
                    <w:autoSpaceDN w:val="0"/>
                    <w:spacing w:line="300" w:lineRule="exact"/>
                    <w:jc w:val="center"/>
                    <w:rPr>
                      <w:rFonts w:ascii="Times New Roman" w:hAnsi="Times New Roman" w:eastAsia="宋体" w:cs="Times New Roman"/>
                      <w:b/>
                      <w:bCs w:val="0"/>
                      <w:color w:val="auto"/>
                      <w:kern w:val="0"/>
                      <w:sz w:val="21"/>
                      <w:szCs w:val="21"/>
                      <w:highlight w:val="none"/>
                      <w:u w:val="none"/>
                      <w:lang w:bidi="ar"/>
                    </w:rPr>
                  </w:pPr>
                  <w:r>
                    <w:rPr>
                      <w:rFonts w:ascii="Times New Roman" w:hAnsi="Times New Roman" w:eastAsia="宋体" w:cs="Times New Roman"/>
                      <w:b/>
                      <w:bCs w:val="0"/>
                      <w:color w:val="auto"/>
                      <w:kern w:val="0"/>
                      <w:sz w:val="21"/>
                      <w:szCs w:val="21"/>
                      <w:highlight w:val="none"/>
                      <w:u w:val="none"/>
                      <w:lang w:bidi="ar"/>
                    </w:rPr>
                    <w:t>名称</w:t>
                  </w:r>
                </w:p>
              </w:tc>
              <w:tc>
                <w:tcPr>
                  <w:tcW w:w="577" w:type="pc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
                      <w:bCs w:val="0"/>
                      <w:color w:val="auto"/>
                      <w:kern w:val="0"/>
                      <w:sz w:val="21"/>
                      <w:szCs w:val="21"/>
                      <w:highlight w:val="none"/>
                      <w:u w:val="none"/>
                      <w:lang w:bidi="ar"/>
                    </w:rPr>
                  </w:pPr>
                  <w:r>
                    <w:rPr>
                      <w:rFonts w:ascii="Times New Roman" w:hAnsi="Times New Roman" w:eastAsia="宋体" w:cs="Times New Roman"/>
                      <w:b/>
                      <w:bCs w:val="0"/>
                      <w:color w:val="auto"/>
                      <w:kern w:val="0"/>
                      <w:sz w:val="21"/>
                      <w:szCs w:val="21"/>
                      <w:highlight w:val="none"/>
                      <w:u w:val="none"/>
                      <w:lang w:bidi="ar"/>
                    </w:rPr>
                    <w:t>污染物</w:t>
                  </w:r>
                </w:p>
              </w:tc>
              <w:tc>
                <w:tcPr>
                  <w:tcW w:w="1135" w:type="pc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
                      <w:bCs w:val="0"/>
                      <w:color w:val="auto"/>
                      <w:kern w:val="0"/>
                      <w:sz w:val="21"/>
                      <w:szCs w:val="21"/>
                      <w:highlight w:val="none"/>
                      <w:u w:val="none"/>
                      <w:lang w:bidi="ar"/>
                    </w:rPr>
                  </w:pPr>
                  <w:r>
                    <w:rPr>
                      <w:rFonts w:ascii="Times New Roman" w:hAnsi="Times New Roman" w:eastAsia="宋体" w:cs="Times New Roman"/>
                      <w:b/>
                      <w:bCs w:val="0"/>
                      <w:color w:val="auto"/>
                      <w:kern w:val="0"/>
                      <w:sz w:val="21"/>
                      <w:szCs w:val="21"/>
                      <w:highlight w:val="none"/>
                      <w:u w:val="none"/>
                      <w:lang w:bidi="ar"/>
                    </w:rPr>
                    <w:t>年评价指标</w:t>
                  </w:r>
                </w:p>
              </w:tc>
              <w:tc>
                <w:tcPr>
                  <w:tcW w:w="808" w:type="pc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
                      <w:bCs w:val="0"/>
                      <w:color w:val="auto"/>
                      <w:kern w:val="0"/>
                      <w:sz w:val="21"/>
                      <w:szCs w:val="21"/>
                      <w:highlight w:val="none"/>
                      <w:u w:val="none"/>
                      <w:lang w:bidi="ar"/>
                    </w:rPr>
                  </w:pPr>
                  <w:r>
                    <w:rPr>
                      <w:rFonts w:ascii="Times New Roman" w:hAnsi="Times New Roman" w:eastAsia="宋体" w:cs="Times New Roman"/>
                      <w:b/>
                      <w:bCs w:val="0"/>
                      <w:color w:val="auto"/>
                      <w:kern w:val="0"/>
                      <w:sz w:val="21"/>
                      <w:szCs w:val="21"/>
                      <w:highlight w:val="none"/>
                      <w:u w:val="none"/>
                      <w:lang w:bidi="ar"/>
                    </w:rPr>
                    <w:t>评价标准/（ug/Nm</w:t>
                  </w:r>
                  <w:r>
                    <w:rPr>
                      <w:rFonts w:ascii="Times New Roman" w:hAnsi="Times New Roman" w:eastAsia="宋体" w:cs="Times New Roman"/>
                      <w:b/>
                      <w:bCs w:val="0"/>
                      <w:color w:val="auto"/>
                      <w:kern w:val="0"/>
                      <w:sz w:val="21"/>
                      <w:szCs w:val="21"/>
                      <w:highlight w:val="none"/>
                      <w:u w:val="none"/>
                      <w:vertAlign w:val="superscript"/>
                      <w:lang w:bidi="ar"/>
                    </w:rPr>
                    <w:t>3</w:t>
                  </w:r>
                  <w:r>
                    <w:rPr>
                      <w:rFonts w:ascii="Times New Roman" w:hAnsi="Times New Roman" w:eastAsia="宋体" w:cs="Times New Roman"/>
                      <w:b/>
                      <w:bCs w:val="0"/>
                      <w:color w:val="auto"/>
                      <w:kern w:val="0"/>
                      <w:sz w:val="21"/>
                      <w:szCs w:val="21"/>
                      <w:highlight w:val="none"/>
                      <w:u w:val="none"/>
                      <w:lang w:bidi="ar"/>
                    </w:rPr>
                    <w:t>）</w:t>
                  </w:r>
                </w:p>
              </w:tc>
              <w:tc>
                <w:tcPr>
                  <w:tcW w:w="721" w:type="pc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
                      <w:bCs w:val="0"/>
                      <w:color w:val="auto"/>
                      <w:kern w:val="0"/>
                      <w:sz w:val="21"/>
                      <w:szCs w:val="21"/>
                      <w:highlight w:val="none"/>
                      <w:u w:val="none"/>
                      <w:lang w:bidi="ar"/>
                    </w:rPr>
                  </w:pPr>
                  <w:r>
                    <w:rPr>
                      <w:rFonts w:ascii="Times New Roman" w:hAnsi="Times New Roman" w:eastAsia="宋体" w:cs="Times New Roman"/>
                      <w:b/>
                      <w:bCs w:val="0"/>
                      <w:color w:val="auto"/>
                      <w:kern w:val="0"/>
                      <w:sz w:val="21"/>
                      <w:szCs w:val="21"/>
                      <w:highlight w:val="none"/>
                      <w:u w:val="none"/>
                      <w:lang w:bidi="ar"/>
                    </w:rPr>
                    <w:t>现状浓度/</w:t>
                  </w:r>
                </w:p>
                <w:p>
                  <w:pPr>
                    <w:autoSpaceDE w:val="0"/>
                    <w:autoSpaceDN w:val="0"/>
                    <w:spacing w:line="300" w:lineRule="exact"/>
                    <w:jc w:val="center"/>
                    <w:rPr>
                      <w:rFonts w:ascii="Times New Roman" w:hAnsi="Times New Roman" w:eastAsia="宋体" w:cs="Times New Roman"/>
                      <w:b/>
                      <w:bCs w:val="0"/>
                      <w:color w:val="auto"/>
                      <w:kern w:val="0"/>
                      <w:sz w:val="21"/>
                      <w:szCs w:val="21"/>
                      <w:highlight w:val="none"/>
                      <w:u w:val="none"/>
                      <w:lang w:bidi="ar"/>
                    </w:rPr>
                  </w:pPr>
                  <w:r>
                    <w:rPr>
                      <w:rFonts w:ascii="Times New Roman" w:hAnsi="Times New Roman" w:eastAsia="宋体" w:cs="Times New Roman"/>
                      <w:b/>
                      <w:bCs w:val="0"/>
                      <w:color w:val="auto"/>
                      <w:kern w:val="0"/>
                      <w:sz w:val="21"/>
                      <w:szCs w:val="21"/>
                      <w:highlight w:val="none"/>
                      <w:u w:val="none"/>
                      <w:lang w:bidi="ar"/>
                    </w:rPr>
                    <w:t>（ug/Nm</w:t>
                  </w:r>
                  <w:r>
                    <w:rPr>
                      <w:rFonts w:ascii="Times New Roman" w:hAnsi="Times New Roman" w:eastAsia="宋体" w:cs="Times New Roman"/>
                      <w:b/>
                      <w:bCs w:val="0"/>
                      <w:color w:val="auto"/>
                      <w:kern w:val="0"/>
                      <w:sz w:val="21"/>
                      <w:szCs w:val="21"/>
                      <w:highlight w:val="none"/>
                      <w:u w:val="none"/>
                      <w:vertAlign w:val="superscript"/>
                      <w:lang w:bidi="ar"/>
                    </w:rPr>
                    <w:t>3</w:t>
                  </w:r>
                  <w:r>
                    <w:rPr>
                      <w:rFonts w:ascii="Times New Roman" w:hAnsi="Times New Roman" w:eastAsia="宋体" w:cs="Times New Roman"/>
                      <w:b/>
                      <w:bCs w:val="0"/>
                      <w:color w:val="auto"/>
                      <w:kern w:val="0"/>
                      <w:sz w:val="21"/>
                      <w:szCs w:val="21"/>
                      <w:highlight w:val="none"/>
                      <w:u w:val="none"/>
                      <w:lang w:bidi="ar"/>
                    </w:rPr>
                    <w:t>）</w:t>
                  </w:r>
                </w:p>
              </w:tc>
              <w:tc>
                <w:tcPr>
                  <w:tcW w:w="596" w:type="pc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
                      <w:bCs w:val="0"/>
                      <w:color w:val="auto"/>
                      <w:kern w:val="0"/>
                      <w:sz w:val="21"/>
                      <w:szCs w:val="21"/>
                      <w:highlight w:val="none"/>
                      <w:u w:val="none"/>
                      <w:lang w:bidi="ar"/>
                    </w:rPr>
                  </w:pPr>
                  <w:r>
                    <w:rPr>
                      <w:rFonts w:ascii="Times New Roman" w:hAnsi="Times New Roman" w:eastAsia="宋体" w:cs="Times New Roman"/>
                      <w:b/>
                      <w:bCs w:val="0"/>
                      <w:color w:val="auto"/>
                      <w:kern w:val="0"/>
                      <w:sz w:val="21"/>
                      <w:szCs w:val="21"/>
                      <w:highlight w:val="none"/>
                      <w:u w:val="none"/>
                      <w:lang w:bidi="ar"/>
                    </w:rPr>
                    <w:t>最大浓度占标率/%</w:t>
                  </w:r>
                </w:p>
              </w:tc>
              <w:tc>
                <w:tcPr>
                  <w:tcW w:w="564" w:type="pc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
                      <w:bCs w:val="0"/>
                      <w:color w:val="auto"/>
                      <w:kern w:val="0"/>
                      <w:sz w:val="21"/>
                      <w:szCs w:val="21"/>
                      <w:highlight w:val="none"/>
                      <w:u w:val="none"/>
                      <w:lang w:bidi="ar"/>
                    </w:rPr>
                  </w:pPr>
                  <w:r>
                    <w:rPr>
                      <w:rFonts w:ascii="Times New Roman" w:hAnsi="Times New Roman" w:eastAsia="宋体" w:cs="Times New Roman"/>
                      <w:b/>
                      <w:bCs w:val="0"/>
                      <w:color w:val="auto"/>
                      <w:kern w:val="0"/>
                      <w:sz w:val="21"/>
                      <w:szCs w:val="21"/>
                      <w:highlight w:val="none"/>
                      <w:u w:val="none"/>
                      <w:lang w:bidi="ar"/>
                    </w:rPr>
                    <w:t>达标情况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596" w:type="pct"/>
                  <w:vMerge w:val="restart"/>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u w:val="none"/>
                      <w:lang w:bidi="ar"/>
                    </w:rPr>
                  </w:pPr>
                  <w:r>
                    <w:rPr>
                      <w:rFonts w:ascii="Times New Roman" w:hAnsi="Times New Roman" w:eastAsia="宋体" w:cs="Times New Roman"/>
                      <w:bCs/>
                      <w:color w:val="auto"/>
                      <w:kern w:val="0"/>
                      <w:sz w:val="21"/>
                      <w:szCs w:val="21"/>
                      <w:highlight w:val="none"/>
                      <w:u w:val="none"/>
                      <w:lang w:bidi="ar"/>
                    </w:rPr>
                    <w:t>澧县</w:t>
                  </w:r>
                </w:p>
                <w:p>
                  <w:pPr>
                    <w:autoSpaceDE w:val="0"/>
                    <w:autoSpaceDN w:val="0"/>
                    <w:spacing w:line="300" w:lineRule="exact"/>
                    <w:jc w:val="center"/>
                    <w:rPr>
                      <w:rFonts w:ascii="Times New Roman" w:hAnsi="Times New Roman" w:eastAsia="宋体" w:cs="Times New Roman"/>
                      <w:bCs/>
                      <w:color w:val="auto"/>
                      <w:kern w:val="0"/>
                      <w:sz w:val="21"/>
                      <w:szCs w:val="21"/>
                      <w:highlight w:val="none"/>
                      <w:u w:val="none"/>
                      <w:lang w:bidi="ar"/>
                    </w:rPr>
                  </w:pPr>
                  <w:r>
                    <w:rPr>
                      <w:rFonts w:ascii="Times New Roman" w:hAnsi="Times New Roman" w:eastAsia="宋体" w:cs="Times New Roman"/>
                      <w:bCs/>
                      <w:color w:val="auto"/>
                      <w:kern w:val="0"/>
                      <w:sz w:val="21"/>
                      <w:szCs w:val="21"/>
                      <w:highlight w:val="none"/>
                      <w:u w:val="none"/>
                      <w:lang w:bidi="ar"/>
                    </w:rPr>
                    <w:t>环保局</w:t>
                  </w:r>
                </w:p>
              </w:tc>
              <w:tc>
                <w:tcPr>
                  <w:tcW w:w="1071"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SO</w:t>
                  </w:r>
                  <w:r>
                    <w:rPr>
                      <w:rFonts w:ascii="Times New Roman" w:hAnsi="Times New Roman" w:eastAsia="宋体" w:cs="Times New Roman"/>
                      <w:color w:val="auto"/>
                      <w:sz w:val="21"/>
                      <w:szCs w:val="21"/>
                      <w:highlight w:val="none"/>
                      <w:u w:val="none"/>
                      <w:vertAlign w:val="subscript"/>
                      <w:lang w:val="en-US" w:eastAsia="zh-CN" w:bidi="ar-SA"/>
                    </w:rPr>
                    <w:t>2</w:t>
                  </w:r>
                </w:p>
              </w:tc>
              <w:tc>
                <w:tcPr>
                  <w:tcW w:w="2108"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年平均质量浓度</w:t>
                  </w:r>
                </w:p>
              </w:tc>
              <w:tc>
                <w:tcPr>
                  <w:tcW w:w="1500"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60</w:t>
                  </w:r>
                </w:p>
              </w:tc>
              <w:tc>
                <w:tcPr>
                  <w:tcW w:w="1346"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hint="eastAsia" w:cs="Times New Roman"/>
                      <w:color w:val="auto"/>
                      <w:sz w:val="21"/>
                      <w:szCs w:val="21"/>
                      <w:highlight w:val="none"/>
                      <w:u w:val="none"/>
                      <w:lang w:val="en-US" w:eastAsia="zh-CN" w:bidi="ar-SA"/>
                    </w:rPr>
                    <w:t>6</w:t>
                  </w:r>
                </w:p>
              </w:tc>
              <w:tc>
                <w:tcPr>
                  <w:tcW w:w="1106"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13.3</w:t>
                  </w:r>
                </w:p>
              </w:tc>
              <w:tc>
                <w:tcPr>
                  <w:tcW w:w="1047" w:type="dxa"/>
                  <w:tcBorders>
                    <w:tl2br w:val="nil"/>
                    <w:tr2bl w:val="nil"/>
                  </w:tcBorders>
                  <w:noWrap w:val="0"/>
                  <w:vAlign w:val="center"/>
                </w:tcPr>
                <w:p>
                  <w:pPr>
                    <w:autoSpaceDE w:val="0"/>
                    <w:autoSpaceDN w:val="0"/>
                    <w:jc w:val="center"/>
                    <w:rPr>
                      <w:rFonts w:ascii="Times New Roman" w:hAnsi="Times New Roman" w:eastAsia="宋体" w:cs="Times New Roman"/>
                      <w:bCs/>
                      <w:color w:val="auto"/>
                      <w:kern w:val="0"/>
                      <w:sz w:val="21"/>
                      <w:szCs w:val="21"/>
                      <w:highlight w:val="none"/>
                      <w:u w:val="none"/>
                      <w:lang w:bidi="ar"/>
                    </w:rPr>
                  </w:pPr>
                  <w:r>
                    <w:rPr>
                      <w:rFonts w:ascii="Times New Roman" w:hAnsi="Times New Roman" w:eastAsia="宋体" w:cs="Times New Roman"/>
                      <w:color w:val="auto"/>
                      <w:kern w:val="0"/>
                      <w:sz w:val="21"/>
                      <w:szCs w:val="21"/>
                      <w:highlight w:val="none"/>
                      <w:u w:val="none"/>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596" w:type="pct"/>
                  <w:vMerge w:val="continue"/>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u w:val="none"/>
                      <w:lang w:bidi="ar"/>
                    </w:rPr>
                  </w:pPr>
                </w:p>
              </w:tc>
              <w:tc>
                <w:tcPr>
                  <w:tcW w:w="1071"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NO</w:t>
                  </w:r>
                  <w:r>
                    <w:rPr>
                      <w:rFonts w:ascii="Times New Roman" w:hAnsi="Times New Roman" w:eastAsia="宋体" w:cs="Times New Roman"/>
                      <w:color w:val="auto"/>
                      <w:sz w:val="21"/>
                      <w:szCs w:val="21"/>
                      <w:highlight w:val="none"/>
                      <w:u w:val="none"/>
                      <w:vertAlign w:val="subscript"/>
                      <w:lang w:val="en-US" w:eastAsia="zh-CN" w:bidi="ar-SA"/>
                    </w:rPr>
                    <w:t>2</w:t>
                  </w:r>
                </w:p>
              </w:tc>
              <w:tc>
                <w:tcPr>
                  <w:tcW w:w="2108" w:type="dxa"/>
                  <w:tcBorders>
                    <w:tl2br w:val="nil"/>
                    <w:tr2bl w:val="nil"/>
                  </w:tcBorders>
                  <w:noWrap w:val="0"/>
                  <w:vAlign w:val="center"/>
                </w:tcPr>
                <w:p>
                  <w:pPr>
                    <w:autoSpaceDE w:val="0"/>
                    <w:autoSpaceDN w:val="0"/>
                    <w:jc w:val="center"/>
                    <w:rPr>
                      <w:rFonts w:ascii="Times New Roman" w:hAnsi="Times New Roman" w:eastAsia="宋体" w:cs="Times New Roman"/>
                      <w:bCs/>
                      <w:color w:val="auto"/>
                      <w:kern w:val="0"/>
                      <w:sz w:val="21"/>
                      <w:szCs w:val="21"/>
                      <w:highlight w:val="none"/>
                      <w:u w:val="none"/>
                      <w:lang w:bidi="ar"/>
                    </w:rPr>
                  </w:pPr>
                  <w:r>
                    <w:rPr>
                      <w:rFonts w:ascii="Times New Roman" w:hAnsi="Times New Roman" w:eastAsia="宋体" w:cs="Times New Roman"/>
                      <w:color w:val="auto"/>
                      <w:kern w:val="0"/>
                      <w:sz w:val="21"/>
                      <w:szCs w:val="21"/>
                      <w:highlight w:val="none"/>
                      <w:u w:val="none"/>
                    </w:rPr>
                    <w:t>年平均质量浓度</w:t>
                  </w:r>
                </w:p>
              </w:tc>
              <w:tc>
                <w:tcPr>
                  <w:tcW w:w="1500"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40</w:t>
                  </w:r>
                </w:p>
              </w:tc>
              <w:tc>
                <w:tcPr>
                  <w:tcW w:w="1346"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hint="eastAsia" w:cs="Times New Roman"/>
                      <w:color w:val="auto"/>
                      <w:sz w:val="21"/>
                      <w:szCs w:val="21"/>
                      <w:highlight w:val="none"/>
                      <w:u w:val="none"/>
                      <w:lang w:val="en-US" w:eastAsia="zh-CN" w:bidi="ar-SA"/>
                    </w:rPr>
                    <w:t>4</w:t>
                  </w:r>
                </w:p>
              </w:tc>
              <w:tc>
                <w:tcPr>
                  <w:tcW w:w="1106"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40</w:t>
                  </w:r>
                </w:p>
              </w:tc>
              <w:tc>
                <w:tcPr>
                  <w:tcW w:w="1047" w:type="dxa"/>
                  <w:tcBorders>
                    <w:tl2br w:val="nil"/>
                    <w:tr2bl w:val="nil"/>
                  </w:tcBorders>
                  <w:noWrap w:val="0"/>
                  <w:vAlign w:val="center"/>
                </w:tcPr>
                <w:p>
                  <w:pPr>
                    <w:autoSpaceDE w:val="0"/>
                    <w:autoSpaceDN w:val="0"/>
                    <w:jc w:val="center"/>
                    <w:rPr>
                      <w:rFonts w:ascii="Times New Roman" w:hAnsi="Times New Roman" w:eastAsia="宋体" w:cs="Times New Roman"/>
                      <w:bCs/>
                      <w:color w:val="auto"/>
                      <w:kern w:val="0"/>
                      <w:sz w:val="21"/>
                      <w:szCs w:val="21"/>
                      <w:highlight w:val="none"/>
                      <w:u w:val="none"/>
                      <w:lang w:bidi="ar"/>
                    </w:rPr>
                  </w:pPr>
                  <w:r>
                    <w:rPr>
                      <w:rFonts w:ascii="Times New Roman" w:hAnsi="Times New Roman" w:eastAsia="宋体" w:cs="Times New Roman"/>
                      <w:color w:val="auto"/>
                      <w:kern w:val="0"/>
                      <w:sz w:val="21"/>
                      <w:szCs w:val="21"/>
                      <w:highlight w:val="none"/>
                      <w:u w:val="none"/>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596" w:type="pct"/>
                  <w:vMerge w:val="continue"/>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u w:val="none"/>
                      <w:lang w:bidi="ar"/>
                    </w:rPr>
                  </w:pPr>
                </w:p>
              </w:tc>
              <w:tc>
                <w:tcPr>
                  <w:tcW w:w="1071"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PM</w:t>
                  </w:r>
                  <w:r>
                    <w:rPr>
                      <w:rFonts w:ascii="Times New Roman" w:hAnsi="Times New Roman" w:eastAsia="宋体" w:cs="Times New Roman"/>
                      <w:color w:val="auto"/>
                      <w:sz w:val="21"/>
                      <w:szCs w:val="21"/>
                      <w:highlight w:val="none"/>
                      <w:u w:val="none"/>
                      <w:vertAlign w:val="subscript"/>
                      <w:lang w:val="en-US" w:eastAsia="zh-CN" w:bidi="ar-SA"/>
                    </w:rPr>
                    <w:t>10</w:t>
                  </w:r>
                </w:p>
              </w:tc>
              <w:tc>
                <w:tcPr>
                  <w:tcW w:w="2108" w:type="dxa"/>
                  <w:tcBorders>
                    <w:tl2br w:val="nil"/>
                    <w:tr2bl w:val="nil"/>
                  </w:tcBorders>
                  <w:noWrap w:val="0"/>
                  <w:vAlign w:val="center"/>
                </w:tcPr>
                <w:p>
                  <w:pPr>
                    <w:autoSpaceDE w:val="0"/>
                    <w:autoSpaceDN w:val="0"/>
                    <w:jc w:val="center"/>
                    <w:rPr>
                      <w:rFonts w:ascii="Times New Roman" w:hAnsi="Times New Roman" w:eastAsia="宋体" w:cs="Times New Roman"/>
                      <w:bCs/>
                      <w:color w:val="auto"/>
                      <w:kern w:val="0"/>
                      <w:sz w:val="21"/>
                      <w:szCs w:val="21"/>
                      <w:highlight w:val="none"/>
                      <w:u w:val="none"/>
                      <w:lang w:bidi="ar"/>
                    </w:rPr>
                  </w:pPr>
                  <w:r>
                    <w:rPr>
                      <w:rFonts w:ascii="Times New Roman" w:hAnsi="Times New Roman" w:eastAsia="宋体" w:cs="Times New Roman"/>
                      <w:color w:val="auto"/>
                      <w:kern w:val="0"/>
                      <w:sz w:val="21"/>
                      <w:szCs w:val="21"/>
                      <w:highlight w:val="none"/>
                      <w:u w:val="none"/>
                    </w:rPr>
                    <w:t>年平均质量浓度</w:t>
                  </w:r>
                </w:p>
              </w:tc>
              <w:tc>
                <w:tcPr>
                  <w:tcW w:w="1500"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70</w:t>
                  </w:r>
                </w:p>
              </w:tc>
              <w:tc>
                <w:tcPr>
                  <w:tcW w:w="1346" w:type="dxa"/>
                  <w:tcBorders>
                    <w:tl2br w:val="nil"/>
                    <w:tr2bl w:val="nil"/>
                  </w:tcBorders>
                  <w:noWrap w:val="0"/>
                  <w:vAlign w:val="center"/>
                </w:tcPr>
                <w:p>
                  <w:pPr>
                    <w:widowControl w:val="0"/>
                    <w:autoSpaceDE w:val="0"/>
                    <w:autoSpaceDN w:val="0"/>
                    <w:spacing w:after="0" w:line="240" w:lineRule="auto"/>
                    <w:ind w:left="0" w:leftChars="0"/>
                    <w:jc w:val="center"/>
                    <w:rPr>
                      <w:rFonts w:hint="default" w:ascii="Times New Roman" w:hAnsi="Times New Roman" w:eastAsia="宋体" w:cs="Times New Roman"/>
                      <w:bCs/>
                      <w:color w:val="auto"/>
                      <w:sz w:val="21"/>
                      <w:szCs w:val="21"/>
                      <w:highlight w:val="none"/>
                      <w:u w:val="none"/>
                      <w:lang w:val="en-US" w:eastAsia="zh-CN" w:bidi="ar"/>
                    </w:rPr>
                  </w:pPr>
                  <w:r>
                    <w:rPr>
                      <w:rFonts w:hint="eastAsia" w:cs="Times New Roman"/>
                      <w:color w:val="auto"/>
                      <w:sz w:val="21"/>
                      <w:szCs w:val="21"/>
                      <w:highlight w:val="none"/>
                      <w:u w:val="none"/>
                      <w:lang w:val="en-US" w:eastAsia="zh-CN" w:bidi="ar-SA"/>
                    </w:rPr>
                    <w:t>53</w:t>
                  </w:r>
                </w:p>
              </w:tc>
              <w:tc>
                <w:tcPr>
                  <w:tcW w:w="1106"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92.8</w:t>
                  </w:r>
                </w:p>
              </w:tc>
              <w:tc>
                <w:tcPr>
                  <w:tcW w:w="1047" w:type="dxa"/>
                  <w:tcBorders>
                    <w:tl2br w:val="nil"/>
                    <w:tr2bl w:val="nil"/>
                  </w:tcBorders>
                  <w:noWrap w:val="0"/>
                  <w:vAlign w:val="center"/>
                </w:tcPr>
                <w:p>
                  <w:pPr>
                    <w:autoSpaceDE w:val="0"/>
                    <w:autoSpaceDN w:val="0"/>
                    <w:jc w:val="center"/>
                    <w:rPr>
                      <w:rFonts w:ascii="Times New Roman" w:hAnsi="Times New Roman" w:eastAsia="宋体" w:cs="Times New Roman"/>
                      <w:bCs/>
                      <w:color w:val="auto"/>
                      <w:kern w:val="0"/>
                      <w:sz w:val="21"/>
                      <w:szCs w:val="21"/>
                      <w:highlight w:val="none"/>
                      <w:u w:val="none"/>
                      <w:lang w:bidi="ar"/>
                    </w:rPr>
                  </w:pPr>
                  <w:r>
                    <w:rPr>
                      <w:rFonts w:ascii="Times New Roman" w:hAnsi="Times New Roman" w:eastAsia="宋体" w:cs="Times New Roman"/>
                      <w:color w:val="auto"/>
                      <w:kern w:val="0"/>
                      <w:sz w:val="21"/>
                      <w:szCs w:val="21"/>
                      <w:highlight w:val="none"/>
                      <w:u w:val="none"/>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596" w:type="pct"/>
                  <w:vMerge w:val="continue"/>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u w:val="none"/>
                      <w:lang w:bidi="ar"/>
                    </w:rPr>
                  </w:pPr>
                </w:p>
              </w:tc>
              <w:tc>
                <w:tcPr>
                  <w:tcW w:w="1071"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CO</w:t>
                  </w:r>
                </w:p>
              </w:tc>
              <w:tc>
                <w:tcPr>
                  <w:tcW w:w="2108"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百分位数日平均质量浓度</w:t>
                  </w:r>
                </w:p>
              </w:tc>
              <w:tc>
                <w:tcPr>
                  <w:tcW w:w="1500"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4</w:t>
                  </w:r>
                </w:p>
              </w:tc>
              <w:tc>
                <w:tcPr>
                  <w:tcW w:w="1346" w:type="dxa"/>
                  <w:tcBorders>
                    <w:tl2br w:val="nil"/>
                    <w:tr2bl w:val="nil"/>
                  </w:tcBorders>
                  <w:noWrap w:val="0"/>
                  <w:vAlign w:val="center"/>
                </w:tcPr>
                <w:p>
                  <w:pPr>
                    <w:widowControl w:val="0"/>
                    <w:autoSpaceDE w:val="0"/>
                    <w:autoSpaceDN w:val="0"/>
                    <w:spacing w:after="0" w:line="240" w:lineRule="auto"/>
                    <w:ind w:left="0" w:leftChars="0"/>
                    <w:jc w:val="center"/>
                    <w:rPr>
                      <w:rFonts w:hint="default" w:ascii="Times New Roman" w:hAnsi="Times New Roman" w:eastAsia="宋体" w:cs="Times New Roman"/>
                      <w:bCs/>
                      <w:color w:val="auto"/>
                      <w:sz w:val="21"/>
                      <w:szCs w:val="21"/>
                      <w:highlight w:val="none"/>
                      <w:u w:val="none"/>
                      <w:lang w:val="en-US" w:eastAsia="zh-CN" w:bidi="ar"/>
                    </w:rPr>
                  </w:pPr>
                  <w:r>
                    <w:rPr>
                      <w:rFonts w:hint="eastAsia" w:cs="Times New Roman"/>
                      <w:color w:val="auto"/>
                      <w:sz w:val="21"/>
                      <w:szCs w:val="21"/>
                      <w:highlight w:val="none"/>
                      <w:u w:val="none"/>
                      <w:lang w:val="en-US" w:eastAsia="zh-CN" w:bidi="ar-SA"/>
                    </w:rPr>
                    <w:t>1.0</w:t>
                  </w:r>
                </w:p>
              </w:tc>
              <w:tc>
                <w:tcPr>
                  <w:tcW w:w="1106"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27.5</w:t>
                  </w:r>
                </w:p>
              </w:tc>
              <w:tc>
                <w:tcPr>
                  <w:tcW w:w="1047" w:type="dxa"/>
                  <w:tcBorders>
                    <w:tl2br w:val="nil"/>
                    <w:tr2bl w:val="nil"/>
                  </w:tcBorders>
                  <w:noWrap w:val="0"/>
                  <w:vAlign w:val="center"/>
                </w:tcPr>
                <w:p>
                  <w:pPr>
                    <w:autoSpaceDE w:val="0"/>
                    <w:autoSpaceDN w:val="0"/>
                    <w:jc w:val="center"/>
                    <w:rPr>
                      <w:rFonts w:ascii="Times New Roman" w:hAnsi="Times New Roman" w:eastAsia="宋体" w:cs="Times New Roman"/>
                      <w:bCs/>
                      <w:color w:val="auto"/>
                      <w:kern w:val="0"/>
                      <w:sz w:val="21"/>
                      <w:szCs w:val="21"/>
                      <w:highlight w:val="none"/>
                      <w:u w:val="none"/>
                      <w:lang w:bidi="ar"/>
                    </w:rPr>
                  </w:pPr>
                  <w:r>
                    <w:rPr>
                      <w:rFonts w:ascii="Times New Roman" w:hAnsi="Times New Roman" w:eastAsia="宋体" w:cs="Times New Roman"/>
                      <w:color w:val="auto"/>
                      <w:kern w:val="0"/>
                      <w:sz w:val="21"/>
                      <w:szCs w:val="21"/>
                      <w:highlight w:val="none"/>
                      <w:u w:val="none"/>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596" w:type="pct"/>
                  <w:vMerge w:val="continue"/>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u w:val="none"/>
                      <w:lang w:bidi="ar"/>
                    </w:rPr>
                  </w:pPr>
                </w:p>
              </w:tc>
              <w:tc>
                <w:tcPr>
                  <w:tcW w:w="1071"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O</w:t>
                  </w:r>
                  <w:r>
                    <w:rPr>
                      <w:rFonts w:ascii="Times New Roman" w:hAnsi="Times New Roman" w:eastAsia="宋体" w:cs="Times New Roman"/>
                      <w:color w:val="auto"/>
                      <w:sz w:val="21"/>
                      <w:szCs w:val="21"/>
                      <w:highlight w:val="none"/>
                      <w:u w:val="none"/>
                      <w:vertAlign w:val="subscript"/>
                      <w:lang w:val="en-US" w:eastAsia="zh-CN" w:bidi="ar-SA"/>
                    </w:rPr>
                    <w:t>3</w:t>
                  </w:r>
                </w:p>
              </w:tc>
              <w:tc>
                <w:tcPr>
                  <w:tcW w:w="2108"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8h平均质量浓度（日均值）</w:t>
                  </w:r>
                </w:p>
              </w:tc>
              <w:tc>
                <w:tcPr>
                  <w:tcW w:w="1500"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160</w:t>
                  </w:r>
                </w:p>
              </w:tc>
              <w:tc>
                <w:tcPr>
                  <w:tcW w:w="1346" w:type="dxa"/>
                  <w:tcBorders>
                    <w:tl2br w:val="nil"/>
                    <w:tr2bl w:val="nil"/>
                  </w:tcBorders>
                  <w:noWrap w:val="0"/>
                  <w:vAlign w:val="center"/>
                </w:tcPr>
                <w:p>
                  <w:pPr>
                    <w:widowControl w:val="0"/>
                    <w:autoSpaceDE w:val="0"/>
                    <w:autoSpaceDN w:val="0"/>
                    <w:spacing w:after="0" w:line="240" w:lineRule="auto"/>
                    <w:ind w:left="0" w:leftChars="0"/>
                    <w:jc w:val="center"/>
                    <w:rPr>
                      <w:rFonts w:hint="default" w:ascii="Times New Roman" w:hAnsi="Times New Roman" w:eastAsia="宋体" w:cs="Times New Roman"/>
                      <w:bCs/>
                      <w:color w:val="auto"/>
                      <w:sz w:val="21"/>
                      <w:szCs w:val="21"/>
                      <w:highlight w:val="none"/>
                      <w:u w:val="none"/>
                      <w:lang w:val="en-US" w:eastAsia="zh-CN" w:bidi="ar"/>
                    </w:rPr>
                  </w:pPr>
                  <w:r>
                    <w:rPr>
                      <w:rFonts w:hint="eastAsia" w:cs="Times New Roman"/>
                      <w:color w:val="auto"/>
                      <w:sz w:val="21"/>
                      <w:szCs w:val="21"/>
                      <w:highlight w:val="none"/>
                      <w:u w:val="none"/>
                      <w:lang w:val="en-US" w:eastAsia="zh-CN" w:bidi="ar-SA"/>
                    </w:rPr>
                    <w:t>104</w:t>
                  </w:r>
                </w:p>
              </w:tc>
              <w:tc>
                <w:tcPr>
                  <w:tcW w:w="1106"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92.5</w:t>
                  </w:r>
                </w:p>
              </w:tc>
              <w:tc>
                <w:tcPr>
                  <w:tcW w:w="1047" w:type="dxa"/>
                  <w:tcBorders>
                    <w:tl2br w:val="nil"/>
                    <w:tr2bl w:val="nil"/>
                  </w:tcBorders>
                  <w:noWrap w:val="0"/>
                  <w:vAlign w:val="center"/>
                </w:tcPr>
                <w:p>
                  <w:pPr>
                    <w:autoSpaceDE w:val="0"/>
                    <w:autoSpaceDN w:val="0"/>
                    <w:jc w:val="center"/>
                    <w:rPr>
                      <w:rFonts w:ascii="Times New Roman" w:hAnsi="Times New Roman" w:eastAsia="宋体" w:cs="Times New Roman"/>
                      <w:bCs/>
                      <w:color w:val="auto"/>
                      <w:kern w:val="0"/>
                      <w:sz w:val="21"/>
                      <w:szCs w:val="21"/>
                      <w:highlight w:val="none"/>
                      <w:u w:val="none"/>
                      <w:lang w:bidi="ar"/>
                    </w:rPr>
                  </w:pPr>
                  <w:r>
                    <w:rPr>
                      <w:rFonts w:ascii="Times New Roman" w:hAnsi="Times New Roman" w:eastAsia="宋体" w:cs="Times New Roman"/>
                      <w:color w:val="auto"/>
                      <w:kern w:val="0"/>
                      <w:sz w:val="21"/>
                      <w:szCs w:val="21"/>
                      <w:highlight w:val="none"/>
                      <w:u w:val="none"/>
                    </w:rPr>
                    <w:t>达标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596" w:type="pct"/>
                  <w:vMerge w:val="continue"/>
                  <w:tcBorders>
                    <w:tl2br w:val="nil"/>
                    <w:tr2bl w:val="nil"/>
                  </w:tcBorders>
                  <w:noWrap w:val="0"/>
                  <w:vAlign w:val="center"/>
                </w:tcPr>
                <w:p>
                  <w:pPr>
                    <w:autoSpaceDE w:val="0"/>
                    <w:autoSpaceDN w:val="0"/>
                    <w:spacing w:line="300" w:lineRule="exact"/>
                    <w:jc w:val="center"/>
                    <w:rPr>
                      <w:rFonts w:ascii="Times New Roman" w:hAnsi="Times New Roman" w:eastAsia="宋体" w:cs="Times New Roman"/>
                      <w:bCs/>
                      <w:color w:val="auto"/>
                      <w:kern w:val="0"/>
                      <w:sz w:val="21"/>
                      <w:szCs w:val="21"/>
                      <w:highlight w:val="none"/>
                      <w:u w:val="none"/>
                      <w:lang w:bidi="ar"/>
                    </w:rPr>
                  </w:pPr>
                </w:p>
              </w:tc>
              <w:tc>
                <w:tcPr>
                  <w:tcW w:w="1071"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PM</w:t>
                  </w:r>
                  <w:r>
                    <w:rPr>
                      <w:rFonts w:ascii="Times New Roman" w:hAnsi="Times New Roman" w:eastAsia="宋体" w:cs="Times New Roman"/>
                      <w:color w:val="auto"/>
                      <w:sz w:val="21"/>
                      <w:szCs w:val="21"/>
                      <w:highlight w:val="none"/>
                      <w:u w:val="none"/>
                      <w:vertAlign w:val="subscript"/>
                      <w:lang w:val="en-US" w:eastAsia="zh-CN" w:bidi="ar-SA"/>
                    </w:rPr>
                    <w:t>2.5</w:t>
                  </w:r>
                </w:p>
              </w:tc>
              <w:tc>
                <w:tcPr>
                  <w:tcW w:w="2108"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年平均质量浓度</w:t>
                  </w:r>
                </w:p>
              </w:tc>
              <w:tc>
                <w:tcPr>
                  <w:tcW w:w="1500"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35</w:t>
                  </w:r>
                </w:p>
              </w:tc>
              <w:tc>
                <w:tcPr>
                  <w:tcW w:w="1346" w:type="dxa"/>
                  <w:tcBorders>
                    <w:tl2br w:val="nil"/>
                    <w:tr2bl w:val="nil"/>
                  </w:tcBorders>
                  <w:noWrap w:val="0"/>
                  <w:vAlign w:val="center"/>
                </w:tcPr>
                <w:p>
                  <w:pPr>
                    <w:widowControl w:val="0"/>
                    <w:autoSpaceDE w:val="0"/>
                    <w:autoSpaceDN w:val="0"/>
                    <w:spacing w:after="0" w:line="240" w:lineRule="auto"/>
                    <w:ind w:left="0" w:leftChars="0"/>
                    <w:jc w:val="center"/>
                    <w:rPr>
                      <w:rFonts w:hint="default" w:ascii="Times New Roman" w:hAnsi="Times New Roman" w:eastAsia="宋体" w:cs="Times New Roman"/>
                      <w:bCs/>
                      <w:color w:val="auto"/>
                      <w:sz w:val="21"/>
                      <w:szCs w:val="21"/>
                      <w:highlight w:val="none"/>
                      <w:u w:val="none"/>
                      <w:lang w:val="en-US" w:eastAsia="zh-CN" w:bidi="ar"/>
                    </w:rPr>
                  </w:pPr>
                  <w:r>
                    <w:rPr>
                      <w:rFonts w:hint="eastAsia" w:cs="Times New Roman"/>
                      <w:color w:val="auto"/>
                      <w:sz w:val="21"/>
                      <w:szCs w:val="21"/>
                      <w:highlight w:val="none"/>
                      <w:u w:val="none"/>
                      <w:lang w:val="en-US" w:eastAsia="zh-CN" w:bidi="ar-SA"/>
                    </w:rPr>
                    <w:t>32</w:t>
                  </w:r>
                </w:p>
              </w:tc>
              <w:tc>
                <w:tcPr>
                  <w:tcW w:w="1106" w:type="dxa"/>
                  <w:tcBorders>
                    <w:tl2br w:val="nil"/>
                    <w:tr2bl w:val="nil"/>
                  </w:tcBorders>
                  <w:noWrap w:val="0"/>
                  <w:vAlign w:val="center"/>
                </w:tcPr>
                <w:p>
                  <w:pPr>
                    <w:widowControl w:val="0"/>
                    <w:autoSpaceDE w:val="0"/>
                    <w:autoSpaceDN w:val="0"/>
                    <w:spacing w:after="0" w:line="240" w:lineRule="auto"/>
                    <w:ind w:left="0" w:leftChars="0"/>
                    <w:jc w:val="center"/>
                    <w:rPr>
                      <w:rFonts w:ascii="Times New Roman" w:hAnsi="Times New Roman" w:eastAsia="宋体" w:cs="Times New Roman"/>
                      <w:bCs/>
                      <w:color w:val="auto"/>
                      <w:sz w:val="21"/>
                      <w:szCs w:val="21"/>
                      <w:highlight w:val="none"/>
                      <w:u w:val="none"/>
                      <w:lang w:val="en-US" w:eastAsia="zh-CN" w:bidi="ar"/>
                    </w:rPr>
                  </w:pPr>
                  <w:r>
                    <w:rPr>
                      <w:rFonts w:ascii="Times New Roman" w:hAnsi="Times New Roman" w:eastAsia="宋体" w:cs="Times New Roman"/>
                      <w:color w:val="auto"/>
                      <w:sz w:val="21"/>
                      <w:szCs w:val="21"/>
                      <w:highlight w:val="none"/>
                      <w:u w:val="none"/>
                      <w:lang w:val="en-US" w:eastAsia="zh-CN" w:bidi="ar-SA"/>
                    </w:rPr>
                    <w:t>120</w:t>
                  </w:r>
                </w:p>
              </w:tc>
              <w:tc>
                <w:tcPr>
                  <w:tcW w:w="1047" w:type="dxa"/>
                  <w:tcBorders>
                    <w:tl2br w:val="nil"/>
                    <w:tr2bl w:val="nil"/>
                  </w:tcBorders>
                  <w:noWrap w:val="0"/>
                  <w:vAlign w:val="center"/>
                </w:tcPr>
                <w:p>
                  <w:pPr>
                    <w:autoSpaceDE w:val="0"/>
                    <w:autoSpaceDN w:val="0"/>
                    <w:jc w:val="center"/>
                    <w:rPr>
                      <w:rFonts w:ascii="Times New Roman" w:hAnsi="Times New Roman" w:eastAsia="宋体" w:cs="Times New Roman"/>
                      <w:bCs/>
                      <w:color w:val="auto"/>
                      <w:kern w:val="0"/>
                      <w:sz w:val="21"/>
                      <w:szCs w:val="21"/>
                      <w:highlight w:val="none"/>
                      <w:u w:val="none"/>
                      <w:lang w:bidi="ar"/>
                    </w:rPr>
                  </w:pPr>
                  <w:r>
                    <w:rPr>
                      <w:rFonts w:ascii="Times New Roman" w:hAnsi="Times New Roman" w:eastAsia="宋体" w:cs="Times New Roman"/>
                      <w:color w:val="auto"/>
                      <w:kern w:val="0"/>
                      <w:sz w:val="21"/>
                      <w:szCs w:val="21"/>
                      <w:highlight w:val="none"/>
                      <w:u w:val="none"/>
                    </w:rPr>
                    <w:t>达标</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textAlignment w:val="auto"/>
              <w:rPr>
                <w:rFonts w:ascii="Times New Roman" w:hAnsi="Times New Roman" w:eastAsia="宋体" w:cs="Times New Roman"/>
                <w:color w:val="auto"/>
                <w:sz w:val="24"/>
                <w:szCs w:val="24"/>
                <w:highlight w:val="none"/>
                <w:u w:val="none"/>
              </w:rPr>
            </w:pPr>
            <w:r>
              <w:rPr>
                <w:rFonts w:ascii="Times New Roman" w:hAnsi="Times New Roman" w:eastAsia="宋体" w:cs="Times New Roman"/>
                <w:bCs/>
                <w:color w:val="auto"/>
                <w:sz w:val="24"/>
                <w:szCs w:val="22"/>
                <w:highlight w:val="none"/>
                <w:u w:val="none"/>
                <w:lang w:val="en-US" w:eastAsia="zh-CN" w:bidi="ar-SA"/>
              </w:rPr>
              <w:t>根据《环境影响评价技术导则 大气环境》（HJ2.2-2018）中项目所在区域达标判断要求，结合上表数据可知，项目所在区域澧县为达标区</w:t>
            </w:r>
            <w:r>
              <w:rPr>
                <w:rFonts w:hint="eastAsia" w:cs="Times New Roman"/>
                <w:bCs/>
                <w:color w:val="auto"/>
                <w:sz w:val="24"/>
                <w:szCs w:val="22"/>
                <w:highlight w:val="none"/>
                <w:u w:val="none"/>
                <w:lang w:val="en-US" w:eastAsia="zh-CN" w:bidi="ar-SA"/>
              </w:rPr>
              <w:t>，环境空气质量较好</w:t>
            </w:r>
            <w:r>
              <w:rPr>
                <w:rFonts w:hint="eastAsia" w:ascii="Times New Roman" w:hAnsi="Times New Roman" w:eastAsia="宋体" w:cs="Times New Roman"/>
                <w:color w:val="auto"/>
                <w:sz w:val="24"/>
                <w:szCs w:val="24"/>
                <w:highlight w:val="none"/>
                <w:u w:val="none"/>
              </w:rPr>
              <w:t>。</w:t>
            </w:r>
          </w:p>
          <w:p>
            <w:pPr>
              <w:spacing w:line="360" w:lineRule="auto"/>
              <w:ind w:firstLine="482" w:firstLineChars="200"/>
              <w:rPr>
                <w:rFonts w:hint="eastAsia" w:ascii="Times New Roman" w:hAnsi="Times New Roman" w:eastAsia="宋体" w:cs="Times New Roman"/>
                <w:b/>
                <w:bCs/>
                <w:color w:val="auto"/>
                <w:sz w:val="24"/>
                <w:szCs w:val="24"/>
                <w:highlight w:val="none"/>
                <w:lang w:eastAsia="zh-CN"/>
              </w:rPr>
            </w:pPr>
            <w:r>
              <w:rPr>
                <w:rFonts w:ascii="Times New Roman" w:hAnsi="Times New Roman" w:eastAsia="宋体" w:cs="Times New Roman"/>
                <w:b/>
                <w:bCs/>
                <w:color w:val="auto"/>
                <w:sz w:val="24"/>
                <w:szCs w:val="24"/>
                <w:highlight w:val="none"/>
              </w:rPr>
              <w:t>2、地表水</w:t>
            </w:r>
            <w:r>
              <w:rPr>
                <w:rFonts w:hint="eastAsia" w:ascii="Times New Roman" w:hAnsi="Times New Roman" w:eastAsia="宋体" w:cs="Times New Roman"/>
                <w:b/>
                <w:bCs/>
                <w:color w:val="auto"/>
                <w:sz w:val="24"/>
                <w:szCs w:val="24"/>
                <w:highlight w:val="none"/>
                <w:lang w:eastAsia="zh-CN"/>
              </w:rPr>
              <w:t>环境</w:t>
            </w:r>
          </w:p>
          <w:p>
            <w:pPr>
              <w:spacing w:line="360" w:lineRule="auto"/>
              <w:ind w:firstLine="480" w:firstLineChars="200"/>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rPr>
              <w:t>为了解本项目所在区域</w:t>
            </w:r>
            <w:r>
              <w:rPr>
                <w:rFonts w:hint="default" w:ascii="Times New Roman" w:hAnsi="Times New Roman" w:eastAsia="宋体" w:cs="Times New Roman"/>
                <w:color w:val="auto"/>
                <w:sz w:val="24"/>
                <w:szCs w:val="20"/>
                <w:highlight w:val="none"/>
                <w:lang w:eastAsia="zh-CN"/>
              </w:rPr>
              <w:t>地表水</w:t>
            </w:r>
            <w:r>
              <w:rPr>
                <w:rFonts w:hint="default" w:ascii="Times New Roman" w:hAnsi="Times New Roman" w:eastAsia="宋体" w:cs="Times New Roman"/>
                <w:color w:val="auto"/>
                <w:sz w:val="24"/>
                <w:szCs w:val="20"/>
                <w:highlight w:val="none"/>
              </w:rPr>
              <w:t>环境质量现状，</w:t>
            </w:r>
            <w:r>
              <w:rPr>
                <w:rFonts w:hint="default" w:ascii="Times New Roman" w:hAnsi="Times New Roman" w:eastAsia="宋体" w:cs="Times New Roman"/>
                <w:color w:val="auto"/>
                <w:sz w:val="24"/>
                <w:szCs w:val="24"/>
                <w:highlight w:val="none"/>
              </w:rPr>
              <w:t>本次环境影响评价</w:t>
            </w:r>
            <w:r>
              <w:rPr>
                <w:rFonts w:hint="default" w:ascii="Times New Roman" w:hAnsi="Times New Roman" w:eastAsia="宋体" w:cs="Times New Roman"/>
                <w:color w:val="auto"/>
                <w:sz w:val="24"/>
                <w:szCs w:val="24"/>
                <w:highlight w:val="none"/>
                <w:lang w:eastAsia="zh-CN"/>
              </w:rPr>
              <w:t>地表水</w:t>
            </w:r>
            <w:r>
              <w:rPr>
                <w:rFonts w:hint="default" w:ascii="Times New Roman" w:hAnsi="Times New Roman" w:eastAsia="宋体" w:cs="Times New Roman"/>
                <w:color w:val="auto"/>
                <w:sz w:val="24"/>
                <w:szCs w:val="24"/>
                <w:highlight w:val="none"/>
              </w:rPr>
              <w:t>质量现状监测数据引用</w:t>
            </w:r>
            <w:r>
              <w:rPr>
                <w:rFonts w:hint="default" w:ascii="Times New Roman" w:hAnsi="Times New Roman" w:eastAsia="宋体" w:cs="Times New Roman"/>
                <w:color w:val="auto"/>
                <w:sz w:val="24"/>
                <w:szCs w:val="20"/>
                <w:highlight w:val="none"/>
              </w:rPr>
              <w:t>《常德市生态环境局关于2019年12月全市环境质量状况的通报》中</w:t>
            </w:r>
            <w:r>
              <w:rPr>
                <w:rFonts w:hint="default" w:ascii="Times New Roman" w:hAnsi="Times New Roman" w:eastAsia="宋体" w:cs="Times New Roman"/>
                <w:color w:val="auto"/>
                <w:sz w:val="24"/>
                <w:szCs w:val="20"/>
                <w:highlight w:val="none"/>
                <w:lang w:eastAsia="zh-CN"/>
              </w:rPr>
              <w:t>附件</w:t>
            </w:r>
            <w:r>
              <w:rPr>
                <w:rFonts w:hint="default" w:ascii="Times New Roman" w:hAnsi="Times New Roman" w:eastAsia="宋体" w:cs="Times New Roman"/>
                <w:color w:val="auto"/>
                <w:sz w:val="24"/>
                <w:szCs w:val="20"/>
                <w:highlight w:val="none"/>
                <w:lang w:val="en-US" w:eastAsia="zh-CN"/>
              </w:rPr>
              <w:t>6“2019年常德市地表水水质重点监控断面年度均值水质变化状况”的监测公布结果，如下表所示：</w:t>
            </w:r>
          </w:p>
          <w:p>
            <w:pPr>
              <w:spacing w:line="240" w:lineRule="auto"/>
              <w:ind w:firstLine="422" w:firstLineChars="200"/>
              <w:jc w:val="center"/>
              <w:rPr>
                <w:rFonts w:hint="default" w:ascii="Times New Roman" w:hAnsi="Times New Roman" w:eastAsia="宋体" w:cs="Times New Roman"/>
                <w:color w:val="auto"/>
                <w:sz w:val="21"/>
                <w:szCs w:val="21"/>
                <w:highlight w:val="none"/>
                <w:lang w:val="en-GB"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zh-CN"/>
              </w:rPr>
              <w:t xml:space="preserve">  常德市地表水水质重点监控断面年度均值水质变化状况</w:t>
            </w:r>
          </w:p>
          <w:tbl>
            <w:tblPr>
              <w:tblStyle w:val="15"/>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53"/>
              <w:gridCol w:w="822"/>
              <w:gridCol w:w="1142"/>
              <w:gridCol w:w="1086"/>
              <w:gridCol w:w="2179"/>
              <w:gridCol w:w="978"/>
              <w:gridCol w:w="10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00" w:hRule="atLeast"/>
                <w:tblHeader/>
                <w:jc w:val="center"/>
              </w:trPr>
              <w:tc>
                <w:tcPr>
                  <w:tcW w:w="469" w:type="pct"/>
                  <w:vMerge w:val="restart"/>
                  <w:tcBorders>
                    <w:top w:val="single" w:color="auto" w:sz="6" w:space="0"/>
                    <w:left w:val="single" w:color="auto" w:sz="6" w:space="0"/>
                    <w:bottom w:val="single" w:color="auto" w:sz="6" w:space="0"/>
                    <w:right w:val="single" w:color="auto" w:sz="6" w:space="0"/>
                  </w:tcBorders>
                  <w:noWrap w:val="0"/>
                  <w:vAlign w:val="center"/>
                </w:tcPr>
                <w:p>
                  <w:pPr>
                    <w:widowControl/>
                    <w:adjustRightIn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512" w:type="pct"/>
                  <w:vMerge w:val="restart"/>
                  <w:tcBorders>
                    <w:top w:val="single" w:color="auto" w:sz="6" w:space="0"/>
                    <w:left w:val="single" w:color="auto" w:sz="6" w:space="0"/>
                    <w:bottom w:val="single" w:color="auto" w:sz="6" w:space="0"/>
                    <w:right w:val="single" w:color="auto" w:sz="6" w:space="0"/>
                  </w:tcBorders>
                  <w:noWrap w:val="0"/>
                  <w:vAlign w:val="center"/>
                </w:tcPr>
                <w:p>
                  <w:pPr>
                    <w:widowControl/>
                    <w:adjustRightIn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断面名称</w:t>
                  </w:r>
                </w:p>
              </w:tc>
              <w:tc>
                <w:tcPr>
                  <w:tcW w:w="711" w:type="pct"/>
                  <w:vMerge w:val="restart"/>
                  <w:tcBorders>
                    <w:top w:val="single" w:color="auto" w:sz="6" w:space="0"/>
                    <w:left w:val="single" w:color="auto" w:sz="6" w:space="0"/>
                    <w:bottom w:val="single" w:color="auto" w:sz="6" w:space="0"/>
                    <w:right w:val="single" w:color="auto" w:sz="6" w:space="0"/>
                  </w:tcBorders>
                  <w:noWrap w:val="0"/>
                  <w:vAlign w:val="center"/>
                </w:tcPr>
                <w:p>
                  <w:pPr>
                    <w:widowControl/>
                    <w:adjustRightIn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考核</w:t>
                  </w:r>
                </w:p>
                <w:p>
                  <w:pPr>
                    <w:widowControl/>
                    <w:adjustRightIn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市州</w:t>
                  </w:r>
                </w:p>
              </w:tc>
              <w:tc>
                <w:tcPr>
                  <w:tcW w:w="676" w:type="pct"/>
                  <w:vMerge w:val="restart"/>
                  <w:tcBorders>
                    <w:top w:val="single" w:color="auto" w:sz="6" w:space="0"/>
                    <w:left w:val="single" w:color="auto" w:sz="6" w:space="0"/>
                    <w:bottom w:val="single" w:color="auto" w:sz="6" w:space="0"/>
                    <w:right w:val="single" w:color="auto" w:sz="6" w:space="0"/>
                  </w:tcBorders>
                  <w:noWrap w:val="0"/>
                  <w:vAlign w:val="center"/>
                </w:tcPr>
                <w:p>
                  <w:pPr>
                    <w:widowControl/>
                    <w:adjustRightIn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所在河流</w:t>
                  </w:r>
                </w:p>
              </w:tc>
              <w:tc>
                <w:tcPr>
                  <w:tcW w:w="1357" w:type="pct"/>
                  <w:vMerge w:val="restart"/>
                  <w:tcBorders>
                    <w:top w:val="single" w:color="auto" w:sz="6" w:space="0"/>
                    <w:left w:val="single" w:color="auto" w:sz="6" w:space="0"/>
                    <w:bottom w:val="single" w:color="auto" w:sz="6" w:space="0"/>
                    <w:right w:val="single" w:color="auto" w:sz="6" w:space="0"/>
                  </w:tcBorders>
                  <w:noWrap w:val="0"/>
                  <w:vAlign w:val="center"/>
                </w:tcPr>
                <w:p>
                  <w:pPr>
                    <w:widowControl/>
                    <w:adjustRightIn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断面属性</w:t>
                  </w:r>
                </w:p>
              </w:tc>
              <w:tc>
                <w:tcPr>
                  <w:tcW w:w="609" w:type="pct"/>
                  <w:vMerge w:val="restart"/>
                  <w:tcBorders>
                    <w:top w:val="single" w:color="auto" w:sz="6" w:space="0"/>
                    <w:left w:val="single" w:color="auto" w:sz="6" w:space="0"/>
                    <w:bottom w:val="single" w:color="auto" w:sz="6" w:space="0"/>
                    <w:right w:val="single" w:color="auto" w:sz="4" w:space="0"/>
                  </w:tcBorders>
                  <w:noWrap w:val="0"/>
                  <w:vAlign w:val="center"/>
                </w:tcPr>
                <w:p>
                  <w:pPr>
                    <w:widowControl/>
                    <w:adjustRightIn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2018年</w:t>
                  </w:r>
                </w:p>
              </w:tc>
              <w:tc>
                <w:tcPr>
                  <w:tcW w:w="662" w:type="pct"/>
                  <w:vMerge w:val="restart"/>
                  <w:tcBorders>
                    <w:top w:val="single" w:color="auto" w:sz="6" w:space="0"/>
                    <w:left w:val="single" w:color="auto" w:sz="4" w:space="0"/>
                    <w:bottom w:val="single" w:color="auto" w:sz="6" w:space="0"/>
                    <w:right w:val="single" w:color="auto" w:sz="6" w:space="0"/>
                  </w:tcBorders>
                  <w:noWrap w:val="0"/>
                  <w:vAlign w:val="center"/>
                </w:tcPr>
                <w:p>
                  <w:pPr>
                    <w:widowControl/>
                    <w:adjustRightIn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2019年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12" w:hRule="atLeast"/>
                <w:tblHeader/>
                <w:jc w:val="center"/>
              </w:trPr>
              <w:tc>
                <w:tcPr>
                  <w:tcW w:w="469" w:type="pct"/>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b/>
                      <w:bCs/>
                      <w:color w:val="auto"/>
                      <w:sz w:val="21"/>
                      <w:szCs w:val="21"/>
                      <w:highlight w:val="none"/>
                    </w:rPr>
                  </w:pPr>
                </w:p>
              </w:tc>
              <w:tc>
                <w:tcPr>
                  <w:tcW w:w="512" w:type="pct"/>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b/>
                      <w:bCs/>
                      <w:color w:val="auto"/>
                      <w:sz w:val="21"/>
                      <w:szCs w:val="21"/>
                      <w:highlight w:val="none"/>
                    </w:rPr>
                  </w:pPr>
                </w:p>
              </w:tc>
              <w:tc>
                <w:tcPr>
                  <w:tcW w:w="711" w:type="pct"/>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b/>
                      <w:bCs/>
                      <w:color w:val="auto"/>
                      <w:sz w:val="21"/>
                      <w:szCs w:val="21"/>
                      <w:highlight w:val="none"/>
                    </w:rPr>
                  </w:pPr>
                </w:p>
              </w:tc>
              <w:tc>
                <w:tcPr>
                  <w:tcW w:w="676" w:type="pct"/>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b/>
                      <w:bCs/>
                      <w:color w:val="auto"/>
                      <w:sz w:val="21"/>
                      <w:szCs w:val="21"/>
                      <w:highlight w:val="none"/>
                    </w:rPr>
                  </w:pPr>
                </w:p>
              </w:tc>
              <w:tc>
                <w:tcPr>
                  <w:tcW w:w="1357" w:type="pct"/>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b/>
                      <w:bCs/>
                      <w:color w:val="auto"/>
                      <w:sz w:val="21"/>
                      <w:szCs w:val="21"/>
                      <w:highlight w:val="none"/>
                    </w:rPr>
                  </w:pPr>
                </w:p>
              </w:tc>
              <w:tc>
                <w:tcPr>
                  <w:tcW w:w="609"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宋体" w:cs="Times New Roman"/>
                      <w:b/>
                      <w:bCs/>
                      <w:color w:val="auto"/>
                      <w:sz w:val="21"/>
                      <w:szCs w:val="21"/>
                      <w:highlight w:val="none"/>
                    </w:rPr>
                  </w:pPr>
                </w:p>
              </w:tc>
              <w:tc>
                <w:tcPr>
                  <w:tcW w:w="662" w:type="pct"/>
                  <w:vMerge w:val="continue"/>
                  <w:tcBorders>
                    <w:top w:val="single" w:color="auto" w:sz="6" w:space="0"/>
                    <w:left w:val="single" w:color="auto" w:sz="4" w:space="0"/>
                    <w:bottom w:val="single" w:color="auto" w:sz="6" w:space="0"/>
                    <w:right w:val="single" w:color="auto" w:sz="6" w:space="0"/>
                  </w:tcBorders>
                  <w:noWrap w:val="0"/>
                  <w:vAlign w:val="center"/>
                </w:tcPr>
                <w:p>
                  <w:pPr>
                    <w:jc w:val="center"/>
                    <w:rPr>
                      <w:rFonts w:hint="default" w:ascii="Times New Roman" w:hAnsi="Times New Roman" w:eastAsia="宋体" w:cs="Times New Roman"/>
                      <w:b/>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0" w:hRule="atLeast"/>
                <w:tblHeader/>
                <w:jc w:val="center"/>
              </w:trPr>
              <w:tc>
                <w:tcPr>
                  <w:tcW w:w="469"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lang w:val="en-US" w:eastAsia="zh-CN"/>
                    </w:rPr>
                    <w:t>1</w:t>
                  </w:r>
                </w:p>
              </w:tc>
              <w:tc>
                <w:tcPr>
                  <w:tcW w:w="512"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滟州大坝上游</w:t>
                  </w:r>
                </w:p>
              </w:tc>
              <w:tc>
                <w:tcPr>
                  <w:tcW w:w="711"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澧县</w:t>
                  </w:r>
                </w:p>
              </w:tc>
              <w:tc>
                <w:tcPr>
                  <w:tcW w:w="676"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澧水</w:t>
                  </w:r>
                </w:p>
              </w:tc>
              <w:tc>
                <w:tcPr>
                  <w:tcW w:w="1357"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饮用水、省控</w:t>
                  </w:r>
                </w:p>
              </w:tc>
              <w:tc>
                <w:tcPr>
                  <w:tcW w:w="609" w:type="pct"/>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Ⅱ</w:t>
                  </w:r>
                </w:p>
              </w:tc>
              <w:tc>
                <w:tcPr>
                  <w:tcW w:w="662" w:type="pct"/>
                  <w:tcBorders>
                    <w:top w:val="single" w:color="auto" w:sz="6" w:space="0"/>
                    <w:left w:val="single" w:color="auto" w:sz="4"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0" w:hRule="atLeast"/>
                <w:tblHeader/>
                <w:jc w:val="center"/>
              </w:trPr>
              <w:tc>
                <w:tcPr>
                  <w:tcW w:w="469"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S</w:t>
                  </w:r>
                  <w:r>
                    <w:rPr>
                      <w:rFonts w:hint="default" w:ascii="Times New Roman" w:hAnsi="Times New Roman" w:eastAsia="宋体" w:cs="Times New Roman"/>
                      <w:color w:val="auto"/>
                      <w:sz w:val="21"/>
                      <w:szCs w:val="21"/>
                      <w:highlight w:val="none"/>
                      <w:lang w:val="en-US" w:eastAsia="zh-CN"/>
                    </w:rPr>
                    <w:t>2</w:t>
                  </w:r>
                </w:p>
              </w:tc>
              <w:tc>
                <w:tcPr>
                  <w:tcW w:w="512"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宋家渡</w:t>
                  </w:r>
                </w:p>
              </w:tc>
              <w:tc>
                <w:tcPr>
                  <w:tcW w:w="711"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澧县</w:t>
                  </w:r>
                </w:p>
              </w:tc>
              <w:tc>
                <w:tcPr>
                  <w:tcW w:w="676"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澧水</w:t>
                  </w:r>
                </w:p>
              </w:tc>
              <w:tc>
                <w:tcPr>
                  <w:tcW w:w="1357"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县界(澧县-津市)、省控</w:t>
                  </w:r>
                </w:p>
              </w:tc>
              <w:tc>
                <w:tcPr>
                  <w:tcW w:w="609" w:type="pct"/>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Ⅱ</w:t>
                  </w:r>
                </w:p>
              </w:tc>
              <w:tc>
                <w:tcPr>
                  <w:tcW w:w="662" w:type="pct"/>
                  <w:tcBorders>
                    <w:top w:val="single" w:color="auto" w:sz="6" w:space="0"/>
                    <w:left w:val="single" w:color="auto" w:sz="4"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0" w:hRule="atLeast"/>
                <w:tblHeader/>
                <w:jc w:val="center"/>
              </w:trPr>
              <w:tc>
                <w:tcPr>
                  <w:tcW w:w="469"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S3</w:t>
                  </w:r>
                </w:p>
              </w:tc>
              <w:tc>
                <w:tcPr>
                  <w:tcW w:w="512"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小渡口镇五公村</w:t>
                  </w:r>
                </w:p>
              </w:tc>
              <w:tc>
                <w:tcPr>
                  <w:tcW w:w="711"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津市</w:t>
                  </w:r>
                </w:p>
              </w:tc>
              <w:tc>
                <w:tcPr>
                  <w:tcW w:w="676"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涔水</w:t>
                  </w:r>
                </w:p>
              </w:tc>
              <w:tc>
                <w:tcPr>
                  <w:tcW w:w="1357"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交界（道水入澧水）、省控</w:t>
                  </w:r>
                </w:p>
              </w:tc>
              <w:tc>
                <w:tcPr>
                  <w:tcW w:w="970" w:type="dxa"/>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Ⅱ</w:t>
                  </w:r>
                </w:p>
              </w:tc>
              <w:tc>
                <w:tcPr>
                  <w:tcW w:w="1055" w:type="dxa"/>
                  <w:tcBorders>
                    <w:top w:val="single" w:color="auto" w:sz="6" w:space="0"/>
                    <w:left w:val="single" w:color="auto" w:sz="4" w:space="0"/>
                    <w:bottom w:val="single" w:color="auto" w:sz="6" w:space="0"/>
                    <w:right w:val="single" w:color="auto" w:sz="6" w:space="0"/>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Ⅱ</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结果表明澧水</w:t>
            </w:r>
            <w:r>
              <w:rPr>
                <w:rFonts w:hint="eastAsia" w:ascii="Times New Roman" w:hAnsi="Times New Roman" w:eastAsia="宋体" w:cs="Times New Roman"/>
                <w:color w:val="auto"/>
                <w:sz w:val="24"/>
                <w:highlight w:val="none"/>
                <w:lang w:eastAsia="zh-CN"/>
              </w:rPr>
              <w:t>、涔水</w:t>
            </w:r>
            <w:r>
              <w:rPr>
                <w:rFonts w:hint="default" w:ascii="Times New Roman" w:hAnsi="Times New Roman" w:eastAsia="宋体" w:cs="Times New Roman"/>
                <w:color w:val="auto"/>
                <w:sz w:val="24"/>
                <w:highlight w:val="none"/>
                <w:lang w:eastAsia="zh-CN"/>
              </w:rPr>
              <w:t>的</w:t>
            </w:r>
            <w:r>
              <w:rPr>
                <w:rFonts w:hint="default" w:ascii="Times New Roman" w:hAnsi="Times New Roman" w:eastAsia="宋体" w:cs="Times New Roman"/>
                <w:color w:val="auto"/>
                <w:sz w:val="24"/>
                <w:highlight w:val="none"/>
                <w:lang w:val="en-GB"/>
              </w:rPr>
              <w:t>水质类别为Ⅱ类，</w:t>
            </w:r>
            <w:r>
              <w:rPr>
                <w:rFonts w:hint="default" w:ascii="Times New Roman" w:hAnsi="Times New Roman" w:eastAsia="宋体" w:cs="Times New Roman"/>
                <w:color w:val="auto"/>
                <w:sz w:val="24"/>
                <w:highlight w:val="none"/>
                <w:lang w:val="en-GB" w:eastAsia="zh-CN"/>
              </w:rPr>
              <w:t>优于</w:t>
            </w:r>
            <w:r>
              <w:rPr>
                <w:rFonts w:hint="default" w:ascii="Times New Roman" w:hAnsi="Times New Roman" w:eastAsia="宋体" w:cs="Times New Roman"/>
                <w:color w:val="auto"/>
                <w:sz w:val="24"/>
                <w:highlight w:val="none"/>
                <w:lang w:val="en-GB"/>
              </w:rPr>
              <w:t>《地表水质量标准》（</w:t>
            </w:r>
            <w:r>
              <w:rPr>
                <w:rFonts w:hint="default" w:ascii="Times New Roman" w:hAnsi="Times New Roman" w:eastAsia="宋体" w:cs="Times New Roman"/>
                <w:color w:val="auto"/>
                <w:sz w:val="24"/>
                <w:highlight w:val="none"/>
              </w:rPr>
              <w:t>GB3838-2002</w:t>
            </w:r>
            <w:r>
              <w:rPr>
                <w:rFonts w:hint="default" w:ascii="Times New Roman" w:hAnsi="Times New Roman" w:eastAsia="宋体" w:cs="Times New Roman"/>
                <w:color w:val="auto"/>
                <w:sz w:val="24"/>
                <w:highlight w:val="none"/>
                <w:lang w:val="en-GB"/>
              </w:rPr>
              <w:t>）</w:t>
            </w:r>
            <w:r>
              <w:rPr>
                <w:rFonts w:hint="default" w:ascii="Times New Roman" w:hAnsi="Times New Roman" w:eastAsia="宋体" w:cs="Times New Roman"/>
                <w:color w:val="auto"/>
                <w:sz w:val="24"/>
                <w:highlight w:val="none"/>
                <w:lang w:val="en-GB" w:eastAsia="zh-CN"/>
              </w:rPr>
              <w:t>Ⅲ</w:t>
            </w:r>
            <w:r>
              <w:rPr>
                <w:rFonts w:hint="default" w:ascii="Times New Roman" w:hAnsi="Times New Roman" w:eastAsia="宋体" w:cs="Times New Roman"/>
                <w:color w:val="auto"/>
                <w:sz w:val="24"/>
                <w:highlight w:val="none"/>
                <w:lang w:val="en-GB"/>
              </w:rPr>
              <w:t>类标准，说明项目区域水环境质量较好</w:t>
            </w:r>
            <w:r>
              <w:rPr>
                <w:rFonts w:hint="eastAsia"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b/>
                <w:bCs/>
                <w:color w:val="auto"/>
                <w:sz w:val="24"/>
                <w:highlight w:val="none"/>
                <w:u w:val="none"/>
              </w:rPr>
            </w:pPr>
            <w:r>
              <w:rPr>
                <w:rFonts w:hint="eastAsia" w:ascii="Times New Roman" w:hAnsi="Times New Roman" w:eastAsia="宋体" w:cs="Times New Roman"/>
                <w:color w:val="auto"/>
                <w:sz w:val="24"/>
                <w:szCs w:val="24"/>
                <w:highlight w:val="none"/>
                <w:lang w:eastAsia="zh-CN"/>
              </w:rPr>
              <w:t>同时，为了解涔水水质现在，本次环评引用常德市生态环境局澧县分局发布的《2021年1月环境质量监测报告》内容：“本月我站对道水道河口断面、涔水梦溪涔水桥处、澹水车家溪断面的水质进行了监测。监测指标是水温、</w:t>
            </w:r>
            <w:r>
              <w:rPr>
                <w:rFonts w:hint="eastAsia" w:ascii="Times New Roman" w:hAnsi="Times New Roman" w:eastAsia="宋体" w:cs="Times New Roman"/>
                <w:color w:val="auto"/>
                <w:sz w:val="24"/>
                <w:szCs w:val="24"/>
                <w:highlight w:val="none"/>
                <w:lang w:val="en-US" w:eastAsia="zh-CN"/>
              </w:rPr>
              <w:t>pH</w:t>
            </w:r>
            <w:r>
              <w:rPr>
                <w:rFonts w:hint="eastAsia" w:ascii="Times New Roman" w:hAnsi="Times New Roman" w:eastAsia="宋体" w:cs="Times New Roman"/>
                <w:color w:val="auto"/>
                <w:sz w:val="24"/>
                <w:szCs w:val="24"/>
                <w:highlight w:val="none"/>
                <w:lang w:eastAsia="zh-CN"/>
              </w:rPr>
              <w:t>值、电导率、溶解氧、高锰酸盐指数、化学需氧量、五日生化需氧量、氨氮、总磷、总氮、锌、镉、铅、铜、氟化物、砷、汞、六价铬、总氰化物、挥发酚、硫化物、石油类、粪大肠菌群、硒、阴离子表面活性剂</w:t>
            </w:r>
            <w:r>
              <w:rPr>
                <w:rFonts w:hint="eastAsia" w:ascii="Times New Roman" w:hAnsi="Times New Roman" w:eastAsia="宋体" w:cs="Times New Roman"/>
                <w:color w:val="auto"/>
                <w:sz w:val="24"/>
                <w:szCs w:val="24"/>
                <w:highlight w:val="none"/>
                <w:lang w:val="en-US" w:eastAsia="zh-CN"/>
              </w:rPr>
              <w:t>25</w:t>
            </w:r>
            <w:r>
              <w:rPr>
                <w:rFonts w:hint="eastAsia" w:ascii="Times New Roman" w:hAnsi="Times New Roman" w:eastAsia="宋体" w:cs="Times New Roman"/>
                <w:color w:val="auto"/>
                <w:sz w:val="24"/>
                <w:szCs w:val="24"/>
                <w:highlight w:val="none"/>
                <w:lang w:eastAsia="zh-CN"/>
              </w:rPr>
              <w:t>项。涔水梦溪涔水桥处的水质执行地表水环境质量（</w:t>
            </w:r>
            <w:r>
              <w:rPr>
                <w:rFonts w:hint="default" w:ascii="Times New Roman" w:hAnsi="Times New Roman" w:eastAsia="宋体" w:cs="Times New Roman"/>
                <w:color w:val="auto"/>
                <w:sz w:val="24"/>
                <w:highlight w:val="none"/>
              </w:rPr>
              <w:t>GB3838-2002</w:t>
            </w:r>
            <w:r>
              <w:rPr>
                <w:rFonts w:hint="eastAsia" w:ascii="Times New Roman" w:hAnsi="Times New Roman" w:eastAsia="宋体" w:cs="Times New Roman"/>
                <w:color w:val="auto"/>
                <w:sz w:val="24"/>
                <w:szCs w:val="24"/>
                <w:highlight w:val="none"/>
                <w:lang w:eastAsia="zh-CN"/>
              </w:rPr>
              <w:t>）Ⅲ类标准。结果表明：涔水梦溪涔水桥处断面的水质达到相应标准。”</w:t>
            </w:r>
          </w:p>
          <w:p>
            <w:pPr>
              <w:spacing w:before="156" w:beforeLines="50" w:line="360" w:lineRule="auto"/>
              <w:ind w:firstLine="482" w:firstLineChars="200"/>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3、声环境</w:t>
            </w:r>
          </w:p>
          <w:p>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按照《环境影响评价技术导则》(声环境)(HJ2.4-2009)中的有关规定，声环境评价工作等级定为三级。</w:t>
            </w:r>
            <w:r>
              <w:rPr>
                <w:rFonts w:ascii="Times New Roman" w:hAnsi="Times New Roman" w:eastAsia="宋体" w:cs="Times New Roman"/>
                <w:color w:val="auto"/>
                <w:sz w:val="24"/>
                <w:szCs w:val="24"/>
                <w:highlight w:val="none"/>
              </w:rPr>
              <w:t>为了解项目选址周边的声环境质量，</w:t>
            </w:r>
            <w:r>
              <w:rPr>
                <w:rFonts w:hint="eastAsia" w:ascii="Times New Roman" w:hAnsi="Times New Roman" w:eastAsia="宋体" w:cs="Times New Roman"/>
                <w:color w:val="auto"/>
                <w:sz w:val="24"/>
                <w:szCs w:val="24"/>
                <w:highlight w:val="none"/>
                <w:lang w:eastAsia="zh-CN"/>
              </w:rPr>
              <w:t>本项目</w:t>
            </w:r>
            <w:r>
              <w:rPr>
                <w:rFonts w:ascii="Times New Roman" w:hAnsi="Times New Roman" w:eastAsia="宋体" w:cs="Times New Roman"/>
                <w:color w:val="auto"/>
                <w:sz w:val="24"/>
                <w:szCs w:val="24"/>
                <w:highlight w:val="none"/>
              </w:rPr>
              <w:t>委托</w:t>
            </w:r>
            <w:r>
              <w:rPr>
                <w:rFonts w:hint="eastAsia" w:ascii="Times New Roman" w:hAnsi="Times New Roman" w:eastAsia="宋体" w:cs="Times New Roman"/>
                <w:color w:val="auto"/>
                <w:sz w:val="24"/>
                <w:szCs w:val="24"/>
                <w:highlight w:val="none"/>
                <w:lang w:eastAsia="zh-CN"/>
              </w:rPr>
              <w:t>湖南精科检测有限公司</w:t>
            </w:r>
            <w:r>
              <w:rPr>
                <w:rFonts w:hint="eastAsia" w:ascii="Times New Roman" w:hAnsi="Times New Roman" w:eastAsia="宋体" w:cs="Times New Roman"/>
                <w:color w:val="auto"/>
                <w:sz w:val="24"/>
                <w:szCs w:val="24"/>
                <w:highlight w:val="none"/>
              </w:rPr>
              <w:t>于</w:t>
            </w:r>
            <w:r>
              <w:rPr>
                <w:rFonts w:ascii="Times New Roman" w:hAnsi="Times New Roman" w:eastAsia="宋体" w:cs="Times New Roman"/>
                <w:color w:val="auto"/>
                <w:sz w:val="24"/>
                <w:szCs w:val="24"/>
                <w:highlight w:val="none"/>
                <w:shd w:val="clear" w:color="auto" w:fill="auto"/>
              </w:rPr>
              <w:t>20</w:t>
            </w:r>
            <w:r>
              <w:rPr>
                <w:rFonts w:hint="eastAsia" w:ascii="Times New Roman" w:hAnsi="Times New Roman" w:eastAsia="宋体" w:cs="Times New Roman"/>
                <w:color w:val="auto"/>
                <w:sz w:val="24"/>
                <w:szCs w:val="24"/>
                <w:highlight w:val="none"/>
                <w:shd w:val="clear" w:color="auto" w:fill="auto"/>
              </w:rPr>
              <w:t>2</w:t>
            </w:r>
            <w:r>
              <w:rPr>
                <w:rFonts w:hint="eastAsia" w:ascii="Times New Roman" w:hAnsi="Times New Roman" w:eastAsia="宋体" w:cs="Times New Roman"/>
                <w:color w:val="auto"/>
                <w:sz w:val="24"/>
                <w:szCs w:val="24"/>
                <w:highlight w:val="none"/>
                <w:shd w:val="clear" w:color="auto" w:fill="auto"/>
                <w:lang w:val="en-US" w:eastAsia="zh-CN"/>
              </w:rPr>
              <w:t>1</w:t>
            </w:r>
            <w:r>
              <w:rPr>
                <w:rFonts w:ascii="Times New Roman" w:hAnsi="Times New Roman" w:eastAsia="宋体" w:cs="Times New Roman"/>
                <w:color w:val="auto"/>
                <w:sz w:val="24"/>
                <w:szCs w:val="24"/>
                <w:highlight w:val="none"/>
                <w:shd w:val="clear" w:color="auto" w:fill="auto"/>
              </w:rPr>
              <w:t>年</w:t>
            </w:r>
            <w:r>
              <w:rPr>
                <w:rFonts w:hint="eastAsia" w:cs="Times New Roman"/>
                <w:color w:val="auto"/>
                <w:sz w:val="24"/>
                <w:szCs w:val="24"/>
                <w:highlight w:val="none"/>
                <w:shd w:val="clear" w:color="auto" w:fill="auto"/>
                <w:lang w:val="en-US" w:eastAsia="zh-CN"/>
              </w:rPr>
              <w:t>6</w:t>
            </w:r>
            <w:r>
              <w:rPr>
                <w:rFonts w:ascii="Times New Roman" w:hAnsi="Times New Roman" w:eastAsia="宋体" w:cs="Times New Roman"/>
                <w:color w:val="auto"/>
                <w:sz w:val="24"/>
                <w:szCs w:val="24"/>
                <w:highlight w:val="none"/>
                <w:shd w:val="clear" w:color="auto" w:fill="auto"/>
              </w:rPr>
              <w:t>月</w:t>
            </w:r>
            <w:r>
              <w:rPr>
                <w:rFonts w:hint="eastAsia" w:cs="Times New Roman"/>
                <w:color w:val="auto"/>
                <w:sz w:val="24"/>
                <w:szCs w:val="24"/>
                <w:highlight w:val="none"/>
                <w:shd w:val="clear" w:color="auto" w:fill="auto"/>
                <w:lang w:val="en-US" w:eastAsia="zh-CN"/>
              </w:rPr>
              <w:t>4</w:t>
            </w:r>
            <w:r>
              <w:rPr>
                <w:rFonts w:ascii="Times New Roman" w:hAnsi="Times New Roman" w:eastAsia="宋体" w:cs="Times New Roman"/>
                <w:color w:val="auto"/>
                <w:sz w:val="24"/>
                <w:szCs w:val="24"/>
                <w:highlight w:val="none"/>
                <w:shd w:val="clear" w:color="auto" w:fill="auto"/>
              </w:rPr>
              <w:t>日</w:t>
            </w:r>
            <w:r>
              <w:rPr>
                <w:rFonts w:hint="eastAsia" w:cs="Times New Roman"/>
                <w:color w:val="auto"/>
                <w:sz w:val="24"/>
                <w:szCs w:val="24"/>
                <w:highlight w:val="none"/>
                <w:shd w:val="clear" w:color="auto" w:fill="auto"/>
                <w:lang w:val="en-US" w:eastAsia="zh-CN"/>
              </w:rPr>
              <w:t>-5</w:t>
            </w:r>
            <w:r>
              <w:rPr>
                <w:rFonts w:hint="eastAsia" w:ascii="Times New Roman" w:hAnsi="Times New Roman" w:eastAsia="宋体" w:cs="Times New Roman"/>
                <w:color w:val="auto"/>
                <w:sz w:val="24"/>
                <w:szCs w:val="24"/>
                <w:highlight w:val="none"/>
                <w:shd w:val="clear" w:color="auto" w:fill="auto"/>
              </w:rPr>
              <w:t>日</w:t>
            </w:r>
            <w:r>
              <w:rPr>
                <w:rFonts w:ascii="Times New Roman" w:hAnsi="Times New Roman" w:eastAsia="宋体" w:cs="Times New Roman"/>
                <w:color w:val="auto"/>
                <w:sz w:val="24"/>
                <w:szCs w:val="24"/>
                <w:highlight w:val="none"/>
              </w:rPr>
              <w:t>对项目周边厂界进行了昼间及夜间声环境质量监测，昼夜各监测一次，监测方法严格按照《声环境质量标准》（GB3096-2008）标准要求进行。监测结果见</w:t>
            </w:r>
            <w:r>
              <w:rPr>
                <w:rFonts w:hint="eastAsia" w:ascii="Times New Roman" w:hAnsi="Times New Roman" w:eastAsia="宋体" w:cs="Times New Roman"/>
                <w:color w:val="auto"/>
                <w:sz w:val="24"/>
                <w:szCs w:val="24"/>
                <w:highlight w:val="none"/>
              </w:rPr>
              <w:t>下</w:t>
            </w:r>
            <w:r>
              <w:rPr>
                <w:rFonts w:ascii="Times New Roman" w:hAnsi="Times New Roman" w:eastAsia="宋体" w:cs="Times New Roman"/>
                <w:color w:val="auto"/>
                <w:sz w:val="24"/>
                <w:szCs w:val="24"/>
                <w:highlight w:val="none"/>
              </w:rPr>
              <w:t>表。</w:t>
            </w:r>
          </w:p>
          <w:p>
            <w:pPr>
              <w:snapToGrid w:val="0"/>
              <w:spacing w:line="240" w:lineRule="auto"/>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 xml:space="preserve">4 </w:t>
            </w:r>
            <w:r>
              <w:rPr>
                <w:rFonts w:ascii="Times New Roman" w:hAnsi="Times New Roman" w:eastAsia="宋体" w:cs="Times New Roman"/>
                <w:b/>
                <w:bCs/>
                <w:color w:val="auto"/>
                <w:sz w:val="21"/>
                <w:szCs w:val="21"/>
                <w:highlight w:val="none"/>
              </w:rPr>
              <w:t>声环境现状监测结果（单位：dB(A)）</w:t>
            </w:r>
          </w:p>
          <w:tbl>
            <w:tblPr>
              <w:tblStyle w:val="15"/>
              <w:tblW w:w="8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1297"/>
              <w:gridCol w:w="1259"/>
              <w:gridCol w:w="1192"/>
              <w:gridCol w:w="1322"/>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1639" w:type="dxa"/>
                  <w:vMerge w:val="restart"/>
                  <w:noWrap w:val="0"/>
                  <w:vAlign w:val="center"/>
                </w:tcPr>
                <w:p>
                  <w:pPr>
                    <w:widowControl w:val="0"/>
                    <w:jc w:val="center"/>
                    <w:rPr>
                      <w:rFonts w:ascii="Times New Roman" w:hAnsi="Times New Roman" w:eastAsia="宋体" w:cs="Times New Roman"/>
                      <w:b/>
                      <w:color w:val="auto"/>
                      <w:kern w:val="2"/>
                      <w:sz w:val="21"/>
                      <w:szCs w:val="20"/>
                      <w:highlight w:val="none"/>
                      <w:lang w:val="en-US" w:eastAsia="zh-CN" w:bidi="ar-SA"/>
                    </w:rPr>
                  </w:pPr>
                  <w:r>
                    <w:rPr>
                      <w:rFonts w:ascii="Times New Roman" w:hAnsi="Times New Roman" w:eastAsia="宋体" w:cs="Times New Roman"/>
                      <w:b/>
                      <w:color w:val="auto"/>
                      <w:kern w:val="2"/>
                      <w:sz w:val="21"/>
                      <w:szCs w:val="20"/>
                      <w:highlight w:val="none"/>
                      <w:lang w:val="en-US" w:eastAsia="zh-CN" w:bidi="ar-SA"/>
                    </w:rPr>
                    <w:t>采样点位</w:t>
                  </w:r>
                </w:p>
              </w:tc>
              <w:tc>
                <w:tcPr>
                  <w:tcW w:w="1297" w:type="dxa"/>
                  <w:vMerge w:val="restart"/>
                  <w:noWrap w:val="0"/>
                  <w:vAlign w:val="center"/>
                </w:tcPr>
                <w:p>
                  <w:pPr>
                    <w:widowControl w:val="0"/>
                    <w:jc w:val="center"/>
                    <w:rPr>
                      <w:rFonts w:ascii="Times New Roman" w:hAnsi="Times New Roman" w:eastAsia="宋体" w:cs="Times New Roman"/>
                      <w:b/>
                      <w:color w:val="auto"/>
                      <w:kern w:val="2"/>
                      <w:sz w:val="21"/>
                      <w:szCs w:val="20"/>
                      <w:highlight w:val="none"/>
                      <w:lang w:val="en-US" w:eastAsia="zh-CN" w:bidi="ar-SA"/>
                    </w:rPr>
                  </w:pPr>
                  <w:r>
                    <w:rPr>
                      <w:rFonts w:ascii="Times New Roman" w:hAnsi="Times New Roman" w:eastAsia="宋体" w:cs="Times New Roman"/>
                      <w:b/>
                      <w:color w:val="auto"/>
                      <w:kern w:val="2"/>
                      <w:sz w:val="21"/>
                      <w:szCs w:val="20"/>
                      <w:highlight w:val="none"/>
                      <w:lang w:val="en-US" w:eastAsia="zh-CN" w:bidi="ar-SA"/>
                    </w:rPr>
                    <w:t>采样日期</w:t>
                  </w:r>
                </w:p>
              </w:tc>
              <w:tc>
                <w:tcPr>
                  <w:tcW w:w="2451" w:type="dxa"/>
                  <w:gridSpan w:val="2"/>
                  <w:noWrap w:val="0"/>
                  <w:vAlign w:val="center"/>
                </w:tcPr>
                <w:p>
                  <w:pPr>
                    <w:widowControl w:val="0"/>
                    <w:jc w:val="center"/>
                    <w:rPr>
                      <w:rFonts w:ascii="Times New Roman" w:hAnsi="Times New Roman" w:eastAsia="宋体" w:cs="Times New Roman"/>
                      <w:b/>
                      <w:color w:val="auto"/>
                      <w:kern w:val="2"/>
                      <w:sz w:val="21"/>
                      <w:szCs w:val="20"/>
                      <w:highlight w:val="none"/>
                      <w:lang w:val="en-US" w:eastAsia="zh-CN" w:bidi="ar-SA"/>
                    </w:rPr>
                  </w:pPr>
                  <w:r>
                    <w:rPr>
                      <w:rFonts w:ascii="Times New Roman" w:hAnsi="Times New Roman" w:eastAsia="宋体" w:cs="Times New Roman"/>
                      <w:b/>
                      <w:color w:val="auto"/>
                      <w:kern w:val="2"/>
                      <w:sz w:val="21"/>
                      <w:szCs w:val="20"/>
                      <w:highlight w:val="none"/>
                      <w:lang w:val="en-US" w:eastAsia="zh-CN" w:bidi="ar-SA"/>
                    </w:rPr>
                    <w:t>检测结果Leq[dB(A)]</w:t>
                  </w:r>
                </w:p>
              </w:tc>
              <w:tc>
                <w:tcPr>
                  <w:tcW w:w="2644" w:type="dxa"/>
                  <w:gridSpan w:val="2"/>
                  <w:noWrap w:val="0"/>
                  <w:vAlign w:val="center"/>
                </w:tcPr>
                <w:p>
                  <w:pPr>
                    <w:widowControl w:val="0"/>
                    <w:jc w:val="center"/>
                    <w:rPr>
                      <w:rFonts w:ascii="Times New Roman" w:hAnsi="Times New Roman" w:eastAsia="宋体" w:cs="Times New Roman"/>
                      <w:b/>
                      <w:color w:val="auto"/>
                      <w:kern w:val="2"/>
                      <w:sz w:val="21"/>
                      <w:szCs w:val="20"/>
                      <w:highlight w:val="none"/>
                      <w:lang w:val="en-US" w:eastAsia="zh-CN" w:bidi="ar-SA"/>
                    </w:rPr>
                  </w:pPr>
                  <w:r>
                    <w:rPr>
                      <w:rFonts w:hint="eastAsia" w:ascii="Times New Roman" w:hAnsi="Times New Roman" w:eastAsia="宋体" w:cs="Times New Roman"/>
                      <w:b/>
                      <w:color w:val="auto"/>
                      <w:kern w:val="2"/>
                      <w:sz w:val="21"/>
                      <w:szCs w:val="20"/>
                      <w:highlight w:val="none"/>
                      <w:lang w:val="en-US" w:eastAsia="zh-CN" w:bidi="ar-SA"/>
                    </w:rPr>
                    <w:t>标准限值</w:t>
                  </w:r>
                  <w:r>
                    <w:rPr>
                      <w:rFonts w:ascii="Times New Roman" w:hAnsi="Times New Roman" w:eastAsia="宋体" w:cs="Times New Roman"/>
                      <w:b/>
                      <w:color w:val="auto"/>
                      <w:kern w:val="2"/>
                      <w:sz w:val="21"/>
                      <w:szCs w:val="20"/>
                      <w:highlight w:val="none"/>
                      <w:lang w:val="en-US" w:eastAsia="zh-CN" w:bidi="ar-SA"/>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1639" w:type="dxa"/>
                  <w:vMerge w:val="continue"/>
                  <w:noWrap w:val="0"/>
                  <w:vAlign w:val="center"/>
                </w:tcPr>
                <w:p>
                  <w:pPr>
                    <w:widowControl w:val="0"/>
                    <w:jc w:val="center"/>
                    <w:rPr>
                      <w:rFonts w:ascii="Times New Roman" w:hAnsi="Times New Roman" w:eastAsia="宋体" w:cs="Times New Roman"/>
                      <w:b/>
                      <w:color w:val="auto"/>
                      <w:kern w:val="2"/>
                      <w:sz w:val="21"/>
                      <w:szCs w:val="20"/>
                      <w:highlight w:val="none"/>
                      <w:lang w:val="en-US" w:eastAsia="zh-CN" w:bidi="ar-SA"/>
                    </w:rPr>
                  </w:pPr>
                </w:p>
              </w:tc>
              <w:tc>
                <w:tcPr>
                  <w:tcW w:w="1297" w:type="dxa"/>
                  <w:vMerge w:val="continue"/>
                  <w:noWrap w:val="0"/>
                  <w:vAlign w:val="center"/>
                </w:tcPr>
                <w:p>
                  <w:pPr>
                    <w:widowControl w:val="0"/>
                    <w:jc w:val="center"/>
                    <w:rPr>
                      <w:rFonts w:ascii="Times New Roman" w:hAnsi="Times New Roman" w:eastAsia="宋体" w:cs="Times New Roman"/>
                      <w:b/>
                      <w:color w:val="auto"/>
                      <w:kern w:val="2"/>
                      <w:sz w:val="21"/>
                      <w:szCs w:val="20"/>
                      <w:highlight w:val="none"/>
                      <w:lang w:val="en-US" w:eastAsia="zh-CN" w:bidi="ar-SA"/>
                    </w:rPr>
                  </w:pPr>
                </w:p>
              </w:tc>
              <w:tc>
                <w:tcPr>
                  <w:tcW w:w="1259" w:type="dxa"/>
                  <w:noWrap w:val="0"/>
                  <w:vAlign w:val="center"/>
                </w:tcPr>
                <w:p>
                  <w:pPr>
                    <w:widowControl w:val="0"/>
                    <w:jc w:val="center"/>
                    <w:rPr>
                      <w:rFonts w:ascii="Times New Roman" w:hAnsi="Times New Roman" w:eastAsia="宋体" w:cs="Times New Roman"/>
                      <w:b/>
                      <w:color w:val="auto"/>
                      <w:kern w:val="2"/>
                      <w:sz w:val="21"/>
                      <w:szCs w:val="20"/>
                      <w:highlight w:val="none"/>
                      <w:lang w:val="en-US" w:eastAsia="zh-CN" w:bidi="ar-SA"/>
                    </w:rPr>
                  </w:pPr>
                  <w:r>
                    <w:rPr>
                      <w:rFonts w:ascii="Times New Roman" w:hAnsi="Times New Roman" w:eastAsia="宋体" w:cs="Times New Roman"/>
                      <w:b/>
                      <w:color w:val="auto"/>
                      <w:kern w:val="2"/>
                      <w:sz w:val="21"/>
                      <w:szCs w:val="20"/>
                      <w:highlight w:val="none"/>
                      <w:lang w:val="en-US" w:eastAsia="zh-CN" w:bidi="ar-SA"/>
                    </w:rPr>
                    <w:t>昼间</w:t>
                  </w:r>
                </w:p>
              </w:tc>
              <w:tc>
                <w:tcPr>
                  <w:tcW w:w="1192" w:type="dxa"/>
                  <w:noWrap w:val="0"/>
                  <w:vAlign w:val="center"/>
                </w:tcPr>
                <w:p>
                  <w:pPr>
                    <w:widowControl w:val="0"/>
                    <w:jc w:val="center"/>
                    <w:rPr>
                      <w:rFonts w:ascii="Times New Roman" w:hAnsi="Times New Roman" w:eastAsia="宋体" w:cs="Times New Roman"/>
                      <w:b/>
                      <w:color w:val="auto"/>
                      <w:kern w:val="2"/>
                      <w:sz w:val="21"/>
                      <w:szCs w:val="20"/>
                      <w:highlight w:val="none"/>
                      <w:lang w:val="en-US" w:eastAsia="zh-CN" w:bidi="ar-SA"/>
                    </w:rPr>
                  </w:pPr>
                  <w:r>
                    <w:rPr>
                      <w:rFonts w:ascii="Times New Roman" w:hAnsi="Times New Roman" w:eastAsia="宋体" w:cs="Times New Roman"/>
                      <w:b/>
                      <w:color w:val="auto"/>
                      <w:kern w:val="2"/>
                      <w:sz w:val="21"/>
                      <w:szCs w:val="20"/>
                      <w:highlight w:val="none"/>
                      <w:lang w:val="en-US" w:eastAsia="zh-CN" w:bidi="ar-SA"/>
                    </w:rPr>
                    <w:t>夜间</w:t>
                  </w:r>
                </w:p>
              </w:tc>
              <w:tc>
                <w:tcPr>
                  <w:tcW w:w="1322" w:type="dxa"/>
                  <w:noWrap w:val="0"/>
                  <w:vAlign w:val="center"/>
                </w:tcPr>
                <w:p>
                  <w:pPr>
                    <w:widowControl w:val="0"/>
                    <w:jc w:val="center"/>
                    <w:rPr>
                      <w:rFonts w:ascii="Times New Roman" w:hAnsi="Times New Roman" w:eastAsia="宋体" w:cs="Times New Roman"/>
                      <w:b/>
                      <w:color w:val="auto"/>
                      <w:kern w:val="2"/>
                      <w:sz w:val="21"/>
                      <w:szCs w:val="20"/>
                      <w:highlight w:val="none"/>
                      <w:lang w:val="en-US" w:eastAsia="zh-CN" w:bidi="ar-SA"/>
                    </w:rPr>
                  </w:pPr>
                  <w:r>
                    <w:rPr>
                      <w:rFonts w:hint="eastAsia" w:ascii="Times New Roman" w:hAnsi="Times New Roman" w:eastAsia="宋体" w:cs="Times New Roman"/>
                      <w:b/>
                      <w:color w:val="auto"/>
                      <w:kern w:val="2"/>
                      <w:sz w:val="21"/>
                      <w:szCs w:val="20"/>
                      <w:highlight w:val="none"/>
                      <w:lang w:val="en-US" w:eastAsia="zh-CN" w:bidi="ar-SA"/>
                    </w:rPr>
                    <w:t>昼间</w:t>
                  </w:r>
                </w:p>
              </w:tc>
              <w:tc>
                <w:tcPr>
                  <w:tcW w:w="1322" w:type="dxa"/>
                  <w:noWrap w:val="0"/>
                  <w:vAlign w:val="center"/>
                </w:tcPr>
                <w:p>
                  <w:pPr>
                    <w:widowControl w:val="0"/>
                    <w:jc w:val="center"/>
                    <w:rPr>
                      <w:rFonts w:ascii="Times New Roman" w:hAnsi="Times New Roman" w:eastAsia="宋体" w:cs="Times New Roman"/>
                      <w:b/>
                      <w:color w:val="auto"/>
                      <w:kern w:val="2"/>
                      <w:sz w:val="21"/>
                      <w:szCs w:val="20"/>
                      <w:highlight w:val="none"/>
                      <w:lang w:val="en-US" w:eastAsia="zh-CN" w:bidi="ar-SA"/>
                    </w:rPr>
                  </w:pPr>
                  <w:r>
                    <w:rPr>
                      <w:rFonts w:hint="eastAsia" w:ascii="Times New Roman" w:hAnsi="Times New Roman" w:eastAsia="宋体" w:cs="Times New Roman"/>
                      <w:b/>
                      <w:color w:val="auto"/>
                      <w:kern w:val="2"/>
                      <w:sz w:val="21"/>
                      <w:szCs w:val="20"/>
                      <w:highlight w:val="none"/>
                      <w:lang w:val="en-US" w:eastAsia="zh-CN" w:bidi="ar-SA"/>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39" w:type="dxa"/>
                  <w:vMerge w:val="restart"/>
                  <w:noWrap w:val="0"/>
                  <w:vAlign w:val="center"/>
                </w:tcPr>
                <w:p>
                  <w:pPr>
                    <w:widowControl/>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N1</w:t>
                  </w:r>
                  <w:r>
                    <w:rPr>
                      <w:rFonts w:hint="eastAsia"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rPr>
                    <w:t>项目东面边界</w:t>
                  </w:r>
                </w:p>
              </w:tc>
              <w:tc>
                <w:tcPr>
                  <w:tcW w:w="1297" w:type="dxa"/>
                  <w:noWrap w:val="0"/>
                  <w:vAlign w:val="center"/>
                </w:tcPr>
                <w:p>
                  <w:pPr>
                    <w:pStyle w:val="21"/>
                    <w:ind w:left="420" w:leftChars="0" w:hanging="420" w:hangingChars="200"/>
                    <w:jc w:val="center"/>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6</w:t>
                  </w:r>
                  <w:r>
                    <w:rPr>
                      <w:rFonts w:hint="eastAsia"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4</w:t>
                  </w:r>
                </w:p>
              </w:tc>
              <w:tc>
                <w:tcPr>
                  <w:tcW w:w="1259"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55.4 </w:t>
                  </w:r>
                </w:p>
              </w:tc>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42.2 </w:t>
                  </w:r>
                </w:p>
              </w:tc>
              <w:tc>
                <w:tcPr>
                  <w:tcW w:w="1322" w:type="dxa"/>
                  <w:noWrap w:val="0"/>
                  <w:vAlign w:val="center"/>
                </w:tcPr>
                <w:p>
                  <w:pPr>
                    <w:widowControl/>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322" w:type="dxa"/>
                  <w:noWrap w:val="0"/>
                  <w:vAlign w:val="center"/>
                </w:tcPr>
                <w:p>
                  <w:pPr>
                    <w:widowControl/>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39" w:type="dxa"/>
                  <w:vMerge w:val="continue"/>
                  <w:noWrap w:val="0"/>
                  <w:vAlign w:val="center"/>
                </w:tcPr>
                <w:p>
                  <w:pPr>
                    <w:widowControl w:val="0"/>
                    <w:jc w:val="center"/>
                    <w:rPr>
                      <w:rFonts w:ascii="Times New Roman" w:hAnsi="Times New Roman" w:eastAsia="宋体" w:cs="Times New Roman"/>
                      <w:color w:val="auto"/>
                      <w:kern w:val="2"/>
                      <w:sz w:val="21"/>
                      <w:szCs w:val="21"/>
                      <w:highlight w:val="none"/>
                      <w:lang w:val="en-US" w:eastAsia="zh-CN" w:bidi="ar-SA"/>
                    </w:rPr>
                  </w:pPr>
                </w:p>
              </w:tc>
              <w:tc>
                <w:tcPr>
                  <w:tcW w:w="1297" w:type="dxa"/>
                  <w:noWrap w:val="0"/>
                  <w:vAlign w:val="center"/>
                </w:tcPr>
                <w:p>
                  <w:pPr>
                    <w:pStyle w:val="21"/>
                    <w:ind w:left="420" w:leftChars="0" w:hanging="420" w:hangingChars="200"/>
                    <w:jc w:val="center"/>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6</w:t>
                  </w:r>
                  <w:r>
                    <w:rPr>
                      <w:rFonts w:hint="eastAsia"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5</w:t>
                  </w:r>
                </w:p>
              </w:tc>
              <w:tc>
                <w:tcPr>
                  <w:tcW w:w="1259"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55.8 </w:t>
                  </w:r>
                </w:p>
              </w:tc>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42.5 </w:t>
                  </w:r>
                </w:p>
              </w:tc>
              <w:tc>
                <w:tcPr>
                  <w:tcW w:w="132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60</w:t>
                  </w:r>
                </w:p>
              </w:tc>
              <w:tc>
                <w:tcPr>
                  <w:tcW w:w="132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39" w:type="dxa"/>
                  <w:vMerge w:val="restart"/>
                  <w:noWrap w:val="0"/>
                  <w:vAlign w:val="center"/>
                </w:tcPr>
                <w:p>
                  <w:pPr>
                    <w:widowControl/>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N2</w:t>
                  </w:r>
                  <w:r>
                    <w:rPr>
                      <w:rFonts w:hint="eastAsia"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rPr>
                    <w:t>项目南面边界</w:t>
                  </w:r>
                </w:p>
              </w:tc>
              <w:tc>
                <w:tcPr>
                  <w:tcW w:w="1297" w:type="dxa"/>
                  <w:noWrap w:val="0"/>
                  <w:vAlign w:val="center"/>
                </w:tcPr>
                <w:p>
                  <w:pPr>
                    <w:pStyle w:val="21"/>
                    <w:ind w:left="420" w:leftChars="0" w:hanging="420" w:hangingChars="20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6</w:t>
                  </w:r>
                  <w:r>
                    <w:rPr>
                      <w:rFonts w:hint="eastAsia"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4</w:t>
                  </w:r>
                </w:p>
              </w:tc>
              <w:tc>
                <w:tcPr>
                  <w:tcW w:w="1259"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56.2 </w:t>
                  </w:r>
                </w:p>
              </w:tc>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43.2 </w:t>
                  </w:r>
                </w:p>
              </w:tc>
              <w:tc>
                <w:tcPr>
                  <w:tcW w:w="132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60</w:t>
                  </w:r>
                </w:p>
              </w:tc>
              <w:tc>
                <w:tcPr>
                  <w:tcW w:w="132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39" w:type="dxa"/>
                  <w:vMerge w:val="continue"/>
                  <w:noWrap w:val="0"/>
                  <w:vAlign w:val="center"/>
                </w:tcPr>
                <w:p>
                  <w:pPr>
                    <w:widowControl w:val="0"/>
                    <w:jc w:val="center"/>
                    <w:rPr>
                      <w:rFonts w:ascii="Times New Roman" w:hAnsi="Times New Roman" w:eastAsia="宋体" w:cs="Times New Roman"/>
                      <w:color w:val="auto"/>
                      <w:kern w:val="2"/>
                      <w:sz w:val="21"/>
                      <w:szCs w:val="21"/>
                      <w:highlight w:val="none"/>
                      <w:lang w:val="en-US" w:eastAsia="zh-CN" w:bidi="ar-SA"/>
                    </w:rPr>
                  </w:pPr>
                </w:p>
              </w:tc>
              <w:tc>
                <w:tcPr>
                  <w:tcW w:w="1297" w:type="dxa"/>
                  <w:noWrap w:val="0"/>
                  <w:vAlign w:val="center"/>
                </w:tcPr>
                <w:p>
                  <w:pPr>
                    <w:pStyle w:val="21"/>
                    <w:ind w:left="420" w:leftChars="0" w:hanging="420" w:hangingChars="20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6</w:t>
                  </w:r>
                  <w:r>
                    <w:rPr>
                      <w:rFonts w:hint="eastAsia"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5</w:t>
                  </w:r>
                </w:p>
              </w:tc>
              <w:tc>
                <w:tcPr>
                  <w:tcW w:w="1259"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56.8 </w:t>
                  </w:r>
                </w:p>
              </w:tc>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43.7 </w:t>
                  </w:r>
                </w:p>
              </w:tc>
              <w:tc>
                <w:tcPr>
                  <w:tcW w:w="132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60</w:t>
                  </w:r>
                </w:p>
              </w:tc>
              <w:tc>
                <w:tcPr>
                  <w:tcW w:w="132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39" w:type="dxa"/>
                  <w:vMerge w:val="restart"/>
                  <w:noWrap w:val="0"/>
                  <w:vAlign w:val="center"/>
                </w:tcPr>
                <w:p>
                  <w:pPr>
                    <w:widowControl/>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N3</w:t>
                  </w:r>
                  <w:r>
                    <w:rPr>
                      <w:rFonts w:hint="eastAsia"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rPr>
                    <w:t>项目西面边界</w:t>
                  </w:r>
                </w:p>
              </w:tc>
              <w:tc>
                <w:tcPr>
                  <w:tcW w:w="1297" w:type="dxa"/>
                  <w:noWrap w:val="0"/>
                  <w:vAlign w:val="center"/>
                </w:tcPr>
                <w:p>
                  <w:pPr>
                    <w:pStyle w:val="21"/>
                    <w:ind w:left="420" w:leftChars="0" w:hanging="420" w:hangingChars="20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6</w:t>
                  </w:r>
                  <w:r>
                    <w:rPr>
                      <w:rFonts w:hint="eastAsia"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4</w:t>
                  </w:r>
                </w:p>
              </w:tc>
              <w:tc>
                <w:tcPr>
                  <w:tcW w:w="1259"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54.3 </w:t>
                  </w:r>
                </w:p>
              </w:tc>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42.0 </w:t>
                  </w:r>
                </w:p>
              </w:tc>
              <w:tc>
                <w:tcPr>
                  <w:tcW w:w="132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60</w:t>
                  </w:r>
                </w:p>
              </w:tc>
              <w:tc>
                <w:tcPr>
                  <w:tcW w:w="132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39" w:type="dxa"/>
                  <w:vMerge w:val="continue"/>
                  <w:noWrap w:val="0"/>
                  <w:vAlign w:val="center"/>
                </w:tcPr>
                <w:p>
                  <w:pPr>
                    <w:widowControl w:val="0"/>
                    <w:jc w:val="center"/>
                    <w:rPr>
                      <w:rFonts w:ascii="Times New Roman" w:hAnsi="Times New Roman" w:eastAsia="宋体" w:cs="Times New Roman"/>
                      <w:color w:val="auto"/>
                      <w:kern w:val="2"/>
                      <w:sz w:val="21"/>
                      <w:szCs w:val="21"/>
                      <w:highlight w:val="none"/>
                      <w:lang w:val="en-US" w:eastAsia="zh-CN" w:bidi="ar-SA"/>
                    </w:rPr>
                  </w:pPr>
                </w:p>
              </w:tc>
              <w:tc>
                <w:tcPr>
                  <w:tcW w:w="1297" w:type="dxa"/>
                  <w:noWrap w:val="0"/>
                  <w:vAlign w:val="center"/>
                </w:tcPr>
                <w:p>
                  <w:pPr>
                    <w:pStyle w:val="21"/>
                    <w:ind w:left="420" w:leftChars="0" w:hanging="420" w:hangingChars="20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6</w:t>
                  </w:r>
                  <w:r>
                    <w:rPr>
                      <w:rFonts w:hint="eastAsia"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5</w:t>
                  </w:r>
                </w:p>
              </w:tc>
              <w:tc>
                <w:tcPr>
                  <w:tcW w:w="1259"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55.0 </w:t>
                  </w:r>
                </w:p>
              </w:tc>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41.7 </w:t>
                  </w:r>
                </w:p>
              </w:tc>
              <w:tc>
                <w:tcPr>
                  <w:tcW w:w="132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60</w:t>
                  </w:r>
                </w:p>
              </w:tc>
              <w:tc>
                <w:tcPr>
                  <w:tcW w:w="132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39" w:type="dxa"/>
                  <w:vMerge w:val="restart"/>
                  <w:noWrap w:val="0"/>
                  <w:vAlign w:val="center"/>
                </w:tcPr>
                <w:p>
                  <w:pPr>
                    <w:widowControl/>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N4</w:t>
                  </w:r>
                  <w:r>
                    <w:rPr>
                      <w:rFonts w:hint="eastAsia" w:ascii="Times New Roman" w:hAnsi="Times New Roman" w:eastAsia="宋体" w:cs="Times New Roman"/>
                      <w:color w:val="auto"/>
                      <w:szCs w:val="21"/>
                      <w:highlight w:val="none"/>
                    </w:rPr>
                    <w:t xml:space="preserve"> </w:t>
                  </w:r>
                  <w:r>
                    <w:rPr>
                      <w:rFonts w:ascii="Times New Roman" w:hAnsi="Times New Roman" w:eastAsia="宋体" w:cs="Times New Roman"/>
                      <w:color w:val="auto"/>
                      <w:szCs w:val="21"/>
                      <w:highlight w:val="none"/>
                    </w:rPr>
                    <w:t>项目北面边界</w:t>
                  </w:r>
                </w:p>
              </w:tc>
              <w:tc>
                <w:tcPr>
                  <w:tcW w:w="1297" w:type="dxa"/>
                  <w:noWrap w:val="0"/>
                  <w:vAlign w:val="center"/>
                </w:tcPr>
                <w:p>
                  <w:pPr>
                    <w:pStyle w:val="21"/>
                    <w:ind w:left="420" w:leftChars="0" w:hanging="420" w:hangingChars="20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6</w:t>
                  </w:r>
                  <w:r>
                    <w:rPr>
                      <w:rFonts w:hint="eastAsia"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4</w:t>
                  </w:r>
                </w:p>
              </w:tc>
              <w:tc>
                <w:tcPr>
                  <w:tcW w:w="1259"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57.5 </w:t>
                  </w:r>
                </w:p>
              </w:tc>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 xml:space="preserve">44.0 </w:t>
                  </w:r>
                </w:p>
              </w:tc>
              <w:tc>
                <w:tcPr>
                  <w:tcW w:w="132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60</w:t>
                  </w:r>
                </w:p>
              </w:tc>
              <w:tc>
                <w:tcPr>
                  <w:tcW w:w="132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639" w:type="dxa"/>
                  <w:vMerge w:val="continue"/>
                  <w:noWrap w:val="0"/>
                  <w:vAlign w:val="center"/>
                </w:tcPr>
                <w:p>
                  <w:pPr>
                    <w:widowControl w:val="0"/>
                    <w:jc w:val="left"/>
                    <w:rPr>
                      <w:rFonts w:ascii="Times New Roman" w:hAnsi="Times New Roman" w:eastAsia="宋体" w:cs="Times New Roman"/>
                      <w:color w:val="auto"/>
                      <w:kern w:val="2"/>
                      <w:sz w:val="21"/>
                      <w:szCs w:val="20"/>
                      <w:highlight w:val="none"/>
                      <w:lang w:val="en-US" w:eastAsia="zh-CN" w:bidi="ar-SA"/>
                    </w:rPr>
                  </w:pPr>
                </w:p>
              </w:tc>
              <w:tc>
                <w:tcPr>
                  <w:tcW w:w="1297" w:type="dxa"/>
                  <w:noWrap w:val="0"/>
                  <w:vAlign w:val="center"/>
                </w:tcPr>
                <w:p>
                  <w:pPr>
                    <w:pStyle w:val="21"/>
                    <w:ind w:left="420" w:leftChars="0" w:hanging="420" w:hangingChars="200"/>
                    <w:jc w:val="center"/>
                    <w:rPr>
                      <w:rFonts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2021.</w:t>
                  </w:r>
                  <w:r>
                    <w:rPr>
                      <w:rFonts w:hint="eastAsia" w:cs="Times New Roman"/>
                      <w:color w:val="auto"/>
                      <w:sz w:val="21"/>
                      <w:szCs w:val="21"/>
                      <w:highlight w:val="none"/>
                      <w:lang w:val="en-US" w:eastAsia="zh-CN"/>
                    </w:rPr>
                    <w:t>6</w:t>
                  </w:r>
                  <w:r>
                    <w:rPr>
                      <w:rFonts w:hint="eastAsia"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5</w:t>
                  </w:r>
                </w:p>
              </w:tc>
              <w:tc>
                <w:tcPr>
                  <w:tcW w:w="1259"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56.8</w:t>
                  </w:r>
                </w:p>
              </w:tc>
              <w:tc>
                <w:tcPr>
                  <w:tcW w:w="119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000000"/>
                      <w:spacing w:val="-5"/>
                      <w:kern w:val="0"/>
                      <w:sz w:val="21"/>
                      <w:szCs w:val="21"/>
                      <w:u w:val="none"/>
                      <w:lang w:val="en-US" w:eastAsia="zh-CN" w:bidi="ar"/>
                    </w:rPr>
                    <w:t>44.1</w:t>
                  </w:r>
                </w:p>
              </w:tc>
              <w:tc>
                <w:tcPr>
                  <w:tcW w:w="132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60</w:t>
                  </w:r>
                </w:p>
              </w:tc>
              <w:tc>
                <w:tcPr>
                  <w:tcW w:w="1322" w:type="dxa"/>
                  <w:noWrap w:val="0"/>
                  <w:vAlign w:val="center"/>
                </w:tcPr>
                <w:p>
                  <w:pPr>
                    <w:widowControl/>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由</w:t>
            </w:r>
            <w:r>
              <w:rPr>
                <w:rFonts w:hint="eastAsia" w:ascii="Times New Roman" w:hAnsi="Times New Roman" w:eastAsia="宋体" w:cs="Times New Roman"/>
                <w:color w:val="auto"/>
                <w:sz w:val="24"/>
                <w:szCs w:val="24"/>
                <w:highlight w:val="none"/>
              </w:rPr>
              <w:t>上</w:t>
            </w:r>
            <w:r>
              <w:rPr>
                <w:rFonts w:ascii="Times New Roman" w:hAnsi="Times New Roman" w:eastAsia="宋体" w:cs="Times New Roman"/>
                <w:color w:val="auto"/>
                <w:sz w:val="24"/>
                <w:szCs w:val="24"/>
                <w:highlight w:val="none"/>
              </w:rPr>
              <w:t>表可知，本项目边界声环境满足《声环境质量标准》（GB3096-2008）</w:t>
            </w:r>
            <w:r>
              <w:rPr>
                <w:rFonts w:hint="eastAsia" w:ascii="Times New Roman" w:hAnsi="Times New Roman" w:eastAsia="宋体" w:cs="Times New Roman"/>
                <w:color w:val="auto"/>
                <w:sz w:val="24"/>
                <w:szCs w:val="24"/>
                <w:highlight w:val="none"/>
                <w:lang w:val="en-US" w:eastAsia="zh-CN"/>
              </w:rPr>
              <w:t>2</w:t>
            </w:r>
            <w:r>
              <w:rPr>
                <w:rFonts w:ascii="Times New Roman" w:hAnsi="Times New Roman" w:eastAsia="宋体" w:cs="Times New Roman"/>
                <w:color w:val="auto"/>
                <w:sz w:val="24"/>
                <w:szCs w:val="24"/>
                <w:highlight w:val="none"/>
              </w:rPr>
              <w:t>类要求</w:t>
            </w:r>
            <w:r>
              <w:rPr>
                <w:rFonts w:hint="eastAsia" w:ascii="Times New Roman" w:hAnsi="Times New Roman" w:eastAsia="宋体" w:cs="Times New Roman"/>
                <w:color w:val="auto"/>
                <w:sz w:val="24"/>
                <w:szCs w:val="24"/>
                <w:highlight w:val="none"/>
                <w:lang w:eastAsia="zh-CN"/>
              </w:rPr>
              <w:t>，</w:t>
            </w:r>
            <w:r>
              <w:rPr>
                <w:rFonts w:ascii="Times New Roman" w:hAnsi="Times New Roman" w:eastAsia="宋体" w:cs="Times New Roman"/>
                <w:color w:val="auto"/>
                <w:sz w:val="24"/>
                <w:szCs w:val="24"/>
                <w:highlight w:val="none"/>
              </w:rPr>
              <w:t>说明本项目所在地声环境质量良好。</w:t>
            </w:r>
          </w:p>
          <w:p>
            <w:pPr>
              <w:spacing w:line="360" w:lineRule="auto"/>
              <w:ind w:firstLine="482" w:firstLineChars="200"/>
              <w:rPr>
                <w:rFonts w:ascii="Times New Roman" w:hAnsi="Times New Roman" w:eastAsia="宋体" w:cs="Times New Roman"/>
                <w:color w:val="auto"/>
                <w:sz w:val="24"/>
                <w:szCs w:val="24"/>
                <w:highlight w:val="none"/>
              </w:rPr>
            </w:pPr>
            <w:r>
              <w:rPr>
                <w:rFonts w:ascii="Times New Roman" w:hAnsi="Times New Roman" w:eastAsia="宋体" w:cs="Times New Roman"/>
                <w:b/>
                <w:color w:val="auto"/>
                <w:sz w:val="24"/>
                <w:szCs w:val="20"/>
                <w:highlight w:val="none"/>
              </w:rPr>
              <w:t>4</w:t>
            </w:r>
            <w:r>
              <w:rPr>
                <w:rFonts w:hint="eastAsia" w:ascii="Times New Roman" w:hAnsi="Times New Roman" w:eastAsia="宋体" w:cs="Times New Roman"/>
                <w:b/>
                <w:color w:val="auto"/>
                <w:sz w:val="24"/>
                <w:szCs w:val="20"/>
                <w:highlight w:val="none"/>
              </w:rPr>
              <w:t>、</w:t>
            </w:r>
            <w:r>
              <w:rPr>
                <w:rFonts w:ascii="Times New Roman" w:hAnsi="Times New Roman" w:eastAsia="宋体" w:cs="Times New Roman"/>
                <w:b/>
                <w:bCs/>
                <w:color w:val="auto"/>
                <w:sz w:val="24"/>
                <w:szCs w:val="24"/>
                <w:highlight w:val="none"/>
              </w:rPr>
              <w:t>生态环境</w:t>
            </w:r>
          </w:p>
          <w:p>
            <w:pPr>
              <w:spacing w:line="360" w:lineRule="auto"/>
              <w:ind w:firstLine="480" w:firstLineChars="200"/>
              <w:rPr>
                <w:rFonts w:ascii="Times New Roman" w:hAnsi="Times New Roman" w:eastAsia="宋体" w:cs="Times New Roman"/>
                <w:bCs/>
                <w:color w:val="auto"/>
                <w:sz w:val="24"/>
                <w:szCs w:val="24"/>
                <w:highlight w:val="none"/>
              </w:rPr>
            </w:pPr>
            <w:r>
              <w:rPr>
                <w:rFonts w:ascii="Times New Roman" w:hAnsi="Times New Roman" w:eastAsia="宋体" w:cs="Times New Roman"/>
                <w:bCs/>
                <w:color w:val="auto"/>
                <w:sz w:val="24"/>
                <w:szCs w:val="24"/>
                <w:highlight w:val="none"/>
              </w:rPr>
              <w:t>项目总用地面积</w:t>
            </w:r>
            <w:r>
              <w:rPr>
                <w:rFonts w:hint="eastAsia" w:cs="Times New Roman"/>
                <w:color w:val="auto"/>
                <w:sz w:val="24"/>
                <w:szCs w:val="24"/>
                <w:highlight w:val="none"/>
                <w:lang w:val="en-US" w:eastAsia="zh-CN"/>
              </w:rPr>
              <w:t>7000</w:t>
            </w:r>
            <w:r>
              <w:rPr>
                <w:rFonts w:ascii="Times New Roman" w:hAnsi="Times New Roman" w:eastAsia="宋体" w:cs="Times New Roman"/>
                <w:bCs/>
                <w:color w:val="auto"/>
                <w:sz w:val="24"/>
                <w:szCs w:val="24"/>
                <w:highlight w:val="none"/>
              </w:rPr>
              <w:t>m</w:t>
            </w:r>
            <w:r>
              <w:rPr>
                <w:rFonts w:ascii="Times New Roman" w:hAnsi="Times New Roman" w:eastAsia="宋体" w:cs="Times New Roman"/>
                <w:bCs/>
                <w:color w:val="auto"/>
                <w:sz w:val="24"/>
                <w:szCs w:val="24"/>
                <w:highlight w:val="none"/>
                <w:vertAlign w:val="superscript"/>
              </w:rPr>
              <w:t>2</w:t>
            </w:r>
            <w:r>
              <w:rPr>
                <w:rFonts w:ascii="Times New Roman" w:hAnsi="Times New Roman" w:eastAsia="宋体" w:cs="Times New Roman"/>
                <w:bCs/>
                <w:color w:val="auto"/>
                <w:sz w:val="24"/>
                <w:szCs w:val="24"/>
                <w:highlight w:val="none"/>
              </w:rPr>
              <w:t>，远小于2km</w:t>
            </w:r>
            <w:r>
              <w:rPr>
                <w:rFonts w:ascii="Times New Roman" w:hAnsi="Times New Roman" w:eastAsia="宋体" w:cs="Times New Roman"/>
                <w:bCs/>
                <w:color w:val="auto"/>
                <w:sz w:val="24"/>
                <w:szCs w:val="24"/>
                <w:highlight w:val="none"/>
                <w:vertAlign w:val="superscript"/>
              </w:rPr>
              <w:t>2</w:t>
            </w:r>
            <w:r>
              <w:rPr>
                <w:rFonts w:ascii="Times New Roman" w:hAnsi="Times New Roman" w:eastAsia="宋体" w:cs="Times New Roman"/>
                <w:bCs/>
                <w:color w:val="auto"/>
                <w:sz w:val="24"/>
                <w:szCs w:val="24"/>
                <w:highlight w:val="none"/>
              </w:rPr>
              <w:t>，</w:t>
            </w:r>
            <w:r>
              <w:rPr>
                <w:rFonts w:hint="eastAsia" w:ascii="Times New Roman" w:hAnsi="Times New Roman" w:eastAsia="宋体" w:cs="Times New Roman"/>
                <w:bCs/>
                <w:color w:val="auto"/>
                <w:sz w:val="24"/>
                <w:szCs w:val="24"/>
                <w:highlight w:val="none"/>
                <w:lang w:eastAsia="zh-CN"/>
              </w:rPr>
              <w:t>项目租赁</w:t>
            </w:r>
            <w:r>
              <w:rPr>
                <w:rFonts w:hint="eastAsia" w:cs="Times New Roman"/>
                <w:bCs/>
                <w:color w:val="auto"/>
                <w:sz w:val="24"/>
                <w:szCs w:val="24"/>
                <w:highlight w:val="none"/>
                <w:lang w:eastAsia="zh-CN"/>
              </w:rPr>
              <w:t>王家厂镇花园村民委员会的场地</w:t>
            </w:r>
            <w:r>
              <w:rPr>
                <w:rFonts w:hint="eastAsia" w:ascii="Times New Roman" w:hAnsi="Times New Roman" w:eastAsia="宋体" w:cs="Times New Roman"/>
                <w:bCs/>
                <w:color w:val="auto"/>
                <w:sz w:val="24"/>
                <w:szCs w:val="24"/>
                <w:highlight w:val="none"/>
                <w:lang w:eastAsia="zh-CN"/>
              </w:rPr>
              <w:t>，</w:t>
            </w:r>
            <w:r>
              <w:rPr>
                <w:rFonts w:hint="eastAsia" w:cs="Times New Roman"/>
                <w:bCs/>
                <w:color w:val="auto"/>
                <w:sz w:val="24"/>
                <w:szCs w:val="24"/>
                <w:highlight w:val="none"/>
                <w:lang w:eastAsia="zh-CN"/>
              </w:rPr>
              <w:t>且项目有用地红线图，</w:t>
            </w:r>
            <w:r>
              <w:rPr>
                <w:rFonts w:hint="eastAsia" w:ascii="Times New Roman" w:hAnsi="Times New Roman" w:eastAsia="宋体" w:cs="Times New Roman"/>
                <w:bCs/>
                <w:color w:val="auto"/>
                <w:sz w:val="24"/>
                <w:szCs w:val="24"/>
                <w:highlight w:val="none"/>
                <w:lang w:eastAsia="zh-CN"/>
              </w:rPr>
              <w:t>不新增用地且用地范围内无生态环境保护目标</w:t>
            </w:r>
            <w:r>
              <w:rPr>
                <w:rFonts w:ascii="Times New Roman" w:hAnsi="Times New Roman" w:eastAsia="宋体" w:cs="Times New Roman"/>
                <w:bCs/>
                <w:color w:val="auto"/>
                <w:sz w:val="24"/>
                <w:szCs w:val="24"/>
                <w:highlight w:val="none"/>
              </w:rPr>
              <w:t>，无天然林地和珍稀类、濒危动植物，不属于生态环境敏感区，项目建成后以人工绿化方式恢复植被，项目的建设对区域内生态环境具有改善作用。依据《环境影响评价技术导则——生态影响》（HJ19-2011），确定本项目评级等级为三级，重点对生态环境影响进行分析。本项目生态环境影响等级划分见表</w:t>
            </w:r>
            <w:r>
              <w:rPr>
                <w:rFonts w:hint="eastAsia" w:ascii="Times New Roman" w:hAnsi="Times New Roman" w:eastAsia="宋体" w:cs="Times New Roman"/>
                <w:bCs/>
                <w:color w:val="auto"/>
                <w:sz w:val="24"/>
                <w:szCs w:val="24"/>
                <w:highlight w:val="none"/>
                <w:lang w:val="en-US" w:eastAsia="zh-CN"/>
              </w:rPr>
              <w:t>3-6</w:t>
            </w:r>
            <w:r>
              <w:rPr>
                <w:rFonts w:ascii="Times New Roman" w:hAnsi="Times New Roman" w:eastAsia="宋体" w:cs="Times New Roman"/>
                <w:bCs/>
                <w:color w:val="auto"/>
                <w:sz w:val="24"/>
                <w:szCs w:val="24"/>
                <w:highlight w:val="none"/>
              </w:rPr>
              <w:t>。</w:t>
            </w:r>
          </w:p>
          <w:p>
            <w:pPr>
              <w:spacing w:line="240" w:lineRule="auto"/>
              <w:ind w:firstLine="422" w:firstLineChars="200"/>
              <w:jc w:val="center"/>
              <w:rPr>
                <w:rFonts w:ascii="Times New Roman" w:hAnsi="Times New Roman" w:eastAsia="宋体" w:cs="Times New Roman"/>
                <w:b/>
                <w:color w:val="auto"/>
                <w:sz w:val="21"/>
                <w:szCs w:val="21"/>
                <w:highlight w:val="none"/>
              </w:rPr>
            </w:pPr>
            <w:r>
              <w:rPr>
                <w:rFonts w:ascii="Times New Roman" w:hAnsi="Times New Roman" w:eastAsia="宋体" w:cs="Times New Roman"/>
                <w:b/>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5</w:t>
            </w:r>
            <w:r>
              <w:rPr>
                <w:rFonts w:ascii="Times New Roman" w:hAnsi="Times New Roman" w:eastAsia="宋体" w:cs="Times New Roman"/>
                <w:b/>
                <w:bCs/>
                <w:color w:val="auto"/>
                <w:sz w:val="21"/>
                <w:szCs w:val="21"/>
                <w:highlight w:val="none"/>
              </w:rPr>
              <w:t xml:space="preserve"> </w:t>
            </w:r>
            <w:r>
              <w:rPr>
                <w:rFonts w:ascii="Times New Roman" w:hAnsi="Times New Roman" w:eastAsia="宋体" w:cs="Times New Roman"/>
                <w:b/>
                <w:color w:val="auto"/>
                <w:sz w:val="21"/>
                <w:szCs w:val="21"/>
                <w:highlight w:val="none"/>
              </w:rPr>
              <w:t>生态环境影响评价等级划分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2993"/>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899" w:type="dxa"/>
                  <w:tcBorders>
                    <w:tl2br w:val="nil"/>
                    <w:tr2bl w:val="nil"/>
                  </w:tcBorders>
                  <w:noWrap w:val="0"/>
                  <w:vAlign w:val="center"/>
                </w:tcPr>
                <w:p>
                  <w:pPr>
                    <w:jc w:val="center"/>
                    <w:rPr>
                      <w:rFonts w:ascii="Times New Roman" w:hAnsi="Times New Roman" w:eastAsia="宋体" w:cs="Times New Roman"/>
                      <w:color w:val="auto"/>
                      <w:sz w:val="22"/>
                      <w:szCs w:val="24"/>
                      <w:highlight w:val="none"/>
                    </w:rPr>
                  </w:pPr>
                  <w:r>
                    <w:rPr>
                      <w:rFonts w:ascii="Times New Roman" w:hAnsi="Times New Roman" w:eastAsia="宋体" w:cs="Times New Roman"/>
                      <w:color w:val="auto"/>
                      <w:sz w:val="22"/>
                      <w:szCs w:val="24"/>
                      <w:highlight w:val="none"/>
                    </w:rPr>
                    <w:t>主要生态影响</w:t>
                  </w:r>
                </w:p>
              </w:tc>
              <w:tc>
                <w:tcPr>
                  <w:tcW w:w="2993" w:type="dxa"/>
                  <w:tcBorders>
                    <w:tl2br w:val="nil"/>
                    <w:tr2bl w:val="nil"/>
                  </w:tcBorders>
                  <w:noWrap w:val="0"/>
                  <w:vAlign w:val="center"/>
                </w:tcPr>
                <w:p>
                  <w:pPr>
                    <w:jc w:val="center"/>
                    <w:rPr>
                      <w:rFonts w:ascii="Times New Roman" w:hAnsi="Times New Roman" w:eastAsia="宋体" w:cs="Times New Roman"/>
                      <w:color w:val="auto"/>
                      <w:sz w:val="22"/>
                      <w:szCs w:val="24"/>
                      <w:highlight w:val="none"/>
                    </w:rPr>
                  </w:pPr>
                  <w:r>
                    <w:rPr>
                      <w:rFonts w:ascii="Times New Roman" w:hAnsi="Times New Roman" w:eastAsia="宋体" w:cs="Times New Roman"/>
                      <w:color w:val="auto"/>
                      <w:sz w:val="22"/>
                      <w:szCs w:val="24"/>
                      <w:highlight w:val="none"/>
                    </w:rPr>
                    <w:t>变化程度</w:t>
                  </w:r>
                </w:p>
              </w:tc>
              <w:tc>
                <w:tcPr>
                  <w:tcW w:w="3067" w:type="dxa"/>
                  <w:tcBorders>
                    <w:tl2br w:val="nil"/>
                    <w:tr2bl w:val="nil"/>
                  </w:tcBorders>
                  <w:noWrap w:val="0"/>
                  <w:vAlign w:val="center"/>
                </w:tcPr>
                <w:p>
                  <w:pPr>
                    <w:jc w:val="center"/>
                    <w:rPr>
                      <w:rFonts w:ascii="Times New Roman" w:hAnsi="Times New Roman" w:eastAsia="宋体" w:cs="Times New Roman"/>
                      <w:color w:val="auto"/>
                      <w:sz w:val="22"/>
                      <w:szCs w:val="24"/>
                      <w:highlight w:val="none"/>
                    </w:rPr>
                  </w:pPr>
                  <w:r>
                    <w:rPr>
                      <w:rFonts w:ascii="Times New Roman" w:hAnsi="Times New Roman" w:eastAsia="宋体" w:cs="Times New Roman"/>
                      <w:color w:val="auto"/>
                      <w:sz w:val="22"/>
                      <w:szCs w:val="24"/>
                      <w:highlight w:val="none"/>
                    </w:rPr>
                    <w:t>评价工作等级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899" w:type="dxa"/>
                  <w:tcBorders>
                    <w:tl2br w:val="nil"/>
                    <w:tr2bl w:val="nil"/>
                  </w:tcBorders>
                  <w:noWrap w:val="0"/>
                  <w:vAlign w:val="center"/>
                </w:tcPr>
                <w:p>
                  <w:pPr>
                    <w:jc w:val="center"/>
                    <w:rPr>
                      <w:rFonts w:ascii="Times New Roman" w:hAnsi="Times New Roman" w:eastAsia="宋体" w:cs="Times New Roman"/>
                      <w:color w:val="auto"/>
                      <w:sz w:val="22"/>
                      <w:szCs w:val="24"/>
                      <w:highlight w:val="none"/>
                    </w:rPr>
                  </w:pPr>
                  <w:r>
                    <w:rPr>
                      <w:rFonts w:ascii="Times New Roman" w:hAnsi="Times New Roman" w:eastAsia="宋体" w:cs="Times New Roman"/>
                      <w:color w:val="auto"/>
                      <w:sz w:val="22"/>
                      <w:szCs w:val="24"/>
                      <w:highlight w:val="none"/>
                    </w:rPr>
                    <w:t>影响范围</w:t>
                  </w:r>
                </w:p>
              </w:tc>
              <w:tc>
                <w:tcPr>
                  <w:tcW w:w="2993" w:type="dxa"/>
                  <w:tcBorders>
                    <w:tl2br w:val="nil"/>
                    <w:tr2bl w:val="nil"/>
                  </w:tcBorders>
                  <w:noWrap w:val="0"/>
                  <w:vAlign w:val="center"/>
                </w:tcPr>
                <w:p>
                  <w:pPr>
                    <w:jc w:val="center"/>
                    <w:rPr>
                      <w:rFonts w:ascii="Times New Roman" w:hAnsi="Times New Roman" w:eastAsia="宋体" w:cs="Times New Roman"/>
                      <w:color w:val="auto"/>
                      <w:sz w:val="22"/>
                      <w:szCs w:val="24"/>
                      <w:highlight w:val="none"/>
                    </w:rPr>
                  </w:pPr>
                  <w:r>
                    <w:rPr>
                      <w:rFonts w:ascii="Times New Roman" w:hAnsi="Times New Roman" w:eastAsia="宋体" w:cs="Times New Roman"/>
                      <w:color w:val="auto"/>
                      <w:sz w:val="22"/>
                      <w:szCs w:val="24"/>
                      <w:highlight w:val="none"/>
                    </w:rPr>
                    <w:t>＜2km</w:t>
                  </w:r>
                  <w:r>
                    <w:rPr>
                      <w:rFonts w:ascii="Times New Roman" w:hAnsi="Times New Roman" w:eastAsia="宋体" w:cs="Times New Roman"/>
                      <w:color w:val="auto"/>
                      <w:sz w:val="22"/>
                      <w:szCs w:val="24"/>
                      <w:highlight w:val="none"/>
                      <w:vertAlign w:val="superscript"/>
                    </w:rPr>
                    <w:t>2</w:t>
                  </w:r>
                </w:p>
              </w:tc>
              <w:tc>
                <w:tcPr>
                  <w:tcW w:w="3067" w:type="dxa"/>
                  <w:vMerge w:val="restart"/>
                  <w:tcBorders>
                    <w:tl2br w:val="nil"/>
                    <w:tr2bl w:val="nil"/>
                  </w:tcBorders>
                  <w:noWrap w:val="0"/>
                  <w:vAlign w:val="center"/>
                </w:tcPr>
                <w:p>
                  <w:pPr>
                    <w:jc w:val="center"/>
                    <w:rPr>
                      <w:rFonts w:ascii="Times New Roman" w:hAnsi="Times New Roman" w:eastAsia="宋体" w:cs="Times New Roman"/>
                      <w:color w:val="auto"/>
                      <w:sz w:val="22"/>
                      <w:szCs w:val="24"/>
                      <w:highlight w:val="none"/>
                    </w:rPr>
                  </w:pPr>
                  <w:r>
                    <w:rPr>
                      <w:rFonts w:ascii="Times New Roman" w:hAnsi="Times New Roman" w:eastAsia="宋体" w:cs="Times New Roman"/>
                      <w:color w:val="auto"/>
                      <w:kern w:val="0"/>
                      <w:szCs w:val="21"/>
                      <w:highlight w:val="none"/>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99" w:type="dxa"/>
                  <w:tcBorders>
                    <w:tl2br w:val="nil"/>
                    <w:tr2bl w:val="nil"/>
                  </w:tcBorders>
                  <w:noWrap w:val="0"/>
                  <w:vAlign w:val="center"/>
                </w:tcPr>
                <w:p>
                  <w:pPr>
                    <w:jc w:val="center"/>
                    <w:rPr>
                      <w:rFonts w:ascii="Times New Roman" w:hAnsi="Times New Roman" w:eastAsia="宋体" w:cs="Times New Roman"/>
                      <w:color w:val="auto"/>
                      <w:sz w:val="22"/>
                      <w:szCs w:val="24"/>
                      <w:highlight w:val="none"/>
                    </w:rPr>
                  </w:pPr>
                  <w:r>
                    <w:rPr>
                      <w:rFonts w:ascii="Times New Roman" w:hAnsi="Times New Roman" w:eastAsia="宋体" w:cs="Times New Roman"/>
                      <w:color w:val="auto"/>
                      <w:sz w:val="22"/>
                      <w:szCs w:val="24"/>
                      <w:highlight w:val="none"/>
                    </w:rPr>
                    <w:t>区域生态敏感性</w:t>
                  </w:r>
                </w:p>
              </w:tc>
              <w:tc>
                <w:tcPr>
                  <w:tcW w:w="2993" w:type="dxa"/>
                  <w:tcBorders>
                    <w:tl2br w:val="nil"/>
                    <w:tr2bl w:val="nil"/>
                  </w:tcBorders>
                  <w:noWrap w:val="0"/>
                  <w:vAlign w:val="center"/>
                </w:tcPr>
                <w:p>
                  <w:pPr>
                    <w:jc w:val="center"/>
                    <w:rPr>
                      <w:rFonts w:ascii="Times New Roman" w:hAnsi="Times New Roman" w:eastAsia="宋体" w:cs="Times New Roman"/>
                      <w:color w:val="auto"/>
                      <w:sz w:val="22"/>
                      <w:szCs w:val="24"/>
                      <w:highlight w:val="none"/>
                    </w:rPr>
                  </w:pPr>
                  <w:r>
                    <w:rPr>
                      <w:rFonts w:ascii="Times New Roman" w:hAnsi="Times New Roman" w:eastAsia="宋体" w:cs="Times New Roman"/>
                      <w:color w:val="auto"/>
                      <w:sz w:val="22"/>
                      <w:szCs w:val="24"/>
                      <w:highlight w:val="none"/>
                    </w:rPr>
                    <w:t>一般区域</w:t>
                  </w:r>
                </w:p>
              </w:tc>
              <w:tc>
                <w:tcPr>
                  <w:tcW w:w="3067" w:type="dxa"/>
                  <w:vMerge w:val="continue"/>
                  <w:tcBorders>
                    <w:tl2br w:val="nil"/>
                    <w:tr2bl w:val="nil"/>
                  </w:tcBorders>
                  <w:noWrap w:val="0"/>
                  <w:vAlign w:val="center"/>
                </w:tcPr>
                <w:p>
                  <w:pPr>
                    <w:jc w:val="center"/>
                    <w:rPr>
                      <w:rFonts w:ascii="Times New Roman" w:hAnsi="Times New Roman" w:eastAsia="宋体" w:cs="Times New Roman"/>
                      <w:color w:val="auto"/>
                      <w:sz w:val="22"/>
                      <w:szCs w:val="24"/>
                      <w:highlight w:val="none"/>
                    </w:rPr>
                  </w:pPr>
                </w:p>
              </w:tc>
            </w:tr>
          </w:tbl>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评价范围为拟建项目所在厂区</w:t>
            </w:r>
            <w:r>
              <w:rPr>
                <w:rFonts w:hint="eastAsia" w:ascii="Times New Roman" w:hAnsi="Times New Roman" w:eastAsia="宋体" w:cs="Times New Roman"/>
                <w:color w:val="auto"/>
                <w:sz w:val="24"/>
                <w:szCs w:val="24"/>
                <w:highlight w:val="none"/>
                <w:lang w:eastAsia="zh-CN"/>
              </w:rPr>
              <w:t>，根据《建设项目环境影响报告表编制技术指南》（污染影响类）（试行），本项目可不进行生态现状调查</w:t>
            </w:r>
            <w:r>
              <w:rPr>
                <w:rFonts w:ascii="Times New Roman" w:hAnsi="Times New Roman" w:eastAsia="宋体" w:cs="Times New Roman"/>
                <w:color w:val="auto"/>
                <w:sz w:val="24"/>
                <w:szCs w:val="24"/>
                <w:highlight w:val="none"/>
                <w:lang w:val="en-GB"/>
              </w:rPr>
              <w:t>。</w:t>
            </w:r>
          </w:p>
          <w:p>
            <w:pPr>
              <w:spacing w:line="360" w:lineRule="auto"/>
              <w:ind w:firstLine="482" w:firstLineChars="200"/>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5、地下水环境</w:t>
            </w:r>
          </w:p>
          <w:p>
            <w:pPr>
              <w:spacing w:line="360" w:lineRule="auto"/>
              <w:ind w:firstLine="480" w:firstLineChars="200"/>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地下水评价等级及评价范围根据《环境影响评价技术导则—地下水环境》（HJ610-2016）附录A确定：本项目属于“69、石墨及其他非金属矿物制品”中“其他”，因此本项目为Ⅳ类建设项目，Ⅳ类建设项目不开展地下水环境影响评价。</w:t>
            </w:r>
          </w:p>
          <w:p>
            <w:pPr>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6、土壤环境</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根据《环境影响评价导则－土壤境（试行）》（HJ964-2018）中附录A，本项目土壤环境影响评价项目类别属于</w:t>
            </w:r>
            <w:r>
              <w:rPr>
                <w:rFonts w:hint="eastAsia" w:cs="Times New Roman"/>
                <w:color w:val="auto"/>
                <w:sz w:val="24"/>
                <w:szCs w:val="24"/>
                <w:highlight w:val="none"/>
                <w:lang w:val="en-US" w:eastAsia="zh-CN"/>
              </w:rPr>
              <w:t>金属冶炼压延加工及非金属矿物制品</w:t>
            </w:r>
            <w:r>
              <w:rPr>
                <w:rFonts w:hint="eastAsia" w:ascii="Times New Roman" w:hAnsi="Times New Roman" w:eastAsia="宋体" w:cs="Times New Roman"/>
                <w:color w:val="auto"/>
                <w:sz w:val="24"/>
                <w:szCs w:val="24"/>
                <w:highlight w:val="none"/>
                <w:lang w:val="en-US" w:eastAsia="zh-CN"/>
              </w:rPr>
              <w:t>中“</w:t>
            </w:r>
            <w:r>
              <w:rPr>
                <w:rFonts w:hint="eastAsia" w:cs="Times New Roman"/>
                <w:color w:val="auto"/>
                <w:sz w:val="24"/>
                <w:szCs w:val="24"/>
                <w:highlight w:val="none"/>
                <w:lang w:val="en-US" w:eastAsia="zh-CN"/>
              </w:rPr>
              <w:t>其他</w:t>
            </w:r>
            <w:r>
              <w:rPr>
                <w:rFonts w:hint="eastAsia" w:ascii="Times New Roman" w:hAnsi="Times New Roman" w:eastAsia="宋体" w:cs="Times New Roman"/>
                <w:color w:val="auto"/>
                <w:sz w:val="24"/>
                <w:szCs w:val="24"/>
                <w:highlight w:val="none"/>
                <w:lang w:val="en-US" w:eastAsia="zh-CN"/>
              </w:rPr>
              <w:t>”，属于</w:t>
            </w:r>
            <w:r>
              <w:rPr>
                <w:rFonts w:hint="eastAsia" w:ascii="宋体" w:hAnsi="宋体" w:eastAsia="宋体" w:cs="宋体"/>
                <w:color w:val="auto"/>
                <w:sz w:val="24"/>
                <w:szCs w:val="24"/>
                <w:highlight w:val="none"/>
                <w:lang w:val="en-US" w:eastAsia="zh-CN"/>
              </w:rPr>
              <w:t>Ⅲ</w:t>
            </w:r>
            <w:r>
              <w:rPr>
                <w:rFonts w:hint="eastAsia" w:ascii="Times New Roman" w:hAnsi="Times New Roman" w:eastAsia="宋体" w:cs="Times New Roman"/>
                <w:color w:val="auto"/>
                <w:sz w:val="24"/>
                <w:szCs w:val="24"/>
                <w:highlight w:val="none"/>
                <w:lang w:val="en-US" w:eastAsia="zh-CN"/>
              </w:rPr>
              <w:t>类项目，项目占地规模＜5hm</w:t>
            </w:r>
            <w:r>
              <w:rPr>
                <w:rFonts w:hint="eastAsia" w:ascii="Times New Roman" w:hAnsi="Times New Roman"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，属于小型，属于</w:t>
            </w:r>
            <w:r>
              <w:rPr>
                <w:rFonts w:hint="eastAsia" w:cs="Times New Roman"/>
                <w:color w:val="auto"/>
                <w:sz w:val="24"/>
                <w:szCs w:val="24"/>
                <w:highlight w:val="none"/>
                <w:lang w:val="en-US" w:eastAsia="zh-CN"/>
              </w:rPr>
              <w:t>不</w:t>
            </w:r>
            <w:r>
              <w:rPr>
                <w:rFonts w:hint="eastAsia" w:ascii="Times New Roman" w:hAnsi="Times New Roman" w:eastAsia="宋体" w:cs="Times New Roman"/>
                <w:color w:val="auto"/>
                <w:sz w:val="24"/>
                <w:szCs w:val="24"/>
                <w:highlight w:val="none"/>
                <w:lang w:val="en-US" w:eastAsia="zh-CN"/>
              </w:rPr>
              <w:t>敏感区域，因此本项目</w:t>
            </w:r>
            <w:r>
              <w:rPr>
                <w:rFonts w:hint="eastAsia" w:cs="Times New Roman"/>
                <w:color w:val="auto"/>
                <w:sz w:val="24"/>
                <w:szCs w:val="24"/>
                <w:highlight w:val="none"/>
                <w:lang w:val="en-US" w:eastAsia="zh-CN"/>
              </w:rPr>
              <w:t>不</w:t>
            </w:r>
            <w:r>
              <w:rPr>
                <w:rFonts w:hint="eastAsia" w:ascii="Times New Roman" w:hAnsi="Times New Roman" w:eastAsia="宋体" w:cs="Times New Roman"/>
                <w:color w:val="auto"/>
                <w:sz w:val="24"/>
                <w:szCs w:val="24"/>
                <w:highlight w:val="none"/>
                <w:lang w:val="en-US" w:eastAsia="zh-CN"/>
              </w:rPr>
              <w:t>需要开展土壤环境影响评价工作。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800" w:type="dxa"/>
            <w:noWrap w:val="0"/>
            <w:vAlign w:val="center"/>
          </w:tcPr>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环境</w:t>
            </w:r>
          </w:p>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保护</w:t>
            </w:r>
          </w:p>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目标</w:t>
            </w:r>
          </w:p>
        </w:tc>
        <w:tc>
          <w:tcPr>
            <w:tcW w:w="8190"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Times New Roman" w:hAnsi="Times New Roman" w:eastAsia="宋体" w:cs="Times New Roman"/>
                <w:b/>
                <w:bCs/>
                <w:color w:val="auto"/>
                <w:sz w:val="24"/>
                <w:szCs w:val="21"/>
                <w:highlight w:val="none"/>
                <w:lang w:eastAsia="zh-CN"/>
              </w:rPr>
            </w:pPr>
            <w:r>
              <w:rPr>
                <w:rFonts w:hint="eastAsia" w:ascii="Times New Roman" w:hAnsi="Times New Roman" w:eastAsia="宋体" w:cs="Times New Roman"/>
                <w:b/>
                <w:bCs/>
                <w:color w:val="auto"/>
                <w:sz w:val="24"/>
                <w:szCs w:val="21"/>
                <w:highlight w:val="none"/>
                <w:lang w:val="en-US" w:eastAsia="zh-CN"/>
              </w:rPr>
              <w:t>1、</w:t>
            </w:r>
            <w:r>
              <w:rPr>
                <w:rFonts w:hint="eastAsia" w:ascii="Times New Roman" w:hAnsi="Times New Roman" w:eastAsia="宋体" w:cs="Times New Roman"/>
                <w:b/>
                <w:bCs/>
                <w:color w:val="auto"/>
                <w:sz w:val="24"/>
                <w:szCs w:val="21"/>
                <w:highlight w:val="none"/>
                <w:lang w:eastAsia="zh-CN"/>
              </w:rPr>
              <w:t>大气环境</w:t>
            </w:r>
          </w:p>
          <w:p>
            <w:pPr>
              <w:spacing w:line="240" w:lineRule="auto"/>
              <w:ind w:firstLine="422" w:firstLineChars="200"/>
              <w:jc w:val="center"/>
              <w:rPr>
                <w:rFonts w:ascii="Times New Roman" w:hAnsi="Times New Roman" w:eastAsia="宋体" w:cs="Times New Roman"/>
                <w:b/>
                <w:bCs/>
                <w:color w:val="auto"/>
                <w:sz w:val="21"/>
                <w:szCs w:val="21"/>
                <w:highlight w:val="none"/>
                <w:u w:val="none"/>
              </w:rPr>
            </w:pPr>
            <w:r>
              <w:rPr>
                <w:rFonts w:ascii="Times New Roman" w:hAnsi="Times New Roman" w:eastAsia="宋体" w:cs="Times New Roman"/>
                <w:b/>
                <w:bCs/>
                <w:color w:val="auto"/>
                <w:sz w:val="21"/>
                <w:szCs w:val="21"/>
                <w:highlight w:val="none"/>
                <w:u w:val="none"/>
              </w:rPr>
              <w:t>表</w:t>
            </w:r>
            <w:r>
              <w:rPr>
                <w:rFonts w:hint="eastAsia" w:ascii="Times New Roman" w:hAnsi="Times New Roman" w:eastAsia="宋体" w:cs="Times New Roman"/>
                <w:b/>
                <w:bCs/>
                <w:color w:val="auto"/>
                <w:sz w:val="21"/>
                <w:szCs w:val="21"/>
                <w:highlight w:val="none"/>
                <w:u w:val="none"/>
                <w:lang w:val="en-US" w:eastAsia="zh-CN"/>
              </w:rPr>
              <w:t>3-</w:t>
            </w:r>
            <w:r>
              <w:rPr>
                <w:rFonts w:hint="eastAsia" w:cs="Times New Roman"/>
                <w:b/>
                <w:bCs/>
                <w:color w:val="auto"/>
                <w:sz w:val="21"/>
                <w:szCs w:val="21"/>
                <w:highlight w:val="none"/>
                <w:u w:val="none"/>
                <w:lang w:val="en-US" w:eastAsia="zh-CN"/>
              </w:rPr>
              <w:t>6</w:t>
            </w:r>
            <w:r>
              <w:rPr>
                <w:rFonts w:hint="eastAsia" w:ascii="Times New Roman" w:hAnsi="Times New Roman" w:eastAsia="宋体" w:cs="Times New Roman"/>
                <w:b/>
                <w:bCs/>
                <w:color w:val="auto"/>
                <w:sz w:val="21"/>
                <w:szCs w:val="21"/>
                <w:highlight w:val="none"/>
                <w:u w:val="none"/>
                <w:lang w:val="en-US" w:eastAsia="zh-CN"/>
              </w:rPr>
              <w:t xml:space="preserve"> </w:t>
            </w:r>
            <w:r>
              <w:rPr>
                <w:rFonts w:hint="eastAsia" w:ascii="Times New Roman" w:hAnsi="Times New Roman" w:eastAsia="宋体" w:cs="Times New Roman"/>
                <w:b/>
                <w:bCs/>
                <w:color w:val="auto"/>
                <w:sz w:val="21"/>
                <w:szCs w:val="21"/>
                <w:highlight w:val="none"/>
                <w:u w:val="none"/>
                <w:lang w:eastAsia="zh-CN"/>
              </w:rPr>
              <w:t>大气环境</w:t>
            </w:r>
            <w:r>
              <w:rPr>
                <w:rFonts w:ascii="Times New Roman" w:hAnsi="Times New Roman" w:eastAsia="宋体" w:cs="Times New Roman"/>
                <w:b/>
                <w:bCs/>
                <w:color w:val="auto"/>
                <w:sz w:val="21"/>
                <w:szCs w:val="21"/>
                <w:highlight w:val="none"/>
                <w:u w:val="none"/>
              </w:rPr>
              <w:t>保护目标</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959"/>
              <w:gridCol w:w="1014"/>
              <w:gridCol w:w="1109"/>
              <w:gridCol w:w="915"/>
              <w:gridCol w:w="885"/>
              <w:gridCol w:w="1431"/>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29" w:type="dxa"/>
                  <w:vMerge w:val="restart"/>
                  <w:noWrap w:val="0"/>
                  <w:vAlign w:val="center"/>
                </w:tcPr>
                <w:p>
                  <w:pPr>
                    <w:jc w:val="center"/>
                    <w:rPr>
                      <w:rFonts w:hint="default" w:ascii="Times New Roman" w:hAnsi="Times New Roman" w:cs="Times New Roman"/>
                      <w:b/>
                      <w:bCs/>
                      <w:color w:val="auto"/>
                      <w:szCs w:val="21"/>
                      <w:highlight w:val="none"/>
                      <w:u w:val="none"/>
                    </w:rPr>
                  </w:pPr>
                  <w:r>
                    <w:rPr>
                      <w:rFonts w:hint="default" w:ascii="Times New Roman" w:hAnsi="Times New Roman" w:cs="Times New Roman"/>
                      <w:b/>
                      <w:bCs/>
                      <w:color w:val="auto"/>
                      <w:szCs w:val="21"/>
                      <w:highlight w:val="none"/>
                      <w:u w:val="none"/>
                    </w:rPr>
                    <w:t>名称</w:t>
                  </w:r>
                </w:p>
              </w:tc>
              <w:tc>
                <w:tcPr>
                  <w:tcW w:w="1973" w:type="dxa"/>
                  <w:gridSpan w:val="2"/>
                  <w:noWrap w:val="0"/>
                  <w:vAlign w:val="center"/>
                </w:tcPr>
                <w:p>
                  <w:pPr>
                    <w:jc w:val="center"/>
                    <w:rPr>
                      <w:rFonts w:hint="default" w:ascii="Times New Roman" w:hAnsi="Times New Roman" w:cs="Times New Roman"/>
                      <w:b/>
                      <w:bCs/>
                      <w:color w:val="auto"/>
                      <w:szCs w:val="21"/>
                      <w:highlight w:val="none"/>
                      <w:u w:val="none"/>
                    </w:rPr>
                  </w:pPr>
                  <w:r>
                    <w:rPr>
                      <w:rFonts w:hint="default" w:ascii="Times New Roman" w:hAnsi="Times New Roman" w:cs="Times New Roman"/>
                      <w:b/>
                      <w:bCs/>
                      <w:color w:val="auto"/>
                      <w:szCs w:val="21"/>
                      <w:highlight w:val="none"/>
                      <w:u w:val="none"/>
                    </w:rPr>
                    <w:t>坐标/m</w:t>
                  </w:r>
                </w:p>
              </w:tc>
              <w:tc>
                <w:tcPr>
                  <w:tcW w:w="1109" w:type="dxa"/>
                  <w:vMerge w:val="restart"/>
                  <w:noWrap w:val="0"/>
                  <w:vAlign w:val="center"/>
                </w:tcPr>
                <w:p>
                  <w:pPr>
                    <w:jc w:val="center"/>
                    <w:rPr>
                      <w:rFonts w:hint="default" w:ascii="Times New Roman" w:hAnsi="Times New Roman" w:cs="Times New Roman"/>
                      <w:b/>
                      <w:bCs/>
                      <w:color w:val="auto"/>
                      <w:szCs w:val="21"/>
                      <w:highlight w:val="none"/>
                      <w:u w:val="none"/>
                    </w:rPr>
                  </w:pPr>
                  <w:r>
                    <w:rPr>
                      <w:rFonts w:hint="default" w:ascii="Times New Roman" w:hAnsi="Times New Roman" w:cs="Times New Roman"/>
                      <w:b/>
                      <w:bCs/>
                      <w:color w:val="auto"/>
                      <w:szCs w:val="21"/>
                      <w:highlight w:val="none"/>
                      <w:u w:val="none"/>
                    </w:rPr>
                    <w:t>保护对象</w:t>
                  </w:r>
                </w:p>
              </w:tc>
              <w:tc>
                <w:tcPr>
                  <w:tcW w:w="915" w:type="dxa"/>
                  <w:vMerge w:val="restart"/>
                  <w:noWrap w:val="0"/>
                  <w:vAlign w:val="center"/>
                </w:tcPr>
                <w:p>
                  <w:pPr>
                    <w:jc w:val="center"/>
                    <w:rPr>
                      <w:rFonts w:hint="default" w:ascii="Times New Roman" w:hAnsi="Times New Roman" w:cs="Times New Roman"/>
                      <w:b/>
                      <w:bCs/>
                      <w:color w:val="auto"/>
                      <w:szCs w:val="21"/>
                      <w:highlight w:val="none"/>
                      <w:u w:val="none"/>
                    </w:rPr>
                  </w:pPr>
                  <w:r>
                    <w:rPr>
                      <w:rFonts w:hint="default" w:ascii="Times New Roman" w:hAnsi="Times New Roman" w:cs="Times New Roman"/>
                      <w:b/>
                      <w:bCs/>
                      <w:color w:val="auto"/>
                      <w:szCs w:val="21"/>
                      <w:highlight w:val="none"/>
                      <w:u w:val="none"/>
                    </w:rPr>
                    <w:t>环境功能区</w:t>
                  </w:r>
                </w:p>
              </w:tc>
              <w:tc>
                <w:tcPr>
                  <w:tcW w:w="885" w:type="dxa"/>
                  <w:vMerge w:val="restart"/>
                  <w:noWrap w:val="0"/>
                  <w:vAlign w:val="center"/>
                </w:tcPr>
                <w:p>
                  <w:pPr>
                    <w:jc w:val="center"/>
                    <w:rPr>
                      <w:rFonts w:hint="default" w:ascii="Times New Roman" w:hAnsi="Times New Roman" w:cs="Times New Roman"/>
                      <w:b/>
                      <w:bCs/>
                      <w:color w:val="auto"/>
                      <w:szCs w:val="21"/>
                      <w:highlight w:val="none"/>
                      <w:u w:val="none"/>
                    </w:rPr>
                  </w:pPr>
                  <w:r>
                    <w:rPr>
                      <w:rFonts w:hint="default" w:ascii="Times New Roman" w:hAnsi="Times New Roman" w:cs="Times New Roman"/>
                      <w:b/>
                      <w:bCs/>
                      <w:color w:val="auto"/>
                      <w:szCs w:val="21"/>
                      <w:highlight w:val="none"/>
                      <w:u w:val="none"/>
                    </w:rPr>
                    <w:t>相对厂址方位</w:t>
                  </w:r>
                </w:p>
              </w:tc>
              <w:tc>
                <w:tcPr>
                  <w:tcW w:w="1431" w:type="dxa"/>
                  <w:vMerge w:val="restart"/>
                  <w:noWrap w:val="0"/>
                  <w:vAlign w:val="center"/>
                </w:tcPr>
                <w:p>
                  <w:pPr>
                    <w:jc w:val="center"/>
                    <w:rPr>
                      <w:rFonts w:hint="default" w:ascii="Times New Roman" w:hAnsi="Times New Roman" w:cs="Times New Roman"/>
                      <w:b/>
                      <w:bCs/>
                      <w:color w:val="auto"/>
                      <w:szCs w:val="21"/>
                      <w:highlight w:val="none"/>
                      <w:u w:val="none"/>
                    </w:rPr>
                  </w:pPr>
                  <w:r>
                    <w:rPr>
                      <w:rFonts w:hint="default" w:ascii="Times New Roman" w:hAnsi="Times New Roman" w:cs="Times New Roman"/>
                      <w:b/>
                      <w:bCs/>
                      <w:color w:val="auto"/>
                      <w:szCs w:val="21"/>
                      <w:highlight w:val="none"/>
                      <w:u w:val="none"/>
                    </w:rPr>
                    <w:t>距离范围</w:t>
                  </w:r>
                </w:p>
              </w:tc>
              <w:tc>
                <w:tcPr>
                  <w:tcW w:w="854" w:type="dxa"/>
                  <w:vMerge w:val="restart"/>
                  <w:noWrap w:val="0"/>
                  <w:vAlign w:val="center"/>
                </w:tcPr>
                <w:p>
                  <w:pPr>
                    <w:jc w:val="center"/>
                    <w:rPr>
                      <w:rFonts w:hint="default" w:ascii="Times New Roman" w:hAnsi="Times New Roman" w:cs="Times New Roman"/>
                      <w:b/>
                      <w:bCs/>
                      <w:color w:val="auto"/>
                      <w:szCs w:val="21"/>
                      <w:highlight w:val="none"/>
                      <w:u w:val="none"/>
                    </w:rPr>
                  </w:pPr>
                  <w:r>
                    <w:rPr>
                      <w:rFonts w:hint="default" w:ascii="Times New Roman" w:hAnsi="Times New Roman" w:cs="Times New Roman"/>
                      <w:b/>
                      <w:bCs/>
                      <w:color w:val="auto"/>
                      <w:szCs w:val="21"/>
                      <w:highlight w:val="none"/>
                      <w:u w:val="none"/>
                    </w:rPr>
                    <w:t>相对厂界距离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9" w:type="dxa"/>
                  <w:vMerge w:val="continue"/>
                  <w:noWrap w:val="0"/>
                  <w:vAlign w:val="center"/>
                </w:tcPr>
                <w:p>
                  <w:pPr>
                    <w:jc w:val="center"/>
                    <w:rPr>
                      <w:rFonts w:hint="default" w:ascii="Times New Roman" w:hAnsi="Times New Roman" w:cs="Times New Roman"/>
                      <w:color w:val="auto"/>
                      <w:szCs w:val="21"/>
                      <w:highlight w:val="none"/>
                      <w:u w:val="none"/>
                    </w:rPr>
                  </w:pPr>
                </w:p>
              </w:tc>
              <w:tc>
                <w:tcPr>
                  <w:tcW w:w="959" w:type="dxa"/>
                  <w:noWrap w:val="0"/>
                  <w:vAlign w:val="center"/>
                </w:tcPr>
                <w:p>
                  <w:pPr>
                    <w:jc w:val="center"/>
                    <w:rPr>
                      <w:rFonts w:hint="default" w:ascii="Times New Roman" w:hAnsi="Times New Roman" w:cs="Times New Roman"/>
                      <w:b/>
                      <w:bCs/>
                      <w:color w:val="auto"/>
                      <w:szCs w:val="21"/>
                      <w:highlight w:val="none"/>
                      <w:u w:val="none"/>
                    </w:rPr>
                  </w:pPr>
                  <w:r>
                    <w:rPr>
                      <w:rFonts w:hint="default" w:ascii="Times New Roman" w:hAnsi="Times New Roman" w:cs="Times New Roman"/>
                      <w:b/>
                      <w:bCs/>
                      <w:color w:val="auto"/>
                      <w:szCs w:val="21"/>
                      <w:highlight w:val="none"/>
                      <w:u w:val="none"/>
                    </w:rPr>
                    <w:t>X</w:t>
                  </w:r>
                </w:p>
              </w:tc>
              <w:tc>
                <w:tcPr>
                  <w:tcW w:w="1014" w:type="dxa"/>
                  <w:noWrap w:val="0"/>
                  <w:vAlign w:val="center"/>
                </w:tcPr>
                <w:p>
                  <w:pPr>
                    <w:jc w:val="center"/>
                    <w:rPr>
                      <w:rFonts w:hint="default" w:ascii="Times New Roman" w:hAnsi="Times New Roman" w:cs="Times New Roman"/>
                      <w:b/>
                      <w:bCs/>
                      <w:color w:val="auto"/>
                      <w:szCs w:val="21"/>
                      <w:highlight w:val="none"/>
                      <w:u w:val="none"/>
                    </w:rPr>
                  </w:pPr>
                  <w:r>
                    <w:rPr>
                      <w:rFonts w:hint="default" w:ascii="Times New Roman" w:hAnsi="Times New Roman" w:cs="Times New Roman"/>
                      <w:b/>
                      <w:bCs/>
                      <w:color w:val="auto"/>
                      <w:szCs w:val="21"/>
                      <w:highlight w:val="none"/>
                      <w:u w:val="none"/>
                    </w:rPr>
                    <w:t>Y</w:t>
                  </w:r>
                </w:p>
              </w:tc>
              <w:tc>
                <w:tcPr>
                  <w:tcW w:w="1109" w:type="dxa"/>
                  <w:vMerge w:val="continue"/>
                  <w:noWrap w:val="0"/>
                  <w:vAlign w:val="center"/>
                </w:tcPr>
                <w:p>
                  <w:pPr>
                    <w:jc w:val="center"/>
                    <w:rPr>
                      <w:rFonts w:hint="default" w:ascii="Times New Roman" w:hAnsi="Times New Roman" w:cs="Times New Roman"/>
                      <w:color w:val="auto"/>
                      <w:szCs w:val="21"/>
                      <w:highlight w:val="none"/>
                      <w:u w:val="none"/>
                    </w:rPr>
                  </w:pPr>
                </w:p>
              </w:tc>
              <w:tc>
                <w:tcPr>
                  <w:tcW w:w="915" w:type="dxa"/>
                  <w:vMerge w:val="continue"/>
                  <w:noWrap w:val="0"/>
                  <w:vAlign w:val="center"/>
                </w:tcPr>
                <w:p>
                  <w:pPr>
                    <w:jc w:val="center"/>
                    <w:rPr>
                      <w:rFonts w:hint="default" w:ascii="Times New Roman" w:hAnsi="Times New Roman" w:cs="Times New Roman"/>
                      <w:color w:val="auto"/>
                      <w:szCs w:val="21"/>
                      <w:highlight w:val="none"/>
                      <w:u w:val="none"/>
                    </w:rPr>
                  </w:pPr>
                </w:p>
              </w:tc>
              <w:tc>
                <w:tcPr>
                  <w:tcW w:w="885" w:type="dxa"/>
                  <w:vMerge w:val="continue"/>
                  <w:noWrap w:val="0"/>
                  <w:vAlign w:val="center"/>
                </w:tcPr>
                <w:p>
                  <w:pPr>
                    <w:jc w:val="center"/>
                    <w:rPr>
                      <w:rFonts w:hint="default" w:ascii="Times New Roman" w:hAnsi="Times New Roman" w:cs="Times New Roman"/>
                      <w:color w:val="auto"/>
                      <w:szCs w:val="21"/>
                      <w:highlight w:val="none"/>
                      <w:u w:val="none"/>
                    </w:rPr>
                  </w:pPr>
                </w:p>
              </w:tc>
              <w:tc>
                <w:tcPr>
                  <w:tcW w:w="1431" w:type="dxa"/>
                  <w:vMerge w:val="continue"/>
                  <w:noWrap w:val="0"/>
                  <w:vAlign w:val="center"/>
                </w:tcPr>
                <w:p>
                  <w:pPr>
                    <w:jc w:val="center"/>
                    <w:rPr>
                      <w:rFonts w:hint="default" w:ascii="Times New Roman" w:hAnsi="Times New Roman" w:cs="Times New Roman"/>
                      <w:color w:val="auto"/>
                      <w:szCs w:val="21"/>
                      <w:highlight w:val="none"/>
                      <w:u w:val="none"/>
                    </w:rPr>
                  </w:pPr>
                </w:p>
              </w:tc>
              <w:tc>
                <w:tcPr>
                  <w:tcW w:w="854" w:type="dxa"/>
                  <w:vMerge w:val="continue"/>
                  <w:noWrap w:val="0"/>
                  <w:vAlign w:val="center"/>
                </w:tcPr>
                <w:p>
                  <w:pPr>
                    <w:jc w:val="center"/>
                    <w:rPr>
                      <w:rFonts w:hint="default" w:ascii="Times New Roman" w:hAnsi="Times New Roman" w:cs="Times New Roman"/>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9" w:type="dxa"/>
                  <w:vMerge w:val="restart"/>
                  <w:noWrap w:val="0"/>
                  <w:vAlign w:val="center"/>
                </w:tcPr>
                <w:p>
                  <w:pPr>
                    <w:jc w:val="center"/>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保护目标</w:t>
                  </w:r>
                </w:p>
              </w:tc>
              <w:tc>
                <w:tcPr>
                  <w:tcW w:w="959" w:type="dxa"/>
                  <w:noWrap w:val="0"/>
                  <w:vAlign w:val="center"/>
                </w:tcPr>
                <w:p>
                  <w:pPr>
                    <w:jc w:val="center"/>
                    <w:rPr>
                      <w:rFonts w:hint="default" w:ascii="Times New Roman" w:hAnsi="Times New Roman" w:cs="Times New Roman"/>
                      <w:color w:val="auto"/>
                      <w:highlight w:val="none"/>
                      <w:u w:val="none"/>
                      <w:lang w:val="en-US" w:eastAsia="zh-CN"/>
                    </w:rPr>
                  </w:pPr>
                  <w:r>
                    <w:rPr>
                      <w:rFonts w:hint="eastAsia" w:ascii="Times New Roman" w:hAnsi="Times New Roman" w:cs="Times New Roman"/>
                      <w:color w:val="auto"/>
                      <w:highlight w:val="none"/>
                      <w:u w:val="none"/>
                      <w:lang w:val="en-US" w:eastAsia="zh-CN"/>
                    </w:rPr>
                    <w:t>-</w:t>
                  </w:r>
                  <w:r>
                    <w:rPr>
                      <w:rFonts w:hint="eastAsia" w:cs="Times New Roman"/>
                      <w:color w:val="auto"/>
                      <w:highlight w:val="none"/>
                      <w:u w:val="none"/>
                      <w:lang w:val="en-US" w:eastAsia="zh-CN"/>
                    </w:rPr>
                    <w:t>59</w:t>
                  </w:r>
                </w:p>
              </w:tc>
              <w:tc>
                <w:tcPr>
                  <w:tcW w:w="1014" w:type="dxa"/>
                  <w:noWrap w:val="0"/>
                  <w:vAlign w:val="center"/>
                </w:tcPr>
                <w:p>
                  <w:pPr>
                    <w:jc w:val="center"/>
                    <w:rPr>
                      <w:rFonts w:hint="default" w:ascii="Times New Roman" w:hAnsi="Times New Roman" w:cs="Times New Roman"/>
                      <w:color w:val="auto"/>
                      <w:highlight w:val="none"/>
                      <w:u w:val="none"/>
                      <w:lang w:val="en-US" w:eastAsia="zh-CN"/>
                    </w:rPr>
                  </w:pPr>
                  <w:r>
                    <w:rPr>
                      <w:rFonts w:hint="eastAsia" w:ascii="Times New Roman" w:hAnsi="Times New Roman" w:cs="Times New Roman"/>
                      <w:color w:val="auto"/>
                      <w:highlight w:val="none"/>
                      <w:u w:val="none"/>
                      <w:lang w:val="en-US" w:eastAsia="zh-CN"/>
                    </w:rPr>
                    <w:t>0</w:t>
                  </w:r>
                </w:p>
              </w:tc>
              <w:tc>
                <w:tcPr>
                  <w:tcW w:w="1109" w:type="dxa"/>
                  <w:noWrap w:val="0"/>
                  <w:vAlign w:val="center"/>
                </w:tcPr>
                <w:p>
                  <w:pPr>
                    <w:jc w:val="center"/>
                    <w:rPr>
                      <w:rFonts w:hint="default" w:ascii="Times New Roman" w:hAnsi="Times New Roman" w:cs="Times New Roman"/>
                      <w:color w:val="auto"/>
                      <w:szCs w:val="21"/>
                      <w:highlight w:val="none"/>
                      <w:u w:val="none"/>
                      <w:lang w:val="en-US" w:eastAsia="zh-CN"/>
                    </w:rPr>
                  </w:pPr>
                  <w:r>
                    <w:rPr>
                      <w:rFonts w:hint="default" w:ascii="Times New Roman" w:hAnsi="Times New Roman" w:cs="Times New Roman"/>
                      <w:color w:val="auto"/>
                      <w:szCs w:val="21"/>
                      <w:highlight w:val="none"/>
                      <w:u w:val="none"/>
                      <w:lang w:val="en-US" w:eastAsia="zh-CN"/>
                    </w:rPr>
                    <w:t>居民</w:t>
                  </w:r>
                  <w:r>
                    <w:rPr>
                      <w:rFonts w:hint="eastAsia" w:cs="Times New Roman"/>
                      <w:color w:val="auto"/>
                      <w:szCs w:val="21"/>
                      <w:highlight w:val="none"/>
                      <w:u w:val="none"/>
                      <w:lang w:val="en-US" w:eastAsia="zh-CN"/>
                    </w:rPr>
                    <w:t>9</w:t>
                  </w:r>
                  <w:r>
                    <w:rPr>
                      <w:rFonts w:hint="default" w:ascii="Times New Roman" w:hAnsi="Times New Roman" w:cs="Times New Roman"/>
                      <w:color w:val="auto"/>
                      <w:szCs w:val="21"/>
                      <w:highlight w:val="none"/>
                      <w:u w:val="none"/>
                      <w:lang w:val="en-US" w:eastAsia="zh-CN"/>
                    </w:rPr>
                    <w:t>户</w:t>
                  </w:r>
                </w:p>
              </w:tc>
              <w:tc>
                <w:tcPr>
                  <w:tcW w:w="915" w:type="dxa"/>
                  <w:noWrap w:val="0"/>
                  <w:vAlign w:val="center"/>
                </w:tcPr>
                <w:p>
                  <w:pPr>
                    <w:jc w:val="center"/>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二类</w:t>
                  </w:r>
                </w:p>
              </w:tc>
              <w:tc>
                <w:tcPr>
                  <w:tcW w:w="885" w:type="dxa"/>
                  <w:noWrap w:val="0"/>
                  <w:vAlign w:val="center"/>
                </w:tcPr>
                <w:p>
                  <w:pPr>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W</w:t>
                  </w:r>
                </w:p>
              </w:tc>
              <w:tc>
                <w:tcPr>
                  <w:tcW w:w="1431" w:type="dxa"/>
                  <w:noWrap w:val="0"/>
                  <w:vAlign w:val="center"/>
                </w:tcPr>
                <w:p>
                  <w:pPr>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59</w:t>
                  </w:r>
                  <w:r>
                    <w:rPr>
                      <w:rFonts w:hint="eastAsia" w:ascii="Times New Roman" w:hAnsi="Times New Roman" w:cs="Times New Roman"/>
                      <w:color w:val="auto"/>
                      <w:highlight w:val="none"/>
                      <w:u w:val="none"/>
                      <w:lang w:val="en-US" w:eastAsia="zh-CN"/>
                    </w:rPr>
                    <w:t>~</w:t>
                  </w:r>
                  <w:r>
                    <w:rPr>
                      <w:rFonts w:hint="eastAsia" w:cs="Times New Roman"/>
                      <w:color w:val="auto"/>
                      <w:highlight w:val="none"/>
                      <w:u w:val="none"/>
                      <w:lang w:val="en-US" w:eastAsia="zh-CN"/>
                    </w:rPr>
                    <w:t>500</w:t>
                  </w:r>
                  <w:r>
                    <w:rPr>
                      <w:rFonts w:hint="eastAsia" w:ascii="Times New Roman" w:hAnsi="Times New Roman" w:cs="Times New Roman"/>
                      <w:color w:val="auto"/>
                      <w:highlight w:val="none"/>
                      <w:u w:val="none"/>
                      <w:lang w:val="en-US" w:eastAsia="zh-CN"/>
                    </w:rPr>
                    <w:t>m</w:t>
                  </w:r>
                </w:p>
              </w:tc>
              <w:tc>
                <w:tcPr>
                  <w:tcW w:w="854" w:type="dxa"/>
                  <w:noWrap w:val="0"/>
                  <w:vAlign w:val="center"/>
                </w:tcPr>
                <w:p>
                  <w:pPr>
                    <w:jc w:val="center"/>
                    <w:rPr>
                      <w:rFonts w:hint="default" w:ascii="Times New Roman" w:hAnsi="Times New Roman" w:cs="Times New Roman"/>
                      <w:color w:val="auto"/>
                      <w:szCs w:val="21"/>
                      <w:highlight w:val="none"/>
                      <w:u w:val="none"/>
                      <w:lang w:val="en-US" w:eastAsia="zh-CN"/>
                    </w:rPr>
                  </w:pPr>
                  <w:r>
                    <w:rPr>
                      <w:rFonts w:hint="eastAsia" w:cs="Times New Roman"/>
                      <w:color w:val="auto"/>
                      <w:szCs w:val="21"/>
                      <w:highlight w:val="none"/>
                      <w:u w:val="none"/>
                      <w:lang w:val="en-US" w:eastAsia="zh-CN"/>
                    </w:rPr>
                    <w:t>59</w:t>
                  </w:r>
                  <w:r>
                    <w:rPr>
                      <w:rFonts w:hint="eastAsia" w:ascii="Times New Roman" w:hAnsi="Times New Roman" w:cs="Times New Roman"/>
                      <w:color w:val="auto"/>
                      <w:szCs w:val="21"/>
                      <w:highlight w:val="none"/>
                      <w:u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9" w:type="dxa"/>
                  <w:vMerge w:val="continue"/>
                  <w:noWrap w:val="0"/>
                  <w:vAlign w:val="center"/>
                </w:tcPr>
                <w:p>
                  <w:pPr>
                    <w:jc w:val="center"/>
                    <w:rPr>
                      <w:rFonts w:hint="default" w:ascii="Times New Roman" w:hAnsi="Times New Roman" w:cs="Times New Roman"/>
                      <w:color w:val="auto"/>
                      <w:szCs w:val="21"/>
                      <w:highlight w:val="none"/>
                      <w:u w:val="none"/>
                    </w:rPr>
                  </w:pPr>
                </w:p>
              </w:tc>
              <w:tc>
                <w:tcPr>
                  <w:tcW w:w="959" w:type="dxa"/>
                  <w:noWrap w:val="0"/>
                  <w:vAlign w:val="center"/>
                </w:tcPr>
                <w:p>
                  <w:pPr>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-69</w:t>
                  </w:r>
                </w:p>
              </w:tc>
              <w:tc>
                <w:tcPr>
                  <w:tcW w:w="1014" w:type="dxa"/>
                  <w:noWrap w:val="0"/>
                  <w:vAlign w:val="center"/>
                </w:tcPr>
                <w:p>
                  <w:pPr>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+414</w:t>
                  </w:r>
                </w:p>
              </w:tc>
              <w:tc>
                <w:tcPr>
                  <w:tcW w:w="1109" w:type="dxa"/>
                  <w:noWrap w:val="0"/>
                  <w:vAlign w:val="center"/>
                </w:tcPr>
                <w:p>
                  <w:pPr>
                    <w:jc w:val="center"/>
                    <w:rPr>
                      <w:rFonts w:hint="default" w:ascii="Times New Roman" w:hAnsi="Times New Roman" w:cs="Times New Roman"/>
                      <w:color w:val="auto"/>
                      <w:szCs w:val="21"/>
                      <w:highlight w:val="none"/>
                      <w:u w:val="none"/>
                      <w:lang w:val="en-US" w:eastAsia="zh-CN"/>
                    </w:rPr>
                  </w:pPr>
                  <w:r>
                    <w:rPr>
                      <w:rFonts w:hint="eastAsia" w:ascii="Times New Roman" w:hAnsi="Times New Roman" w:cs="Times New Roman"/>
                      <w:color w:val="auto"/>
                      <w:szCs w:val="21"/>
                      <w:highlight w:val="none"/>
                      <w:u w:val="none"/>
                      <w:lang w:val="en-US" w:eastAsia="zh-CN"/>
                    </w:rPr>
                    <w:t>居民</w:t>
                  </w:r>
                  <w:r>
                    <w:rPr>
                      <w:rFonts w:hint="eastAsia" w:cs="Times New Roman"/>
                      <w:color w:val="auto"/>
                      <w:szCs w:val="21"/>
                      <w:highlight w:val="none"/>
                      <w:u w:val="none"/>
                      <w:lang w:val="en-US" w:eastAsia="zh-CN"/>
                    </w:rPr>
                    <w:t>4</w:t>
                  </w:r>
                  <w:r>
                    <w:rPr>
                      <w:rFonts w:hint="eastAsia" w:ascii="Times New Roman" w:hAnsi="Times New Roman" w:cs="Times New Roman"/>
                      <w:color w:val="auto"/>
                      <w:szCs w:val="21"/>
                      <w:highlight w:val="none"/>
                      <w:u w:val="none"/>
                      <w:lang w:val="en-US" w:eastAsia="zh-CN"/>
                    </w:rPr>
                    <w:t>户</w:t>
                  </w:r>
                </w:p>
              </w:tc>
              <w:tc>
                <w:tcPr>
                  <w:tcW w:w="915" w:type="dxa"/>
                  <w:noWrap w:val="0"/>
                  <w:vAlign w:val="center"/>
                </w:tcPr>
                <w:p>
                  <w:pPr>
                    <w:jc w:val="center"/>
                    <w:rPr>
                      <w:rFonts w:hint="eastAsia" w:ascii="Times New Roman" w:hAnsi="Times New Roman" w:eastAsia="宋体" w:cs="Times New Roman"/>
                      <w:color w:val="auto"/>
                      <w:highlight w:val="none"/>
                      <w:u w:val="none"/>
                      <w:lang w:eastAsia="zh-CN"/>
                    </w:rPr>
                  </w:pPr>
                  <w:r>
                    <w:rPr>
                      <w:rFonts w:hint="eastAsia" w:ascii="Times New Roman" w:hAnsi="Times New Roman" w:cs="Times New Roman"/>
                      <w:color w:val="auto"/>
                      <w:highlight w:val="none"/>
                      <w:u w:val="none"/>
                      <w:lang w:eastAsia="zh-CN"/>
                    </w:rPr>
                    <w:t>二类</w:t>
                  </w:r>
                </w:p>
              </w:tc>
              <w:tc>
                <w:tcPr>
                  <w:tcW w:w="885" w:type="dxa"/>
                  <w:noWrap w:val="0"/>
                  <w:vAlign w:val="center"/>
                </w:tcPr>
                <w:p>
                  <w:pPr>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WN</w:t>
                  </w:r>
                </w:p>
              </w:tc>
              <w:tc>
                <w:tcPr>
                  <w:tcW w:w="1431" w:type="dxa"/>
                  <w:noWrap w:val="0"/>
                  <w:vAlign w:val="center"/>
                </w:tcPr>
                <w:p>
                  <w:pPr>
                    <w:jc w:val="center"/>
                    <w:rPr>
                      <w:rFonts w:hint="default" w:ascii="Times New Roman" w:hAnsi="Times New Roman" w:cs="Times New Roman"/>
                      <w:color w:val="auto"/>
                      <w:highlight w:val="none"/>
                      <w:u w:val="none"/>
                      <w:lang w:val="en-US" w:eastAsia="zh-CN"/>
                    </w:rPr>
                  </w:pPr>
                  <w:r>
                    <w:rPr>
                      <w:rFonts w:hint="eastAsia" w:cs="Times New Roman"/>
                      <w:color w:val="auto"/>
                      <w:highlight w:val="none"/>
                      <w:u w:val="none"/>
                      <w:lang w:val="en-US" w:eastAsia="zh-CN"/>
                    </w:rPr>
                    <w:t>69</w:t>
                  </w:r>
                  <w:r>
                    <w:rPr>
                      <w:rFonts w:hint="eastAsia" w:ascii="Times New Roman" w:hAnsi="Times New Roman" w:cs="Times New Roman"/>
                      <w:color w:val="auto"/>
                      <w:highlight w:val="none"/>
                      <w:u w:val="none"/>
                      <w:lang w:val="en-US" w:eastAsia="zh-CN"/>
                    </w:rPr>
                    <w:t>~</w:t>
                  </w:r>
                  <w:r>
                    <w:rPr>
                      <w:rFonts w:hint="eastAsia" w:cs="Times New Roman"/>
                      <w:color w:val="auto"/>
                      <w:highlight w:val="none"/>
                      <w:u w:val="none"/>
                      <w:lang w:val="en-US" w:eastAsia="zh-CN"/>
                    </w:rPr>
                    <w:t>5</w:t>
                  </w:r>
                  <w:r>
                    <w:rPr>
                      <w:rFonts w:hint="eastAsia" w:ascii="Times New Roman" w:hAnsi="Times New Roman" w:cs="Times New Roman"/>
                      <w:color w:val="auto"/>
                      <w:highlight w:val="none"/>
                      <w:u w:val="none"/>
                      <w:lang w:val="en-US" w:eastAsia="zh-CN"/>
                    </w:rPr>
                    <w:t>00m</w:t>
                  </w:r>
                </w:p>
              </w:tc>
              <w:tc>
                <w:tcPr>
                  <w:tcW w:w="854" w:type="dxa"/>
                  <w:noWrap w:val="0"/>
                  <w:vAlign w:val="center"/>
                </w:tcPr>
                <w:p>
                  <w:pPr>
                    <w:jc w:val="center"/>
                    <w:rPr>
                      <w:rFonts w:hint="default" w:ascii="Times New Roman" w:hAnsi="Times New Roman" w:cs="Times New Roman"/>
                      <w:color w:val="auto"/>
                      <w:szCs w:val="21"/>
                      <w:highlight w:val="none"/>
                      <w:u w:val="none"/>
                      <w:lang w:val="en-US" w:eastAsia="zh-CN"/>
                    </w:rPr>
                  </w:pPr>
                  <w:r>
                    <w:rPr>
                      <w:rFonts w:hint="eastAsia" w:cs="Times New Roman"/>
                      <w:color w:val="auto"/>
                      <w:szCs w:val="21"/>
                      <w:highlight w:val="none"/>
                      <w:u w:val="none"/>
                      <w:lang w:val="en-US" w:eastAsia="zh-CN"/>
                    </w:rPr>
                    <w:t>69</w:t>
                  </w:r>
                  <w:r>
                    <w:rPr>
                      <w:rFonts w:hint="eastAsia" w:ascii="Times New Roman" w:hAnsi="Times New Roman" w:cs="Times New Roman"/>
                      <w:color w:val="auto"/>
                      <w:szCs w:val="21"/>
                      <w:highlight w:val="none"/>
                      <w:u w:val="none"/>
                      <w:lang w:val="en-US" w:eastAsia="zh-CN"/>
                    </w:rPr>
                    <w:t>m</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Times New Roman" w:hAnsi="Times New Roman" w:eastAsia="宋体" w:cs="Times New Roman"/>
                <w:b/>
                <w:bCs/>
                <w:color w:val="auto"/>
                <w:sz w:val="24"/>
                <w:szCs w:val="21"/>
                <w:highlight w:val="none"/>
                <w:u w:val="none"/>
              </w:rPr>
            </w:pPr>
            <w:r>
              <w:rPr>
                <w:rFonts w:hint="eastAsia" w:ascii="Times New Roman" w:hAnsi="Times New Roman" w:eastAsia="宋体" w:cs="Times New Roman"/>
                <w:b/>
                <w:bCs/>
                <w:color w:val="auto"/>
                <w:sz w:val="24"/>
                <w:szCs w:val="21"/>
                <w:highlight w:val="none"/>
                <w:u w:val="none"/>
                <w:lang w:val="en-US" w:eastAsia="zh-CN"/>
              </w:rPr>
              <w:t>2、声</w:t>
            </w:r>
            <w:r>
              <w:rPr>
                <w:rFonts w:hint="eastAsia" w:ascii="Times New Roman" w:hAnsi="Times New Roman" w:eastAsia="宋体" w:cs="Times New Roman"/>
                <w:b/>
                <w:bCs/>
                <w:color w:val="auto"/>
                <w:sz w:val="24"/>
                <w:szCs w:val="21"/>
                <w:highlight w:val="none"/>
                <w:u w:val="none"/>
                <w:lang w:eastAsia="zh-CN"/>
              </w:rPr>
              <w:t>环境</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eastAsia="宋体" w:cs="Times New Roman"/>
                <w:b w:val="0"/>
                <w:bCs w:val="0"/>
                <w:color w:val="auto"/>
                <w:sz w:val="24"/>
                <w:szCs w:val="21"/>
                <w:highlight w:val="none"/>
                <w:u w:val="none"/>
                <w:lang w:val="en-US" w:eastAsia="zh-CN"/>
              </w:rPr>
            </w:pPr>
            <w:r>
              <w:rPr>
                <w:rFonts w:hint="eastAsia" w:cs="Times New Roman"/>
                <w:b w:val="0"/>
                <w:bCs w:val="0"/>
                <w:color w:val="auto"/>
                <w:sz w:val="24"/>
                <w:szCs w:val="21"/>
                <w:highlight w:val="none"/>
                <w:u w:val="none"/>
                <w:lang w:val="en-US" w:eastAsia="zh-CN"/>
              </w:rPr>
              <w:t>本项目50m范围内无居民等及其他敏感目标。</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Times New Roman" w:hAnsi="Times New Roman" w:eastAsia="宋体" w:cs="Times New Roman"/>
                <w:b/>
                <w:bCs/>
                <w:color w:val="auto"/>
                <w:sz w:val="24"/>
                <w:szCs w:val="21"/>
                <w:highlight w:val="none"/>
                <w:u w:val="none"/>
                <w:lang w:val="en-US" w:eastAsia="zh-CN"/>
              </w:rPr>
            </w:pPr>
            <w:r>
              <w:rPr>
                <w:rFonts w:hint="eastAsia" w:ascii="Times New Roman" w:hAnsi="Times New Roman" w:eastAsia="宋体" w:cs="Times New Roman"/>
                <w:b/>
                <w:bCs/>
                <w:color w:val="auto"/>
                <w:sz w:val="24"/>
                <w:szCs w:val="21"/>
                <w:highlight w:val="none"/>
                <w:u w:val="none"/>
                <w:lang w:val="en-US" w:eastAsia="zh-CN"/>
              </w:rPr>
              <w:t>3、地下水环境</w:t>
            </w:r>
          </w:p>
          <w:p>
            <w:pPr>
              <w:spacing w:line="360" w:lineRule="auto"/>
              <w:ind w:firstLine="480"/>
              <w:rPr>
                <w:rFonts w:ascii="Times New Roman" w:hAnsi="Times New Roman" w:eastAsia="宋体" w:cs="Times New Roman"/>
                <w:color w:val="auto"/>
                <w:sz w:val="24"/>
                <w:szCs w:val="21"/>
                <w:highlight w:val="none"/>
                <w:u w:val="none"/>
              </w:rPr>
            </w:pPr>
            <w:r>
              <w:rPr>
                <w:rFonts w:hint="eastAsia" w:ascii="Times New Roman" w:hAnsi="Times New Roman" w:eastAsia="宋体" w:cs="Times New Roman"/>
                <w:color w:val="auto"/>
                <w:sz w:val="24"/>
                <w:szCs w:val="24"/>
                <w:highlight w:val="none"/>
                <w:u w:val="none"/>
                <w:lang w:eastAsia="zh-CN"/>
              </w:rPr>
              <w:t>本项目厂界外</w:t>
            </w:r>
            <w:r>
              <w:rPr>
                <w:rFonts w:hint="eastAsia" w:ascii="Times New Roman" w:hAnsi="Times New Roman" w:eastAsia="宋体" w:cs="Times New Roman"/>
                <w:color w:val="auto"/>
                <w:sz w:val="24"/>
                <w:szCs w:val="24"/>
                <w:highlight w:val="none"/>
                <w:u w:val="none"/>
                <w:lang w:val="en-US" w:eastAsia="zh-CN"/>
              </w:rPr>
              <w:t>500米范围内无地下水集中式饮用水水源和热水、矿泉水、温泉等特殊地下水资源</w:t>
            </w:r>
            <w:r>
              <w:rPr>
                <w:rFonts w:ascii="Times New Roman" w:hAnsi="Times New Roman" w:eastAsia="宋体" w:cs="Times New Roman"/>
                <w:color w:val="auto"/>
                <w:sz w:val="24"/>
                <w:szCs w:val="21"/>
                <w:highlight w:val="none"/>
                <w:u w:val="none"/>
              </w:rPr>
              <w:t xml:space="preserve">。 </w:t>
            </w:r>
          </w:p>
          <w:p>
            <w:pPr>
              <w:spacing w:line="360" w:lineRule="auto"/>
              <w:ind w:firstLine="480"/>
              <w:rPr>
                <w:rFonts w:hint="eastAsia" w:ascii="Times New Roman" w:hAnsi="Times New Roman" w:eastAsia="宋体" w:cs="Times New Roman"/>
                <w:b/>
                <w:bCs/>
                <w:color w:val="auto"/>
                <w:sz w:val="24"/>
                <w:szCs w:val="24"/>
                <w:highlight w:val="none"/>
                <w:u w:val="none"/>
              </w:rPr>
            </w:pPr>
            <w:r>
              <w:rPr>
                <w:rFonts w:hint="eastAsia" w:ascii="Times New Roman" w:hAnsi="Times New Roman" w:eastAsia="宋体" w:cs="Times New Roman"/>
                <w:b/>
                <w:bCs/>
                <w:color w:val="auto"/>
                <w:sz w:val="24"/>
                <w:szCs w:val="24"/>
                <w:highlight w:val="none"/>
                <w:u w:val="none"/>
              </w:rPr>
              <w:t>4、生态保护目标</w:t>
            </w:r>
          </w:p>
          <w:p>
            <w:pPr>
              <w:spacing w:line="360" w:lineRule="auto"/>
              <w:ind w:firstLine="480"/>
              <w:rPr>
                <w:rFonts w:hint="default" w:ascii="Times New Roman" w:hAnsi="Times New Roman" w:cs="Times New Roman"/>
                <w:color w:val="auto"/>
                <w:kern w:val="0"/>
                <w:sz w:val="24"/>
                <w:szCs w:val="24"/>
                <w:highlight w:val="none"/>
              </w:rPr>
            </w:pPr>
            <w:r>
              <w:rPr>
                <w:rFonts w:hint="eastAsia" w:ascii="Times New Roman" w:hAnsi="Times New Roman" w:eastAsia="宋体" w:cs="Times New Roman"/>
                <w:color w:val="auto"/>
                <w:sz w:val="24"/>
                <w:szCs w:val="24"/>
                <w:highlight w:val="none"/>
                <w:u w:val="none"/>
                <w:lang w:eastAsia="zh-CN"/>
              </w:rPr>
              <w:t>本项目</w:t>
            </w:r>
            <w:r>
              <w:rPr>
                <w:rFonts w:hint="eastAsia" w:cs="Times New Roman"/>
                <w:color w:val="auto"/>
                <w:sz w:val="24"/>
                <w:szCs w:val="24"/>
                <w:highlight w:val="none"/>
                <w:u w:val="none"/>
                <w:lang w:eastAsia="zh-CN"/>
              </w:rPr>
              <w:t>土地采取有偿租赁形式</w:t>
            </w:r>
            <w:r>
              <w:rPr>
                <w:rFonts w:hint="eastAsia" w:ascii="Times New Roman" w:hAnsi="Times New Roman" w:eastAsia="宋体" w:cs="Times New Roman"/>
                <w:color w:val="auto"/>
                <w:sz w:val="24"/>
                <w:szCs w:val="24"/>
                <w:highlight w:val="none"/>
                <w:u w:val="none"/>
                <w:lang w:eastAsia="zh-CN"/>
              </w:rPr>
              <w:t>，用地范围内无生态环境保护目标</w:t>
            </w:r>
            <w:r>
              <w:rPr>
                <w:rFonts w:hint="eastAsia" w:ascii="Times New Roman" w:hAnsi="Times New Roman" w:eastAsia="宋体" w:cs="Times New Roman"/>
                <w:color w:val="auto"/>
                <w:sz w:val="24"/>
                <w:szCs w:val="24"/>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800" w:type="dxa"/>
            <w:noWrap w:val="0"/>
            <w:tcMar>
              <w:left w:w="28" w:type="dxa"/>
              <w:right w:w="28" w:type="dxa"/>
            </w:tcMar>
            <w:vAlign w:val="center"/>
          </w:tcPr>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污染</w:t>
            </w:r>
          </w:p>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物排</w:t>
            </w:r>
          </w:p>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放控</w:t>
            </w:r>
          </w:p>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制标</w:t>
            </w:r>
          </w:p>
          <w:p>
            <w:pPr>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准</w:t>
            </w:r>
          </w:p>
        </w:tc>
        <w:tc>
          <w:tcPr>
            <w:tcW w:w="8190" w:type="dxa"/>
            <w:noWrap w:val="0"/>
            <w:vAlign w:val="center"/>
          </w:tcPr>
          <w:p>
            <w:pPr>
              <w:numPr>
                <w:ilvl w:val="0"/>
                <w:numId w:val="0"/>
              </w:numPr>
              <w:adjustRightInd w:val="0"/>
              <w:snapToGrid w:val="0"/>
              <w:jc w:val="both"/>
              <w:rPr>
                <w:rFonts w:hint="eastAsia" w:ascii="Times New Roman" w:hAnsi="Times New Roman" w:cs="Times New Roman"/>
                <w:b/>
                <w:bCs/>
                <w:color w:val="auto"/>
                <w:kern w:val="0"/>
                <w:sz w:val="24"/>
                <w:szCs w:val="24"/>
                <w:highlight w:val="none"/>
                <w:lang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ascii="Times New Roman" w:hAnsi="Times New Roman" w:cs="Times New Roman"/>
                <w:color w:val="auto"/>
                <w:kern w:val="0"/>
                <w:sz w:val="24"/>
                <w:szCs w:val="24"/>
                <w:highlight w:val="none"/>
                <w:lang w:eastAsia="zh-CN"/>
              </w:rPr>
            </w:pPr>
            <w:r>
              <w:rPr>
                <w:rFonts w:hint="eastAsia" w:ascii="Times New Roman" w:hAnsi="Times New Roman" w:cs="Times New Roman"/>
                <w:b/>
                <w:bCs/>
                <w:color w:val="auto"/>
                <w:kern w:val="0"/>
                <w:sz w:val="24"/>
                <w:szCs w:val="24"/>
                <w:highlight w:val="none"/>
                <w:lang w:val="en-US" w:eastAsia="zh-CN"/>
              </w:rPr>
              <w:t>2、</w:t>
            </w:r>
            <w:r>
              <w:rPr>
                <w:rFonts w:hint="eastAsia" w:ascii="Times New Roman" w:hAnsi="Times New Roman" w:cs="Times New Roman"/>
                <w:b/>
                <w:bCs/>
                <w:color w:val="auto"/>
                <w:kern w:val="0"/>
                <w:sz w:val="24"/>
                <w:szCs w:val="24"/>
                <w:highlight w:val="none"/>
                <w:lang w:eastAsia="zh-CN"/>
              </w:rPr>
              <w:t>污染物排放标准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lang w:eastAsia="zh-CN"/>
              </w:rPr>
              <w:t>（</w:t>
            </w:r>
            <w:r>
              <w:rPr>
                <w:rFonts w:hint="default"/>
                <w:sz w:val="24"/>
                <w:szCs w:val="24"/>
                <w:lang w:val="en-US" w:eastAsia="zh-CN"/>
              </w:rPr>
              <w:t>1</w:t>
            </w:r>
            <w:r>
              <w:rPr>
                <w:rFonts w:hint="default"/>
                <w:sz w:val="24"/>
                <w:szCs w:val="24"/>
                <w:lang w:eastAsia="zh-CN"/>
              </w:rPr>
              <w:t>）</w:t>
            </w:r>
            <w:r>
              <w:rPr>
                <w:rFonts w:hint="default"/>
                <w:sz w:val="24"/>
                <w:szCs w:val="24"/>
              </w:rPr>
              <w:t>废水排放标准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rPr>
              <w:t>本项</w:t>
            </w:r>
            <w:r>
              <w:rPr>
                <w:rFonts w:hint="default"/>
                <w:sz w:val="24"/>
                <w:szCs w:val="24"/>
                <w:lang w:eastAsia="zh-CN"/>
              </w:rPr>
              <w:t>无工艺废水外排，本项目产生的生活污水</w:t>
            </w:r>
            <w:r>
              <w:rPr>
                <w:rFonts w:hint="eastAsia"/>
                <w:sz w:val="24"/>
                <w:szCs w:val="24"/>
                <w:lang w:eastAsia="zh-CN"/>
              </w:rPr>
              <w:t>经化粪池处理后用于农肥，不外排，生产过程中的废水经污水处理设备处理后回用于生产或厂区抑尘，不外排，因此本项目不设置废水排放标准。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color w:val="auto"/>
                <w:sz w:val="24"/>
                <w:szCs w:val="24"/>
              </w:rPr>
              <w:t>废气排放标准</w:t>
            </w:r>
          </w:p>
          <w:p>
            <w:pPr>
              <w:pStyle w:val="14"/>
              <w:keepNext w:val="0"/>
              <w:keepLines w:val="0"/>
              <w:suppressLineNumbers w:val="0"/>
              <w:spacing w:before="0" w:beforeAutospacing="0" w:after="0" w:afterAutospacing="0" w:line="360" w:lineRule="auto"/>
              <w:ind w:left="0" w:right="0" w:firstLine="480"/>
              <w:rPr>
                <w:rFonts w:hint="default"/>
                <w:color w:val="auto"/>
                <w:sz w:val="24"/>
                <w:szCs w:val="32"/>
              </w:rPr>
            </w:pPr>
            <w:r>
              <w:rPr>
                <w:rFonts w:hint="default"/>
                <w:color w:val="auto"/>
                <w:sz w:val="24"/>
                <w:szCs w:val="32"/>
              </w:rPr>
              <w:t>根据湖南省环保厅《关于执行污染物特别排放限值（第一批）的公告》，</w:t>
            </w:r>
            <w:r>
              <w:rPr>
                <w:rFonts w:hint="eastAsia"/>
                <w:color w:val="auto"/>
                <w:sz w:val="24"/>
                <w:szCs w:val="32"/>
                <w:lang w:eastAsia="zh-CN"/>
              </w:rPr>
              <w:t>混凝土</w:t>
            </w:r>
            <w:r>
              <w:rPr>
                <w:rFonts w:hint="default"/>
                <w:color w:val="auto"/>
                <w:sz w:val="24"/>
                <w:szCs w:val="32"/>
              </w:rPr>
              <w:t>生产过程</w:t>
            </w:r>
            <w:r>
              <w:rPr>
                <w:rFonts w:hint="eastAsia"/>
                <w:color w:val="auto"/>
                <w:sz w:val="24"/>
                <w:szCs w:val="32"/>
                <w:lang w:eastAsia="zh-CN"/>
              </w:rPr>
              <w:t>中</w:t>
            </w:r>
            <w:r>
              <w:rPr>
                <w:rFonts w:hint="default"/>
                <w:color w:val="auto"/>
                <w:sz w:val="24"/>
                <w:szCs w:val="32"/>
              </w:rPr>
              <w:t>排放的粉尘执行《水泥工业大气污染排放标准》（GB4915-2013）表</w:t>
            </w:r>
            <w:r>
              <w:rPr>
                <w:rFonts w:hint="eastAsia"/>
                <w:color w:val="auto"/>
                <w:sz w:val="24"/>
                <w:szCs w:val="32"/>
                <w:lang w:val="en-US" w:eastAsia="zh-CN"/>
              </w:rPr>
              <w:t>3</w:t>
            </w:r>
            <w:r>
              <w:rPr>
                <w:rFonts w:hint="default"/>
                <w:color w:val="auto"/>
                <w:sz w:val="24"/>
                <w:szCs w:val="32"/>
              </w:rPr>
              <w:t>中</w:t>
            </w:r>
            <w:r>
              <w:rPr>
                <w:rFonts w:hint="eastAsia"/>
                <w:color w:val="auto"/>
                <w:sz w:val="24"/>
                <w:szCs w:val="32"/>
                <w:lang w:eastAsia="zh-CN"/>
              </w:rPr>
              <w:t>大气污染物无组织</w:t>
            </w:r>
            <w:r>
              <w:rPr>
                <w:rFonts w:hint="default"/>
                <w:color w:val="auto"/>
                <w:sz w:val="24"/>
                <w:szCs w:val="32"/>
              </w:rPr>
              <w:t>排放限值；</w:t>
            </w:r>
          </w:p>
          <w:p>
            <w:pPr>
              <w:keepNext w:val="0"/>
              <w:keepLines w:val="0"/>
              <w:suppressLineNumbers w:val="0"/>
              <w:spacing w:before="0" w:beforeAutospacing="0" w:after="0" w:afterAutospacing="0"/>
              <w:ind w:left="0" w:right="0"/>
              <w:jc w:val="center"/>
              <w:rPr>
                <w:rFonts w:hint="default"/>
                <w:b/>
                <w:bCs/>
                <w:color w:val="auto"/>
              </w:rPr>
            </w:pPr>
            <w:r>
              <w:rPr>
                <w:rFonts w:hint="default"/>
                <w:b/>
                <w:bCs/>
                <w:color w:val="auto"/>
              </w:rPr>
              <w:t>表</w:t>
            </w:r>
            <w:r>
              <w:rPr>
                <w:rFonts w:hint="eastAsia"/>
                <w:b/>
                <w:bCs/>
                <w:color w:val="auto"/>
                <w:lang w:val="en-US" w:eastAsia="zh-CN"/>
              </w:rPr>
              <w:t>3</w:t>
            </w:r>
            <w:r>
              <w:rPr>
                <w:rFonts w:hint="default"/>
                <w:b/>
                <w:bCs/>
                <w:color w:val="auto"/>
              </w:rPr>
              <w:t>-</w:t>
            </w:r>
            <w:r>
              <w:rPr>
                <w:rFonts w:hint="eastAsia"/>
                <w:b/>
                <w:bCs/>
                <w:color w:val="auto"/>
                <w:lang w:val="en-US" w:eastAsia="zh-CN"/>
              </w:rPr>
              <w:t>8</w:t>
            </w:r>
            <w:r>
              <w:rPr>
                <w:rFonts w:hint="default"/>
                <w:b/>
                <w:bCs/>
                <w:color w:val="auto"/>
              </w:rPr>
              <w:t xml:space="preserve"> 大气污染物特别排放限值（摘录） </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1396"/>
              <w:gridCol w:w="1595"/>
              <w:gridCol w:w="1888"/>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3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b/>
                      <w:bCs/>
                      <w:color w:val="auto"/>
                      <w:szCs w:val="21"/>
                    </w:rPr>
                  </w:pPr>
                  <w:r>
                    <w:rPr>
                      <w:rFonts w:hint="default" w:ascii="Times New Roman" w:hAnsi="Times New Roman"/>
                      <w:b/>
                      <w:bCs/>
                      <w:color w:val="auto"/>
                      <w:szCs w:val="21"/>
                    </w:rPr>
                    <w:t>生产过程</w:t>
                  </w:r>
                </w:p>
              </w:tc>
              <w:tc>
                <w:tcPr>
                  <w:tcW w:w="86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b/>
                      <w:bCs/>
                      <w:color w:val="auto"/>
                      <w:szCs w:val="21"/>
                    </w:rPr>
                  </w:pPr>
                  <w:r>
                    <w:rPr>
                      <w:rFonts w:hint="default" w:ascii="Times New Roman" w:hAnsi="Times New Roman"/>
                      <w:b/>
                      <w:bCs/>
                      <w:color w:val="auto"/>
                      <w:szCs w:val="21"/>
                    </w:rPr>
                    <w:t>生产设备</w:t>
                  </w:r>
                </w:p>
              </w:tc>
              <w:tc>
                <w:tcPr>
                  <w:tcW w:w="99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b/>
                      <w:bCs/>
                      <w:color w:val="auto"/>
                      <w:szCs w:val="21"/>
                    </w:rPr>
                  </w:pPr>
                  <w:r>
                    <w:rPr>
                      <w:rFonts w:hint="default" w:ascii="Times New Roman" w:hAnsi="Times New Roman"/>
                      <w:b/>
                      <w:bCs/>
                      <w:color w:val="auto"/>
                      <w:szCs w:val="21"/>
                    </w:rPr>
                    <w:t>粉尘</w:t>
                  </w:r>
                </w:p>
              </w:tc>
              <w:tc>
                <w:tcPr>
                  <w:tcW w:w="1175"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b/>
                      <w:bCs/>
                      <w:color w:val="auto"/>
                      <w:szCs w:val="21"/>
                      <w:lang w:eastAsia="zh-CN"/>
                    </w:rPr>
                  </w:pPr>
                  <w:r>
                    <w:rPr>
                      <w:rFonts w:hint="eastAsia" w:ascii="Times New Roman" w:hAnsi="Times New Roman"/>
                      <w:b/>
                      <w:bCs/>
                      <w:color w:val="auto"/>
                      <w:szCs w:val="21"/>
                      <w:lang w:eastAsia="zh-CN"/>
                    </w:rPr>
                    <w:t>限值含义</w:t>
                  </w:r>
                </w:p>
              </w:tc>
              <w:tc>
                <w:tcPr>
                  <w:tcW w:w="830"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b/>
                      <w:bCs/>
                      <w:color w:val="auto"/>
                      <w:szCs w:val="21"/>
                      <w:lang w:eastAsia="zh-CN"/>
                    </w:rPr>
                  </w:pPr>
                  <w:r>
                    <w:rPr>
                      <w:rFonts w:hint="eastAsia" w:ascii="Times New Roman" w:hAnsi="Times New Roman"/>
                      <w:b/>
                      <w:bCs/>
                      <w:color w:val="auto"/>
                      <w:szCs w:val="21"/>
                      <w:lang w:eastAsia="zh-CN"/>
                    </w:rPr>
                    <w:t>无组织排放监控点位置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30"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散装水泥中转站及水泥制品生产</w:t>
                  </w:r>
                </w:p>
              </w:tc>
              <w:tc>
                <w:tcPr>
                  <w:tcW w:w="869"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水泥仓及其他通风生产设备</w:t>
                  </w:r>
                </w:p>
              </w:tc>
              <w:tc>
                <w:tcPr>
                  <w:tcW w:w="99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无组织</w:t>
                  </w:r>
                </w:p>
              </w:tc>
              <w:tc>
                <w:tcPr>
                  <w:tcW w:w="1175"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eastAsia="zh-CN"/>
                    </w:rPr>
                    <w:t>监控点与参照点总悬浮颗粒物（</w:t>
                  </w:r>
                  <w:r>
                    <w:rPr>
                      <w:rFonts w:hint="eastAsia" w:ascii="Times New Roman" w:hAnsi="Times New Roman"/>
                      <w:color w:val="auto"/>
                      <w:szCs w:val="21"/>
                      <w:lang w:val="en-US" w:eastAsia="zh-CN"/>
                    </w:rPr>
                    <w:t>TSP</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1小时浓度值的差值</w:t>
                  </w:r>
                </w:p>
              </w:tc>
              <w:tc>
                <w:tcPr>
                  <w:tcW w:w="830"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eastAsia="zh-CN"/>
                    </w:rPr>
                    <w:t>厂界外</w:t>
                  </w:r>
                  <w:r>
                    <w:rPr>
                      <w:rFonts w:hint="eastAsia" w:ascii="Times New Roman" w:hAnsi="Times New Roman"/>
                      <w:color w:val="auto"/>
                      <w:szCs w:val="21"/>
                      <w:lang w:val="en-US" w:eastAsia="zh-CN"/>
                    </w:rPr>
                    <w:t>20m处上风向设参照点，下风向设监控点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130"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rPr>
                  </w:pPr>
                </w:p>
              </w:tc>
              <w:tc>
                <w:tcPr>
                  <w:tcW w:w="869"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rPr>
                  </w:pPr>
                </w:p>
              </w:tc>
              <w:tc>
                <w:tcPr>
                  <w:tcW w:w="993"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szCs w:val="21"/>
                    </w:rPr>
                  </w:pPr>
                  <w:r>
                    <w:rPr>
                      <w:rFonts w:hint="default" w:ascii="Times New Roman" w:hAnsi="Times New Roman"/>
                      <w:color w:val="auto"/>
                      <w:szCs w:val="21"/>
                    </w:rPr>
                    <w:t>0.5</w:t>
                  </w:r>
                </w:p>
              </w:tc>
              <w:tc>
                <w:tcPr>
                  <w:tcW w:w="1175"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c>
                <w:tcPr>
                  <w:tcW w:w="830"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auto"/>
                      <w:szCs w:val="21"/>
                    </w:rPr>
                  </w:pPr>
                </w:p>
              </w:tc>
            </w:tr>
          </w:tbl>
          <w:p>
            <w:pPr>
              <w:adjustRightInd w:val="0"/>
              <w:snapToGrid w:val="0"/>
              <w:spacing w:line="360" w:lineRule="auto"/>
              <w:ind w:firstLine="480" w:firstLineChars="200"/>
              <w:rPr>
                <w:sz w:val="24"/>
                <w:szCs w:val="24"/>
              </w:rPr>
            </w:pPr>
            <w:r>
              <w:rPr>
                <w:sz w:val="24"/>
                <w:szCs w:val="24"/>
              </w:rPr>
              <w:t>食堂油烟执行《饮食业油烟排放标准》（GB18483-2001）。</w:t>
            </w:r>
          </w:p>
          <w:p>
            <w:pPr>
              <w:adjustRightInd w:val="0"/>
              <w:snapToGrid w:val="0"/>
              <w:ind w:firstLine="793" w:firstLineChars="376"/>
              <w:jc w:val="center"/>
            </w:pPr>
            <w:r>
              <w:rPr>
                <w:b/>
              </w:rPr>
              <w:t>表</w:t>
            </w:r>
            <w:r>
              <w:rPr>
                <w:rFonts w:hint="eastAsia"/>
                <w:b/>
                <w:lang w:val="en-US" w:eastAsia="zh-CN"/>
              </w:rPr>
              <w:t xml:space="preserve">3-9 </w:t>
            </w:r>
            <w:r>
              <w:rPr>
                <w:b/>
              </w:rPr>
              <w:t>《饮食业油烟排放标准》（GB18483-2001）</w:t>
            </w:r>
          </w:p>
          <w:tbl>
            <w:tblPr>
              <w:tblStyle w:val="15"/>
              <w:tblW w:w="7952" w:type="dxa"/>
              <w:jc w:val="center"/>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autofit"/>
              <w:tblCellMar>
                <w:top w:w="0" w:type="dxa"/>
                <w:left w:w="108" w:type="dxa"/>
                <w:bottom w:w="0" w:type="dxa"/>
                <w:right w:w="108" w:type="dxa"/>
              </w:tblCellMar>
            </w:tblPr>
            <w:tblGrid>
              <w:gridCol w:w="3563"/>
              <w:gridCol w:w="1461"/>
              <w:gridCol w:w="1464"/>
              <w:gridCol w:w="1464"/>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3" w:type="dxa"/>
                  <w:tcBorders>
                    <w:top w:val="single" w:color="auto" w:sz="12" w:space="0"/>
                    <w:left w:val="single" w:color="auto" w:sz="12" w:space="0"/>
                    <w:bottom w:val="single" w:color="000000" w:sz="6" w:space="0"/>
                    <w:right w:val="single" w:color="000000" w:sz="6" w:space="0"/>
                  </w:tcBorders>
                  <w:vAlign w:val="center"/>
                </w:tcPr>
                <w:p>
                  <w:pPr>
                    <w:pStyle w:val="26"/>
                    <w:spacing w:line="360" w:lineRule="auto"/>
                    <w:jc w:val="center"/>
                    <w:rPr>
                      <w:rFonts w:ascii="Times New Roman" w:hAnsi="Times New Roman" w:cs="Times New Roman"/>
                      <w:sz w:val="21"/>
                    </w:rPr>
                  </w:pPr>
                  <w:r>
                    <w:rPr>
                      <w:rFonts w:ascii="Times New Roman" w:hAnsi="Times New Roman" w:cs="Times New Roman"/>
                      <w:sz w:val="21"/>
                    </w:rPr>
                    <w:t>项目</w:t>
                  </w:r>
                </w:p>
              </w:tc>
              <w:tc>
                <w:tcPr>
                  <w:tcW w:w="1461" w:type="dxa"/>
                  <w:tcBorders>
                    <w:top w:val="single" w:color="auto" w:sz="12" w:space="0"/>
                    <w:left w:val="single" w:color="000000" w:sz="6" w:space="0"/>
                    <w:bottom w:val="single" w:color="000000" w:sz="6" w:space="0"/>
                    <w:right w:val="single" w:color="000000" w:sz="6" w:space="0"/>
                  </w:tcBorders>
                  <w:vAlign w:val="center"/>
                </w:tcPr>
                <w:p>
                  <w:pPr>
                    <w:pStyle w:val="26"/>
                    <w:spacing w:line="360" w:lineRule="auto"/>
                    <w:jc w:val="center"/>
                    <w:rPr>
                      <w:rFonts w:ascii="Times New Roman" w:hAnsi="Times New Roman" w:cs="Times New Roman"/>
                      <w:sz w:val="21"/>
                    </w:rPr>
                  </w:pPr>
                  <w:r>
                    <w:rPr>
                      <w:rFonts w:ascii="Times New Roman" w:hAnsi="Times New Roman" w:cs="Times New Roman"/>
                      <w:sz w:val="21"/>
                    </w:rPr>
                    <w:t>小  型</w:t>
                  </w:r>
                </w:p>
              </w:tc>
              <w:tc>
                <w:tcPr>
                  <w:tcW w:w="1464" w:type="dxa"/>
                  <w:tcBorders>
                    <w:top w:val="single" w:color="auto" w:sz="12" w:space="0"/>
                    <w:left w:val="single" w:color="000000" w:sz="6" w:space="0"/>
                    <w:bottom w:val="single" w:color="000000" w:sz="6" w:space="0"/>
                    <w:right w:val="single" w:color="000000" w:sz="6" w:space="0"/>
                  </w:tcBorders>
                  <w:vAlign w:val="center"/>
                </w:tcPr>
                <w:p>
                  <w:pPr>
                    <w:pStyle w:val="26"/>
                    <w:spacing w:line="360" w:lineRule="auto"/>
                    <w:jc w:val="center"/>
                    <w:rPr>
                      <w:rFonts w:ascii="Times New Roman" w:hAnsi="Times New Roman" w:cs="Times New Roman"/>
                      <w:sz w:val="21"/>
                    </w:rPr>
                  </w:pPr>
                  <w:r>
                    <w:rPr>
                      <w:rFonts w:ascii="Times New Roman" w:hAnsi="Times New Roman" w:cs="Times New Roman"/>
                      <w:sz w:val="21"/>
                    </w:rPr>
                    <w:t>中  型</w:t>
                  </w:r>
                </w:p>
              </w:tc>
              <w:tc>
                <w:tcPr>
                  <w:tcW w:w="1464" w:type="dxa"/>
                  <w:tcBorders>
                    <w:top w:val="single" w:color="auto" w:sz="12" w:space="0"/>
                    <w:left w:val="single" w:color="000000" w:sz="6" w:space="0"/>
                    <w:bottom w:val="single" w:color="000000" w:sz="6" w:space="0"/>
                    <w:right w:val="single" w:color="auto" w:sz="12" w:space="0"/>
                  </w:tcBorders>
                  <w:vAlign w:val="center"/>
                </w:tcPr>
                <w:p>
                  <w:pPr>
                    <w:pStyle w:val="26"/>
                    <w:spacing w:line="360" w:lineRule="auto"/>
                    <w:jc w:val="center"/>
                    <w:rPr>
                      <w:rFonts w:ascii="Times New Roman" w:hAnsi="Times New Roman" w:cs="Times New Roman"/>
                      <w:sz w:val="21"/>
                    </w:rPr>
                  </w:pPr>
                  <w:r>
                    <w:rPr>
                      <w:rFonts w:ascii="Times New Roman" w:hAnsi="Times New Roman" w:cs="Times New Roman"/>
                      <w:sz w:val="21"/>
                    </w:rPr>
                    <w:t>大  型</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3" w:type="dxa"/>
                  <w:tcBorders>
                    <w:top w:val="single" w:color="000000" w:sz="6" w:space="0"/>
                    <w:left w:val="single" w:color="auto" w:sz="12" w:space="0"/>
                    <w:bottom w:val="single" w:color="000000" w:sz="6" w:space="0"/>
                    <w:right w:val="single" w:color="000000" w:sz="6" w:space="0"/>
                  </w:tcBorders>
                  <w:vAlign w:val="center"/>
                </w:tcPr>
                <w:p>
                  <w:pPr>
                    <w:pStyle w:val="26"/>
                    <w:jc w:val="center"/>
                    <w:rPr>
                      <w:rFonts w:ascii="Times New Roman" w:hAnsi="Times New Roman" w:cs="Times New Roman"/>
                      <w:sz w:val="21"/>
                    </w:rPr>
                  </w:pPr>
                  <w:r>
                    <w:rPr>
                      <w:rFonts w:ascii="Times New Roman" w:hAnsi="Times New Roman" w:cs="Times New Roman"/>
                      <w:sz w:val="21"/>
                    </w:rPr>
                    <w:t>最高允许排放浓度(mg/m</w:t>
                  </w:r>
                  <w:r>
                    <w:rPr>
                      <w:rFonts w:ascii="Times New Roman" w:hAnsi="Times New Roman" w:cs="Times New Roman"/>
                      <w:sz w:val="21"/>
                      <w:vertAlign w:val="superscript"/>
                    </w:rPr>
                    <w:t>3</w:t>
                  </w:r>
                  <w:r>
                    <w:rPr>
                      <w:rFonts w:ascii="Times New Roman" w:hAnsi="Times New Roman" w:cs="Times New Roman"/>
                      <w:sz w:val="21"/>
                    </w:rPr>
                    <w:t>)</w:t>
                  </w:r>
                </w:p>
              </w:tc>
              <w:tc>
                <w:tcPr>
                  <w:tcW w:w="4389" w:type="dxa"/>
                  <w:gridSpan w:val="3"/>
                  <w:tcBorders>
                    <w:top w:val="single" w:color="000000" w:sz="6" w:space="0"/>
                    <w:left w:val="single" w:color="000000" w:sz="6" w:space="0"/>
                    <w:bottom w:val="single" w:color="000000" w:sz="6" w:space="0"/>
                    <w:right w:val="single" w:color="auto" w:sz="12" w:space="0"/>
                  </w:tcBorders>
                  <w:vAlign w:val="center"/>
                </w:tcPr>
                <w:p>
                  <w:pPr>
                    <w:pStyle w:val="26"/>
                    <w:jc w:val="center"/>
                    <w:rPr>
                      <w:rFonts w:ascii="Times New Roman" w:hAnsi="Times New Roman" w:cs="Times New Roman"/>
                      <w:sz w:val="21"/>
                    </w:rPr>
                  </w:pPr>
                  <w:r>
                    <w:rPr>
                      <w:rFonts w:ascii="Times New Roman" w:hAnsi="Times New Roman" w:cs="Times New Roman"/>
                      <w:sz w:val="21"/>
                    </w:rPr>
                    <w:t>2.0</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3" w:type="dxa"/>
                  <w:tcBorders>
                    <w:top w:val="single" w:color="000000" w:sz="6" w:space="0"/>
                    <w:left w:val="single" w:color="auto" w:sz="12" w:space="0"/>
                    <w:bottom w:val="single" w:color="auto" w:sz="12" w:space="0"/>
                    <w:right w:val="single" w:color="000000" w:sz="6" w:space="0"/>
                  </w:tcBorders>
                  <w:vAlign w:val="center"/>
                </w:tcPr>
                <w:p>
                  <w:pPr>
                    <w:pStyle w:val="26"/>
                    <w:jc w:val="center"/>
                    <w:rPr>
                      <w:rFonts w:ascii="Times New Roman" w:hAnsi="Times New Roman" w:cs="Times New Roman"/>
                      <w:sz w:val="21"/>
                    </w:rPr>
                  </w:pPr>
                  <w:r>
                    <w:rPr>
                      <w:rFonts w:ascii="Times New Roman" w:hAnsi="Times New Roman" w:cs="Times New Roman"/>
                      <w:sz w:val="21"/>
                    </w:rPr>
                    <w:t>净化设施最低去除率(%)</w:t>
                  </w:r>
                </w:p>
              </w:tc>
              <w:tc>
                <w:tcPr>
                  <w:tcW w:w="1461" w:type="dxa"/>
                  <w:tcBorders>
                    <w:top w:val="single" w:color="000000" w:sz="6" w:space="0"/>
                    <w:left w:val="single" w:color="000000" w:sz="6" w:space="0"/>
                    <w:bottom w:val="single" w:color="auto" w:sz="12" w:space="0"/>
                    <w:right w:val="single" w:color="000000" w:sz="6" w:space="0"/>
                  </w:tcBorders>
                  <w:vAlign w:val="center"/>
                </w:tcPr>
                <w:p>
                  <w:pPr>
                    <w:pStyle w:val="26"/>
                    <w:jc w:val="center"/>
                    <w:rPr>
                      <w:rFonts w:ascii="Times New Roman" w:hAnsi="Times New Roman" w:cs="Times New Roman"/>
                      <w:sz w:val="21"/>
                    </w:rPr>
                  </w:pPr>
                  <w:r>
                    <w:rPr>
                      <w:rFonts w:ascii="Times New Roman" w:hAnsi="Times New Roman" w:cs="Times New Roman"/>
                      <w:sz w:val="21"/>
                    </w:rPr>
                    <w:t>60</w:t>
                  </w:r>
                </w:p>
              </w:tc>
              <w:tc>
                <w:tcPr>
                  <w:tcW w:w="1464" w:type="dxa"/>
                  <w:tcBorders>
                    <w:top w:val="single" w:color="000000" w:sz="6" w:space="0"/>
                    <w:left w:val="single" w:color="000000" w:sz="6" w:space="0"/>
                    <w:bottom w:val="single" w:color="auto" w:sz="12" w:space="0"/>
                    <w:right w:val="single" w:color="000000" w:sz="6" w:space="0"/>
                  </w:tcBorders>
                  <w:vAlign w:val="center"/>
                </w:tcPr>
                <w:p>
                  <w:pPr>
                    <w:pStyle w:val="26"/>
                    <w:jc w:val="center"/>
                    <w:rPr>
                      <w:rFonts w:ascii="Times New Roman" w:hAnsi="Times New Roman" w:cs="Times New Roman"/>
                      <w:sz w:val="21"/>
                    </w:rPr>
                  </w:pPr>
                  <w:r>
                    <w:rPr>
                      <w:rFonts w:ascii="Times New Roman" w:hAnsi="Times New Roman" w:cs="Times New Roman"/>
                      <w:sz w:val="21"/>
                    </w:rPr>
                    <w:t>75</w:t>
                  </w:r>
                </w:p>
              </w:tc>
              <w:tc>
                <w:tcPr>
                  <w:tcW w:w="1464" w:type="dxa"/>
                  <w:tcBorders>
                    <w:top w:val="single" w:color="000000" w:sz="6" w:space="0"/>
                    <w:left w:val="single" w:color="000000" w:sz="6" w:space="0"/>
                    <w:bottom w:val="single" w:color="auto" w:sz="12" w:space="0"/>
                    <w:right w:val="single" w:color="auto" w:sz="12" w:space="0"/>
                  </w:tcBorders>
                  <w:vAlign w:val="center"/>
                </w:tcPr>
                <w:p>
                  <w:pPr>
                    <w:pStyle w:val="26"/>
                    <w:jc w:val="center"/>
                    <w:rPr>
                      <w:rFonts w:ascii="Times New Roman" w:hAnsi="Times New Roman" w:cs="Times New Roman"/>
                      <w:sz w:val="21"/>
                    </w:rPr>
                  </w:pPr>
                  <w:r>
                    <w:rPr>
                      <w:rFonts w:ascii="Times New Roman" w:hAnsi="Times New Roman" w:cs="Times New Roman"/>
                      <w:sz w:val="21"/>
                    </w:rPr>
                    <w:t>85</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0"/>
              <w:rPr>
                <w:rFonts w:ascii="Times New Roman" w:hAnsi="Times New Roman" w:eastAsia="宋体" w:cs="Times New Roman"/>
                <w:b w:val="0"/>
                <w:bCs/>
                <w:color w:val="auto"/>
                <w:sz w:val="24"/>
                <w:szCs w:val="21"/>
                <w:highlight w:val="none"/>
              </w:rPr>
            </w:pPr>
            <w:r>
              <w:rPr>
                <w:rFonts w:hint="eastAsia" w:ascii="Times New Roman" w:hAnsi="Times New Roman" w:eastAsia="宋体" w:cs="Times New Roman"/>
                <w:b w:val="0"/>
                <w:bCs/>
                <w:color w:val="auto"/>
                <w:sz w:val="24"/>
                <w:szCs w:val="21"/>
                <w:highlight w:val="none"/>
                <w:lang w:eastAsia="zh-CN"/>
              </w:rPr>
              <w:t>（</w:t>
            </w:r>
            <w:r>
              <w:rPr>
                <w:rFonts w:hint="eastAsia" w:ascii="Times New Roman" w:hAnsi="Times New Roman" w:eastAsia="宋体" w:cs="Times New Roman"/>
                <w:b w:val="0"/>
                <w:bCs/>
                <w:color w:val="auto"/>
                <w:sz w:val="24"/>
                <w:szCs w:val="21"/>
                <w:highlight w:val="none"/>
                <w:lang w:val="en-US" w:eastAsia="zh-CN"/>
              </w:rPr>
              <w:t>3</w:t>
            </w:r>
            <w:r>
              <w:rPr>
                <w:rFonts w:hint="eastAsia" w:ascii="Times New Roman" w:hAnsi="Times New Roman" w:eastAsia="宋体" w:cs="Times New Roman"/>
                <w:b w:val="0"/>
                <w:bCs/>
                <w:color w:val="auto"/>
                <w:sz w:val="24"/>
                <w:szCs w:val="21"/>
                <w:highlight w:val="none"/>
                <w:lang w:eastAsia="zh-CN"/>
              </w:rPr>
              <w:t>）</w:t>
            </w:r>
            <w:r>
              <w:rPr>
                <w:rFonts w:ascii="Times New Roman" w:hAnsi="Times New Roman" w:eastAsia="宋体" w:cs="Times New Roman"/>
                <w:b w:val="0"/>
                <w:bCs/>
                <w:color w:val="auto"/>
                <w:sz w:val="24"/>
                <w:szCs w:val="21"/>
                <w:highlight w:val="none"/>
              </w:rPr>
              <w:t>噪声排放标准</w:t>
            </w:r>
          </w:p>
          <w:p>
            <w:pPr>
              <w:spacing w:line="360" w:lineRule="auto"/>
              <w:ind w:firstLine="496"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pacing w:val="4"/>
                <w:sz w:val="24"/>
                <w:szCs w:val="24"/>
                <w:highlight w:val="none"/>
              </w:rPr>
              <w:t>营运期：</w:t>
            </w:r>
            <w:r>
              <w:rPr>
                <w:rFonts w:ascii="Times New Roman" w:hAnsi="Times New Roman" w:eastAsia="宋体" w:cs="Times New Roman"/>
                <w:color w:val="auto"/>
                <w:spacing w:val="4"/>
                <w:sz w:val="24"/>
                <w:szCs w:val="24"/>
                <w:highlight w:val="none"/>
              </w:rPr>
              <w:t>厂界噪声执行</w:t>
            </w:r>
            <w:r>
              <w:rPr>
                <w:rFonts w:ascii="Times New Roman" w:hAnsi="Times New Roman" w:eastAsia="宋体" w:cs="Times New Roman"/>
                <w:color w:val="auto"/>
                <w:sz w:val="24"/>
                <w:szCs w:val="21"/>
                <w:highlight w:val="none"/>
              </w:rPr>
              <w:t>《工业企业厂界环境噪声排放标准》（GB12348-2008）</w:t>
            </w:r>
            <w:r>
              <w:rPr>
                <w:rFonts w:hint="eastAsia" w:ascii="Times New Roman" w:hAnsi="Times New Roman" w:eastAsia="宋体" w:cs="Times New Roman"/>
                <w:color w:val="auto"/>
                <w:sz w:val="24"/>
                <w:szCs w:val="21"/>
                <w:highlight w:val="none"/>
                <w:lang w:val="en-US" w:eastAsia="zh-CN"/>
              </w:rPr>
              <w:t>2</w:t>
            </w:r>
            <w:r>
              <w:rPr>
                <w:rFonts w:hint="eastAsia" w:ascii="Times New Roman" w:hAnsi="Times New Roman" w:eastAsia="宋体" w:cs="Times New Roman"/>
                <w:color w:val="auto"/>
                <w:sz w:val="24"/>
                <w:szCs w:val="21"/>
                <w:highlight w:val="none"/>
              </w:rPr>
              <w:t>类</w:t>
            </w:r>
            <w:r>
              <w:rPr>
                <w:rFonts w:ascii="Times New Roman" w:hAnsi="Times New Roman" w:eastAsia="宋体" w:cs="Times New Roman"/>
                <w:color w:val="auto"/>
                <w:sz w:val="24"/>
                <w:szCs w:val="21"/>
                <w:highlight w:val="none"/>
              </w:rPr>
              <w:t>标准</w:t>
            </w:r>
            <w:r>
              <w:rPr>
                <w:rFonts w:ascii="Times New Roman" w:hAnsi="Times New Roman" w:eastAsia="宋体" w:cs="Times New Roman"/>
                <w:color w:val="auto"/>
                <w:sz w:val="24"/>
                <w:szCs w:val="24"/>
                <w:highlight w:val="none"/>
              </w:rPr>
              <w:t>。</w:t>
            </w:r>
          </w:p>
          <w:p>
            <w:pPr>
              <w:spacing w:line="240" w:lineRule="auto"/>
              <w:jc w:val="center"/>
              <w:rPr>
                <w:rFonts w:ascii="Times New Roman" w:hAnsi="Times New Roman" w:eastAsia="宋体" w:cs="Times New Roman"/>
                <w:b/>
                <w:color w:val="auto"/>
                <w:sz w:val="24"/>
                <w:szCs w:val="24"/>
                <w:highlight w:val="none"/>
              </w:rPr>
            </w:pPr>
            <w:r>
              <w:rPr>
                <w:rFonts w:ascii="Times New Roman" w:hAnsi="Times New Roman" w:eastAsia="宋体" w:cs="Times New Roman"/>
                <w:b/>
                <w:color w:val="auto"/>
                <w:sz w:val="24"/>
                <w:szCs w:val="24"/>
                <w:highlight w:val="none"/>
              </w:rPr>
              <w:t>表</w:t>
            </w:r>
            <w:r>
              <w:rPr>
                <w:rFonts w:hint="eastAsia" w:ascii="Times New Roman" w:hAnsi="Times New Roman" w:eastAsia="宋体" w:cs="Times New Roman"/>
                <w:b/>
                <w:color w:val="auto"/>
                <w:sz w:val="24"/>
                <w:szCs w:val="24"/>
                <w:highlight w:val="none"/>
                <w:lang w:val="en-US" w:eastAsia="zh-CN"/>
              </w:rPr>
              <w:t>3-</w:t>
            </w:r>
            <w:r>
              <w:rPr>
                <w:rFonts w:hint="eastAsia" w:cs="Times New Roman"/>
                <w:b/>
                <w:color w:val="auto"/>
                <w:sz w:val="24"/>
                <w:szCs w:val="24"/>
                <w:highlight w:val="none"/>
                <w:lang w:val="en-US" w:eastAsia="zh-CN"/>
              </w:rPr>
              <w:t>10</w:t>
            </w:r>
            <w:r>
              <w:rPr>
                <w:rFonts w:hint="eastAsia" w:ascii="Times New Roman" w:hAnsi="Times New Roman" w:eastAsia="宋体" w:cs="Times New Roman"/>
                <w:b/>
                <w:color w:val="auto"/>
                <w:sz w:val="24"/>
                <w:szCs w:val="24"/>
                <w:highlight w:val="none"/>
                <w:lang w:val="en-US" w:eastAsia="zh-CN"/>
              </w:rPr>
              <w:t xml:space="preserve"> </w:t>
            </w:r>
            <w:r>
              <w:rPr>
                <w:rFonts w:ascii="Times New Roman" w:hAnsi="Times New Roman" w:eastAsia="宋体" w:cs="Times New Roman"/>
                <w:b/>
                <w:color w:val="auto"/>
                <w:sz w:val="24"/>
                <w:szCs w:val="24"/>
                <w:highlight w:val="none"/>
              </w:rPr>
              <w:t>工业企业厂界噪声限值  单位：dB(A)</w:t>
            </w:r>
          </w:p>
          <w:tbl>
            <w:tblPr>
              <w:tblStyle w:val="15"/>
              <w:tblW w:w="7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699"/>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310" w:type="dxa"/>
                  <w:noWrap w:val="0"/>
                  <w:vAlign w:val="center"/>
                </w:tcPr>
                <w:p>
                  <w:pPr>
                    <w:adjustRightInd w:val="0"/>
                    <w:snapToGrid w:val="0"/>
                    <w:jc w:val="center"/>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标准</w:t>
                  </w:r>
                </w:p>
              </w:tc>
              <w:tc>
                <w:tcPr>
                  <w:tcW w:w="2699" w:type="dxa"/>
                  <w:noWrap w:val="0"/>
                  <w:vAlign w:val="center"/>
                </w:tcPr>
                <w:p>
                  <w:pPr>
                    <w:adjustRightInd w:val="0"/>
                    <w:snapToGrid w:val="0"/>
                    <w:jc w:val="center"/>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昼间</w:t>
                  </w:r>
                </w:p>
              </w:tc>
              <w:tc>
                <w:tcPr>
                  <w:tcW w:w="2730" w:type="dxa"/>
                  <w:noWrap w:val="0"/>
                  <w:vAlign w:val="center"/>
                </w:tcPr>
                <w:p>
                  <w:pPr>
                    <w:adjustRightInd w:val="0"/>
                    <w:snapToGrid w:val="0"/>
                    <w:jc w:val="center"/>
                    <w:rPr>
                      <w:rFonts w:ascii="Times New Roman" w:hAnsi="Times New Roman" w:eastAsia="宋体" w:cs="Times New Roman"/>
                      <w:b/>
                      <w:bCs/>
                      <w:color w:val="auto"/>
                      <w:szCs w:val="21"/>
                      <w:highlight w:val="none"/>
                    </w:rPr>
                  </w:pPr>
                  <w:r>
                    <w:rPr>
                      <w:rFonts w:ascii="Times New Roman" w:hAnsi="Times New Roman" w:eastAsia="宋体" w:cs="Times New Roman"/>
                      <w:b/>
                      <w:bCs/>
                      <w:color w:val="auto"/>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310" w:type="dxa"/>
                  <w:noWrap w:val="0"/>
                  <w:vAlign w:val="center"/>
                </w:tcPr>
                <w:p>
                  <w:pPr>
                    <w:adjustRightInd w:val="0"/>
                    <w:snapToGrid w:val="0"/>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2</w:t>
                  </w:r>
                  <w:r>
                    <w:rPr>
                      <w:rFonts w:ascii="Times New Roman" w:hAnsi="Times New Roman" w:eastAsia="宋体" w:cs="Times New Roman"/>
                      <w:color w:val="auto"/>
                      <w:szCs w:val="21"/>
                      <w:highlight w:val="none"/>
                    </w:rPr>
                    <w:t>类</w:t>
                  </w:r>
                </w:p>
              </w:tc>
              <w:tc>
                <w:tcPr>
                  <w:tcW w:w="2699"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2730" w:type="dxa"/>
                  <w:noWrap w:val="0"/>
                  <w:vAlign w:val="center"/>
                </w:tcPr>
                <w:p>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50</w:t>
                  </w:r>
                </w:p>
              </w:tc>
            </w:tr>
          </w:tbl>
          <w:p>
            <w:pPr>
              <w:spacing w:before="156" w:beforeLines="50" w:line="360" w:lineRule="auto"/>
              <w:ind w:firstLine="361" w:firstLineChars="150"/>
              <w:rPr>
                <w:rFonts w:ascii="Times New Roman" w:hAnsi="Times New Roman" w:eastAsia="宋体" w:cs="Times New Roman"/>
                <w:b/>
                <w:color w:val="auto"/>
                <w:sz w:val="24"/>
                <w:szCs w:val="21"/>
                <w:highlight w:val="none"/>
              </w:rPr>
            </w:pPr>
            <w:r>
              <w:rPr>
                <w:rFonts w:ascii="Times New Roman" w:hAnsi="Times New Roman" w:eastAsia="宋体" w:cs="Times New Roman"/>
                <w:b/>
                <w:color w:val="auto"/>
                <w:sz w:val="24"/>
                <w:szCs w:val="21"/>
                <w:highlight w:val="none"/>
              </w:rPr>
              <w:t>4、固体废物排放标准</w:t>
            </w:r>
          </w:p>
          <w:p>
            <w:pPr>
              <w:spacing w:line="360" w:lineRule="auto"/>
              <w:ind w:firstLine="480" w:firstLineChars="200"/>
              <w:outlineLvl w:val="0"/>
              <w:rPr>
                <w:rFonts w:hint="eastAsia" w:ascii="Times New Roman" w:hAnsi="Times New Roman" w:cs="Times New Roman"/>
                <w:b/>
                <w:bCs/>
                <w:color w:val="auto"/>
                <w:kern w:val="0"/>
                <w:sz w:val="24"/>
                <w:szCs w:val="24"/>
                <w:highlight w:val="none"/>
                <w:lang w:eastAsia="zh-CN"/>
              </w:rPr>
            </w:pPr>
            <w:r>
              <w:rPr>
                <w:rFonts w:ascii="Times New Roman" w:hAnsi="Times New Roman" w:eastAsia="宋体" w:cs="Times New Roman"/>
                <w:color w:val="auto"/>
                <w:sz w:val="24"/>
                <w:szCs w:val="21"/>
                <w:highlight w:val="none"/>
              </w:rPr>
              <w:t>一般固体废物执行</w:t>
            </w:r>
            <w:r>
              <w:rPr>
                <w:rFonts w:hint="eastAsia" w:ascii="Times New Roman" w:hAnsi="Times New Roman" w:eastAsia="宋体" w:cs="Times New Roman"/>
                <w:color w:val="auto"/>
                <w:sz w:val="24"/>
                <w:szCs w:val="24"/>
                <w:highlight w:val="none"/>
                <w:lang w:val="de-DE"/>
              </w:rPr>
              <w:t>《一般工业固体废物贮存</w:t>
            </w:r>
            <w:r>
              <w:rPr>
                <w:rFonts w:hint="eastAsia" w:ascii="Times New Roman" w:hAnsi="Times New Roman" w:eastAsia="宋体" w:cs="Times New Roman"/>
                <w:color w:val="auto"/>
                <w:sz w:val="24"/>
                <w:szCs w:val="24"/>
                <w:highlight w:val="none"/>
                <w:lang w:val="de-DE" w:eastAsia="zh-CN"/>
              </w:rPr>
              <w:t>和填埋</w:t>
            </w:r>
            <w:r>
              <w:rPr>
                <w:rFonts w:hint="eastAsia" w:ascii="Times New Roman" w:hAnsi="Times New Roman" w:eastAsia="宋体" w:cs="Times New Roman"/>
                <w:color w:val="auto"/>
                <w:sz w:val="24"/>
                <w:szCs w:val="24"/>
                <w:highlight w:val="none"/>
                <w:lang w:val="de-DE"/>
              </w:rPr>
              <w:t>污染控制标准》（GB18599-20</w:t>
            </w:r>
            <w:r>
              <w:rPr>
                <w:rFonts w:hint="eastAsia" w:ascii="Times New Roman" w:hAnsi="Times New Roman" w:eastAsia="宋体" w:cs="Times New Roman"/>
                <w:color w:val="auto"/>
                <w:sz w:val="24"/>
                <w:szCs w:val="24"/>
                <w:highlight w:val="none"/>
                <w:lang w:val="en-US" w:eastAsia="zh-CN"/>
              </w:rPr>
              <w:t>20</w:t>
            </w:r>
            <w:r>
              <w:rPr>
                <w:rFonts w:hint="eastAsia" w:ascii="Times New Roman" w:hAnsi="Times New Roman" w:eastAsia="宋体" w:cs="Times New Roman"/>
                <w:color w:val="auto"/>
                <w:sz w:val="24"/>
                <w:szCs w:val="24"/>
                <w:highlight w:val="none"/>
                <w:lang w:val="de-DE"/>
              </w:rPr>
              <w:t>）</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危险废物执行《危险废物贮存污染控制标准》（GB18597-2001）及2013年修改单标准；</w:t>
            </w:r>
            <w:r>
              <w:rPr>
                <w:rFonts w:hint="eastAsia" w:ascii="Times New Roman" w:hAnsi="Times New Roman" w:eastAsia="宋体" w:cs="Times New Roman"/>
                <w:color w:val="auto"/>
                <w:sz w:val="24"/>
                <w:szCs w:val="21"/>
                <w:highlight w:val="none"/>
                <w:u w:val="none"/>
              </w:rPr>
              <w:t>生活垃圾</w:t>
            </w:r>
            <w:r>
              <w:rPr>
                <w:rFonts w:hint="eastAsia" w:cs="Times New Roman"/>
                <w:color w:val="auto"/>
                <w:sz w:val="24"/>
                <w:szCs w:val="21"/>
                <w:highlight w:val="none"/>
                <w:u w:val="none"/>
                <w:lang w:eastAsia="zh-CN"/>
              </w:rPr>
              <w:t>建设单位分类收集后由环卫部门统一清运处置</w:t>
            </w:r>
            <w:r>
              <w:rPr>
                <w:rFonts w:hint="eastAsia" w:ascii="Times New Roman" w:hAnsi="Times New Roman" w:eastAsia="宋体" w:cs="Times New Roman"/>
                <w:color w:val="auto"/>
                <w:sz w:val="24"/>
                <w:szCs w:val="24"/>
                <w:highlight w:val="none"/>
                <w:u w:val="none"/>
                <w:lang w:val="de-D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800" w:type="dxa"/>
            <w:noWrap w:val="0"/>
            <w:vAlign w:val="center"/>
          </w:tcPr>
          <w:p>
            <w:pPr>
              <w:shd w:val="clear" w:color="auto" w:fill="auto"/>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总量</w:t>
            </w:r>
          </w:p>
          <w:p>
            <w:pPr>
              <w:shd w:val="clear" w:color="auto" w:fill="auto"/>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控制</w:t>
            </w:r>
          </w:p>
          <w:p>
            <w:pPr>
              <w:shd w:val="clear" w:color="auto" w:fill="auto"/>
              <w:adjustRightInd w:val="0"/>
              <w:snapToGrid w:val="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指标</w:t>
            </w:r>
          </w:p>
        </w:tc>
        <w:tc>
          <w:tcPr>
            <w:tcW w:w="8190" w:type="dxa"/>
            <w:noWrap w:val="0"/>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imes New Roman" w:hAnsi="Times New Roman" w:eastAsia="宋体" w:cs="Times New Roman"/>
                <w:color w:val="auto"/>
                <w:sz w:val="24"/>
                <w:szCs w:val="21"/>
                <w:highlight w:val="none"/>
                <w:lang w:eastAsia="zh-CN"/>
              </w:rPr>
            </w:pP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Times New Roman" w:hAnsi="Times New Roman" w:eastAsia="宋体" w:cs="Times New Roman"/>
                <w:color w:val="auto"/>
                <w:sz w:val="24"/>
                <w:szCs w:val="21"/>
                <w:highlight w:val="none"/>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imes New Roman" w:hAnsi="Times New Roman" w:eastAsia="宋体" w:cs="Times New Roman"/>
                <w:color w:val="auto"/>
                <w:sz w:val="24"/>
                <w:szCs w:val="21"/>
                <w:highlight w:val="none"/>
                <w:lang w:eastAsia="zh-CN"/>
              </w:rPr>
            </w:pPr>
            <w:r>
              <w:rPr>
                <w:rFonts w:hint="eastAsia" w:ascii="Times New Roman" w:hAnsi="Times New Roman" w:eastAsia="宋体" w:cs="Times New Roman"/>
                <w:color w:val="auto"/>
                <w:sz w:val="24"/>
                <w:szCs w:val="21"/>
                <w:highlight w:val="none"/>
                <w:lang w:eastAsia="zh-CN"/>
              </w:rPr>
              <w:t>无</w:t>
            </w: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Times New Roman" w:hAnsi="Times New Roman" w:eastAsia="宋体" w:cs="Times New Roman"/>
                <w:color w:val="auto"/>
                <w:kern w:val="0"/>
                <w:sz w:val="24"/>
                <w:szCs w:val="24"/>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800" w:type="dxa"/>
            <w:noWrap w:val="0"/>
            <w:vAlign w:val="center"/>
          </w:tcPr>
          <w:p>
            <w:pPr>
              <w:shd w:val="clear" w:color="auto" w:fill="auto"/>
              <w:adjustRightInd w:val="0"/>
              <w:snapToGrid w:val="0"/>
              <w:jc w:val="center"/>
              <w:rPr>
                <w:rFonts w:hint="eastAsia" w:ascii="Times New Roman" w:hAnsi="Times New Roman" w:eastAsia="宋体" w:cs="Times New Roman"/>
                <w:color w:val="auto"/>
                <w:kern w:val="0"/>
                <w:sz w:val="24"/>
                <w:szCs w:val="24"/>
                <w:highlight w:val="none"/>
                <w:u w:val="none"/>
                <w:lang w:eastAsia="zh-CN"/>
              </w:rPr>
            </w:pPr>
            <w:r>
              <w:rPr>
                <w:rFonts w:hint="eastAsia" w:ascii="Times New Roman" w:hAnsi="Times New Roman" w:cs="Times New Roman"/>
                <w:color w:val="auto"/>
                <w:kern w:val="0"/>
                <w:sz w:val="24"/>
                <w:szCs w:val="24"/>
                <w:highlight w:val="none"/>
                <w:u w:val="none"/>
                <w:lang w:eastAsia="zh-CN"/>
              </w:rPr>
              <w:t>环境风险专项评价</w:t>
            </w:r>
          </w:p>
        </w:tc>
        <w:tc>
          <w:tcPr>
            <w:tcW w:w="8190" w:type="dxa"/>
            <w:noWrap w:val="0"/>
            <w:vAlign w:val="center"/>
          </w:tcPr>
          <w:p>
            <w:pPr>
              <w:spacing w:line="500" w:lineRule="exact"/>
              <w:jc w:val="both"/>
              <w:rPr>
                <w:rFonts w:hint="eastAsia" w:cs="Times New Roman"/>
                <w:color w:val="auto"/>
                <w:sz w:val="24"/>
                <w:szCs w:val="24"/>
                <w:highlight w:val="none"/>
                <w:u w:val="none"/>
                <w:lang w:val="en-US" w:eastAsia="zh-CN"/>
              </w:rPr>
            </w:pPr>
          </w:p>
          <w:p>
            <w:pPr>
              <w:spacing w:line="500" w:lineRule="exact"/>
              <w:jc w:val="center"/>
              <w:rPr>
                <w:rFonts w:ascii="Times New Roman" w:hAnsi="Times New Roman" w:eastAsia="宋体" w:cs="Times New Roman"/>
                <w:color w:val="auto"/>
                <w:sz w:val="24"/>
                <w:szCs w:val="24"/>
                <w:highlight w:val="none"/>
                <w:u w:val="none"/>
              </w:rPr>
            </w:pPr>
            <w:r>
              <w:rPr>
                <w:rFonts w:hint="eastAsia" w:cs="Times New Roman"/>
                <w:color w:val="auto"/>
                <w:sz w:val="24"/>
                <w:szCs w:val="24"/>
                <w:highlight w:val="none"/>
                <w:u w:val="none"/>
                <w:lang w:val="en-US" w:eastAsia="zh-CN"/>
              </w:rPr>
              <w:t>无</w:t>
            </w:r>
          </w:p>
          <w:p>
            <w:pPr>
              <w:pStyle w:val="2"/>
              <w:rPr>
                <w:rFonts w:ascii="Times New Roman" w:hAnsi="Times New Roman" w:eastAsia="宋体" w:cs="Times New Roman"/>
                <w:color w:val="auto"/>
                <w:sz w:val="24"/>
                <w:szCs w:val="24"/>
                <w:highlight w:val="none"/>
                <w:u w:val="none"/>
              </w:rPr>
            </w:pPr>
          </w:p>
          <w:p>
            <w:pPr>
              <w:bidi w:val="0"/>
            </w:pP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ascii="Times New Roman" w:hAnsi="Times New Roman" w:eastAsia="宋体" w:cs="Times New Roman"/>
                <w:color w:val="auto"/>
                <w:kern w:val="2"/>
                <w:sz w:val="24"/>
                <w:szCs w:val="24"/>
                <w:highlight w:val="none"/>
                <w:u w:val="none"/>
                <w:lang w:val="en-US" w:eastAsia="zh-CN" w:bidi="ar-SA"/>
              </w:rPr>
            </w:pPr>
          </w:p>
        </w:tc>
      </w:tr>
    </w:tbl>
    <w:p>
      <w:pPr>
        <w:pStyle w:val="13"/>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6"/>
          <w:szCs w:val="36"/>
          <w:highlight w:val="none"/>
        </w:rPr>
        <w:br w:type="page"/>
      </w:r>
      <w:r>
        <w:rPr>
          <w:rFonts w:hint="default" w:ascii="Times New Roman" w:hAnsi="Times New Roman" w:eastAsia="黑体" w:cs="Times New Roman"/>
          <w:snapToGrid w:val="0"/>
          <w:color w:val="auto"/>
          <w:sz w:val="30"/>
          <w:szCs w:val="30"/>
          <w:highlight w:val="none"/>
        </w:rPr>
        <w:t>四、主要环境影响和保护措施</w:t>
      </w:r>
    </w:p>
    <w:tbl>
      <w:tblPr>
        <w:tblStyle w:val="15"/>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7"/>
        <w:gridCol w:w="82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37" w:type="dxa"/>
            <w:noWrap w:val="0"/>
            <w:tcMar>
              <w:left w:w="28" w:type="dxa"/>
              <w:right w:w="28" w:type="dxa"/>
            </w:tcMar>
            <w:vAlign w:val="center"/>
          </w:tcPr>
          <w:p>
            <w:pPr>
              <w:pStyle w:val="13"/>
              <w:adjustRightInd w:val="0"/>
              <w:snapToGrid w:val="0"/>
              <w:spacing w:before="0" w:beforeAutospacing="0" w:after="0" w:afterAutospacing="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施工</w:t>
            </w:r>
          </w:p>
          <w:p>
            <w:pPr>
              <w:pStyle w:val="13"/>
              <w:adjustRightInd w:val="0"/>
              <w:snapToGrid w:val="0"/>
              <w:spacing w:before="0" w:beforeAutospacing="0" w:after="0" w:afterAutospacing="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期环</w:t>
            </w:r>
          </w:p>
          <w:p>
            <w:pPr>
              <w:pStyle w:val="13"/>
              <w:adjustRightInd w:val="0"/>
              <w:snapToGrid w:val="0"/>
              <w:spacing w:before="0" w:beforeAutospacing="0" w:after="0" w:afterAutospacing="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境保</w:t>
            </w:r>
          </w:p>
          <w:p>
            <w:pPr>
              <w:pStyle w:val="13"/>
              <w:adjustRightInd w:val="0"/>
              <w:snapToGrid w:val="0"/>
              <w:spacing w:before="0" w:beforeAutospacing="0" w:after="0" w:afterAutospacing="0"/>
              <w:jc w:val="center"/>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护措</w:t>
            </w:r>
          </w:p>
          <w:p>
            <w:pPr>
              <w:pStyle w:val="13"/>
              <w:adjustRightInd w:val="0"/>
              <w:snapToGrid w:val="0"/>
              <w:spacing w:before="0" w:beforeAutospacing="0" w:after="0" w:afterAutospacing="0"/>
              <w:jc w:val="center"/>
              <w:rPr>
                <w:rFonts w:hint="default" w:ascii="Times New Roman" w:hAnsi="Times New Roman" w:cs="Times New Roman"/>
                <w:bCs/>
                <w:color w:val="auto"/>
                <w:kern w:val="2"/>
                <w:sz w:val="24"/>
                <w:szCs w:val="24"/>
                <w:highlight w:val="none"/>
              </w:rPr>
            </w:pPr>
            <w:r>
              <w:rPr>
                <w:rFonts w:hint="default" w:ascii="Times New Roman" w:hAnsi="Times New Roman" w:cs="Times New Roman"/>
                <w:color w:val="auto"/>
                <w:kern w:val="2"/>
                <w:sz w:val="24"/>
                <w:szCs w:val="24"/>
                <w:highlight w:val="none"/>
              </w:rPr>
              <w:t>施</w:t>
            </w:r>
          </w:p>
        </w:tc>
        <w:tc>
          <w:tcPr>
            <w:tcW w:w="8244" w:type="dxa"/>
            <w:noWrap w:val="0"/>
            <w:vAlign w:val="top"/>
          </w:tcPr>
          <w:p>
            <w:pPr>
              <w:spacing w:line="360" w:lineRule="auto"/>
              <w:rPr>
                <w:b/>
                <w:bCs/>
                <w:color w:val="auto"/>
                <w:sz w:val="28"/>
                <w:szCs w:val="28"/>
              </w:rPr>
            </w:pPr>
            <w:r>
              <w:rPr>
                <w:rFonts w:hint="eastAsia"/>
                <w:b/>
                <w:bCs/>
                <w:color w:val="auto"/>
                <w:sz w:val="28"/>
                <w:szCs w:val="28"/>
              </w:rPr>
              <w:t>施工期</w:t>
            </w:r>
            <w:r>
              <w:rPr>
                <w:b/>
                <w:bCs/>
                <w:color w:val="auto"/>
                <w:sz w:val="28"/>
                <w:szCs w:val="28"/>
              </w:rPr>
              <w:t>工程分析</w:t>
            </w:r>
          </w:p>
          <w:p>
            <w:pPr>
              <w:spacing w:line="360" w:lineRule="auto"/>
              <w:ind w:firstLine="480" w:firstLineChars="200"/>
              <w:rPr>
                <w:rFonts w:ascii="宋体" w:hAnsi="宋体"/>
                <w:color w:val="auto"/>
                <w:sz w:val="24"/>
              </w:rPr>
            </w:pPr>
            <w:r>
              <w:rPr>
                <w:rFonts w:ascii="宋体" w:hAnsi="宋体"/>
                <w:color w:val="auto"/>
                <w:sz w:val="24"/>
              </w:rPr>
              <w:t>本项目主要包括施工期和营运期两个阶段，施工期包括如下工程内容：</w:t>
            </w:r>
            <w:r>
              <w:rPr>
                <w:rFonts w:hint="eastAsia" w:ascii="宋体" w:hAnsi="宋体"/>
                <w:color w:val="auto"/>
                <w:sz w:val="24"/>
              </w:rPr>
              <w:t>基础工程、平整场地、基础工程、主体施工、安装工程等</w:t>
            </w:r>
            <w:r>
              <w:rPr>
                <w:rFonts w:ascii="宋体" w:hAnsi="宋体"/>
                <w:color w:val="auto"/>
                <w:sz w:val="24"/>
              </w:rPr>
              <w:t>。</w:t>
            </w:r>
          </w:p>
          <w:p>
            <w:pPr>
              <w:spacing w:line="360" w:lineRule="auto"/>
              <w:ind w:firstLine="480" w:firstLineChars="200"/>
              <w:rPr>
                <w:color w:val="auto"/>
                <w:sz w:val="24"/>
                <w:szCs w:val="24"/>
              </w:rPr>
            </w:pPr>
            <w:r>
              <w:rPr>
                <w:color w:val="auto"/>
                <w:sz w:val="24"/>
                <w:szCs w:val="24"/>
              </w:rPr>
              <w:t>施工期产生的扬尘、噪声、废渣、废水等会对周边环境造成一定影响。</w:t>
            </w:r>
          </w:p>
          <w:p>
            <w:pPr>
              <w:spacing w:line="360" w:lineRule="auto"/>
              <w:jc w:val="center"/>
              <w:rPr>
                <w:rFonts w:ascii="宋体" w:hAnsi="宋体"/>
                <w:color w:val="auto"/>
                <w:sz w:val="24"/>
              </w:rPr>
            </w:pPr>
            <w:r>
              <w:rPr>
                <w:color w:val="auto"/>
              </w:rPr>
              <w:drawing>
                <wp:inline distT="0" distB="0" distL="0" distR="0">
                  <wp:extent cx="4968240" cy="13335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968240" cy="1333500"/>
                          </a:xfrm>
                          <a:prstGeom prst="rect">
                            <a:avLst/>
                          </a:prstGeom>
                        </pic:spPr>
                      </pic:pic>
                    </a:graphicData>
                  </a:graphic>
                </wp:inline>
              </w:drawing>
            </w:r>
          </w:p>
          <w:p>
            <w:pPr>
              <w:spacing w:line="360" w:lineRule="auto"/>
              <w:jc w:val="center"/>
              <w:rPr>
                <w:rFonts w:ascii="宋体" w:hAnsi="宋体"/>
                <w:color w:val="auto"/>
                <w:sz w:val="24"/>
              </w:rPr>
            </w:pPr>
            <w:r>
              <w:rPr>
                <w:rFonts w:ascii="宋体" w:hAnsi="宋体"/>
                <w:color w:val="auto"/>
                <w:sz w:val="24"/>
              </w:rPr>
              <w:t>图</w:t>
            </w:r>
            <w:r>
              <w:rPr>
                <w:rFonts w:hint="eastAsia" w:ascii="宋体" w:hAnsi="宋体"/>
                <w:color w:val="auto"/>
                <w:sz w:val="24"/>
                <w:lang w:val="en-US" w:eastAsia="zh-CN"/>
              </w:rPr>
              <w:t>4-1</w:t>
            </w:r>
            <w:r>
              <w:rPr>
                <w:rFonts w:ascii="宋体" w:hAnsi="宋体"/>
                <w:color w:val="auto"/>
                <w:sz w:val="24"/>
              </w:rPr>
              <w:t xml:space="preserve"> 施工期工艺流程及产污环节图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olor w:val="auto"/>
                <w:sz w:val="24"/>
                <w:szCs w:val="24"/>
              </w:rPr>
              <w:t>施工期主要污染工序及污染因子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olor w:val="auto"/>
                <w:sz w:val="24"/>
                <w:szCs w:val="24"/>
              </w:rPr>
              <w:t>（1）废水：主要为施工人员的生活污水，施工设备、运输工具的冲洗水。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olor w:val="auto"/>
                <w:sz w:val="24"/>
                <w:szCs w:val="24"/>
              </w:rPr>
              <w:t>（2）废气：土地平整及建筑产生的扬尘和建材、运输扬尘；施工车辆排放的尾气。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olor w:val="auto"/>
                <w:sz w:val="24"/>
                <w:szCs w:val="24"/>
              </w:rPr>
              <w:t>（3）噪声：电焊机、电锯和汽车等产生的噪声。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rPr>
            </w:pPr>
            <w:r>
              <w:rPr>
                <w:rFonts w:hint="eastAsia"/>
                <w:color w:val="auto"/>
                <w:sz w:val="24"/>
                <w:szCs w:val="24"/>
              </w:rPr>
              <w:t>（4）</w:t>
            </w:r>
            <w:r>
              <w:rPr>
                <w:rFonts w:hint="eastAsia" w:ascii="Times New Roman" w:hAnsi="Times New Roman" w:eastAsia="宋体" w:cs="Times New Roman"/>
                <w:color w:val="auto"/>
                <w:sz w:val="24"/>
                <w:szCs w:val="24"/>
              </w:rPr>
              <w:t>生态环境：建设过程中平整场地等对植被及地表水径流的破坏。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（5）固体废物：施工过程产生的渣土及建筑垃圾，施工人员的生活垃圾。</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jc w:val="both"/>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1、施工噪声主要环境影响和保护措施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1）主要环境影响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期噪声主要来源于施工机械，如推土机、挖掘机、载重汽车、振捣器等。虽然施工噪声仅在施工期的土建施工阶段产生，随着施工的结束而消失，但由于噪声较强，且日夜连续工作，将会对周围声环境产生严重影响，极易引起人们的反感，所以必须重视对施工期噪声的控制。距施工机械不同距离处的声级测试结果见表</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-1。</w:t>
            </w:r>
          </w:p>
          <w:p>
            <w:pPr>
              <w:keepNext w:val="0"/>
              <w:keepLines w:val="0"/>
              <w:pageBreakBefore w:val="0"/>
              <w:widowControl w:val="0"/>
              <w:kinsoku/>
              <w:wordWrap/>
              <w:overflowPunct/>
              <w:topLinePunct w:val="0"/>
              <w:autoSpaceDE/>
              <w:autoSpaceDN/>
              <w:bidi w:val="0"/>
              <w:spacing w:line="360" w:lineRule="auto"/>
              <w:jc w:val="center"/>
              <w:outlineLvl w:val="9"/>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eastAsia"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rPr>
              <w:t>-1</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距施工机械不同距离处的声级</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95"/>
              <w:gridCol w:w="977"/>
              <w:gridCol w:w="977"/>
              <w:gridCol w:w="977"/>
              <w:gridCol w:w="977"/>
              <w:gridCol w:w="977"/>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exact"/>
                <w:jc w:val="center"/>
              </w:trPr>
              <w:tc>
                <w:tcPr>
                  <w:tcW w:w="663" w:type="dxa"/>
                  <w:vMerge w:val="restart"/>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295" w:type="dxa"/>
                  <w:vMerge w:val="restart"/>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设备名称</w:t>
                  </w:r>
                </w:p>
              </w:tc>
              <w:tc>
                <w:tcPr>
                  <w:tcW w:w="5860" w:type="dxa"/>
                  <w:gridSpan w:val="6"/>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exact"/>
                <w:jc w:val="center"/>
              </w:trPr>
              <w:tc>
                <w:tcPr>
                  <w:tcW w:w="663"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p>
              </w:tc>
              <w:tc>
                <w:tcPr>
                  <w:tcW w:w="1295" w:type="dxa"/>
                  <w:vMerge w:val="continue"/>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p>
              </w:tc>
              <w:tc>
                <w:tcPr>
                  <w:tcW w:w="977"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10m</w:t>
                  </w:r>
                </w:p>
              </w:tc>
              <w:tc>
                <w:tcPr>
                  <w:tcW w:w="977"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20m</w:t>
                  </w:r>
                </w:p>
              </w:tc>
              <w:tc>
                <w:tcPr>
                  <w:tcW w:w="977"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30m</w:t>
                  </w:r>
                </w:p>
              </w:tc>
              <w:tc>
                <w:tcPr>
                  <w:tcW w:w="977"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50m</w:t>
                  </w:r>
                </w:p>
              </w:tc>
              <w:tc>
                <w:tcPr>
                  <w:tcW w:w="977"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100m</w:t>
                  </w:r>
                </w:p>
              </w:tc>
              <w:tc>
                <w:tcPr>
                  <w:tcW w:w="975"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exact"/>
                <w:jc w:val="center"/>
              </w:trPr>
              <w:tc>
                <w:tcPr>
                  <w:tcW w:w="663"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295"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挖掘机</w:t>
                  </w:r>
                </w:p>
              </w:tc>
              <w:tc>
                <w:tcPr>
                  <w:tcW w:w="977"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w:t>
                  </w:r>
                </w:p>
              </w:tc>
              <w:tc>
                <w:tcPr>
                  <w:tcW w:w="977"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59</w:t>
                  </w:r>
                </w:p>
              </w:tc>
              <w:tc>
                <w:tcPr>
                  <w:tcW w:w="977"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55.5</w:t>
                  </w:r>
                </w:p>
              </w:tc>
              <w:tc>
                <w:tcPr>
                  <w:tcW w:w="977"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w:t>
                  </w:r>
                </w:p>
              </w:tc>
              <w:tc>
                <w:tcPr>
                  <w:tcW w:w="977"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w:t>
                  </w:r>
                </w:p>
              </w:tc>
              <w:tc>
                <w:tcPr>
                  <w:tcW w:w="975"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exact"/>
                <w:jc w:val="center"/>
              </w:trPr>
              <w:tc>
                <w:tcPr>
                  <w:tcW w:w="663"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295"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载重汽车</w:t>
                  </w:r>
                </w:p>
              </w:tc>
              <w:tc>
                <w:tcPr>
                  <w:tcW w:w="977"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w:t>
                  </w:r>
                </w:p>
              </w:tc>
              <w:tc>
                <w:tcPr>
                  <w:tcW w:w="977"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64</w:t>
                  </w:r>
                </w:p>
              </w:tc>
              <w:tc>
                <w:tcPr>
                  <w:tcW w:w="977"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60.5</w:t>
                  </w:r>
                </w:p>
              </w:tc>
              <w:tc>
                <w:tcPr>
                  <w:tcW w:w="977"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56</w:t>
                  </w:r>
                </w:p>
              </w:tc>
              <w:tc>
                <w:tcPr>
                  <w:tcW w:w="977"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w:t>
                  </w:r>
                </w:p>
              </w:tc>
              <w:tc>
                <w:tcPr>
                  <w:tcW w:w="975"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663"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295"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塔吊</w:t>
                  </w:r>
                </w:p>
              </w:tc>
              <w:tc>
                <w:tcPr>
                  <w:tcW w:w="977"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w:t>
                  </w:r>
                </w:p>
              </w:tc>
              <w:tc>
                <w:tcPr>
                  <w:tcW w:w="977"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59</w:t>
                  </w:r>
                </w:p>
              </w:tc>
              <w:tc>
                <w:tcPr>
                  <w:tcW w:w="977"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55.5</w:t>
                  </w:r>
                </w:p>
              </w:tc>
              <w:tc>
                <w:tcPr>
                  <w:tcW w:w="977"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w:t>
                  </w:r>
                </w:p>
              </w:tc>
              <w:tc>
                <w:tcPr>
                  <w:tcW w:w="977"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w:t>
                  </w:r>
                </w:p>
              </w:tc>
              <w:tc>
                <w:tcPr>
                  <w:tcW w:w="975" w:type="dxa"/>
                  <w:noWrap w:val="0"/>
                  <w:vAlign w:val="center"/>
                </w:tcPr>
                <w:p>
                  <w:pPr>
                    <w:keepNext w:val="0"/>
                    <w:keepLines w:val="0"/>
                    <w:pageBreakBefore w:val="0"/>
                    <w:widowControl w:val="0"/>
                    <w:kinsoku/>
                    <w:wordWrap/>
                    <w:overflowPunct/>
                    <w:topLinePunct w:val="0"/>
                    <w:autoSpaceDE/>
                    <w:autoSpaceDN/>
                    <w:bidi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由表</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-1可以看出，施工噪声将使距声源100米范围内的昼、夜声级超过《城市区域环境噪声标准》（GB3096-2008）2类标准。这将会对周围居民住宅楼等环境噪声敏感点产生不利影响。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为减少噪声污染，本项目施工期噪声</w:t>
            </w:r>
            <w:r>
              <w:rPr>
                <w:rFonts w:hint="default" w:ascii="Times New Roman" w:hAnsi="Times New Roman" w:eastAsia="宋体" w:cs="Times New Roman"/>
                <w:color w:val="auto"/>
                <w:sz w:val="24"/>
                <w:szCs w:val="24"/>
                <w:highlight w:val="none"/>
              </w:rPr>
              <w:t>主要防治措施</w:t>
            </w:r>
            <w:r>
              <w:rPr>
                <w:rFonts w:hint="eastAsia" w:ascii="Times New Roman" w:hAnsi="Times New Roman" w:eastAsia="宋体" w:cs="Times New Roman"/>
                <w:color w:val="auto"/>
                <w:sz w:val="24"/>
                <w:szCs w:val="24"/>
                <w:highlight w:val="none"/>
                <w:lang w:eastAsia="zh-CN"/>
              </w:rPr>
              <w:t>为</w:t>
            </w:r>
            <w:r>
              <w:rPr>
                <w:rFonts w:hint="default" w:ascii="Times New Roman" w:hAnsi="Times New Roman" w:eastAsia="宋体" w:cs="Times New Roman"/>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采用较先进、噪声较低的施工设备；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将噪声级较大的施工活动尽量安排在白天，夜间进行噪声级较小的施工活动，对打桩机等主要噪声源应建议在中午（12:00-14:00）停止施工，夜间（22:00-06:00）禁止施工；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禁止夜间运行的设备应严格执行有关规定，若必须夜间施工，须先向环保部门申报并征得许可，同时事先通知周围居民、单位，以取得谅解；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在不影响施工情况下将噪声设备尽量不集中安排，并将其移至距离居民住宅等敏感点较远处，同时对固定的机械设备尽量入棚操作；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采用声屏障措施：在施工场地周围有敏感点的地方设立临时声屏障；在施工的结构阶段和装修阶段，对建筑物的外部也应采用围墙围挡，以减轻设备噪声对周围环境的影响。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2、施工废气主要环境影响和保护措施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2"/>
                <w:highlight w:val="none"/>
                <w:lang w:val="en-US" w:eastAsia="zh-CN"/>
              </w:rPr>
            </w:pPr>
            <w:r>
              <w:rPr>
                <w:rFonts w:hint="eastAsia" w:ascii="Times New Roman" w:hAnsi="Times New Roman" w:eastAsia="宋体" w:cs="Times New Roman"/>
                <w:color w:val="auto"/>
                <w:sz w:val="24"/>
                <w:szCs w:val="22"/>
                <w:highlight w:val="none"/>
                <w:lang w:val="en-US" w:eastAsia="zh-CN"/>
              </w:rPr>
              <w:t>1）主要环境影响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2"/>
                <w:highlight w:val="none"/>
                <w:lang w:eastAsia="zh-CN"/>
              </w:rPr>
            </w:pPr>
            <w:r>
              <w:rPr>
                <w:rFonts w:hint="eastAsia" w:ascii="Times New Roman" w:hAnsi="Times New Roman" w:eastAsia="宋体" w:cs="Times New Roman"/>
                <w:color w:val="auto"/>
                <w:sz w:val="24"/>
                <w:szCs w:val="22"/>
                <w:highlight w:val="none"/>
              </w:rPr>
              <w:t>在整个建设施工阶段，土地平整、挖土、建材的运输和装卸以及混泥土搅拌等施工作业过程都会产生扬尘。按起尘的原因可分为风力起尘和动力起尘。其中风力起尘主要是由于露天堆放的建材及裸露的施工区表层浮尘由于天气干燥及大风，产生风力扬尘；而动力起尘，主要是建材的装卸、搅拌的过程中，由于外力而产生的尘粒再悬浮而造成，其中施工及装卸车辆造成的扬尘最为严重</w:t>
            </w:r>
            <w:r>
              <w:rPr>
                <w:rFonts w:hint="eastAsia" w:ascii="Times New Roman" w:hAnsi="Times New Roman" w:eastAsia="宋体" w:cs="Times New Roman"/>
                <w:color w:val="auto"/>
                <w:sz w:val="24"/>
                <w:szCs w:val="22"/>
                <w:highlight w:val="none"/>
                <w:lang w:eastAsia="zh-CN"/>
              </w:rPr>
              <w:t>。如果不采取防尘抑尘等措施，将会对周边大气环境产生一定影响。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lang w:val="en-US" w:eastAsia="zh-CN"/>
              </w:rPr>
              <w:t>2）保护措施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2"/>
                <w:highlight w:val="none"/>
              </w:rPr>
              <w:t>根据《常德市大气污染防治行动计划实施方案》建筑工地施工现场管理要做到</w:t>
            </w:r>
            <w:r>
              <w:rPr>
                <w:rFonts w:hint="eastAsia" w:ascii="Times New Roman" w:hAnsi="Times New Roman" w:eastAsia="宋体" w:cs="Times New Roman"/>
                <w:color w:val="auto"/>
                <w:sz w:val="24"/>
                <w:szCs w:val="22"/>
                <w:highlight w:val="none"/>
              </w:rPr>
              <w:t>“</w:t>
            </w:r>
            <w:r>
              <w:rPr>
                <w:rFonts w:ascii="Times New Roman" w:hAnsi="Times New Roman" w:eastAsia="宋体" w:cs="Times New Roman"/>
                <w:color w:val="auto"/>
                <w:sz w:val="24"/>
                <w:szCs w:val="22"/>
                <w:highlight w:val="none"/>
              </w:rPr>
              <w:t>六必须、六不准</w:t>
            </w:r>
            <w:r>
              <w:rPr>
                <w:rFonts w:hint="eastAsia" w:ascii="Times New Roman" w:hAnsi="Times New Roman" w:eastAsia="宋体" w:cs="Times New Roman"/>
                <w:color w:val="auto"/>
                <w:sz w:val="24"/>
                <w:szCs w:val="22"/>
                <w:highlight w:val="none"/>
              </w:rPr>
              <w:t>”</w:t>
            </w:r>
            <w:r>
              <w:rPr>
                <w:rFonts w:ascii="Times New Roman" w:hAnsi="Times New Roman" w:eastAsia="宋体" w:cs="Times New Roman"/>
                <w:color w:val="auto"/>
                <w:sz w:val="24"/>
                <w:szCs w:val="22"/>
                <w:highlight w:val="none"/>
              </w:rPr>
              <w:t>：必须高标准封闭作业、必须硬化道路及作业区、必须设置洗车平台并配备冲洗设备、必须湿法作业、必须配齐保洁人员、必须定时清洗施工现场，不准车辆带泥出门、不准运渣车辆冒顶装载、不准高空抛撒建筑垃圾、不准现场搅拌</w:t>
            </w:r>
            <w:r>
              <w:rPr>
                <w:rFonts w:hint="eastAsia" w:ascii="Times New Roman" w:hAnsi="Times New Roman" w:eastAsia="宋体" w:cs="Times New Roman"/>
                <w:color w:val="auto"/>
                <w:sz w:val="24"/>
                <w:szCs w:val="22"/>
                <w:highlight w:val="none"/>
              </w:rPr>
              <w:t>干混砂浆</w:t>
            </w:r>
            <w:r>
              <w:rPr>
                <w:rFonts w:ascii="Times New Roman" w:hAnsi="Times New Roman" w:eastAsia="宋体" w:cs="Times New Roman"/>
                <w:color w:val="auto"/>
                <w:sz w:val="24"/>
                <w:szCs w:val="22"/>
                <w:highlight w:val="none"/>
              </w:rPr>
              <w:t>、不准场地积水、不准现场焚烧废弃物；遇有四级以上大风不得进行土方作业，对因故暂停施工的建设工程，应对施工区域裸土进行覆盖，临边洞口需有安全防护。所有建筑工地开工前，必须制定扬尘污染控制方案，明确扬尘控制的机构、职责、目标、重点和防尘措施，必须与具备渣土运输资质条件的运输企业签定《渣土运输合同》。各项扬尘治理设施、设备不到位，不满足开工条件的，不得发放开工许可证。市城市规划区内渣土运输车辆全部采取密闭措施，逐步安装卫星定位系统，防止各类渣土乱堆乱弃；安装建筑施工现场视频监控装置，确保各项措施落实到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为降低扬尘产生量，保护大气环境，建议施工单位采取如下措施防尘：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在施工过程中，作业场地将采取修建围墙围挡以减少扬尘扩散，围挡对减少扬尘对环境的污染有明显作用，当风速为2.5m/s时，可使影响距离缩短40%。在主干道两侧的施工现场周围，连续设置不低于2.5m高的围挡，在一般路段应连续设置不低于1.8m的围挡，并做到兼顾美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在施工场地安排员工定期对施工场地洒水以减少扬尘量，洒水次数根据天气状况而定。一般每天洒水1～2次；若遇到大风或干燥天气可适当增加洒水次数。施工场地洒水与否对扬尘的影响较大，场地洒水后，扬尘量减低28%～75%，大大减少了其对环境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对运输建筑材料及建筑垃圾的车辆加盖蓬布减少洒落。同时，车辆进出、装卸场地时应用水将轮胎冲洗干净；车辆行驶路线应首选外环路，尽量避开居民区和市中心区；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使用商品混凝土，尽量避免在大风天气下进行施工作业；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在施工场地上设置专人负责弃土、建筑垃圾、建筑材料的处置、清运和堆放，堆放场地应避开居民区的上风向，必要时加盖蓬布或洒水，防止二次扬尘；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对建筑垃圾及弃土应及时处理、清运、以减少占地，防止扬尘污染，改善施工场地的环境；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建材堆放点要相对集中，并采取一定的防尘措施，抑制扬尘量；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选择对周围环境影响较小的运输路线，定时对运输路线进行清扫。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只要加强管理、切实落实好这些措施，施工场地扬尘对环境的影响将会大大降低，同时其对环境的影响也将随施工的结束而消失。</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3、施工</w:t>
            </w:r>
            <w:r>
              <w:rPr>
                <w:rFonts w:hint="default" w:ascii="Times New Roman" w:hAnsi="Times New Roman" w:eastAsia="宋体" w:cs="Times New Roman"/>
                <w:b/>
                <w:bCs/>
                <w:color w:val="auto"/>
                <w:sz w:val="24"/>
                <w:szCs w:val="24"/>
                <w:highlight w:val="none"/>
              </w:rPr>
              <w:t>废水</w:t>
            </w:r>
            <w:r>
              <w:rPr>
                <w:rFonts w:hint="eastAsia" w:ascii="Times New Roman" w:hAnsi="Times New Roman" w:eastAsia="宋体" w:cs="Times New Roman"/>
                <w:b/>
                <w:bCs/>
                <w:color w:val="auto"/>
                <w:sz w:val="24"/>
                <w:szCs w:val="24"/>
                <w:highlight w:val="none"/>
                <w:lang w:val="en-US" w:eastAsia="zh-CN"/>
              </w:rPr>
              <w:t>主要环境影响和保护措施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2"/>
                <w:highlight w:val="none"/>
                <w:lang w:val="en-US" w:eastAsia="zh-CN"/>
              </w:rPr>
              <w:t>1）主要环境影响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施工期间产生的废水主要有基础施工中泥浆水，建材冲洗水，车辆出入冲洗水等生产废水和施工人员所产生的生活废水等。</w:t>
            </w:r>
            <w:r>
              <w:rPr>
                <w:rFonts w:hint="eastAsia" w:ascii="Times New Roman" w:hAnsi="Times New Roman" w:eastAsia="宋体" w:cs="Times New Roman"/>
                <w:color w:val="auto"/>
                <w:sz w:val="24"/>
                <w:szCs w:val="24"/>
                <w:highlight w:val="none"/>
                <w:lang w:eastAsia="zh-CN"/>
              </w:rPr>
              <w:t>施工</w:t>
            </w:r>
            <w:r>
              <w:rPr>
                <w:rFonts w:hint="default" w:ascii="Times New Roman" w:hAnsi="Times New Roman" w:eastAsia="宋体" w:cs="Times New Roman"/>
                <w:color w:val="auto"/>
                <w:sz w:val="24"/>
                <w:szCs w:val="24"/>
                <w:highlight w:val="none"/>
              </w:rPr>
              <w:t>废水中主要含有悬浮物、石油类等，生活污水中主要含有COD、BOD</w:t>
            </w:r>
            <w:r>
              <w:rPr>
                <w:rFonts w:hint="default" w:ascii="Times New Roman" w:hAnsi="Times New Roman" w:eastAsia="宋体" w:cs="Times New Roman"/>
                <w:color w:val="auto"/>
                <w:sz w:val="24"/>
                <w:szCs w:val="24"/>
                <w:highlight w:val="none"/>
                <w:vertAlign w:val="subscript"/>
              </w:rPr>
              <w:t>5</w:t>
            </w:r>
            <w:r>
              <w:rPr>
                <w:rFonts w:hint="default" w:ascii="Times New Roman" w:hAnsi="Times New Roman" w:eastAsia="宋体" w:cs="Times New Roman"/>
                <w:color w:val="auto"/>
                <w:sz w:val="24"/>
                <w:szCs w:val="24"/>
                <w:highlight w:val="none"/>
              </w:rPr>
              <w:t>、SS等污染物。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sz w:val="24"/>
                <w:szCs w:val="24"/>
                <w:lang w:eastAsia="zh-CN"/>
              </w:rPr>
            </w:pPr>
            <w:r>
              <w:rPr>
                <w:rFonts w:hint="eastAsia" w:ascii="Times New Roman" w:hAnsi="Times New Roman" w:eastAsia="宋体" w:cs="Times New Roman"/>
                <w:color w:val="auto"/>
                <w:sz w:val="24"/>
                <w:szCs w:val="22"/>
                <w:highlight w:val="none"/>
                <w:lang w:val="en-US" w:eastAsia="zh-CN"/>
              </w:rPr>
              <w:t>2）保护措施</w:t>
            </w:r>
          </w:p>
          <w:p>
            <w:pPr>
              <w:spacing w:line="360" w:lineRule="auto"/>
              <w:ind w:firstLine="480" w:firstLineChars="200"/>
              <w:rPr>
                <w:color w:val="auto"/>
                <w:sz w:val="24"/>
                <w:szCs w:val="24"/>
              </w:rPr>
            </w:pPr>
            <w:r>
              <w:rPr>
                <w:color w:val="auto"/>
                <w:sz w:val="24"/>
                <w:szCs w:val="24"/>
              </w:rPr>
              <w:t>施工废水含有石油类污染物及大量悬浮物直接排放将对环境造成较大的污染。环评</w:t>
            </w:r>
            <w:r>
              <w:rPr>
                <w:rFonts w:hint="eastAsia"/>
                <w:color w:val="auto"/>
                <w:sz w:val="24"/>
                <w:szCs w:val="24"/>
              </w:rPr>
              <w:t>要求</w:t>
            </w:r>
            <w:r>
              <w:rPr>
                <w:color w:val="auto"/>
                <w:sz w:val="24"/>
                <w:szCs w:val="24"/>
              </w:rPr>
              <w:t>建设单位</w:t>
            </w:r>
            <w:r>
              <w:rPr>
                <w:rFonts w:hint="eastAsia" w:ascii="宋体" w:hAnsi="宋体"/>
                <w:color w:val="auto"/>
                <w:sz w:val="24"/>
                <w:shd w:val="clear" w:color="auto" w:fill="FFFFFF"/>
              </w:rPr>
              <w:t>在</w:t>
            </w:r>
            <w:r>
              <w:rPr>
                <w:rFonts w:ascii="宋体" w:hAnsi="宋体"/>
                <w:color w:val="auto"/>
                <w:sz w:val="24"/>
                <w:shd w:val="clear" w:color="auto" w:fill="FFFFFF"/>
              </w:rPr>
              <w:t>施工场地设置截水沟</w:t>
            </w:r>
            <w:r>
              <w:rPr>
                <w:rFonts w:hint="eastAsia" w:ascii="宋体" w:hAnsi="宋体"/>
                <w:color w:val="auto"/>
                <w:sz w:val="24"/>
                <w:shd w:val="clear" w:color="auto" w:fill="FFFFFF"/>
              </w:rPr>
              <w:t>，</w:t>
            </w:r>
            <w:r>
              <w:rPr>
                <w:rFonts w:ascii="宋体" w:hAnsi="宋体"/>
                <w:color w:val="auto"/>
                <w:sz w:val="24"/>
                <w:shd w:val="clear" w:color="auto" w:fill="FFFFFF"/>
              </w:rPr>
              <w:t>集中收集施工废水，将全部施工废水引入</w:t>
            </w:r>
            <w:r>
              <w:rPr>
                <w:rFonts w:hint="eastAsia" w:ascii="宋体" w:hAnsi="宋体"/>
                <w:color w:val="auto"/>
                <w:sz w:val="24"/>
                <w:shd w:val="clear" w:color="auto" w:fill="FFFFFF"/>
              </w:rPr>
              <w:t>厂区</w:t>
            </w:r>
            <w:r>
              <w:rPr>
                <w:rFonts w:ascii="宋体" w:hAnsi="宋体"/>
                <w:color w:val="auto"/>
                <w:sz w:val="24"/>
                <w:shd w:val="clear" w:color="auto" w:fill="FFFFFF"/>
              </w:rPr>
              <w:t>沉淀</w:t>
            </w:r>
            <w:r>
              <w:rPr>
                <w:rFonts w:hint="eastAsia" w:ascii="宋体" w:hAnsi="宋体"/>
                <w:color w:val="auto"/>
                <w:sz w:val="24"/>
                <w:shd w:val="clear" w:color="auto" w:fill="FFFFFF"/>
              </w:rPr>
              <w:t>系统</w:t>
            </w:r>
            <w:r>
              <w:rPr>
                <w:rFonts w:ascii="宋体" w:hAnsi="宋体"/>
                <w:color w:val="auto"/>
                <w:sz w:val="24"/>
                <w:shd w:val="clear" w:color="auto" w:fill="FFFFFF"/>
              </w:rPr>
              <w:t>，</w:t>
            </w:r>
            <w:r>
              <w:rPr>
                <w:rFonts w:hint="eastAsia" w:ascii="宋体" w:hAnsi="宋体"/>
                <w:color w:val="auto"/>
                <w:sz w:val="24"/>
                <w:shd w:val="clear" w:color="auto" w:fill="FFFFFF"/>
              </w:rPr>
              <w:t>不直接对外排放</w:t>
            </w:r>
            <w:r>
              <w:rPr>
                <w:rFonts w:hint="eastAsia" w:ascii="宋体" w:hAnsi="宋体"/>
                <w:color w:val="auto"/>
                <w:sz w:val="24"/>
                <w:shd w:val="clear" w:color="auto" w:fill="FFFFFF"/>
                <w:lang w:eastAsia="zh-CN"/>
              </w:rPr>
              <w:t>，</w:t>
            </w:r>
            <w:r>
              <w:rPr>
                <w:color w:val="auto"/>
                <w:sz w:val="24"/>
                <w:szCs w:val="24"/>
              </w:rPr>
              <w:t>修建隔油</w:t>
            </w:r>
            <w:r>
              <w:rPr>
                <w:rFonts w:hint="eastAsia"/>
                <w:color w:val="auto"/>
                <w:sz w:val="24"/>
                <w:szCs w:val="24"/>
              </w:rPr>
              <w:t>池、</w:t>
            </w:r>
            <w:r>
              <w:rPr>
                <w:color w:val="auto"/>
                <w:sz w:val="24"/>
                <w:szCs w:val="24"/>
              </w:rPr>
              <w:t>沉淀池对施工废水进行隔油、沉淀处理后回用于施工机械车辆清洗、场地洒水等。</w:t>
            </w:r>
          </w:p>
          <w:p>
            <w:pPr>
              <w:adjustRightInd w:val="0"/>
              <w:snapToGrid w:val="0"/>
              <w:spacing w:line="360" w:lineRule="auto"/>
              <w:ind w:firstLine="480" w:firstLineChars="200"/>
              <w:rPr>
                <w:rFonts w:hint="default" w:ascii="宋体" w:hAnsi="宋体" w:eastAsia="宋体" w:cs="Times New Roman"/>
                <w:b/>
                <w:bCs/>
                <w:color w:val="auto"/>
                <w:sz w:val="24"/>
                <w:lang w:val="en-US" w:eastAsia="zh-CN"/>
              </w:rPr>
            </w:pPr>
            <w:r>
              <w:rPr>
                <w:rFonts w:hint="eastAsia" w:ascii="宋体" w:hAnsi="宋体"/>
                <w:color w:val="auto"/>
                <w:sz w:val="24"/>
              </w:rPr>
              <w:t>施工期的生活污水</w:t>
            </w:r>
            <w:r>
              <w:rPr>
                <w:rFonts w:hint="eastAsia" w:ascii="宋体" w:hAnsi="宋体"/>
                <w:color w:val="auto"/>
                <w:sz w:val="24"/>
                <w:lang w:eastAsia="zh-CN"/>
              </w:rPr>
              <w:t>依托原有的生活污水处理设施化粪池处理后定期清掏用作农肥。</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val="en-US" w:eastAsia="zh-CN"/>
              </w:rPr>
              <w:t>4、施工期间</w:t>
            </w:r>
            <w:r>
              <w:rPr>
                <w:rFonts w:hint="default" w:ascii="Times New Roman" w:hAnsi="Times New Roman" w:eastAsia="宋体" w:cs="Times New Roman"/>
                <w:b/>
                <w:bCs/>
                <w:color w:val="auto"/>
                <w:sz w:val="24"/>
                <w:szCs w:val="24"/>
                <w:highlight w:val="none"/>
              </w:rPr>
              <w:t>固体废物</w:t>
            </w:r>
            <w:r>
              <w:rPr>
                <w:rFonts w:hint="eastAsia" w:ascii="Times New Roman" w:hAnsi="Times New Roman" w:eastAsia="宋体" w:cs="Times New Roman"/>
                <w:b/>
                <w:bCs/>
                <w:color w:val="auto"/>
                <w:sz w:val="24"/>
                <w:szCs w:val="24"/>
                <w:highlight w:val="none"/>
                <w:lang w:val="en-US" w:eastAsia="zh-CN"/>
              </w:rPr>
              <w:t>主要环境影响和保护措施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2"/>
                <w:highlight w:val="none"/>
                <w:lang w:val="en-US" w:eastAsia="zh-CN"/>
              </w:rPr>
              <w:t>1）主要环境影响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建设施工过程中产生废弃的建筑材料、废土、建筑垃圾、生活垃圾等固体废物。施工现场产生的固体废物以建筑垃圾为主。大量的建筑垃圾及弃土的堆放不仅影响城市景观，而且还容易引起扬尘等环境问题</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施工期的生活垃圾量很少，主要是厨余，另外还有少量工人用餐后的废弃饭盒、塑料袋等。如不及时清理，在气温适宜的条件下会滋生蚊虫、产生恶臭、传播疾病。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2"/>
                <w:highlight w:val="none"/>
                <w:lang w:val="en-US" w:eastAsia="zh-CN"/>
              </w:rPr>
              <w:t>2）保护措施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避免这些问题的出现，对施工中产生的固体废物必须及时处理。施工期的建筑垃圾应随时外运，运至建筑垃圾填埋场统一处理。弃土拟在本工程建设中用做填埋土。采取定点堆放、即产即清的方法外运至城市垃圾中转站。采取上述措施后项目施工期间固体废物对周围环境影响不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32"/>
                <w:szCs w:val="32"/>
                <w:lang w:eastAsia="zh-CN"/>
              </w:rPr>
            </w:pPr>
            <w:r>
              <w:rPr>
                <w:rFonts w:hint="default" w:ascii="Times New Roman" w:hAnsi="Times New Roman" w:eastAsia="宋体" w:cs="Times New Roman"/>
                <w:color w:val="auto"/>
                <w:sz w:val="24"/>
                <w:szCs w:val="24"/>
                <w:highlight w:val="none"/>
              </w:rPr>
              <w:t>总之，项目施工期对环境产生的上述影响，均为可逆的、短期的，项目建成后，影响即自行消除。建设单位和施工单位在施工过程中只要切实落实对施工产生的扬尘、</w:t>
            </w:r>
            <w:r>
              <w:rPr>
                <w:rFonts w:hint="eastAsia" w:ascii="Times New Roman" w:hAnsi="Times New Roman" w:eastAsia="宋体" w:cs="Times New Roman"/>
                <w:color w:val="auto"/>
                <w:sz w:val="24"/>
                <w:szCs w:val="24"/>
                <w:highlight w:val="none"/>
                <w:lang w:eastAsia="zh-CN"/>
              </w:rPr>
              <w:t>废水、</w:t>
            </w:r>
            <w:r>
              <w:rPr>
                <w:rFonts w:hint="default" w:ascii="Times New Roman" w:hAnsi="Times New Roman" w:eastAsia="宋体" w:cs="Times New Roman"/>
                <w:color w:val="auto"/>
                <w:sz w:val="24"/>
                <w:szCs w:val="24"/>
                <w:highlight w:val="none"/>
              </w:rPr>
              <w:t>噪声、固体废物的管理和控制措施，施工期的环境影响将得到有效控制。</w:t>
            </w: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default"/>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37" w:type="dxa"/>
            <w:noWrap w:val="0"/>
            <w:tcMar>
              <w:left w:w="28" w:type="dxa"/>
              <w:right w:w="28" w:type="dxa"/>
            </w:tcMar>
            <w:vAlign w:val="center"/>
          </w:tcPr>
          <w:p>
            <w:pPr>
              <w:adjustRightInd w:val="0"/>
              <w:snapToGrid w:val="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运营</w:t>
            </w:r>
          </w:p>
          <w:p>
            <w:pPr>
              <w:adjustRightInd w:val="0"/>
              <w:snapToGrid w:val="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期环</w:t>
            </w:r>
          </w:p>
          <w:p>
            <w:pPr>
              <w:adjustRightInd w:val="0"/>
              <w:snapToGrid w:val="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境影</w:t>
            </w:r>
          </w:p>
          <w:p>
            <w:pPr>
              <w:adjustRightInd w:val="0"/>
              <w:snapToGrid w:val="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响和</w:t>
            </w:r>
          </w:p>
          <w:p>
            <w:pPr>
              <w:adjustRightInd w:val="0"/>
              <w:snapToGrid w:val="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保护</w:t>
            </w:r>
          </w:p>
          <w:p>
            <w:pPr>
              <w:adjustRightInd w:val="0"/>
              <w:snapToGrid w:val="0"/>
              <w:jc w:val="center"/>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措施</w:t>
            </w:r>
          </w:p>
        </w:tc>
        <w:tc>
          <w:tcPr>
            <w:tcW w:w="8244"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color w:val="auto"/>
                <w:sz w:val="24"/>
                <w:szCs w:val="24"/>
                <w:lang w:val="en-US" w:eastAsia="zh-CN"/>
              </w:rPr>
            </w:pPr>
            <w:r>
              <w:rPr>
                <w:rFonts w:hint="eastAsia"/>
                <w:color w:val="auto"/>
                <w:lang w:val="en-US" w:eastAsia="zh-CN"/>
              </w:rPr>
              <w:t xml:space="preserve">  </w:t>
            </w:r>
            <w:r>
              <w:rPr>
                <w:rFonts w:hint="eastAsia"/>
                <w:color w:val="auto"/>
                <w:sz w:val="24"/>
                <w:szCs w:val="24"/>
                <w:lang w:val="en-US" w:eastAsia="zh-CN"/>
              </w:rPr>
              <w:t>一、废气</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color w:val="auto"/>
                <w:sz w:val="24"/>
                <w:szCs w:val="24"/>
                <w:lang w:val="en-US" w:eastAsia="zh-CN"/>
              </w:rPr>
            </w:pPr>
            <w:r>
              <w:rPr>
                <w:rFonts w:hint="eastAsia"/>
                <w:color w:val="auto"/>
                <w:sz w:val="24"/>
                <w:szCs w:val="24"/>
                <w:lang w:val="en-US" w:eastAsia="zh-CN"/>
              </w:rPr>
              <w:t xml:space="preserve">  1）机制砂生产工艺</w:t>
            </w:r>
          </w:p>
          <w:p>
            <w:pPr>
              <w:shd w:val="clear" w:color="auto" w:fill="auto"/>
              <w:spacing w:line="360" w:lineRule="auto"/>
              <w:ind w:firstLine="480" w:firstLineChars="200"/>
              <w:rPr>
                <w:rFonts w:hint="eastAsia"/>
                <w:color w:val="auto"/>
                <w:sz w:val="24"/>
                <w:szCs w:val="24"/>
                <w:lang w:eastAsia="zh-CN"/>
              </w:rPr>
            </w:pPr>
            <w:r>
              <w:rPr>
                <w:rFonts w:hint="eastAsia"/>
                <w:color w:val="auto"/>
                <w:sz w:val="24"/>
                <w:szCs w:val="24"/>
                <w:lang w:val="en-US" w:eastAsia="zh-CN"/>
              </w:rPr>
              <w:t>机制砂</w:t>
            </w:r>
            <w:r>
              <w:rPr>
                <w:rFonts w:hint="default"/>
                <w:color w:val="auto"/>
                <w:sz w:val="24"/>
                <w:szCs w:val="24"/>
                <w:lang w:val="en-US" w:eastAsia="zh-CN"/>
              </w:rPr>
              <w:t>生产</w:t>
            </w:r>
            <w:r>
              <w:rPr>
                <w:rFonts w:hint="eastAsia"/>
                <w:color w:val="auto"/>
                <w:sz w:val="24"/>
                <w:szCs w:val="24"/>
                <w:lang w:val="en-US" w:eastAsia="zh-CN"/>
              </w:rPr>
              <w:t>过程中</w:t>
            </w:r>
            <w:r>
              <w:rPr>
                <w:rFonts w:hint="default"/>
                <w:color w:val="auto"/>
                <w:sz w:val="24"/>
                <w:szCs w:val="24"/>
                <w:lang w:val="en-US" w:eastAsia="zh-CN"/>
              </w:rPr>
              <w:t>废气主要为</w:t>
            </w:r>
            <w:r>
              <w:rPr>
                <w:rFonts w:hint="eastAsia"/>
                <w:color w:val="auto"/>
                <w:sz w:val="24"/>
                <w:szCs w:val="24"/>
                <w:lang w:val="en-US" w:eastAsia="zh-CN"/>
              </w:rPr>
              <w:t>堆场</w:t>
            </w:r>
            <w:r>
              <w:rPr>
                <w:rFonts w:hint="default"/>
                <w:color w:val="auto"/>
                <w:sz w:val="24"/>
                <w:szCs w:val="24"/>
                <w:lang w:val="en-US" w:eastAsia="zh-CN"/>
              </w:rPr>
              <w:t>、输送、</w:t>
            </w:r>
            <w:r>
              <w:rPr>
                <w:rFonts w:hint="eastAsia"/>
                <w:color w:val="auto"/>
                <w:sz w:val="24"/>
                <w:szCs w:val="24"/>
                <w:lang w:val="en-US" w:eastAsia="zh-CN"/>
              </w:rPr>
              <w:t>装卸</w:t>
            </w:r>
            <w:r>
              <w:rPr>
                <w:rFonts w:hint="default"/>
                <w:color w:val="auto"/>
                <w:sz w:val="24"/>
                <w:szCs w:val="24"/>
                <w:lang w:val="en-US" w:eastAsia="zh-CN"/>
              </w:rPr>
              <w:t>、破碎</w:t>
            </w:r>
            <w:r>
              <w:rPr>
                <w:rFonts w:hint="eastAsia"/>
                <w:color w:val="auto"/>
                <w:sz w:val="24"/>
                <w:szCs w:val="24"/>
                <w:lang w:val="en-US" w:eastAsia="zh-CN"/>
              </w:rPr>
              <w:t>、筛分</w:t>
            </w:r>
            <w:r>
              <w:rPr>
                <w:rFonts w:hint="default"/>
                <w:color w:val="auto"/>
                <w:sz w:val="24"/>
                <w:szCs w:val="24"/>
                <w:lang w:val="en-US" w:eastAsia="zh-CN"/>
              </w:rPr>
              <w:t>过程产生的颗粒物</w:t>
            </w:r>
            <w:r>
              <w:rPr>
                <w:rFonts w:hint="eastAsia"/>
                <w:color w:val="auto"/>
                <w:sz w:val="24"/>
                <w:szCs w:val="24"/>
                <w:lang w:val="en-US" w:eastAsia="zh-CN"/>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color w:val="auto"/>
                <w:sz w:val="24"/>
                <w:szCs w:val="24"/>
                <w:lang w:eastAsia="zh-CN"/>
              </w:rPr>
            </w:pPr>
            <w:r>
              <w:rPr>
                <w:rFonts w:hint="eastAsia"/>
                <w:color w:val="auto"/>
                <w:sz w:val="24"/>
                <w:szCs w:val="24"/>
                <w:lang w:eastAsia="zh-CN"/>
              </w:rPr>
              <w:t>破碎、筛分粉尘（</w:t>
            </w:r>
            <w:r>
              <w:rPr>
                <w:rFonts w:hint="eastAsia"/>
                <w:color w:val="auto"/>
                <w:sz w:val="24"/>
                <w:szCs w:val="24"/>
                <w:lang w:val="en-US" w:eastAsia="zh-CN"/>
              </w:rPr>
              <w:t>G1</w:t>
            </w:r>
            <w:r>
              <w:rPr>
                <w:rFonts w:hint="eastAsia"/>
                <w:color w:val="auto"/>
                <w:sz w:val="24"/>
                <w:szCs w:val="24"/>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default"/>
                <w:color w:val="auto"/>
                <w:sz w:val="24"/>
                <w:szCs w:val="24"/>
              </w:rPr>
            </w:pPr>
            <w:r>
              <w:rPr>
                <w:rFonts w:hint="default"/>
                <w:color w:val="auto"/>
                <w:sz w:val="24"/>
                <w:szCs w:val="24"/>
              </w:rPr>
              <w:t>根据《逸散性工业粉尘控制技术》((美)奥里蒙(Orlemann,J.A.)等编著;张良壁,刘敬严编译)，颗粒物产生系数为 0.1kg/t-产品（一级破碎和筛分 0.05kg/t、二级破碎和筛分 0.05kg/t）。本项目年产</w:t>
            </w:r>
            <w:r>
              <w:rPr>
                <w:rFonts w:hint="eastAsia"/>
                <w:color w:val="auto"/>
                <w:sz w:val="24"/>
                <w:szCs w:val="24"/>
                <w:lang w:val="en-US" w:eastAsia="zh-CN"/>
              </w:rPr>
              <w:t>60</w:t>
            </w:r>
            <w:r>
              <w:rPr>
                <w:rFonts w:hint="default"/>
                <w:color w:val="auto"/>
                <w:sz w:val="24"/>
                <w:szCs w:val="24"/>
              </w:rPr>
              <w:t>万吨机制砂，则颗粒物产生量为</w:t>
            </w:r>
            <w:r>
              <w:rPr>
                <w:rFonts w:hint="eastAsia"/>
                <w:color w:val="auto"/>
                <w:sz w:val="24"/>
                <w:szCs w:val="24"/>
                <w:lang w:val="en-US" w:eastAsia="zh-CN"/>
              </w:rPr>
              <w:t>60</w:t>
            </w:r>
            <w:r>
              <w:rPr>
                <w:rFonts w:hint="default"/>
                <w:color w:val="auto"/>
                <w:sz w:val="24"/>
                <w:szCs w:val="24"/>
              </w:rPr>
              <w:t>t/a。建设单位拟在破碎和筛分工序均设置水</w:t>
            </w:r>
            <w:r>
              <w:rPr>
                <w:rFonts w:hint="eastAsia"/>
                <w:color w:val="auto"/>
                <w:sz w:val="24"/>
                <w:szCs w:val="24"/>
                <w:lang w:eastAsia="zh-CN"/>
              </w:rPr>
              <w:t>喷雾</w:t>
            </w:r>
            <w:r>
              <w:rPr>
                <w:rFonts w:hint="default"/>
                <w:color w:val="auto"/>
                <w:sz w:val="24"/>
                <w:szCs w:val="24"/>
              </w:rPr>
              <w:t>装置，本项目制砂过程破碎和筛分工会采用湿法作业，同时建设单位对破碎、筛分厂房</w:t>
            </w:r>
            <w:r>
              <w:rPr>
                <w:rFonts w:hint="eastAsia"/>
                <w:color w:val="auto"/>
                <w:sz w:val="24"/>
                <w:szCs w:val="24"/>
                <w:lang w:eastAsia="zh-CN"/>
              </w:rPr>
              <w:t>单独的封闭式</w:t>
            </w:r>
            <w:r>
              <w:rPr>
                <w:rFonts w:hint="default"/>
                <w:color w:val="auto"/>
                <w:sz w:val="24"/>
                <w:szCs w:val="24"/>
              </w:rPr>
              <w:t>生产车间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default"/>
                <w:color w:val="auto"/>
                <w:sz w:val="24"/>
                <w:szCs w:val="24"/>
              </w:rPr>
            </w:pPr>
            <w:r>
              <w:rPr>
                <w:rFonts w:hint="default"/>
                <w:color w:val="auto"/>
                <w:sz w:val="24"/>
                <w:szCs w:val="24"/>
              </w:rPr>
              <w:t>根据《逸散性工业粉尘控制技术》，采用喷淋除尘，控制效率为90%，经喷淋除尘后，颗粒物的排放量为</w:t>
            </w:r>
            <w:r>
              <w:rPr>
                <w:rFonts w:hint="eastAsia"/>
                <w:color w:val="auto"/>
                <w:sz w:val="24"/>
                <w:szCs w:val="24"/>
                <w:lang w:val="en-US" w:eastAsia="zh-CN"/>
              </w:rPr>
              <w:t>6</w:t>
            </w:r>
            <w:r>
              <w:rPr>
                <w:rFonts w:hint="default"/>
                <w:color w:val="auto"/>
                <w:sz w:val="24"/>
                <w:szCs w:val="24"/>
              </w:rPr>
              <w:t>t/a</w:t>
            </w:r>
            <w:r>
              <w:rPr>
                <w:rFonts w:hint="eastAsia"/>
                <w:color w:val="auto"/>
                <w:sz w:val="24"/>
                <w:szCs w:val="24"/>
                <w:lang w:eastAsia="zh-CN"/>
              </w:rPr>
              <w:t>，破碎、筛分工序为单独的全封闭式车间</w:t>
            </w:r>
            <w:r>
              <w:rPr>
                <w:rFonts w:hint="default"/>
                <w:color w:val="auto"/>
                <w:sz w:val="24"/>
                <w:szCs w:val="24"/>
              </w:rPr>
              <w:t>，</w:t>
            </w:r>
            <w:r>
              <w:rPr>
                <w:rFonts w:hint="eastAsia"/>
                <w:color w:val="auto"/>
                <w:sz w:val="24"/>
                <w:szCs w:val="24"/>
                <w:lang w:eastAsia="zh-CN"/>
              </w:rPr>
              <w:t>约有</w:t>
            </w:r>
            <w:r>
              <w:rPr>
                <w:rFonts w:hint="eastAsia"/>
                <w:color w:val="auto"/>
                <w:sz w:val="24"/>
                <w:szCs w:val="24"/>
                <w:lang w:val="en-US" w:eastAsia="zh-CN"/>
              </w:rPr>
              <w:t>10%的粉尘散逸出来</w:t>
            </w:r>
            <w:r>
              <w:rPr>
                <w:rFonts w:hint="default"/>
                <w:color w:val="auto"/>
                <w:sz w:val="24"/>
                <w:szCs w:val="24"/>
              </w:rPr>
              <w:t>，因此经封闭式车间处理后颗粒物的排放量为</w:t>
            </w:r>
            <w:r>
              <w:rPr>
                <w:rFonts w:hint="eastAsia"/>
                <w:color w:val="auto"/>
                <w:sz w:val="24"/>
                <w:szCs w:val="24"/>
                <w:lang w:val="en-US" w:eastAsia="zh-CN"/>
              </w:rPr>
              <w:t>0.6</w:t>
            </w:r>
            <w:r>
              <w:rPr>
                <w:rFonts w:hint="default"/>
                <w:color w:val="auto"/>
                <w:sz w:val="24"/>
                <w:szCs w:val="24"/>
              </w:rPr>
              <w:t>t/a。项目整个厂房采取全封闭措施，控制效率为90%，则本项目颗粒物排放量为0.</w:t>
            </w:r>
            <w:r>
              <w:rPr>
                <w:rFonts w:hint="eastAsia"/>
                <w:color w:val="auto"/>
                <w:sz w:val="24"/>
                <w:szCs w:val="24"/>
                <w:lang w:val="en-US" w:eastAsia="zh-CN"/>
              </w:rPr>
              <w:t>06</w:t>
            </w:r>
            <w:r>
              <w:rPr>
                <w:rFonts w:hint="default"/>
                <w:color w:val="auto"/>
                <w:sz w:val="24"/>
                <w:szCs w:val="24"/>
              </w:rPr>
              <w:t>t/a，排放速率为0.0</w:t>
            </w:r>
            <w:r>
              <w:rPr>
                <w:rFonts w:hint="eastAsia"/>
                <w:color w:val="auto"/>
                <w:sz w:val="24"/>
                <w:szCs w:val="24"/>
                <w:lang w:val="en-US" w:eastAsia="zh-CN"/>
              </w:rPr>
              <w:t>27</w:t>
            </w:r>
            <w:r>
              <w:rPr>
                <w:rFonts w:hint="default"/>
                <w:color w:val="auto"/>
                <w:sz w:val="24"/>
                <w:szCs w:val="24"/>
              </w:rPr>
              <w:t>kg/h。</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color w:val="auto"/>
                <w:sz w:val="24"/>
                <w:szCs w:val="24"/>
                <w:lang w:eastAsia="zh-CN"/>
              </w:rPr>
            </w:pPr>
            <w:r>
              <w:rPr>
                <w:rFonts w:hint="eastAsia"/>
                <w:color w:val="auto"/>
                <w:sz w:val="24"/>
                <w:szCs w:val="24"/>
                <w:lang w:eastAsia="zh-CN"/>
              </w:rPr>
              <w:t>堆场扬尘（</w:t>
            </w:r>
            <w:r>
              <w:rPr>
                <w:rFonts w:hint="eastAsia"/>
                <w:color w:val="auto"/>
                <w:sz w:val="24"/>
                <w:szCs w:val="24"/>
                <w:lang w:val="en-US" w:eastAsia="zh-CN"/>
              </w:rPr>
              <w:t>G2</w:t>
            </w:r>
            <w:r>
              <w:rPr>
                <w:rFonts w:hint="eastAsia"/>
                <w:color w:val="auto"/>
                <w:sz w:val="24"/>
                <w:szCs w:val="24"/>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color w:val="auto"/>
                <w:sz w:val="24"/>
                <w:szCs w:val="24"/>
                <w:lang w:eastAsia="zh-CN"/>
              </w:rPr>
            </w:pPr>
            <w:r>
              <w:rPr>
                <w:rFonts w:hint="eastAsia"/>
                <w:color w:val="auto"/>
                <w:sz w:val="24"/>
                <w:szCs w:val="24"/>
                <w:lang w:eastAsia="zh-CN"/>
              </w:rPr>
              <w:t>堆场起尘主要与物料粒径、起动风速、含水率等因素相关。本项目堆场分为原料堆场和成品砂石堆场。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color w:val="auto"/>
                <w:sz w:val="24"/>
                <w:szCs w:val="24"/>
                <w:lang w:eastAsia="zh-CN"/>
              </w:rPr>
            </w:pPr>
            <w:r>
              <w:rPr>
                <w:rFonts w:hint="eastAsia"/>
                <w:color w:val="auto"/>
                <w:sz w:val="24"/>
                <w:szCs w:val="24"/>
                <w:lang w:eastAsia="zh-CN"/>
              </w:rPr>
              <w:t>①原料堆场起尘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color w:val="auto"/>
                <w:sz w:val="24"/>
                <w:szCs w:val="24"/>
                <w:lang w:eastAsia="zh-CN"/>
              </w:rPr>
            </w:pPr>
            <w:r>
              <w:rPr>
                <w:rFonts w:hint="eastAsia"/>
                <w:color w:val="auto"/>
                <w:sz w:val="24"/>
                <w:szCs w:val="24"/>
                <w:lang w:eastAsia="zh-CN"/>
              </w:rPr>
              <w:t>原料堆场：建设单位将原料堆场设置在封闭的车间内，本项目原料为鹅卵石，含水率为</w:t>
            </w:r>
            <w:r>
              <w:rPr>
                <w:rFonts w:hint="eastAsia"/>
                <w:color w:val="auto"/>
                <w:sz w:val="24"/>
                <w:szCs w:val="24"/>
                <w:lang w:val="en-US" w:eastAsia="zh-CN"/>
              </w:rPr>
              <w:t>8%，</w:t>
            </w:r>
            <w:r>
              <w:rPr>
                <w:rFonts w:hint="eastAsia"/>
                <w:color w:val="auto"/>
                <w:sz w:val="24"/>
                <w:szCs w:val="24"/>
                <w:lang w:eastAsia="zh-CN"/>
              </w:rPr>
              <w:t>粒径一般在10~20cm之间，因此原料堆存过程仅有少量扬尘产生，以无组织形式逸散。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color w:val="auto"/>
                <w:sz w:val="24"/>
                <w:szCs w:val="24"/>
                <w:lang w:eastAsia="zh-CN"/>
              </w:rPr>
            </w:pPr>
            <w:r>
              <w:rPr>
                <w:rFonts w:hint="eastAsia"/>
                <w:color w:val="auto"/>
                <w:sz w:val="24"/>
                <w:szCs w:val="24"/>
                <w:lang w:eastAsia="zh-CN"/>
              </w:rPr>
              <w:t>②成品堆场扬尘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eastAsia"/>
                <w:color w:val="auto"/>
                <w:sz w:val="24"/>
                <w:szCs w:val="24"/>
                <w:lang w:eastAsia="zh-CN"/>
              </w:rPr>
            </w:pPr>
            <w:r>
              <w:rPr>
                <w:rFonts w:hint="eastAsia"/>
                <w:color w:val="auto"/>
                <w:sz w:val="24"/>
                <w:szCs w:val="24"/>
                <w:lang w:eastAsia="zh-CN"/>
              </w:rPr>
              <w:t>产品堆场：建设单位将产品堆场设置在封闭的车间内，则堆场内基本无自然风，堆场内风速小于0.2m/s，而砂粒启动风速一般在4m/s 以上，成品堆场扬尘根据以下公式进行计算：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480" w:firstLineChars="200"/>
              <w:jc w:val="center"/>
              <w:textAlignment w:val="auto"/>
              <w:rPr>
                <w:color w:val="auto"/>
                <w:sz w:val="24"/>
                <w:szCs w:val="24"/>
              </w:rPr>
            </w:pPr>
            <w:r>
              <w:rPr>
                <w:color w:val="auto"/>
                <w:sz w:val="24"/>
                <w:szCs w:val="24"/>
              </w:rPr>
              <w:drawing>
                <wp:inline distT="0" distB="0" distL="114300" distR="114300">
                  <wp:extent cx="1666875" cy="212725"/>
                  <wp:effectExtent l="0" t="0" r="9525" b="15875"/>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11"/>
                          <a:stretch>
                            <a:fillRect/>
                          </a:stretch>
                        </pic:blipFill>
                        <pic:spPr>
                          <a:xfrm>
                            <a:off x="0" y="0"/>
                            <a:ext cx="1666875" cy="212725"/>
                          </a:xfrm>
                          <a:prstGeom prst="rect">
                            <a:avLst/>
                          </a:prstGeom>
                          <a:noFill/>
                          <a:ln>
                            <a:noFill/>
                          </a:ln>
                        </pic:spPr>
                      </pic:pic>
                    </a:graphicData>
                  </a:graphic>
                </wp:inline>
              </w:drawing>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color w:val="auto"/>
                <w:sz w:val="24"/>
                <w:szCs w:val="24"/>
              </w:rPr>
            </w:pPr>
            <w:r>
              <w:rPr>
                <w:rFonts w:hint="default"/>
                <w:color w:val="auto"/>
                <w:sz w:val="24"/>
                <w:szCs w:val="24"/>
              </w:rPr>
              <w:t>式中：Q---物料起尘量，单位：mg/s；</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color w:val="auto"/>
                <w:sz w:val="24"/>
                <w:szCs w:val="24"/>
              </w:rPr>
            </w:pPr>
            <w:r>
              <w:rPr>
                <w:rFonts w:hint="default"/>
                <w:color w:val="auto"/>
                <w:sz w:val="24"/>
                <w:szCs w:val="24"/>
              </w:rPr>
              <w:t>U—风速，全封闭产品堆场内基本无风，风速取 0.2m/s；</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color w:val="auto"/>
                <w:sz w:val="24"/>
                <w:szCs w:val="24"/>
              </w:rPr>
            </w:pPr>
            <w:r>
              <w:rPr>
                <w:rFonts w:hint="default"/>
                <w:color w:val="auto"/>
                <w:sz w:val="24"/>
                <w:szCs w:val="24"/>
              </w:rPr>
              <w:t xml:space="preserve">S—堆料表面积，成品堆场面积为 </w:t>
            </w:r>
            <w:r>
              <w:rPr>
                <w:rFonts w:hint="eastAsia"/>
                <w:color w:val="auto"/>
                <w:sz w:val="24"/>
                <w:szCs w:val="24"/>
                <w:lang w:val="en-US" w:eastAsia="zh-CN"/>
              </w:rPr>
              <w:t>105</w:t>
            </w:r>
            <w:r>
              <w:rPr>
                <w:rFonts w:hint="default"/>
                <w:color w:val="auto"/>
                <w:sz w:val="24"/>
                <w:szCs w:val="24"/>
              </w:rPr>
              <w:t>0m</w:t>
            </w:r>
            <w:r>
              <w:rPr>
                <w:rFonts w:hint="eastAsia"/>
                <w:color w:val="auto"/>
                <w:sz w:val="24"/>
                <w:szCs w:val="24"/>
                <w:vertAlign w:val="superscript"/>
                <w:lang w:val="en-US" w:eastAsia="zh-CN"/>
              </w:rPr>
              <w:t>2</w:t>
            </w:r>
            <w:r>
              <w:rPr>
                <w:rFonts w:hint="default"/>
                <w:color w:val="auto"/>
                <w:sz w:val="24"/>
                <w:szCs w:val="24"/>
              </w:rPr>
              <w:t xml:space="preserve">，堆料表面积取 </w:t>
            </w:r>
            <w:r>
              <w:rPr>
                <w:rFonts w:hint="eastAsia"/>
                <w:color w:val="auto"/>
                <w:sz w:val="24"/>
                <w:szCs w:val="24"/>
                <w:lang w:val="en-US" w:eastAsia="zh-CN"/>
              </w:rPr>
              <w:t>105</w:t>
            </w:r>
            <w:r>
              <w:rPr>
                <w:rFonts w:hint="default"/>
                <w:color w:val="auto"/>
                <w:sz w:val="24"/>
                <w:szCs w:val="24"/>
              </w:rPr>
              <w:t>0m</w:t>
            </w:r>
            <w:r>
              <w:rPr>
                <w:rFonts w:hint="eastAsia"/>
                <w:color w:val="auto"/>
                <w:sz w:val="24"/>
                <w:szCs w:val="24"/>
                <w:vertAlign w:val="superscript"/>
                <w:lang w:val="en-US" w:eastAsia="zh-CN"/>
              </w:rPr>
              <w:t>2</w:t>
            </w:r>
            <w:r>
              <w:rPr>
                <w:rFonts w:hint="default"/>
                <w:color w:val="auto"/>
                <w:sz w:val="24"/>
                <w:szCs w:val="24"/>
              </w:rPr>
              <w:t>；ω—砂石含水量，取8%；</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color w:val="auto"/>
                <w:sz w:val="24"/>
                <w:szCs w:val="24"/>
              </w:rPr>
            </w:pPr>
            <w:r>
              <w:rPr>
                <w:rFonts w:hint="default"/>
                <w:color w:val="auto"/>
                <w:sz w:val="24"/>
                <w:szCs w:val="24"/>
              </w:rPr>
              <w:t>经计算，Q=2.</w:t>
            </w:r>
            <w:r>
              <w:rPr>
                <w:rFonts w:hint="eastAsia"/>
                <w:color w:val="auto"/>
                <w:sz w:val="24"/>
                <w:szCs w:val="24"/>
                <w:lang w:val="en-US" w:eastAsia="zh-CN"/>
              </w:rPr>
              <w:t>3</w:t>
            </w:r>
            <w:r>
              <w:rPr>
                <w:rFonts w:hint="default"/>
                <w:color w:val="auto"/>
                <w:sz w:val="24"/>
                <w:szCs w:val="24"/>
              </w:rPr>
              <w:t>6mg/s。本项目年工作</w:t>
            </w:r>
            <w:r>
              <w:rPr>
                <w:rFonts w:hint="eastAsia"/>
                <w:color w:val="auto"/>
                <w:sz w:val="24"/>
                <w:szCs w:val="24"/>
                <w:lang w:val="en-US" w:eastAsia="zh-CN"/>
              </w:rPr>
              <w:t>300</w:t>
            </w:r>
            <w:r>
              <w:rPr>
                <w:rFonts w:hint="default"/>
                <w:color w:val="auto"/>
                <w:sz w:val="24"/>
                <w:szCs w:val="24"/>
              </w:rPr>
              <w:t>天，每天8小时。因此，成品堆场扬尘产生量为</w:t>
            </w:r>
            <w:r>
              <w:rPr>
                <w:rFonts w:hint="eastAsia"/>
                <w:color w:val="auto"/>
                <w:sz w:val="24"/>
                <w:szCs w:val="24"/>
                <w:lang w:val="en-US" w:eastAsia="zh-CN"/>
              </w:rPr>
              <w:t>0.008</w:t>
            </w:r>
            <w:r>
              <w:rPr>
                <w:rFonts w:hint="default"/>
                <w:color w:val="auto"/>
                <w:sz w:val="24"/>
                <w:szCs w:val="24"/>
              </w:rPr>
              <w:t>kg/</w:t>
            </w:r>
            <w:r>
              <w:rPr>
                <w:rFonts w:hint="eastAsia"/>
                <w:color w:val="auto"/>
                <w:sz w:val="24"/>
                <w:szCs w:val="24"/>
                <w:lang w:val="en-US" w:eastAsia="zh-CN"/>
              </w:rPr>
              <w:t>h</w:t>
            </w:r>
            <w:r>
              <w:rPr>
                <w:rFonts w:hint="default"/>
                <w:color w:val="auto"/>
                <w:sz w:val="24"/>
                <w:szCs w:val="24"/>
              </w:rPr>
              <w:t>，</w:t>
            </w:r>
            <w:r>
              <w:rPr>
                <w:rFonts w:hint="eastAsia"/>
                <w:color w:val="auto"/>
                <w:sz w:val="24"/>
                <w:szCs w:val="24"/>
                <w:lang w:val="en-US" w:eastAsia="zh-CN"/>
              </w:rPr>
              <w:t>0.02</w:t>
            </w:r>
            <w:r>
              <w:rPr>
                <w:rFonts w:hint="default"/>
                <w:color w:val="auto"/>
                <w:sz w:val="24"/>
                <w:szCs w:val="24"/>
              </w:rPr>
              <w:t>t/a。厂房全封闭，</w:t>
            </w:r>
            <w:r>
              <w:rPr>
                <w:rFonts w:hint="eastAsia"/>
                <w:color w:val="auto"/>
                <w:sz w:val="24"/>
                <w:szCs w:val="24"/>
                <w:lang w:eastAsia="zh-CN"/>
              </w:rPr>
              <w:t>建议在堆场四周及装卸区设置雾化喷头，</w:t>
            </w:r>
            <w:r>
              <w:rPr>
                <w:rFonts w:hint="default"/>
                <w:color w:val="auto"/>
                <w:sz w:val="24"/>
                <w:szCs w:val="24"/>
              </w:rPr>
              <w:t>控制效率为9</w:t>
            </w:r>
            <w:r>
              <w:rPr>
                <w:rFonts w:hint="eastAsia"/>
                <w:color w:val="auto"/>
                <w:sz w:val="24"/>
                <w:szCs w:val="24"/>
                <w:lang w:val="en-US" w:eastAsia="zh-CN"/>
              </w:rPr>
              <w:t>0</w:t>
            </w:r>
            <w:r>
              <w:rPr>
                <w:rFonts w:hint="default"/>
                <w:color w:val="auto"/>
                <w:sz w:val="24"/>
                <w:szCs w:val="24"/>
              </w:rPr>
              <w:t>%，则本项目堆场扬尘颗粒物排放量为 0.00</w:t>
            </w:r>
            <w:r>
              <w:rPr>
                <w:rFonts w:hint="eastAsia"/>
                <w:color w:val="auto"/>
                <w:sz w:val="24"/>
                <w:szCs w:val="24"/>
                <w:lang w:val="en-US" w:eastAsia="zh-CN"/>
              </w:rPr>
              <w:t>2</w:t>
            </w:r>
            <w:r>
              <w:rPr>
                <w:rFonts w:hint="default"/>
                <w:color w:val="auto"/>
                <w:sz w:val="24"/>
                <w:szCs w:val="24"/>
              </w:rPr>
              <w:t>t/a，排放速率为 0.00</w:t>
            </w:r>
            <w:r>
              <w:rPr>
                <w:rFonts w:hint="eastAsia"/>
                <w:color w:val="auto"/>
                <w:sz w:val="24"/>
                <w:szCs w:val="24"/>
                <w:lang w:val="en-US" w:eastAsia="zh-CN"/>
              </w:rPr>
              <w:t>08</w:t>
            </w:r>
            <w:r>
              <w:rPr>
                <w:rFonts w:hint="default"/>
                <w:color w:val="auto"/>
                <w:sz w:val="24"/>
                <w:szCs w:val="24"/>
              </w:rPr>
              <w:t>kg/h。</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0" w:afterAutospacing="0" w:line="360" w:lineRule="auto"/>
              <w:ind w:left="0" w:leftChars="0" w:right="0" w:rightChars="0" w:firstLine="480" w:firstLineChars="200"/>
              <w:textAlignment w:val="auto"/>
              <w:rPr>
                <w:rFonts w:hint="default"/>
                <w:color w:val="auto"/>
                <w:sz w:val="24"/>
                <w:szCs w:val="24"/>
                <w:lang w:eastAsia="zh-CN"/>
              </w:rPr>
            </w:pPr>
            <w:r>
              <w:rPr>
                <w:rFonts w:hint="default"/>
                <w:color w:val="auto"/>
                <w:sz w:val="24"/>
                <w:szCs w:val="24"/>
                <w:lang w:eastAsia="zh-CN"/>
              </w:rPr>
              <w:t>原料装卸粉尘</w:t>
            </w:r>
            <w:r>
              <w:rPr>
                <w:rFonts w:hint="eastAsia"/>
                <w:color w:val="auto"/>
                <w:sz w:val="24"/>
                <w:szCs w:val="24"/>
                <w:lang w:eastAsia="zh-CN"/>
              </w:rPr>
              <w:t>（</w:t>
            </w:r>
            <w:r>
              <w:rPr>
                <w:rFonts w:hint="eastAsia"/>
                <w:color w:val="auto"/>
                <w:sz w:val="24"/>
                <w:szCs w:val="24"/>
                <w:lang w:val="en-US" w:eastAsia="zh-CN"/>
              </w:rPr>
              <w:t>G3</w:t>
            </w:r>
            <w:r>
              <w:rPr>
                <w:rFonts w:hint="eastAsia"/>
                <w:color w:val="auto"/>
                <w:sz w:val="24"/>
                <w:szCs w:val="24"/>
                <w:lang w:eastAsia="zh-CN"/>
              </w:rPr>
              <w:t>）</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olor w:val="auto"/>
                <w:sz w:val="24"/>
                <w:szCs w:val="24"/>
              </w:rPr>
            </w:pPr>
            <w:r>
              <w:rPr>
                <w:rFonts w:hint="eastAsia"/>
                <w:color w:val="auto"/>
                <w:sz w:val="24"/>
                <w:szCs w:val="24"/>
              </w:rPr>
              <w:t>机制砂产品在装卸过程中可能产生扬尘，装卸起尘量的计算参考“秦皇岛港口煤炭装卸  起尘及其扩散规律的研究”得出的计算公式：</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color w:val="auto"/>
                <w:sz w:val="24"/>
                <w:szCs w:val="24"/>
              </w:rPr>
            </w:pP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center"/>
              <w:textAlignment w:val="auto"/>
              <w:rPr>
                <w:color w:val="auto"/>
                <w:sz w:val="24"/>
                <w:szCs w:val="24"/>
              </w:rPr>
            </w:pPr>
            <w:r>
              <w:rPr>
                <w:color w:val="auto"/>
                <w:sz w:val="24"/>
                <w:szCs w:val="24"/>
              </w:rPr>
              <w:drawing>
                <wp:inline distT="0" distB="0" distL="114300" distR="114300">
                  <wp:extent cx="2219960" cy="251460"/>
                  <wp:effectExtent l="0" t="0" r="8890"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2219960" cy="251460"/>
                          </a:xfrm>
                          <a:prstGeom prst="rect">
                            <a:avLst/>
                          </a:prstGeom>
                          <a:noFill/>
                          <a:ln>
                            <a:noFill/>
                          </a:ln>
                        </pic:spPr>
                      </pic:pic>
                    </a:graphicData>
                  </a:graphic>
                </wp:inline>
              </w:drawing>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color w:val="auto"/>
                <w:sz w:val="24"/>
                <w:szCs w:val="24"/>
              </w:rPr>
            </w:pPr>
            <w:r>
              <w:rPr>
                <w:rFonts w:hint="default"/>
                <w:color w:val="auto"/>
                <w:sz w:val="24"/>
                <w:szCs w:val="24"/>
              </w:rPr>
              <w:t>式中：Q---物料起尘量，单位：mg/s；</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color w:val="auto"/>
                <w:sz w:val="24"/>
                <w:szCs w:val="24"/>
              </w:rPr>
            </w:pPr>
            <w:r>
              <w:rPr>
                <w:rFonts w:hint="default"/>
                <w:color w:val="auto"/>
                <w:sz w:val="24"/>
                <w:szCs w:val="24"/>
              </w:rPr>
              <w:t>U—风速，全封闭产品堆场内基本无风，风速取 0.2m/s；</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color w:val="auto"/>
                <w:sz w:val="24"/>
                <w:szCs w:val="24"/>
              </w:rPr>
            </w:pPr>
            <w:r>
              <w:rPr>
                <w:rFonts w:hint="default"/>
                <w:color w:val="auto"/>
                <w:sz w:val="24"/>
                <w:szCs w:val="24"/>
              </w:rPr>
              <w:t>w—物料含水率，%，本项目产品堆场拟采取</w:t>
            </w:r>
            <w:r>
              <w:rPr>
                <w:rFonts w:hint="eastAsia"/>
                <w:color w:val="auto"/>
                <w:sz w:val="24"/>
                <w:szCs w:val="24"/>
                <w:lang w:eastAsia="zh-CN"/>
              </w:rPr>
              <w:t>雾化</w:t>
            </w:r>
            <w:r>
              <w:rPr>
                <w:rFonts w:hint="default"/>
                <w:color w:val="auto"/>
                <w:sz w:val="24"/>
                <w:szCs w:val="24"/>
              </w:rPr>
              <w:t>降尘，含水率取 8%； H—装卸高度 m，本项目装载车装卸高度约为 1.0m。</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color w:val="auto"/>
                <w:sz w:val="24"/>
                <w:szCs w:val="24"/>
              </w:rPr>
            </w:pPr>
            <w:r>
              <w:rPr>
                <w:rFonts w:hint="default"/>
                <w:color w:val="auto"/>
                <w:sz w:val="24"/>
                <w:szCs w:val="24"/>
              </w:rPr>
              <w:t>根据上式计算，物料起尘量 Q=76.95mg/s，按照本项目年产机制砂共</w:t>
            </w:r>
            <w:r>
              <w:rPr>
                <w:rFonts w:hint="eastAsia"/>
                <w:color w:val="auto"/>
                <w:sz w:val="24"/>
                <w:szCs w:val="24"/>
                <w:lang w:val="en-US" w:eastAsia="zh-CN"/>
              </w:rPr>
              <w:t>60</w:t>
            </w:r>
            <w:r>
              <w:rPr>
                <w:rFonts w:hint="default"/>
                <w:color w:val="auto"/>
                <w:sz w:val="24"/>
                <w:szCs w:val="24"/>
              </w:rPr>
              <w:t>万吨，装载时间按10s/t计算，则砂料在厂区内装卸过程起尘量为 0.</w:t>
            </w:r>
            <w:r>
              <w:rPr>
                <w:rFonts w:hint="eastAsia"/>
                <w:color w:val="auto"/>
                <w:sz w:val="24"/>
                <w:szCs w:val="24"/>
                <w:lang w:val="en-US" w:eastAsia="zh-CN"/>
              </w:rPr>
              <w:t>19</w:t>
            </w:r>
            <w:r>
              <w:rPr>
                <w:rFonts w:hint="default"/>
                <w:color w:val="auto"/>
                <w:sz w:val="24"/>
                <w:szCs w:val="24"/>
              </w:rPr>
              <w:t>kg/h，</w:t>
            </w:r>
            <w:r>
              <w:rPr>
                <w:rFonts w:hint="eastAsia"/>
                <w:color w:val="auto"/>
                <w:sz w:val="24"/>
                <w:szCs w:val="24"/>
                <w:lang w:val="en-US" w:eastAsia="zh-CN"/>
              </w:rPr>
              <w:t>0.43</w:t>
            </w:r>
            <w:r>
              <w:rPr>
                <w:rFonts w:hint="default"/>
                <w:color w:val="auto"/>
                <w:sz w:val="24"/>
                <w:szCs w:val="24"/>
              </w:rPr>
              <w:t>t/a。厂房全封闭，</w:t>
            </w:r>
            <w:r>
              <w:rPr>
                <w:rFonts w:hint="eastAsia"/>
                <w:color w:val="auto"/>
                <w:sz w:val="24"/>
                <w:szCs w:val="24"/>
                <w:lang w:eastAsia="zh-CN"/>
              </w:rPr>
              <w:t>设置喷头进行雾化降尘，</w:t>
            </w:r>
            <w:r>
              <w:rPr>
                <w:rFonts w:hint="default"/>
                <w:color w:val="auto"/>
                <w:sz w:val="24"/>
                <w:szCs w:val="24"/>
              </w:rPr>
              <w:t>控制效率为 90%，则本项目装卸过程颗粒物排放量为 0.</w:t>
            </w:r>
            <w:r>
              <w:rPr>
                <w:rFonts w:hint="eastAsia"/>
                <w:color w:val="auto"/>
                <w:sz w:val="24"/>
                <w:szCs w:val="24"/>
                <w:lang w:val="en-US" w:eastAsia="zh-CN"/>
              </w:rPr>
              <w:t>043</w:t>
            </w:r>
            <w:r>
              <w:rPr>
                <w:rFonts w:hint="default"/>
                <w:color w:val="auto"/>
                <w:sz w:val="24"/>
                <w:szCs w:val="24"/>
              </w:rPr>
              <w:t>t/a，排放速率为 0.0</w:t>
            </w:r>
            <w:r>
              <w:rPr>
                <w:rFonts w:hint="eastAsia"/>
                <w:color w:val="auto"/>
                <w:sz w:val="24"/>
                <w:szCs w:val="24"/>
                <w:lang w:val="en-US" w:eastAsia="zh-CN"/>
              </w:rPr>
              <w:t>19</w:t>
            </w:r>
            <w:r>
              <w:rPr>
                <w:rFonts w:hint="default"/>
                <w:color w:val="auto"/>
                <w:sz w:val="24"/>
                <w:szCs w:val="24"/>
              </w:rPr>
              <w:t>kg/h</w:t>
            </w:r>
            <w:r>
              <w:rPr>
                <w:color w:val="auto"/>
                <w:sz w:val="24"/>
                <w:szCs w:val="24"/>
              </w:rPr>
              <w:t>。</w:t>
            </w:r>
          </w:p>
          <w:p>
            <w:pPr>
              <w:spacing w:line="360" w:lineRule="auto"/>
              <w:ind w:firstLine="480" w:firstLineChars="200"/>
              <w:rPr>
                <w:rFonts w:hint="default"/>
                <w:color w:val="auto"/>
                <w:sz w:val="24"/>
                <w:szCs w:val="24"/>
                <w:lang w:val="en-US" w:eastAsia="zh-CN"/>
              </w:rPr>
            </w:pPr>
            <w:r>
              <w:rPr>
                <w:rFonts w:hint="eastAsia"/>
                <w:color w:val="auto"/>
                <w:sz w:val="24"/>
                <w:szCs w:val="24"/>
                <w:lang w:val="en-US" w:eastAsia="zh-CN"/>
              </w:rPr>
              <w:t>2）混凝土生产工艺</w:t>
            </w:r>
          </w:p>
          <w:p>
            <w:pPr>
              <w:keepNext w:val="0"/>
              <w:keepLines w:val="0"/>
              <w:suppressLineNumbers w:val="0"/>
              <w:spacing w:before="0" w:beforeAutospacing="0" w:after="0" w:afterAutospacing="0" w:line="360" w:lineRule="auto"/>
              <w:ind w:left="0" w:right="0" w:firstLine="464"/>
              <w:rPr>
                <w:rFonts w:hint="default"/>
                <w:color w:val="auto"/>
                <w:sz w:val="24"/>
                <w:szCs w:val="24"/>
              </w:rPr>
            </w:pPr>
            <w:r>
              <w:rPr>
                <w:rFonts w:hint="default"/>
                <w:color w:val="auto"/>
                <w:sz w:val="24"/>
                <w:szCs w:val="24"/>
              </w:rPr>
              <w:t>项目运营期主要废气为物料输送储存粉尘、物料混合搅拌粉尘、运输道路扬尘</w:t>
            </w:r>
            <w:r>
              <w:rPr>
                <w:rFonts w:hint="eastAsia"/>
                <w:color w:val="auto"/>
                <w:sz w:val="24"/>
                <w:szCs w:val="24"/>
                <w:lang w:val="en-US" w:eastAsia="zh-CN"/>
              </w:rPr>
              <w:t>，食堂油烟，本项目所需砂石均有厂区自产，因此在混凝土区域无需再另设砂石堆放区</w:t>
            </w:r>
            <w:r>
              <w:rPr>
                <w:rFonts w:hint="default"/>
                <w:color w:val="auto"/>
                <w:sz w:val="24"/>
                <w:szCs w:val="24"/>
              </w:rPr>
              <w:t>。</w:t>
            </w:r>
          </w:p>
          <w:p>
            <w:pPr>
              <w:pStyle w:val="12"/>
              <w:keepNext w:val="0"/>
              <w:keepLines w:val="0"/>
              <w:suppressLineNumbers w:val="0"/>
              <w:shd w:val="clear" w:color="auto"/>
              <w:spacing w:before="0" w:beforeAutospacing="0" w:after="0" w:afterAutospacing="0" w:line="360" w:lineRule="auto"/>
              <w:ind w:left="0" w:right="0" w:firstLine="480" w:firstLineChars="200"/>
              <w:rPr>
                <w:rFonts w:hint="eastAsia"/>
                <w:color w:val="auto"/>
                <w:sz w:val="24"/>
                <w:szCs w:val="24"/>
                <w:lang w:eastAsia="zh-CN"/>
              </w:rPr>
            </w:pPr>
            <w:r>
              <w:rPr>
                <w:rFonts w:hint="default"/>
                <w:color w:val="auto"/>
                <w:sz w:val="24"/>
                <w:szCs w:val="24"/>
              </w:rPr>
              <w:t>根据《未纳入排污许可管理行业适用的排污系数、物料衡算方法（试行）》中“50 水泥制品制造业产污系数表”，原料为水泥、砂子、石子等水泥制品产污系数：</w:t>
            </w:r>
          </w:p>
          <w:p>
            <w:pPr>
              <w:keepNext w:val="0"/>
              <w:keepLines w:val="0"/>
              <w:suppressLineNumbers w:val="0"/>
              <w:tabs>
                <w:tab w:val="left" w:pos="2555"/>
                <w:tab w:val="center" w:pos="4302"/>
              </w:tabs>
              <w:spacing w:before="0" w:beforeAutospacing="0" w:after="0" w:afterAutospacing="0" w:line="240" w:lineRule="auto"/>
              <w:ind w:left="0" w:right="0"/>
              <w:jc w:val="left"/>
              <w:rPr>
                <w:rFonts w:hint="default"/>
                <w:color w:val="auto"/>
              </w:rPr>
            </w:pPr>
            <w:r>
              <w:rPr>
                <w:rFonts w:hint="eastAsia"/>
                <w:color w:val="auto"/>
                <w:lang w:eastAsia="zh-CN"/>
              </w:rPr>
              <w:tab/>
            </w:r>
            <w:r>
              <w:rPr>
                <w:rFonts w:hint="default"/>
                <w:b/>
                <w:bCs/>
                <w:color w:val="auto"/>
              </w:rPr>
              <w:t>表</w:t>
            </w:r>
            <w:r>
              <w:rPr>
                <w:rFonts w:hint="eastAsia"/>
                <w:b/>
                <w:bCs/>
                <w:color w:val="auto"/>
                <w:lang w:val="en-US" w:eastAsia="zh-CN"/>
              </w:rPr>
              <w:t>4</w:t>
            </w:r>
            <w:r>
              <w:rPr>
                <w:rFonts w:hint="default"/>
                <w:b/>
                <w:bCs/>
                <w:color w:val="auto"/>
              </w:rPr>
              <w:t>-</w:t>
            </w:r>
            <w:r>
              <w:rPr>
                <w:rFonts w:hint="eastAsia"/>
                <w:b/>
                <w:bCs/>
                <w:color w:val="auto"/>
                <w:lang w:val="en-US" w:eastAsia="zh-CN"/>
              </w:rPr>
              <w:t xml:space="preserve">2 </w:t>
            </w:r>
            <w:r>
              <w:rPr>
                <w:rFonts w:hint="default"/>
                <w:b/>
                <w:bCs/>
                <w:color w:val="auto"/>
              </w:rPr>
              <w:t>水泥制品制造业产污系数表</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742"/>
              <w:gridCol w:w="1203"/>
              <w:gridCol w:w="1725"/>
              <w:gridCol w:w="717"/>
              <w:gridCol w:w="971"/>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2"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工艺名称</w:t>
                  </w:r>
                </w:p>
              </w:tc>
              <w:tc>
                <w:tcPr>
                  <w:tcW w:w="463"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规模</w:t>
                  </w:r>
                </w:p>
              </w:tc>
              <w:tc>
                <w:tcPr>
                  <w:tcW w:w="750"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污染物指标</w:t>
                  </w:r>
                </w:p>
              </w:tc>
              <w:tc>
                <w:tcPr>
                  <w:tcW w:w="1076"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w:t>
                  </w:r>
                </w:p>
              </w:tc>
              <w:tc>
                <w:tcPr>
                  <w:tcW w:w="447"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产污系数</w:t>
                  </w:r>
                </w:p>
              </w:tc>
              <w:tc>
                <w:tcPr>
                  <w:tcW w:w="605"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末端治理技术</w:t>
                  </w:r>
                </w:p>
              </w:tc>
              <w:tc>
                <w:tcPr>
                  <w:tcW w:w="474"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2" w:type="pct"/>
                  <w:vMerge w:val="restar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物料输送储存工序</w:t>
                  </w:r>
                </w:p>
              </w:tc>
              <w:tc>
                <w:tcPr>
                  <w:tcW w:w="463" w:type="pct"/>
                  <w:vMerge w:val="restar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所有规模</w:t>
                  </w:r>
                </w:p>
              </w:tc>
              <w:tc>
                <w:tcPr>
                  <w:tcW w:w="750"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工业废气</w:t>
                  </w:r>
                </w:p>
              </w:tc>
              <w:tc>
                <w:tcPr>
                  <w:tcW w:w="1076"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标立方米/吨-水泥</w:t>
                  </w:r>
                </w:p>
              </w:tc>
              <w:tc>
                <w:tcPr>
                  <w:tcW w:w="447"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460</w:t>
                  </w:r>
                </w:p>
              </w:tc>
              <w:tc>
                <w:tcPr>
                  <w:tcW w:w="605" w:type="pct"/>
                  <w:vMerge w:val="restar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过滤式除尘</w:t>
                  </w:r>
                </w:p>
              </w:tc>
              <w:tc>
                <w:tcPr>
                  <w:tcW w:w="474"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2" w:type="pct"/>
                  <w:vMerge w:val="continue"/>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p>
              </w:tc>
              <w:tc>
                <w:tcPr>
                  <w:tcW w:w="463" w:type="pct"/>
                  <w:vMerge w:val="continue"/>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p>
              </w:tc>
              <w:tc>
                <w:tcPr>
                  <w:tcW w:w="750"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工业粉尘</w:t>
                  </w:r>
                </w:p>
              </w:tc>
              <w:tc>
                <w:tcPr>
                  <w:tcW w:w="1076"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千克/吨-水泥</w:t>
                  </w:r>
                </w:p>
              </w:tc>
              <w:tc>
                <w:tcPr>
                  <w:tcW w:w="447"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2.09</w:t>
                  </w:r>
                </w:p>
              </w:tc>
              <w:tc>
                <w:tcPr>
                  <w:tcW w:w="605" w:type="pct"/>
                  <w:vMerge w:val="continue"/>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p>
              </w:tc>
              <w:tc>
                <w:tcPr>
                  <w:tcW w:w="474"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2" w:type="pct"/>
                  <w:vMerge w:val="restar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物料混合搅拌工序</w:t>
                  </w:r>
                </w:p>
              </w:tc>
              <w:tc>
                <w:tcPr>
                  <w:tcW w:w="463" w:type="pct"/>
                  <w:vMerge w:val="restar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所有规模</w:t>
                  </w:r>
                </w:p>
              </w:tc>
              <w:tc>
                <w:tcPr>
                  <w:tcW w:w="750"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工业废气</w:t>
                  </w:r>
                </w:p>
              </w:tc>
              <w:tc>
                <w:tcPr>
                  <w:tcW w:w="1076"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标立方米/吨-水泥</w:t>
                  </w:r>
                </w:p>
              </w:tc>
              <w:tc>
                <w:tcPr>
                  <w:tcW w:w="447"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1419</w:t>
                  </w:r>
                </w:p>
              </w:tc>
              <w:tc>
                <w:tcPr>
                  <w:tcW w:w="605" w:type="pct"/>
                  <w:vMerge w:val="continue"/>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p>
              </w:tc>
              <w:tc>
                <w:tcPr>
                  <w:tcW w:w="474"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2" w:type="pct"/>
                  <w:vMerge w:val="continue"/>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p>
              </w:tc>
              <w:tc>
                <w:tcPr>
                  <w:tcW w:w="463" w:type="pct"/>
                  <w:vMerge w:val="continue"/>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p>
              </w:tc>
              <w:tc>
                <w:tcPr>
                  <w:tcW w:w="750"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工业粉尘</w:t>
                  </w:r>
                </w:p>
              </w:tc>
              <w:tc>
                <w:tcPr>
                  <w:tcW w:w="1076"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千克/吨-水泥</w:t>
                  </w:r>
                </w:p>
              </w:tc>
              <w:tc>
                <w:tcPr>
                  <w:tcW w:w="447"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5.75</w:t>
                  </w:r>
                </w:p>
              </w:tc>
              <w:tc>
                <w:tcPr>
                  <w:tcW w:w="605" w:type="pct"/>
                  <w:vMerge w:val="continue"/>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p>
              </w:tc>
              <w:tc>
                <w:tcPr>
                  <w:tcW w:w="474" w:type="pct"/>
                  <w:vAlign w:val="center"/>
                </w:tcPr>
                <w:p>
                  <w:pPr>
                    <w:pStyle w:val="12"/>
                    <w:keepNext w:val="0"/>
                    <w:keepLines w:val="0"/>
                    <w:suppressLineNumbers w:val="0"/>
                    <w:spacing w:before="0" w:beforeAutospacing="0" w:after="0" w:afterAutospacing="0" w:line="24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0.07</w:t>
                  </w:r>
                </w:p>
              </w:tc>
            </w:tr>
          </w:tbl>
          <w:p>
            <w:pPr>
              <w:keepNext w:val="0"/>
              <w:keepLines w:val="0"/>
              <w:suppressLineNumbers w:val="0"/>
              <w:spacing w:before="0" w:beforeAutospacing="0" w:after="0" w:afterAutospacing="0" w:line="360" w:lineRule="auto"/>
              <w:ind w:left="0" w:right="0" w:firstLine="464"/>
              <w:rPr>
                <w:rFonts w:hint="default" w:eastAsia="宋体"/>
                <w:color w:val="auto"/>
                <w:sz w:val="24"/>
                <w:szCs w:val="24"/>
                <w:lang w:val="en-US" w:eastAsia="zh-CN"/>
              </w:rPr>
            </w:pPr>
            <w:r>
              <w:rPr>
                <w:rFonts w:hint="default"/>
                <w:color w:val="auto"/>
                <w:sz w:val="24"/>
                <w:szCs w:val="24"/>
              </w:rPr>
              <w:t>（1）物料输送储存粉尘</w:t>
            </w:r>
            <w:r>
              <w:rPr>
                <w:rFonts w:hint="eastAsia"/>
                <w:color w:val="auto"/>
                <w:sz w:val="24"/>
                <w:szCs w:val="24"/>
                <w:lang w:val="en-US" w:eastAsia="zh-CN"/>
              </w:rPr>
              <w:t>（G4）</w:t>
            </w:r>
          </w:p>
          <w:p>
            <w:pPr>
              <w:keepNext w:val="0"/>
              <w:keepLines w:val="0"/>
              <w:suppressLineNumbers w:val="0"/>
              <w:spacing w:before="0" w:beforeAutospacing="0" w:after="0" w:afterAutospacing="0" w:line="360" w:lineRule="auto"/>
              <w:ind w:left="0" w:right="0" w:firstLine="464"/>
              <w:rPr>
                <w:rFonts w:hint="default"/>
                <w:color w:val="auto"/>
                <w:sz w:val="24"/>
                <w:szCs w:val="24"/>
              </w:rPr>
            </w:pPr>
            <w:r>
              <w:rPr>
                <w:rFonts w:hint="default"/>
                <w:color w:val="auto"/>
                <w:sz w:val="24"/>
                <w:szCs w:val="24"/>
              </w:rPr>
              <w:t>本项目共设有</w:t>
            </w:r>
            <w:r>
              <w:rPr>
                <w:rFonts w:hint="eastAsia"/>
                <w:color w:val="auto"/>
                <w:sz w:val="24"/>
                <w:szCs w:val="24"/>
                <w:lang w:val="en-US" w:eastAsia="zh-CN"/>
              </w:rPr>
              <w:t>6</w:t>
            </w:r>
            <w:r>
              <w:rPr>
                <w:rFonts w:hint="default"/>
                <w:color w:val="auto"/>
                <w:sz w:val="24"/>
                <w:szCs w:val="24"/>
              </w:rPr>
              <w:t>个筒库，用于储存水泥及粉煤灰，粉料年使用量约</w:t>
            </w:r>
            <w:r>
              <w:rPr>
                <w:rFonts w:hint="eastAsia"/>
                <w:color w:val="auto"/>
                <w:sz w:val="24"/>
                <w:szCs w:val="24"/>
                <w:lang w:val="en-US" w:eastAsia="zh-CN"/>
              </w:rPr>
              <w:t>17480</w:t>
            </w:r>
            <w:r>
              <w:rPr>
                <w:rFonts w:hint="default"/>
                <w:color w:val="auto"/>
                <w:sz w:val="24"/>
                <w:szCs w:val="24"/>
              </w:rPr>
              <w:t>吨，生产粉料利用压缩气将其打到粉料仓中，在筒库顶部呼吸口会产生扬尘，筒库顶部自带收尘机除尘，除尘器除尘效率可达99.9%，处理后的废气经筒库顶部排放</w:t>
            </w:r>
            <w:r>
              <w:rPr>
                <w:rFonts w:hint="eastAsia"/>
                <w:color w:val="auto"/>
                <w:sz w:val="24"/>
                <w:szCs w:val="24"/>
                <w:lang w:eastAsia="zh-CN"/>
              </w:rPr>
              <w:t>，环评要求企业安装粉尘在线监测系统</w:t>
            </w:r>
            <w:r>
              <w:rPr>
                <w:rFonts w:hint="default"/>
                <w:color w:val="auto"/>
                <w:sz w:val="24"/>
                <w:szCs w:val="24"/>
              </w:rPr>
              <w:t>。</w:t>
            </w:r>
          </w:p>
          <w:p>
            <w:pPr>
              <w:keepNext w:val="0"/>
              <w:keepLines w:val="0"/>
              <w:suppressLineNumbers w:val="0"/>
              <w:spacing w:before="0" w:beforeAutospacing="0" w:after="0" w:afterAutospacing="0" w:line="360" w:lineRule="auto"/>
              <w:ind w:left="0" w:right="0" w:firstLine="464"/>
              <w:rPr>
                <w:rFonts w:hint="default"/>
                <w:color w:val="auto"/>
                <w:sz w:val="24"/>
                <w:szCs w:val="24"/>
              </w:rPr>
            </w:pPr>
            <w:r>
              <w:rPr>
                <w:rFonts w:hint="default"/>
                <w:color w:val="auto"/>
                <w:sz w:val="24"/>
                <w:szCs w:val="24"/>
              </w:rPr>
              <w:t>经计算本项目工业废气量为</w:t>
            </w:r>
            <w:r>
              <w:rPr>
                <w:rFonts w:hint="eastAsia"/>
                <w:color w:val="auto"/>
                <w:sz w:val="24"/>
                <w:szCs w:val="24"/>
                <w:lang w:val="en-US" w:eastAsia="zh-CN"/>
              </w:rPr>
              <w:t>804.08</w:t>
            </w:r>
            <w:r>
              <w:rPr>
                <w:rFonts w:hint="default"/>
                <w:color w:val="auto"/>
                <w:sz w:val="24"/>
                <w:szCs w:val="24"/>
              </w:rPr>
              <w:t>万m</w:t>
            </w:r>
            <w:r>
              <w:rPr>
                <w:rFonts w:hint="default"/>
                <w:color w:val="auto"/>
                <w:sz w:val="24"/>
                <w:szCs w:val="24"/>
                <w:vertAlign w:val="superscript"/>
              </w:rPr>
              <w:t>3</w:t>
            </w:r>
            <w:r>
              <w:rPr>
                <w:rFonts w:hint="default"/>
                <w:color w:val="auto"/>
                <w:sz w:val="24"/>
                <w:szCs w:val="24"/>
              </w:rPr>
              <w:t>/a，颗粒物产生量为</w:t>
            </w:r>
            <w:r>
              <w:rPr>
                <w:rFonts w:hint="eastAsia"/>
                <w:color w:val="auto"/>
                <w:sz w:val="24"/>
                <w:szCs w:val="24"/>
                <w:lang w:val="en-US" w:eastAsia="zh-CN"/>
              </w:rPr>
              <w:t>36.53</w:t>
            </w:r>
            <w:r>
              <w:rPr>
                <w:rFonts w:hint="default"/>
                <w:color w:val="auto"/>
                <w:sz w:val="24"/>
                <w:szCs w:val="24"/>
              </w:rPr>
              <w:t>t/a（</w:t>
            </w:r>
            <w:r>
              <w:rPr>
                <w:rFonts w:hint="eastAsia"/>
                <w:color w:val="auto"/>
                <w:sz w:val="24"/>
                <w:szCs w:val="24"/>
                <w:lang w:val="en-US" w:eastAsia="zh-CN"/>
              </w:rPr>
              <w:t>15.22</w:t>
            </w:r>
            <w:r>
              <w:rPr>
                <w:rFonts w:hint="default"/>
                <w:color w:val="auto"/>
                <w:sz w:val="24"/>
                <w:szCs w:val="24"/>
              </w:rPr>
              <w:t>kg/h）经除尘处理后颗粒物排放量为</w:t>
            </w:r>
            <w:r>
              <w:rPr>
                <w:rFonts w:hint="eastAsia"/>
                <w:color w:val="auto"/>
                <w:sz w:val="24"/>
                <w:szCs w:val="24"/>
                <w:lang w:val="en-US" w:eastAsia="zh-CN"/>
              </w:rPr>
              <w:t>0.037</w:t>
            </w:r>
            <w:r>
              <w:rPr>
                <w:rFonts w:hint="default"/>
                <w:color w:val="auto"/>
                <w:sz w:val="24"/>
                <w:szCs w:val="24"/>
              </w:rPr>
              <w:t>t/a（</w:t>
            </w:r>
            <w:r>
              <w:rPr>
                <w:rFonts w:hint="eastAsia"/>
                <w:color w:val="auto"/>
                <w:sz w:val="24"/>
                <w:szCs w:val="24"/>
                <w:lang w:val="en-US" w:eastAsia="zh-CN"/>
              </w:rPr>
              <w:t>0.015</w:t>
            </w:r>
            <w:r>
              <w:rPr>
                <w:rFonts w:hint="default"/>
                <w:color w:val="auto"/>
                <w:sz w:val="24"/>
                <w:szCs w:val="24"/>
              </w:rPr>
              <w:t>kg/h）浓度为</w:t>
            </w:r>
            <w:r>
              <w:rPr>
                <w:rFonts w:hint="eastAsia"/>
                <w:color w:val="auto"/>
                <w:sz w:val="24"/>
                <w:szCs w:val="24"/>
                <w:lang w:val="en-US" w:eastAsia="zh-CN"/>
              </w:rPr>
              <w:t>1.89</w:t>
            </w:r>
            <w:r>
              <w:rPr>
                <w:rFonts w:hint="default"/>
                <w:color w:val="auto"/>
                <w:sz w:val="24"/>
                <w:szCs w:val="24"/>
              </w:rPr>
              <w:t>mg/m</w:t>
            </w:r>
            <w:r>
              <w:rPr>
                <w:rFonts w:hint="default"/>
                <w:color w:val="auto"/>
                <w:sz w:val="24"/>
                <w:szCs w:val="24"/>
                <w:vertAlign w:val="superscript"/>
              </w:rPr>
              <w:t>3</w:t>
            </w:r>
            <w:r>
              <w:rPr>
                <w:rFonts w:hint="eastAsia"/>
                <w:color w:val="auto"/>
                <w:sz w:val="24"/>
                <w:szCs w:val="24"/>
                <w:lang w:eastAsia="zh-CN"/>
              </w:rPr>
              <w:t>。</w:t>
            </w:r>
            <w:r>
              <w:rPr>
                <w:rFonts w:hint="default"/>
                <w:color w:val="auto"/>
                <w:sz w:val="24"/>
                <w:szCs w:val="24"/>
              </w:rPr>
              <w:t>颗粒物排放浓度应满足《水泥工业大气污染物排放标准》(GB4915-2013)中最高允许排放浓度（10mg/m</w:t>
            </w:r>
            <w:r>
              <w:rPr>
                <w:rFonts w:hint="default"/>
                <w:color w:val="auto"/>
                <w:sz w:val="24"/>
                <w:szCs w:val="24"/>
                <w:vertAlign w:val="superscript"/>
              </w:rPr>
              <w:t>3</w:t>
            </w:r>
            <w:r>
              <w:rPr>
                <w:rFonts w:hint="default"/>
                <w:color w:val="auto"/>
                <w:sz w:val="24"/>
                <w:szCs w:val="24"/>
              </w:rPr>
              <w:t>）。</w:t>
            </w:r>
            <w:r>
              <w:rPr>
                <w:rFonts w:hint="eastAsia"/>
                <w:color w:val="auto"/>
                <w:sz w:val="24"/>
                <w:szCs w:val="24"/>
                <w:lang w:eastAsia="zh-CN"/>
              </w:rPr>
              <w:t>建议企业混凝土生产区域进行厂房封闭，</w:t>
            </w:r>
            <w:r>
              <w:rPr>
                <w:rFonts w:hint="default"/>
                <w:color w:val="auto"/>
                <w:sz w:val="24"/>
                <w:szCs w:val="24"/>
              </w:rPr>
              <w:t>粉尘经过封闭的</w:t>
            </w:r>
            <w:r>
              <w:rPr>
                <w:rFonts w:hint="eastAsia"/>
                <w:color w:val="auto"/>
                <w:sz w:val="24"/>
                <w:szCs w:val="24"/>
                <w:lang w:eastAsia="zh-CN"/>
              </w:rPr>
              <w:t>厂房</w:t>
            </w:r>
            <w:r>
              <w:rPr>
                <w:rFonts w:hint="default"/>
                <w:color w:val="auto"/>
                <w:sz w:val="24"/>
                <w:szCs w:val="24"/>
              </w:rPr>
              <w:t>阻隔后约有</w:t>
            </w:r>
            <w:r>
              <w:rPr>
                <w:rFonts w:hint="eastAsia"/>
                <w:color w:val="auto"/>
                <w:sz w:val="24"/>
                <w:szCs w:val="24"/>
                <w:lang w:val="en-US" w:eastAsia="zh-CN"/>
              </w:rPr>
              <w:t>10</w:t>
            </w:r>
            <w:r>
              <w:rPr>
                <w:rFonts w:hint="default"/>
                <w:color w:val="auto"/>
                <w:sz w:val="24"/>
                <w:szCs w:val="24"/>
              </w:rPr>
              <w:t>%（0.</w:t>
            </w:r>
            <w:r>
              <w:rPr>
                <w:rFonts w:hint="eastAsia"/>
                <w:color w:val="auto"/>
                <w:sz w:val="24"/>
                <w:szCs w:val="24"/>
                <w:lang w:val="en-US" w:eastAsia="zh-CN"/>
              </w:rPr>
              <w:t>004</w:t>
            </w:r>
            <w:r>
              <w:rPr>
                <w:rFonts w:hint="default"/>
                <w:color w:val="auto"/>
                <w:sz w:val="24"/>
                <w:szCs w:val="24"/>
              </w:rPr>
              <w:t>t/a）经过车间门窗以无组织形式外排入大气中</w:t>
            </w:r>
            <w:r>
              <w:rPr>
                <w:rFonts w:hint="eastAsia"/>
                <w:color w:val="auto"/>
                <w:sz w:val="24"/>
                <w:szCs w:val="24"/>
                <w:lang w:eastAsia="zh-CN"/>
              </w:rPr>
              <w:t>，排放速率</w:t>
            </w:r>
            <w:r>
              <w:rPr>
                <w:rFonts w:hint="eastAsia"/>
                <w:color w:val="auto"/>
                <w:sz w:val="24"/>
                <w:szCs w:val="24"/>
                <w:lang w:val="en-US" w:eastAsia="zh-CN"/>
              </w:rPr>
              <w:t>0.002kg/h，呈无组织排放。</w:t>
            </w:r>
            <w:r>
              <w:rPr>
                <w:rFonts w:hint="default"/>
                <w:color w:val="auto"/>
                <w:sz w:val="24"/>
                <w:szCs w:val="24"/>
              </w:rPr>
              <w:t>项目物料输送储存粉尘污染物产生排放情况见下表。</w:t>
            </w:r>
          </w:p>
          <w:p>
            <w:pPr>
              <w:keepNext w:val="0"/>
              <w:keepLines w:val="0"/>
              <w:suppressLineNumbers w:val="0"/>
              <w:spacing w:before="0" w:beforeAutospacing="0" w:after="0" w:afterAutospacing="0" w:line="240" w:lineRule="auto"/>
              <w:ind w:left="0" w:right="0" w:firstLine="422" w:firstLineChars="200"/>
              <w:jc w:val="center"/>
              <w:rPr>
                <w:rFonts w:hint="default"/>
                <w:b/>
                <w:bCs/>
                <w:color w:val="auto"/>
              </w:rPr>
            </w:pPr>
            <w:r>
              <w:rPr>
                <w:rFonts w:hint="default"/>
                <w:b/>
                <w:bCs/>
                <w:color w:val="auto"/>
              </w:rPr>
              <w:t>表</w:t>
            </w:r>
            <w:r>
              <w:rPr>
                <w:rFonts w:hint="eastAsia"/>
                <w:b/>
                <w:bCs/>
                <w:color w:val="auto"/>
                <w:lang w:val="en-US" w:eastAsia="zh-CN"/>
              </w:rPr>
              <w:t>4</w:t>
            </w:r>
            <w:r>
              <w:rPr>
                <w:rFonts w:hint="default"/>
                <w:b/>
                <w:bCs/>
                <w:color w:val="auto"/>
              </w:rPr>
              <w:t>-</w:t>
            </w:r>
            <w:r>
              <w:rPr>
                <w:rFonts w:hint="eastAsia"/>
                <w:b/>
                <w:bCs/>
                <w:color w:val="auto"/>
                <w:lang w:val="en-US" w:eastAsia="zh-CN"/>
              </w:rPr>
              <w:t xml:space="preserve">3 </w:t>
            </w:r>
            <w:r>
              <w:rPr>
                <w:rFonts w:hint="default"/>
                <w:b/>
                <w:bCs/>
                <w:color w:val="auto"/>
              </w:rPr>
              <w:t xml:space="preserve"> 筒库颗粒物产</w:t>
            </w:r>
            <w:bookmarkStart w:id="9" w:name="tong"/>
            <w:bookmarkEnd w:id="9"/>
            <w:r>
              <w:rPr>
                <w:rFonts w:hint="default"/>
                <w:b/>
                <w:bCs/>
                <w:color w:val="auto"/>
              </w:rPr>
              <w:t>排情况一览表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25"/>
              <w:gridCol w:w="1569"/>
              <w:gridCol w:w="1505"/>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62" w:type="pct"/>
                  <w:vMerge w:val="restar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颗粒物产生情况</w:t>
                  </w:r>
                </w:p>
              </w:tc>
              <w:tc>
                <w:tcPr>
                  <w:tcW w:w="978"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产生量t</w:t>
                  </w:r>
                </w:p>
              </w:tc>
              <w:tc>
                <w:tcPr>
                  <w:tcW w:w="939"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产生速率kg/h</w:t>
                  </w:r>
                </w:p>
              </w:tc>
              <w:tc>
                <w:tcPr>
                  <w:tcW w:w="1320"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产生浓度mg/m</w:t>
                  </w:r>
                  <w:r>
                    <w:rPr>
                      <w:rFonts w:hint="default" w:ascii="Times New Roman" w:hAnsi="Times New Roman" w:cs="Times New Roman"/>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62" w:type="pct"/>
                  <w:vMerge w:val="continue"/>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978"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36.53</w:t>
                  </w:r>
                </w:p>
              </w:tc>
              <w:tc>
                <w:tcPr>
                  <w:tcW w:w="939"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15.22</w:t>
                  </w:r>
                </w:p>
              </w:tc>
              <w:tc>
                <w:tcPr>
                  <w:tcW w:w="1320"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lang w:val="en-US" w:eastAsia="zh-CN"/>
                    </w:rPr>
                  </w:pPr>
                  <w:r>
                    <w:rPr>
                      <w:rFonts w:hint="default" w:ascii="Times New Roman" w:hAnsi="Times New Roman" w:cs="Times New Roman"/>
                      <w:color w:val="auto"/>
                    </w:rPr>
                    <w:t>4543.</w:t>
                  </w:r>
                  <w:r>
                    <w:rPr>
                      <w:rFonts w:hint="default" w:ascii="Times New Roman" w:hAnsi="Times New Roman" w:cs="Times New Roman"/>
                      <w:color w:val="auto"/>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62"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去除率</w:t>
                  </w:r>
                </w:p>
              </w:tc>
              <w:tc>
                <w:tcPr>
                  <w:tcW w:w="3237" w:type="pct"/>
                  <w:gridSpan w:val="3"/>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62"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颗粒物排放情况</w:t>
                  </w:r>
                </w:p>
              </w:tc>
              <w:tc>
                <w:tcPr>
                  <w:tcW w:w="978"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排放量t</w:t>
                  </w:r>
                </w:p>
              </w:tc>
              <w:tc>
                <w:tcPr>
                  <w:tcW w:w="939"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排放速率kg/h</w:t>
                  </w:r>
                </w:p>
              </w:tc>
              <w:tc>
                <w:tcPr>
                  <w:tcW w:w="1320" w:type="pct"/>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排放浓度mg/m3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62" w:type="pct"/>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t>无组织</w:t>
                  </w:r>
                </w:p>
              </w:tc>
              <w:tc>
                <w:tcPr>
                  <w:tcW w:w="978"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0.037</w:t>
                  </w:r>
                </w:p>
              </w:tc>
              <w:tc>
                <w:tcPr>
                  <w:tcW w:w="939"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0.015</w:t>
                  </w:r>
                </w:p>
              </w:tc>
              <w:tc>
                <w:tcPr>
                  <w:tcW w:w="1320"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62" w:type="pct"/>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t>无组织</w:t>
                  </w:r>
                </w:p>
              </w:tc>
              <w:tc>
                <w:tcPr>
                  <w:tcW w:w="978"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0.004</w:t>
                  </w:r>
                </w:p>
              </w:tc>
              <w:tc>
                <w:tcPr>
                  <w:tcW w:w="939"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0.002</w:t>
                  </w:r>
                </w:p>
              </w:tc>
              <w:tc>
                <w:tcPr>
                  <w:tcW w:w="1320" w:type="pct"/>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r>
          </w:tbl>
          <w:p>
            <w:pPr>
              <w:keepNext w:val="0"/>
              <w:keepLines w:val="0"/>
              <w:suppressLineNumbers w:val="0"/>
              <w:spacing w:before="0" w:beforeAutospacing="0" w:after="0" w:afterAutospacing="0" w:line="360" w:lineRule="auto"/>
              <w:ind w:left="0" w:right="0" w:firstLine="464"/>
              <w:rPr>
                <w:rFonts w:hint="eastAsia" w:eastAsia="宋体"/>
                <w:color w:val="auto"/>
                <w:sz w:val="24"/>
                <w:szCs w:val="24"/>
                <w:lang w:eastAsia="zh-CN"/>
              </w:rPr>
            </w:pPr>
            <w:r>
              <w:rPr>
                <w:rFonts w:hint="default"/>
                <w:color w:val="auto"/>
                <w:sz w:val="24"/>
                <w:szCs w:val="24"/>
              </w:rPr>
              <w:t>（2）物料混合搅拌粉尘</w:t>
            </w:r>
            <w:r>
              <w:rPr>
                <w:rFonts w:hint="eastAsia"/>
                <w:color w:val="auto"/>
                <w:sz w:val="24"/>
                <w:szCs w:val="24"/>
                <w:lang w:eastAsia="zh-CN"/>
              </w:rPr>
              <w:t>（</w:t>
            </w:r>
            <w:r>
              <w:rPr>
                <w:rFonts w:hint="eastAsia"/>
                <w:color w:val="auto"/>
                <w:sz w:val="24"/>
                <w:szCs w:val="24"/>
                <w:lang w:val="en-US" w:eastAsia="zh-CN"/>
              </w:rPr>
              <w:t>G5</w:t>
            </w:r>
            <w:r>
              <w:rPr>
                <w:rFonts w:hint="eastAsia"/>
                <w:color w:val="auto"/>
                <w:sz w:val="24"/>
                <w:szCs w:val="24"/>
                <w:lang w:eastAsia="zh-CN"/>
              </w:rPr>
              <w:t>）</w:t>
            </w:r>
          </w:p>
          <w:p>
            <w:pPr>
              <w:keepNext w:val="0"/>
              <w:keepLines w:val="0"/>
              <w:suppressLineNumbers w:val="0"/>
              <w:spacing w:before="0" w:beforeAutospacing="0" w:after="0" w:afterAutospacing="0" w:line="360" w:lineRule="auto"/>
              <w:ind w:left="0" w:right="0" w:firstLine="464"/>
              <w:rPr>
                <w:rFonts w:hint="default"/>
                <w:color w:val="auto"/>
                <w:sz w:val="24"/>
                <w:szCs w:val="24"/>
              </w:rPr>
            </w:pPr>
            <w:r>
              <w:rPr>
                <w:rFonts w:hint="default"/>
                <w:color w:val="auto"/>
                <w:sz w:val="24"/>
                <w:szCs w:val="24"/>
              </w:rPr>
              <w:t>根据《关于加强混凝土、砂浆和沥青搅拌企业扬（粉）尘污染整治及沥青烟气治理的通知》要求，搅拌主机、配料机等设施设在封闭式车间内，并配备有高效布袋除尘器，螺旋输送机往粉料计量斗内投送粉料时、计量斗往搅拌主机卸粉料时产生的粉尘及砂、碎石配料和通过料斗往搅拌主机内卸骨料时将产生粉尘。</w:t>
            </w:r>
            <w:r>
              <w:rPr>
                <w:rFonts w:hint="eastAsia"/>
                <w:color w:val="auto"/>
                <w:sz w:val="24"/>
                <w:szCs w:val="24"/>
                <w:lang w:eastAsia="zh-CN"/>
              </w:rPr>
              <w:t>本项目</w:t>
            </w:r>
            <w:r>
              <w:rPr>
                <w:rFonts w:hint="default"/>
                <w:color w:val="auto"/>
                <w:sz w:val="24"/>
                <w:szCs w:val="24"/>
              </w:rPr>
              <w:t>求在搅拌机入料位置</w:t>
            </w:r>
            <w:r>
              <w:rPr>
                <w:rFonts w:hint="eastAsia"/>
                <w:color w:val="auto"/>
                <w:sz w:val="24"/>
                <w:szCs w:val="24"/>
                <w:lang w:eastAsia="zh-CN"/>
              </w:rPr>
              <w:t>设置了布袋除尘器</w:t>
            </w:r>
            <w:r>
              <w:rPr>
                <w:rFonts w:hint="default"/>
                <w:color w:val="auto"/>
                <w:sz w:val="24"/>
                <w:szCs w:val="24"/>
              </w:rPr>
              <w:t>，将产生的下料粉尘收集后进入高效过滤式布袋除尘器，除尘效率按99.9%计算。</w:t>
            </w:r>
          </w:p>
          <w:p>
            <w:pPr>
              <w:keepNext w:val="0"/>
              <w:keepLines w:val="0"/>
              <w:suppressLineNumbers w:val="0"/>
              <w:spacing w:before="0" w:beforeAutospacing="0" w:after="0" w:afterAutospacing="0" w:line="360" w:lineRule="auto"/>
              <w:ind w:left="0" w:right="0" w:firstLine="420"/>
              <w:rPr>
                <w:rFonts w:hint="default"/>
                <w:color w:val="auto"/>
                <w:sz w:val="24"/>
                <w:szCs w:val="24"/>
              </w:rPr>
            </w:pPr>
            <w:r>
              <w:rPr>
                <w:rFonts w:hint="default"/>
                <w:color w:val="auto"/>
                <w:sz w:val="24"/>
                <w:szCs w:val="24"/>
              </w:rPr>
              <w:t>根据《未纳入排污许可管理行业适用的排污系数、物料衡算方法（试行）》中“50 水泥制品制造业产污系数表”</w:t>
            </w:r>
            <w:r>
              <w:rPr>
                <w:rFonts w:hint="eastAsia"/>
                <w:color w:val="auto"/>
                <w:sz w:val="24"/>
                <w:szCs w:val="24"/>
                <w:lang w:eastAsia="zh-CN"/>
              </w:rPr>
              <w:t>中产污系数</w:t>
            </w:r>
            <w:r>
              <w:rPr>
                <w:rFonts w:hint="default"/>
                <w:color w:val="auto"/>
                <w:sz w:val="24"/>
                <w:szCs w:val="24"/>
              </w:rPr>
              <w:t>计算，搅拌过程产生的废气总量为</w:t>
            </w:r>
            <w:r>
              <w:rPr>
                <w:rFonts w:hint="eastAsia"/>
                <w:color w:val="auto"/>
                <w:sz w:val="24"/>
                <w:szCs w:val="24"/>
                <w:lang w:val="en-US" w:eastAsia="zh-CN"/>
              </w:rPr>
              <w:t>2480.4</w:t>
            </w:r>
            <w:r>
              <w:rPr>
                <w:rFonts w:hint="default"/>
                <w:color w:val="auto"/>
                <w:sz w:val="24"/>
                <w:szCs w:val="24"/>
              </w:rPr>
              <w:t>万m</w:t>
            </w:r>
            <w:r>
              <w:rPr>
                <w:rFonts w:hint="default"/>
                <w:color w:val="auto"/>
                <w:sz w:val="24"/>
                <w:szCs w:val="24"/>
                <w:vertAlign w:val="superscript"/>
              </w:rPr>
              <w:t>3</w:t>
            </w:r>
            <w:r>
              <w:rPr>
                <w:rFonts w:hint="default"/>
                <w:color w:val="auto"/>
                <w:sz w:val="24"/>
                <w:szCs w:val="24"/>
              </w:rPr>
              <w:t>/a，产生的粉尘量约</w:t>
            </w:r>
            <w:r>
              <w:rPr>
                <w:rFonts w:hint="eastAsia"/>
                <w:color w:val="auto"/>
                <w:sz w:val="24"/>
                <w:szCs w:val="24"/>
                <w:lang w:val="en-US" w:eastAsia="zh-CN"/>
              </w:rPr>
              <w:t>100.51</w:t>
            </w:r>
            <w:r>
              <w:rPr>
                <w:rFonts w:hint="default"/>
                <w:color w:val="auto"/>
                <w:sz w:val="24"/>
                <w:szCs w:val="24"/>
              </w:rPr>
              <w:t>t/a（</w:t>
            </w:r>
            <w:r>
              <w:rPr>
                <w:rFonts w:hint="eastAsia"/>
                <w:color w:val="auto"/>
                <w:sz w:val="24"/>
                <w:szCs w:val="24"/>
                <w:lang w:val="en-US" w:eastAsia="zh-CN"/>
              </w:rPr>
              <w:t>41.88</w:t>
            </w:r>
            <w:r>
              <w:rPr>
                <w:rFonts w:hint="default"/>
                <w:color w:val="auto"/>
                <w:sz w:val="24"/>
                <w:szCs w:val="24"/>
              </w:rPr>
              <w:t>kg/h），产生浓度约为4052.1</w:t>
            </w:r>
            <w:r>
              <w:rPr>
                <w:rFonts w:hint="eastAsia"/>
                <w:color w:val="auto"/>
                <w:sz w:val="24"/>
                <w:szCs w:val="24"/>
                <w:lang w:val="en-US" w:eastAsia="zh-CN"/>
              </w:rPr>
              <w:t>7</w:t>
            </w:r>
            <w:r>
              <w:rPr>
                <w:rFonts w:hint="default"/>
                <w:color w:val="auto"/>
                <w:sz w:val="24"/>
                <w:szCs w:val="24"/>
              </w:rPr>
              <w:t>mg/m</w:t>
            </w:r>
            <w:r>
              <w:rPr>
                <w:rFonts w:hint="default"/>
                <w:color w:val="auto"/>
                <w:sz w:val="24"/>
                <w:szCs w:val="24"/>
                <w:vertAlign w:val="superscript"/>
              </w:rPr>
              <w:t>3</w:t>
            </w:r>
            <w:r>
              <w:rPr>
                <w:rFonts w:hint="default"/>
                <w:color w:val="auto"/>
                <w:sz w:val="24"/>
                <w:szCs w:val="24"/>
              </w:rPr>
              <w:t>。搅拌机设置在密闭搅拌车间内且搅拌机进料口处自带除尘器，其除尘效率可达99.9%。经过除尘器除尘后，</w:t>
            </w:r>
            <w:r>
              <w:rPr>
                <w:rFonts w:hint="eastAsia"/>
                <w:color w:val="auto"/>
                <w:sz w:val="24"/>
                <w:szCs w:val="24"/>
                <w:lang w:eastAsia="zh-CN"/>
              </w:rPr>
              <w:t>颗粒物的排放量</w:t>
            </w:r>
            <w:r>
              <w:rPr>
                <w:rFonts w:hint="default"/>
                <w:color w:val="auto"/>
                <w:sz w:val="24"/>
                <w:szCs w:val="24"/>
              </w:rPr>
              <w:t>约为0</w:t>
            </w:r>
            <w:r>
              <w:rPr>
                <w:rFonts w:hint="eastAsia"/>
                <w:color w:val="auto"/>
                <w:sz w:val="24"/>
                <w:szCs w:val="24"/>
                <w:lang w:val="en-US" w:eastAsia="zh-CN"/>
              </w:rPr>
              <w:t>.10</w:t>
            </w:r>
            <w:r>
              <w:rPr>
                <w:rFonts w:hint="default"/>
                <w:color w:val="auto"/>
                <w:sz w:val="24"/>
                <w:szCs w:val="24"/>
              </w:rPr>
              <w:t>t/a（</w:t>
            </w:r>
            <w:r>
              <w:rPr>
                <w:rFonts w:hint="eastAsia"/>
                <w:color w:val="auto"/>
                <w:sz w:val="24"/>
                <w:szCs w:val="24"/>
                <w:lang w:val="en-US" w:eastAsia="zh-CN"/>
              </w:rPr>
              <w:t>0.04</w:t>
            </w:r>
            <w:r>
              <w:rPr>
                <w:rFonts w:hint="default"/>
                <w:color w:val="auto"/>
                <w:sz w:val="24"/>
                <w:szCs w:val="24"/>
              </w:rPr>
              <w:t>kg/h）。该粉尘经过封闭的搅拌楼的阻隔后约有</w:t>
            </w:r>
            <w:r>
              <w:rPr>
                <w:rFonts w:hint="eastAsia"/>
                <w:color w:val="auto"/>
                <w:sz w:val="24"/>
                <w:szCs w:val="24"/>
                <w:lang w:val="en-US" w:eastAsia="zh-CN"/>
              </w:rPr>
              <w:t>10</w:t>
            </w:r>
            <w:r>
              <w:rPr>
                <w:rFonts w:hint="default"/>
                <w:color w:val="auto"/>
                <w:sz w:val="24"/>
                <w:szCs w:val="24"/>
              </w:rPr>
              <w:t>%（0.</w:t>
            </w:r>
            <w:r>
              <w:rPr>
                <w:rFonts w:hint="eastAsia"/>
                <w:color w:val="auto"/>
                <w:sz w:val="24"/>
                <w:szCs w:val="24"/>
                <w:lang w:val="en-US" w:eastAsia="zh-CN"/>
              </w:rPr>
              <w:t>01</w:t>
            </w:r>
            <w:r>
              <w:rPr>
                <w:rFonts w:hint="default"/>
                <w:color w:val="auto"/>
                <w:sz w:val="24"/>
                <w:szCs w:val="24"/>
              </w:rPr>
              <w:t>t/a）经过车间门窗以无组织形式外排入大气中。项目搅拌工序粉尘产生及排放情况见下表。</w:t>
            </w:r>
          </w:p>
          <w:p>
            <w:pPr>
              <w:keepNext w:val="0"/>
              <w:keepLines w:val="0"/>
              <w:suppressLineNumbers w:val="0"/>
              <w:adjustRightInd w:val="0"/>
              <w:snapToGrid w:val="0"/>
              <w:spacing w:before="0" w:beforeAutospacing="0" w:after="0" w:afterAutospacing="0" w:line="240" w:lineRule="auto"/>
              <w:ind w:left="0" w:right="0"/>
              <w:jc w:val="center"/>
              <w:rPr>
                <w:rFonts w:hint="default"/>
                <w:b/>
                <w:bCs/>
                <w:color w:val="auto"/>
              </w:rPr>
            </w:pPr>
            <w:r>
              <w:rPr>
                <w:rFonts w:hint="default"/>
                <w:b/>
                <w:bCs/>
                <w:color w:val="auto"/>
              </w:rPr>
              <w:t>表</w:t>
            </w:r>
            <w:r>
              <w:rPr>
                <w:rFonts w:hint="eastAsia"/>
                <w:b/>
                <w:bCs/>
                <w:color w:val="auto"/>
                <w:lang w:val="en-US" w:eastAsia="zh-CN"/>
              </w:rPr>
              <w:t>4</w:t>
            </w:r>
            <w:r>
              <w:rPr>
                <w:rFonts w:hint="default"/>
                <w:b/>
                <w:bCs/>
                <w:color w:val="auto"/>
              </w:rPr>
              <w:t>-</w:t>
            </w:r>
            <w:r>
              <w:rPr>
                <w:rFonts w:hint="eastAsia"/>
                <w:b/>
                <w:bCs/>
                <w:color w:val="auto"/>
                <w:lang w:val="en-US" w:eastAsia="zh-CN"/>
              </w:rPr>
              <w:t xml:space="preserve">4 </w:t>
            </w:r>
            <w:r>
              <w:rPr>
                <w:rFonts w:hint="default"/>
                <w:b/>
                <w:bCs/>
                <w:color w:val="auto"/>
              </w:rPr>
              <w:t>项目搅拌工序粉尘产生及排放情况一览表</w:t>
            </w:r>
          </w:p>
          <w:tbl>
            <w:tblPr>
              <w:tblStyle w:val="15"/>
              <w:tblW w:w="4998" w:type="pct"/>
              <w:tblInd w:w="0" w:type="dxa"/>
              <w:tblLayout w:type="fixed"/>
              <w:tblCellMar>
                <w:top w:w="0" w:type="dxa"/>
                <w:left w:w="0" w:type="dxa"/>
                <w:bottom w:w="0" w:type="dxa"/>
                <w:right w:w="0" w:type="dxa"/>
              </w:tblCellMar>
            </w:tblPr>
            <w:tblGrid>
              <w:gridCol w:w="1967"/>
              <w:gridCol w:w="1761"/>
              <w:gridCol w:w="2037"/>
              <w:gridCol w:w="2259"/>
            </w:tblGrid>
            <w:tr>
              <w:tblPrEx>
                <w:tblCellMar>
                  <w:top w:w="0" w:type="dxa"/>
                  <w:left w:w="0" w:type="dxa"/>
                  <w:bottom w:w="0" w:type="dxa"/>
                  <w:right w:w="0" w:type="dxa"/>
                </w:tblCellMar>
              </w:tblPrEx>
              <w:trPr>
                <w:trHeight w:val="340" w:hRule="atLeast"/>
              </w:trPr>
              <w:tc>
                <w:tcPr>
                  <w:tcW w:w="122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颗粒物产生情况</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产生量t</w:t>
                  </w:r>
                </w:p>
              </w:tc>
              <w:tc>
                <w:tcPr>
                  <w:tcW w:w="1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产生速率kg/h</w:t>
                  </w:r>
                </w:p>
              </w:tc>
              <w:tc>
                <w:tcPr>
                  <w:tcW w:w="1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产生浓度mg/m3</w:t>
                  </w:r>
                </w:p>
              </w:tc>
            </w:tr>
            <w:tr>
              <w:tblPrEx>
                <w:tblCellMar>
                  <w:top w:w="0" w:type="dxa"/>
                  <w:left w:w="0" w:type="dxa"/>
                  <w:bottom w:w="0" w:type="dxa"/>
                  <w:right w:w="0" w:type="dxa"/>
                </w:tblCellMar>
              </w:tblPrEx>
              <w:trPr>
                <w:trHeight w:val="340" w:hRule="atLeast"/>
              </w:trPr>
              <w:tc>
                <w:tcPr>
                  <w:tcW w:w="122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0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100.51</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41.88</w:t>
                  </w:r>
                </w:p>
              </w:tc>
              <w:tc>
                <w:tcPr>
                  <w:tcW w:w="1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lang w:val="en-US" w:eastAsia="zh-CN"/>
                    </w:rPr>
                  </w:pPr>
                  <w:r>
                    <w:rPr>
                      <w:rFonts w:hint="default" w:ascii="Times New Roman" w:hAnsi="Times New Roman" w:cs="Times New Roman"/>
                      <w:color w:val="auto"/>
                    </w:rPr>
                    <w:t>4052.1</w:t>
                  </w:r>
                  <w:r>
                    <w:rPr>
                      <w:rFonts w:hint="default" w:ascii="Times New Roman" w:hAnsi="Times New Roman" w:cs="Times New Roman"/>
                      <w:color w:val="auto"/>
                      <w:lang w:val="en-US" w:eastAsia="zh-CN"/>
                    </w:rPr>
                    <w:t>7</w:t>
                  </w:r>
                </w:p>
              </w:tc>
            </w:tr>
            <w:tr>
              <w:tblPrEx>
                <w:tblCellMar>
                  <w:top w:w="0" w:type="dxa"/>
                  <w:left w:w="0" w:type="dxa"/>
                  <w:bottom w:w="0" w:type="dxa"/>
                  <w:right w:w="0" w:type="dxa"/>
                </w:tblCellMar>
              </w:tblPrEx>
              <w:trPr>
                <w:trHeight w:val="340" w:hRule="atLeast"/>
              </w:trPr>
              <w:tc>
                <w:tcPr>
                  <w:tcW w:w="1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去除率</w:t>
                  </w:r>
                </w:p>
              </w:tc>
              <w:tc>
                <w:tcPr>
                  <w:tcW w:w="377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99.9%</w:t>
                  </w:r>
                </w:p>
              </w:tc>
            </w:tr>
            <w:tr>
              <w:tblPrEx>
                <w:tblCellMar>
                  <w:top w:w="0" w:type="dxa"/>
                  <w:left w:w="0" w:type="dxa"/>
                  <w:bottom w:w="0" w:type="dxa"/>
                  <w:right w:w="0" w:type="dxa"/>
                </w:tblCellMar>
              </w:tblPrEx>
              <w:trPr>
                <w:trHeight w:val="340" w:hRule="atLeast"/>
              </w:trPr>
              <w:tc>
                <w:tcPr>
                  <w:tcW w:w="122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lang w:eastAsia="zh-CN"/>
                    </w:rPr>
                  </w:pPr>
                  <w:r>
                    <w:rPr>
                      <w:rFonts w:hint="default" w:ascii="Times New Roman" w:hAnsi="Times New Roman" w:cs="Times New Roman"/>
                      <w:color w:val="auto"/>
                    </w:rPr>
                    <w:t>布袋除尘后</w:t>
                  </w:r>
                  <w:r>
                    <w:rPr>
                      <w:rFonts w:hint="default" w:ascii="Times New Roman" w:hAnsi="Times New Roman" w:cs="Times New Roman"/>
                      <w:color w:val="auto"/>
                      <w:lang w:eastAsia="zh-CN"/>
                    </w:rPr>
                    <w:t>排放情况</w:t>
                  </w:r>
                </w:p>
              </w:tc>
              <w:tc>
                <w:tcPr>
                  <w:tcW w:w="10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排放量t</w:t>
                  </w:r>
                </w:p>
              </w:tc>
              <w:tc>
                <w:tcPr>
                  <w:tcW w:w="12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排放速率kg/h</w:t>
                  </w:r>
                </w:p>
              </w:tc>
              <w:tc>
                <w:tcPr>
                  <w:tcW w:w="1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排放浓度mg/m3</w:t>
                  </w:r>
                </w:p>
              </w:tc>
            </w:tr>
            <w:tr>
              <w:tblPrEx>
                <w:tblCellMar>
                  <w:top w:w="0" w:type="dxa"/>
                  <w:left w:w="0" w:type="dxa"/>
                  <w:bottom w:w="0" w:type="dxa"/>
                  <w:right w:w="0" w:type="dxa"/>
                </w:tblCellMar>
              </w:tblPrEx>
              <w:trPr>
                <w:trHeight w:val="340" w:hRule="atLeast"/>
              </w:trPr>
              <w:tc>
                <w:tcPr>
                  <w:tcW w:w="122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0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0.10</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0.04</w:t>
                  </w:r>
                </w:p>
              </w:tc>
              <w:tc>
                <w:tcPr>
                  <w:tcW w:w="1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4.05</w:t>
                  </w:r>
                </w:p>
              </w:tc>
            </w:tr>
            <w:tr>
              <w:tblPrEx>
                <w:tblCellMar>
                  <w:top w:w="0" w:type="dxa"/>
                  <w:left w:w="0" w:type="dxa"/>
                  <w:bottom w:w="0" w:type="dxa"/>
                  <w:right w:w="0" w:type="dxa"/>
                </w:tblCellMar>
              </w:tblPrEx>
              <w:trPr>
                <w:trHeight w:val="340" w:hRule="atLeast"/>
              </w:trPr>
              <w:tc>
                <w:tcPr>
                  <w:tcW w:w="12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去除率</w:t>
                  </w:r>
                </w:p>
              </w:tc>
              <w:tc>
                <w:tcPr>
                  <w:tcW w:w="377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lang w:val="en-US" w:eastAsia="zh-CN"/>
                    </w:rPr>
                    <w:t>90</w:t>
                  </w:r>
                  <w:r>
                    <w:rPr>
                      <w:rFonts w:hint="default" w:ascii="Times New Roman" w:hAnsi="Times New Roman" w:cs="Times New Roman"/>
                      <w:color w:val="auto"/>
                    </w:rPr>
                    <w:t>.00%</w:t>
                  </w:r>
                </w:p>
              </w:tc>
            </w:tr>
            <w:tr>
              <w:tblPrEx>
                <w:tblCellMar>
                  <w:top w:w="0" w:type="dxa"/>
                  <w:left w:w="0" w:type="dxa"/>
                  <w:bottom w:w="0" w:type="dxa"/>
                  <w:right w:w="0" w:type="dxa"/>
                </w:tblCellMar>
              </w:tblPrEx>
              <w:trPr>
                <w:trHeight w:val="340" w:hRule="atLeast"/>
              </w:trPr>
              <w:tc>
                <w:tcPr>
                  <w:tcW w:w="122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封闭车间阻隔后</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排放情况</w:t>
                  </w:r>
                </w:p>
              </w:tc>
              <w:tc>
                <w:tcPr>
                  <w:tcW w:w="10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排放量t</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排放速率kg/h</w:t>
                  </w:r>
                </w:p>
              </w:tc>
              <w:tc>
                <w:tcPr>
                  <w:tcW w:w="1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rPr>
                  </w:pPr>
                  <w:r>
                    <w:rPr>
                      <w:rFonts w:hint="default" w:ascii="Times New Roman" w:hAnsi="Times New Roman" w:cs="Times New Roman"/>
                      <w:color w:val="auto"/>
                    </w:rPr>
                    <w:t>排放浓度mg/m3</w:t>
                  </w:r>
                </w:p>
              </w:tc>
            </w:tr>
            <w:tr>
              <w:tblPrEx>
                <w:tblCellMar>
                  <w:top w:w="0" w:type="dxa"/>
                  <w:left w:w="0" w:type="dxa"/>
                  <w:bottom w:w="0" w:type="dxa"/>
                  <w:right w:w="0" w:type="dxa"/>
                </w:tblCellMar>
              </w:tblPrEx>
              <w:trPr>
                <w:trHeight w:val="340" w:hRule="atLeast"/>
              </w:trPr>
              <w:tc>
                <w:tcPr>
                  <w:tcW w:w="122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0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0.01</w:t>
                  </w: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lang w:val="en-US" w:eastAsia="zh-CN"/>
                    </w:rPr>
                  </w:pPr>
                  <w:r>
                    <w:rPr>
                      <w:rFonts w:hint="default" w:ascii="Times New Roman" w:hAnsi="Times New Roman" w:cs="Times New Roman"/>
                      <w:color w:val="auto"/>
                    </w:rPr>
                    <w:t>0.</w:t>
                  </w:r>
                  <w:r>
                    <w:rPr>
                      <w:rFonts w:hint="default" w:ascii="Times New Roman" w:hAnsi="Times New Roman" w:cs="Times New Roman"/>
                      <w:color w:val="auto"/>
                      <w:lang w:val="en-US" w:eastAsia="zh-CN"/>
                    </w:rPr>
                    <w:t>004</w:t>
                  </w:r>
                </w:p>
              </w:tc>
              <w:tc>
                <w:tcPr>
                  <w:tcW w:w="1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w:t>
                  </w:r>
                </w:p>
              </w:tc>
            </w:tr>
          </w:tbl>
          <w:p>
            <w:pPr>
              <w:keepNext w:val="0"/>
              <w:keepLines w:val="0"/>
              <w:suppressLineNumbers w:val="0"/>
              <w:spacing w:before="0" w:beforeAutospacing="0" w:after="0" w:afterAutospacing="0" w:line="360" w:lineRule="auto"/>
              <w:ind w:left="0" w:right="0" w:firstLine="480" w:firstLineChars="200"/>
              <w:rPr>
                <w:rFonts w:hint="eastAsia" w:eastAsia="宋体"/>
                <w:color w:val="auto"/>
                <w:sz w:val="24"/>
                <w:szCs w:val="24"/>
                <w:lang w:eastAsia="zh-CN"/>
              </w:rPr>
            </w:pPr>
            <w:r>
              <w:rPr>
                <w:rFonts w:hint="default"/>
                <w:color w:val="auto"/>
                <w:sz w:val="24"/>
                <w:szCs w:val="24"/>
              </w:rPr>
              <w:t>（</w:t>
            </w:r>
            <w:r>
              <w:rPr>
                <w:rFonts w:hint="eastAsia"/>
                <w:color w:val="auto"/>
                <w:sz w:val="24"/>
                <w:szCs w:val="24"/>
                <w:lang w:val="en-US" w:eastAsia="zh-CN"/>
              </w:rPr>
              <w:t>3</w:t>
            </w:r>
            <w:r>
              <w:rPr>
                <w:rFonts w:hint="default"/>
                <w:color w:val="auto"/>
                <w:sz w:val="24"/>
                <w:szCs w:val="24"/>
              </w:rPr>
              <w:t>）运输车辆动力起尘</w:t>
            </w:r>
            <w:r>
              <w:rPr>
                <w:rFonts w:hint="eastAsia"/>
                <w:color w:val="auto"/>
                <w:sz w:val="24"/>
                <w:szCs w:val="24"/>
                <w:lang w:eastAsia="zh-CN"/>
              </w:rPr>
              <w:t>（</w:t>
            </w:r>
            <w:r>
              <w:rPr>
                <w:rFonts w:hint="eastAsia"/>
                <w:color w:val="auto"/>
                <w:sz w:val="24"/>
                <w:szCs w:val="24"/>
                <w:lang w:val="en-US" w:eastAsia="zh-CN"/>
              </w:rPr>
              <w:t>G6</w:t>
            </w:r>
            <w:r>
              <w:rPr>
                <w:rFonts w:hint="eastAsia"/>
                <w:color w:val="auto"/>
                <w:sz w:val="24"/>
                <w:szCs w:val="24"/>
                <w:lang w:eastAsia="zh-CN"/>
              </w:rPr>
              <w:t>）</w:t>
            </w:r>
          </w:p>
          <w:p>
            <w:pPr>
              <w:adjustRightInd w:val="0"/>
              <w:snapToGrid w:val="0"/>
              <w:spacing w:line="360" w:lineRule="auto"/>
              <w:ind w:firstLine="480" w:firstLineChars="200"/>
              <w:rPr>
                <w:color w:val="auto"/>
                <w:sz w:val="24"/>
                <w:szCs w:val="24"/>
              </w:rPr>
            </w:pPr>
            <w:r>
              <w:rPr>
                <w:color w:val="auto"/>
                <w:sz w:val="24"/>
                <w:szCs w:val="24"/>
              </w:rPr>
              <w:t>车辆行驶产生的扬尘，在道路完全干燥的情况下，可按下列经验公式计算：</w:t>
            </w:r>
          </w:p>
          <w:p>
            <w:pPr>
              <w:adjustRightInd w:val="0"/>
              <w:snapToGrid w:val="0"/>
              <w:spacing w:line="360" w:lineRule="auto"/>
              <w:jc w:val="center"/>
              <w:rPr>
                <w:color w:val="auto"/>
                <w:sz w:val="24"/>
                <w:szCs w:val="24"/>
              </w:rPr>
            </w:pPr>
            <w:r>
              <w:rPr>
                <w:color w:val="auto"/>
                <w:sz w:val="24"/>
                <w:szCs w:val="24"/>
              </w:rPr>
              <w:object>
                <v:shape id="_x0000_i1025" o:spt="75" type="#_x0000_t75" style="height:26.4pt;width:162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p>
            <w:pPr>
              <w:adjustRightInd w:val="0"/>
              <w:snapToGrid w:val="0"/>
              <w:spacing w:line="360" w:lineRule="auto"/>
              <w:ind w:firstLine="480" w:firstLineChars="200"/>
              <w:rPr>
                <w:rFonts w:hint="default"/>
                <w:color w:val="auto"/>
                <w:sz w:val="24"/>
                <w:szCs w:val="24"/>
              </w:rPr>
            </w:pPr>
            <w:r>
              <w:rPr>
                <w:color w:val="auto"/>
                <w:sz w:val="24"/>
                <w:szCs w:val="24"/>
              </w:rPr>
              <w:t>其中</w:t>
            </w:r>
            <w:r>
              <w:rPr>
                <w:rFonts w:hint="default"/>
                <w:color w:val="auto"/>
                <w:sz w:val="24"/>
                <w:szCs w:val="24"/>
              </w:rPr>
              <w:t>：</w:t>
            </w:r>
          </w:p>
          <w:p>
            <w:pPr>
              <w:adjustRightInd w:val="0"/>
              <w:snapToGrid w:val="0"/>
              <w:spacing w:line="360" w:lineRule="auto"/>
              <w:ind w:firstLine="1200" w:firstLineChars="500"/>
              <w:rPr>
                <w:rFonts w:hint="default"/>
                <w:color w:val="auto"/>
                <w:sz w:val="24"/>
                <w:szCs w:val="24"/>
              </w:rPr>
            </w:pPr>
            <w:r>
              <w:rPr>
                <w:rFonts w:hint="default"/>
                <w:color w:val="auto"/>
                <w:sz w:val="24"/>
                <w:szCs w:val="24"/>
              </w:rPr>
              <w:t>Q——汽车行驶时的扬尘，kg/km·辆；</w:t>
            </w:r>
          </w:p>
          <w:p>
            <w:pPr>
              <w:adjustRightInd w:val="0"/>
              <w:snapToGrid w:val="0"/>
              <w:spacing w:line="360" w:lineRule="auto"/>
              <w:ind w:firstLine="1200" w:firstLineChars="500"/>
              <w:rPr>
                <w:rFonts w:hint="default"/>
                <w:color w:val="auto"/>
                <w:sz w:val="24"/>
                <w:szCs w:val="24"/>
              </w:rPr>
            </w:pPr>
            <w:r>
              <w:rPr>
                <w:rFonts w:hint="default"/>
                <w:color w:val="auto"/>
                <w:sz w:val="24"/>
                <w:szCs w:val="24"/>
              </w:rPr>
              <w:t>V——汽车车速，km/h；</w:t>
            </w:r>
          </w:p>
          <w:p>
            <w:pPr>
              <w:adjustRightInd w:val="0"/>
              <w:snapToGrid w:val="0"/>
              <w:spacing w:line="360" w:lineRule="auto"/>
              <w:ind w:firstLine="1200" w:firstLineChars="500"/>
              <w:rPr>
                <w:rFonts w:hint="default"/>
                <w:color w:val="auto"/>
                <w:sz w:val="24"/>
                <w:szCs w:val="24"/>
              </w:rPr>
            </w:pPr>
            <w:r>
              <w:rPr>
                <w:rFonts w:hint="default"/>
                <w:color w:val="auto"/>
                <w:sz w:val="24"/>
                <w:szCs w:val="24"/>
              </w:rPr>
              <w:t>W——汽车载重量，吨；</w:t>
            </w:r>
          </w:p>
          <w:p>
            <w:pPr>
              <w:adjustRightInd w:val="0"/>
              <w:snapToGrid w:val="0"/>
              <w:spacing w:line="360" w:lineRule="auto"/>
              <w:ind w:firstLine="1200" w:firstLineChars="500"/>
              <w:rPr>
                <w:rFonts w:hint="default"/>
                <w:color w:val="auto"/>
                <w:sz w:val="24"/>
                <w:szCs w:val="24"/>
              </w:rPr>
            </w:pPr>
            <w:r>
              <w:rPr>
                <w:rFonts w:hint="default"/>
                <w:color w:val="auto"/>
                <w:sz w:val="24"/>
                <w:szCs w:val="24"/>
              </w:rPr>
              <w:t>P——道路表面粉尘量，kg/m</w:t>
            </w:r>
            <w:r>
              <w:rPr>
                <w:rFonts w:hint="default"/>
                <w:color w:val="auto"/>
                <w:sz w:val="24"/>
                <w:szCs w:val="24"/>
                <w:vertAlign w:val="superscript"/>
              </w:rPr>
              <w:t>2</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本项目车辆在厂区行驶距离按60米计，平均每天发空车、重载各20辆（次）；空车重约10吨，重车重约40吨，以速度20km/h行驶，本项目道路起尘以0.2kg/m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计，则经计算，项目运输车动力扬尘量为3.18t/a。根据本项目的情况，环评要求厂区道路进行地面硬化，运输砂石等物料产品的车辆必须保持车轮车身干净整洁，必须采取密闭运输方式，严禁超载、冒尖运输和敞开式运输撒漏，运输采用箱车或加盖蓬布，加强对内部运输道路路面的维护保养、洒水车定时喷洒水抑尘。同时，厂区出入口设置冲洗平台，运输车辆车轮车身必须经冲洗清洁后方可驶出，严禁车辆带泥带尘上路或沿路撒漏。厂区出口周边实行门前环境卫生“三包”，必须落实厂区附近运输路段洒水抑尘和清扫保洁，保持厂区出口外道路干净清洁，</w:t>
            </w:r>
            <w:r>
              <w:rPr>
                <w:rFonts w:hint="default" w:ascii="Times New Roman" w:hAnsi="Times New Roman" w:cs="Times New Roman"/>
                <w:color w:val="auto"/>
                <w:sz w:val="24"/>
                <w:szCs w:val="24"/>
                <w:lang w:eastAsia="zh-CN"/>
              </w:rPr>
              <w:t>抑尘率为</w:t>
            </w:r>
            <w:r>
              <w:rPr>
                <w:rFonts w:hint="default" w:ascii="Times New Roman" w:hAnsi="Times New Roman" w:cs="Times New Roman"/>
                <w:color w:val="auto"/>
                <w:sz w:val="24"/>
                <w:szCs w:val="24"/>
                <w:lang w:val="en-US" w:eastAsia="zh-CN"/>
              </w:rPr>
              <w:t>93</w:t>
            </w:r>
            <w:r>
              <w:rPr>
                <w:rFonts w:hint="default" w:ascii="Times New Roman" w:hAnsi="Times New Roman" w:cs="Times New Roman"/>
                <w:color w:val="auto"/>
                <w:sz w:val="24"/>
                <w:szCs w:val="24"/>
              </w:rPr>
              <w:t>%左右，能够达到《水泥工业大气污染排放标准》（GB4915-2013）表</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中</w:t>
            </w:r>
            <w:r>
              <w:rPr>
                <w:rFonts w:hint="default" w:ascii="Times New Roman" w:hAnsi="Times New Roman" w:cs="Times New Roman"/>
                <w:color w:val="auto"/>
                <w:sz w:val="24"/>
                <w:szCs w:val="24"/>
                <w:lang w:eastAsia="zh-CN"/>
              </w:rPr>
              <w:t>大气污染物无组织</w:t>
            </w:r>
            <w:r>
              <w:rPr>
                <w:rFonts w:hint="default" w:ascii="Times New Roman" w:hAnsi="Times New Roman" w:cs="Times New Roman"/>
                <w:color w:val="auto"/>
                <w:sz w:val="24"/>
                <w:szCs w:val="24"/>
              </w:rPr>
              <w:t>排放限值，即汽车运输扬尘排放量为</w:t>
            </w:r>
            <w:r>
              <w:rPr>
                <w:rFonts w:hint="default" w:ascii="Times New Roman" w:hAnsi="Times New Roman" w:cs="Times New Roman"/>
                <w:color w:val="auto"/>
                <w:sz w:val="24"/>
                <w:szCs w:val="24"/>
                <w:lang w:val="en-US" w:eastAsia="zh-CN"/>
              </w:rPr>
              <w:t>0.22</w:t>
            </w:r>
            <w:r>
              <w:rPr>
                <w:rFonts w:hint="default" w:ascii="Times New Roman" w:hAnsi="Times New Roman" w:cs="Times New Roman"/>
                <w:color w:val="auto"/>
                <w:sz w:val="24"/>
                <w:szCs w:val="24"/>
              </w:rPr>
              <w:t>t/a</w:t>
            </w:r>
            <w:r>
              <w:rPr>
                <w:rFonts w:hint="default" w:ascii="Times New Roman" w:hAnsi="Times New Roman" w:cs="Times New Roman"/>
                <w:color w:val="auto"/>
                <w:sz w:val="24"/>
                <w:szCs w:val="24"/>
                <w:lang w:eastAsia="zh-CN"/>
              </w:rPr>
              <w:t>，排放速率</w:t>
            </w:r>
            <w:r>
              <w:rPr>
                <w:rFonts w:hint="default" w:ascii="Times New Roman" w:hAnsi="Times New Roman" w:cs="Times New Roman"/>
                <w:color w:val="auto"/>
                <w:sz w:val="24"/>
                <w:szCs w:val="24"/>
                <w:lang w:val="en-US" w:eastAsia="zh-CN"/>
              </w:rPr>
              <w:t>0.09kg/h。</w:t>
            </w:r>
            <w:r>
              <w:rPr>
                <w:rFonts w:hint="default" w:ascii="Times New Roman" w:hAnsi="Times New Roman" w:cs="Times New Roman"/>
                <w:color w:val="auto"/>
                <w:sz w:val="24"/>
                <w:szCs w:val="24"/>
              </w:rPr>
              <w:t>为无组织排放。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olor w:val="auto"/>
                <w:sz w:val="24"/>
                <w:szCs w:val="24"/>
              </w:rPr>
            </w:pPr>
            <w:r>
              <w:rPr>
                <w:rFonts w:hint="default"/>
                <w:color w:val="auto"/>
                <w:sz w:val="24"/>
                <w:szCs w:val="24"/>
              </w:rPr>
              <w:t>（3）食堂油烟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olor w:val="auto"/>
                <w:sz w:val="24"/>
                <w:szCs w:val="24"/>
              </w:rPr>
            </w:pPr>
            <w:r>
              <w:rPr>
                <w:rFonts w:hint="eastAsia"/>
                <w:color w:val="auto"/>
                <w:sz w:val="24"/>
                <w:szCs w:val="24"/>
              </w:rPr>
              <w:t>本厂区内设食堂，烹调食物过程中有油烟产生，主要由直径10-7～10-3cm的不可见微油滴组成，一般的食用油耗油系数为7kg/100人·d，根据建设方介绍，员工</w:t>
            </w:r>
            <w:r>
              <w:rPr>
                <w:rFonts w:hint="eastAsia"/>
                <w:color w:val="auto"/>
                <w:sz w:val="24"/>
                <w:szCs w:val="24"/>
                <w:lang w:val="en-US" w:eastAsia="zh-CN"/>
              </w:rPr>
              <w:t>12</w:t>
            </w:r>
            <w:r>
              <w:rPr>
                <w:rFonts w:hint="eastAsia"/>
                <w:color w:val="auto"/>
                <w:sz w:val="24"/>
                <w:szCs w:val="24"/>
              </w:rPr>
              <w:t>人，年正常工作</w:t>
            </w:r>
            <w:r>
              <w:rPr>
                <w:rFonts w:hint="eastAsia"/>
                <w:color w:val="auto"/>
                <w:sz w:val="24"/>
                <w:szCs w:val="24"/>
                <w:lang w:val="en-US" w:eastAsia="zh-CN"/>
              </w:rPr>
              <w:t>30</w:t>
            </w:r>
            <w:r>
              <w:rPr>
                <w:rFonts w:hint="eastAsia"/>
                <w:color w:val="auto"/>
                <w:sz w:val="24"/>
                <w:szCs w:val="24"/>
              </w:rPr>
              <w:t>0天，每天耗油0.84kg，即0.25t/a。一般油烟挥发量占总耗油量的2~4%，按最大含油量4%计算，油烟产生量约为0.034kg/d，即0.01t/a。油烟净化装置去除率达60%，即年排放油烟0.004t/a。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olor w:val="auto"/>
                <w:sz w:val="24"/>
                <w:szCs w:val="24"/>
              </w:rPr>
            </w:pPr>
            <w:r>
              <w:rPr>
                <w:rFonts w:hint="eastAsia"/>
                <w:color w:val="auto"/>
                <w:sz w:val="24"/>
                <w:szCs w:val="24"/>
              </w:rPr>
              <w:t>本次环评建议安装高效油烟净化机，风量为2000m</w:t>
            </w:r>
            <w:r>
              <w:rPr>
                <w:rFonts w:hint="eastAsia"/>
                <w:color w:val="auto"/>
                <w:sz w:val="24"/>
                <w:szCs w:val="24"/>
                <w:vertAlign w:val="superscript"/>
              </w:rPr>
              <w:t>3</w:t>
            </w:r>
            <w:r>
              <w:rPr>
                <w:rFonts w:hint="eastAsia"/>
                <w:color w:val="auto"/>
                <w:sz w:val="24"/>
                <w:szCs w:val="24"/>
              </w:rPr>
              <w:t>/h，</w:t>
            </w:r>
            <w:r>
              <w:rPr>
                <w:rFonts w:hint="eastAsia"/>
                <w:color w:val="auto"/>
                <w:sz w:val="24"/>
                <w:szCs w:val="24"/>
                <w:lang w:eastAsia="zh-CN"/>
              </w:rPr>
              <w:t>排放浓度为</w:t>
            </w:r>
            <w:r>
              <w:rPr>
                <w:rFonts w:hint="eastAsia"/>
                <w:color w:val="auto"/>
                <w:sz w:val="24"/>
                <w:szCs w:val="24"/>
                <w:lang w:val="en-US" w:eastAsia="zh-CN"/>
              </w:rPr>
              <w:t>0.83mg/</w:t>
            </w:r>
            <w:r>
              <w:rPr>
                <w:color w:val="auto"/>
                <w:sz w:val="24"/>
                <w:szCs w:val="24"/>
              </w:rPr>
              <w:t>m</w:t>
            </w:r>
            <w:r>
              <w:rPr>
                <w:color w:val="auto"/>
                <w:sz w:val="24"/>
                <w:szCs w:val="24"/>
                <w:vertAlign w:val="superscript"/>
              </w:rPr>
              <w:t>3</w:t>
            </w:r>
            <w:r>
              <w:rPr>
                <w:rFonts w:hint="eastAsia"/>
                <w:color w:val="auto"/>
                <w:sz w:val="24"/>
                <w:szCs w:val="24"/>
                <w:lang w:val="en-US" w:eastAsia="zh-CN"/>
              </w:rPr>
              <w:t>，</w:t>
            </w:r>
            <w:r>
              <w:rPr>
                <w:rFonts w:hint="eastAsia"/>
                <w:color w:val="auto"/>
                <w:sz w:val="24"/>
                <w:szCs w:val="24"/>
              </w:rPr>
              <w:t>油烟</w:t>
            </w:r>
            <w:r>
              <w:rPr>
                <w:rFonts w:hint="eastAsia"/>
                <w:color w:val="auto"/>
                <w:sz w:val="24"/>
                <w:szCs w:val="24"/>
                <w:lang w:eastAsia="zh-CN"/>
              </w:rPr>
              <w:t>经处理后无组织排放</w:t>
            </w:r>
            <w:r>
              <w:rPr>
                <w:rFonts w:hint="eastAsia"/>
                <w:color w:val="auto"/>
                <w:sz w:val="24"/>
                <w:szCs w:val="24"/>
              </w:rPr>
              <w:t>，对环境的影响较小</w:t>
            </w:r>
            <w:r>
              <w:rPr>
                <w:rFonts w:hint="default"/>
                <w:color w:val="auto"/>
                <w:sz w:val="24"/>
                <w:szCs w:val="24"/>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color w:val="auto"/>
                <w:sz w:val="24"/>
                <w:szCs w:val="24"/>
              </w:rPr>
            </w:pPr>
            <w:r>
              <w:rPr>
                <w:rFonts w:hint="eastAsia"/>
                <w:color w:val="auto"/>
                <w:sz w:val="24"/>
                <w:szCs w:val="24"/>
                <w:lang w:eastAsia="zh-CN"/>
              </w:rPr>
              <w:t>综合上述废气产污环节的分析，废气排放情况具体见下表。</w:t>
            </w:r>
          </w:p>
          <w:p>
            <w:pPr>
              <w:keepNext w:val="0"/>
              <w:keepLines w:val="0"/>
              <w:suppressLineNumbers w:val="0"/>
              <w:adjustRightInd w:val="0"/>
              <w:snapToGrid w:val="0"/>
              <w:spacing w:before="0" w:beforeAutospacing="0" w:after="0" w:afterAutospacing="0"/>
              <w:ind w:left="0" w:right="0"/>
              <w:jc w:val="center"/>
              <w:rPr>
                <w:rFonts w:hint="default"/>
                <w:color w:val="auto"/>
                <w:u w:val="none"/>
              </w:rPr>
            </w:pPr>
            <w:r>
              <w:rPr>
                <w:rFonts w:hint="default"/>
                <w:b/>
                <w:bCs/>
                <w:color w:val="auto"/>
                <w:u w:val="none"/>
              </w:rPr>
              <w:t>表</w:t>
            </w:r>
            <w:r>
              <w:rPr>
                <w:rFonts w:hint="eastAsia"/>
                <w:b/>
                <w:bCs/>
                <w:color w:val="auto"/>
                <w:u w:val="none"/>
                <w:lang w:val="en-US" w:eastAsia="zh-CN"/>
              </w:rPr>
              <w:t>4</w:t>
            </w:r>
            <w:r>
              <w:rPr>
                <w:rFonts w:hint="default"/>
                <w:b/>
                <w:bCs/>
                <w:color w:val="auto"/>
                <w:u w:val="none"/>
              </w:rPr>
              <w:t>-</w:t>
            </w:r>
            <w:r>
              <w:rPr>
                <w:rFonts w:hint="eastAsia"/>
                <w:b/>
                <w:bCs/>
                <w:color w:val="auto"/>
                <w:u w:val="none"/>
                <w:lang w:val="en-US" w:eastAsia="zh-CN"/>
              </w:rPr>
              <w:t xml:space="preserve">5 </w:t>
            </w:r>
            <w:r>
              <w:rPr>
                <w:rFonts w:hint="default"/>
                <w:b/>
                <w:bCs/>
                <w:color w:val="auto"/>
                <w:u w:val="none"/>
              </w:rPr>
              <w:t xml:space="preserve"> 粉尘源强统计</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85"/>
              <w:gridCol w:w="1016"/>
              <w:gridCol w:w="1047"/>
              <w:gridCol w:w="917"/>
              <w:gridCol w:w="890"/>
              <w:gridCol w:w="918"/>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2" w:type="pct"/>
                  <w:gridSpan w:val="2"/>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rPr>
                    <w:t>污染源</w:t>
                  </w:r>
                </w:p>
              </w:tc>
              <w:tc>
                <w:tcPr>
                  <w:tcW w:w="633"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rPr>
                    <w:t>污染物名称</w:t>
                  </w:r>
                </w:p>
              </w:tc>
              <w:tc>
                <w:tcPr>
                  <w:tcW w:w="653"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rPr>
                    <w:t>排放方式</w:t>
                  </w:r>
                </w:p>
              </w:tc>
              <w:tc>
                <w:tcPr>
                  <w:tcW w:w="572"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rPr>
                    <w:t>产生量</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rPr>
                    <w:t>（t/a）</w:t>
                  </w:r>
                </w:p>
              </w:tc>
              <w:tc>
                <w:tcPr>
                  <w:tcW w:w="555"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rPr>
                    <w:t>排放量</w:t>
                  </w:r>
                </w:p>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rPr>
                    <w:t>（t/a）</w:t>
                  </w:r>
                </w:p>
              </w:tc>
              <w:tc>
                <w:tcPr>
                  <w:tcW w:w="572"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排放速率</w:t>
                  </w:r>
                </w:p>
              </w:tc>
              <w:tc>
                <w:tcPr>
                  <w:tcW w:w="860"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环保措施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vMerge w:val="restar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机制砂生产工序</w:t>
                  </w:r>
                </w:p>
              </w:tc>
              <w:tc>
                <w:tcPr>
                  <w:tcW w:w="739" w:type="pct"/>
                  <w:shd w:val="clear" w:color="auto" w:fill="auto"/>
                  <w:vAlign w:val="center"/>
                </w:tcPr>
                <w:p>
                  <w:pPr>
                    <w:keepNext w:val="0"/>
                    <w:keepLines w:val="0"/>
                    <w:suppressLineNumbers w:val="0"/>
                    <w:spacing w:before="0" w:beforeAutospacing="0" w:after="0" w:afterAutospacing="0" w:line="240" w:lineRule="auto"/>
                    <w:ind w:right="0"/>
                    <w:rPr>
                      <w:rFonts w:hint="default" w:ascii="Times New Roman" w:hAnsi="Times New Roman" w:cs="Times New Roman"/>
                      <w:color w:val="auto"/>
                      <w:u w:val="none"/>
                      <w:lang w:val="en-US"/>
                    </w:rPr>
                  </w:pPr>
                  <w:r>
                    <w:rPr>
                      <w:rFonts w:hint="default" w:ascii="Times New Roman" w:hAnsi="Times New Roman" w:cs="Times New Roman"/>
                      <w:color w:val="auto"/>
                      <w:u w:val="none"/>
                      <w:lang w:val="en-US" w:eastAsia="zh-CN"/>
                    </w:rPr>
                    <w:t>破碎、筛分粉尘</w:t>
                  </w:r>
                  <w:r>
                    <w:rPr>
                      <w:rFonts w:hint="eastAsia"/>
                      <w:color w:val="auto"/>
                      <w:sz w:val="24"/>
                      <w:szCs w:val="24"/>
                      <w:u w:val="none"/>
                      <w:lang w:eastAsia="zh-CN"/>
                    </w:rPr>
                    <w:t>（</w:t>
                  </w:r>
                  <w:r>
                    <w:rPr>
                      <w:rFonts w:hint="eastAsia"/>
                      <w:color w:val="auto"/>
                      <w:sz w:val="24"/>
                      <w:szCs w:val="24"/>
                      <w:u w:val="none"/>
                      <w:lang w:val="en-US" w:eastAsia="zh-CN"/>
                    </w:rPr>
                    <w:t>G1</w:t>
                  </w:r>
                  <w:r>
                    <w:rPr>
                      <w:rFonts w:hint="eastAsia"/>
                      <w:color w:val="auto"/>
                      <w:sz w:val="24"/>
                      <w:szCs w:val="24"/>
                      <w:u w:val="none"/>
                      <w:lang w:eastAsia="zh-CN"/>
                    </w:rPr>
                    <w:t>）</w:t>
                  </w:r>
                </w:p>
              </w:tc>
              <w:tc>
                <w:tcPr>
                  <w:tcW w:w="633" w:type="pct"/>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u w:val="none"/>
                    </w:rPr>
                  </w:pPr>
                  <w:r>
                    <w:rPr>
                      <w:rFonts w:hint="default" w:ascii="Times New Roman" w:hAnsi="Times New Roman" w:cs="Times New Roman"/>
                      <w:color w:val="auto"/>
                      <w:u w:val="none"/>
                    </w:rPr>
                    <w:t>粉尘</w:t>
                  </w:r>
                </w:p>
              </w:tc>
              <w:tc>
                <w:tcPr>
                  <w:tcW w:w="653" w:type="pct"/>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无</w:t>
                  </w:r>
                  <w:r>
                    <w:rPr>
                      <w:rFonts w:hint="default" w:ascii="Times New Roman" w:hAnsi="Times New Roman" w:cs="Times New Roman"/>
                      <w:color w:val="auto"/>
                      <w:u w:val="none"/>
                    </w:rPr>
                    <w:t>组织</w:t>
                  </w:r>
                </w:p>
              </w:tc>
              <w:tc>
                <w:tcPr>
                  <w:tcW w:w="572" w:type="pct"/>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6</w:t>
                  </w:r>
                </w:p>
              </w:tc>
              <w:tc>
                <w:tcPr>
                  <w:tcW w:w="555" w:type="pct"/>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0.06</w:t>
                  </w:r>
                </w:p>
              </w:tc>
              <w:tc>
                <w:tcPr>
                  <w:tcW w:w="572" w:type="pct"/>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0.027</w:t>
                  </w:r>
                </w:p>
              </w:tc>
              <w:tc>
                <w:tcPr>
                  <w:tcW w:w="860" w:type="pct"/>
                  <w:vMerge w:val="restar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建设全封闭式厂房，设置喷雾除尘，地面硬化，破碎筛分工序设置单独封闭式车间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p>
              </w:tc>
              <w:tc>
                <w:tcPr>
                  <w:tcW w:w="739" w:type="pct"/>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u w:val="none"/>
                    </w:rPr>
                  </w:pPr>
                  <w:r>
                    <w:rPr>
                      <w:rFonts w:hint="default" w:ascii="Times New Roman" w:hAnsi="Times New Roman" w:cs="Times New Roman"/>
                      <w:color w:val="auto"/>
                      <w:u w:val="none"/>
                      <w:lang w:eastAsia="zh-CN"/>
                    </w:rPr>
                    <w:t>堆场扬尘</w:t>
                  </w:r>
                  <w:r>
                    <w:rPr>
                      <w:rFonts w:hint="eastAsia"/>
                      <w:color w:val="auto"/>
                      <w:sz w:val="24"/>
                      <w:szCs w:val="24"/>
                      <w:u w:val="none"/>
                      <w:lang w:eastAsia="zh-CN"/>
                    </w:rPr>
                    <w:t>（</w:t>
                  </w:r>
                  <w:r>
                    <w:rPr>
                      <w:rFonts w:hint="eastAsia"/>
                      <w:color w:val="auto"/>
                      <w:sz w:val="24"/>
                      <w:szCs w:val="24"/>
                      <w:u w:val="none"/>
                      <w:lang w:val="en-US" w:eastAsia="zh-CN"/>
                    </w:rPr>
                    <w:t>G2</w:t>
                  </w:r>
                  <w:r>
                    <w:rPr>
                      <w:rFonts w:hint="eastAsia"/>
                      <w:color w:val="auto"/>
                      <w:sz w:val="24"/>
                      <w:szCs w:val="24"/>
                      <w:u w:val="none"/>
                      <w:lang w:eastAsia="zh-CN"/>
                    </w:rPr>
                    <w:t>）</w:t>
                  </w:r>
                </w:p>
              </w:tc>
              <w:tc>
                <w:tcPr>
                  <w:tcW w:w="633" w:type="pct"/>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u w:val="none"/>
                    </w:rPr>
                  </w:pPr>
                  <w:r>
                    <w:rPr>
                      <w:rFonts w:hint="default" w:ascii="Times New Roman" w:hAnsi="Times New Roman" w:cs="Times New Roman"/>
                      <w:color w:val="auto"/>
                      <w:u w:val="none"/>
                    </w:rPr>
                    <w:t>粉尘</w:t>
                  </w:r>
                </w:p>
              </w:tc>
              <w:tc>
                <w:tcPr>
                  <w:tcW w:w="653" w:type="pct"/>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rPr>
                    <w:t>无组织</w:t>
                  </w:r>
                </w:p>
              </w:tc>
              <w:tc>
                <w:tcPr>
                  <w:tcW w:w="572" w:type="pct"/>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0.02</w:t>
                  </w:r>
                </w:p>
              </w:tc>
              <w:tc>
                <w:tcPr>
                  <w:tcW w:w="555" w:type="pct"/>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u w:val="none"/>
                      <w:lang w:val="en-US"/>
                    </w:rPr>
                  </w:pPr>
                  <w:r>
                    <w:rPr>
                      <w:rFonts w:hint="default" w:ascii="Times New Roman" w:hAnsi="Times New Roman" w:cs="Times New Roman"/>
                      <w:color w:val="auto"/>
                      <w:u w:val="none"/>
                      <w:lang w:val="en-US" w:eastAsia="zh-CN"/>
                    </w:rPr>
                    <w:t>0.002</w:t>
                  </w:r>
                </w:p>
              </w:tc>
              <w:tc>
                <w:tcPr>
                  <w:tcW w:w="572" w:type="pct"/>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0.0008</w:t>
                  </w:r>
                </w:p>
              </w:tc>
              <w:tc>
                <w:tcPr>
                  <w:tcW w:w="860" w:type="pct"/>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p>
              </w:tc>
              <w:tc>
                <w:tcPr>
                  <w:tcW w:w="739" w:type="pct"/>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u w:val="none"/>
                    </w:rPr>
                  </w:pPr>
                  <w:r>
                    <w:rPr>
                      <w:rFonts w:hint="default" w:ascii="Times New Roman" w:hAnsi="Times New Roman" w:cs="Times New Roman"/>
                      <w:color w:val="auto"/>
                      <w:u w:val="none"/>
                      <w:lang w:eastAsia="zh-CN"/>
                    </w:rPr>
                    <w:t>原料装卸粉尘</w:t>
                  </w:r>
                  <w:r>
                    <w:rPr>
                      <w:rFonts w:hint="eastAsia"/>
                      <w:color w:val="auto"/>
                      <w:sz w:val="24"/>
                      <w:szCs w:val="24"/>
                      <w:u w:val="none"/>
                      <w:lang w:eastAsia="zh-CN"/>
                    </w:rPr>
                    <w:t>（</w:t>
                  </w:r>
                  <w:r>
                    <w:rPr>
                      <w:rFonts w:hint="eastAsia"/>
                      <w:color w:val="auto"/>
                      <w:sz w:val="24"/>
                      <w:szCs w:val="24"/>
                      <w:u w:val="none"/>
                      <w:lang w:val="en-US" w:eastAsia="zh-CN"/>
                    </w:rPr>
                    <w:t>G3</w:t>
                  </w:r>
                  <w:r>
                    <w:rPr>
                      <w:rFonts w:hint="eastAsia"/>
                      <w:color w:val="auto"/>
                      <w:sz w:val="24"/>
                      <w:szCs w:val="24"/>
                      <w:u w:val="none"/>
                      <w:lang w:eastAsia="zh-CN"/>
                    </w:rPr>
                    <w:t>）</w:t>
                  </w:r>
                </w:p>
              </w:tc>
              <w:tc>
                <w:tcPr>
                  <w:tcW w:w="633" w:type="pct"/>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u w:val="none"/>
                    </w:rPr>
                  </w:pPr>
                  <w:r>
                    <w:rPr>
                      <w:rFonts w:hint="default" w:ascii="Times New Roman" w:hAnsi="Times New Roman" w:cs="Times New Roman"/>
                      <w:color w:val="auto"/>
                      <w:u w:val="none"/>
                    </w:rPr>
                    <w:t>粉尘</w:t>
                  </w:r>
                </w:p>
              </w:tc>
              <w:tc>
                <w:tcPr>
                  <w:tcW w:w="653" w:type="pct"/>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rPr>
                    <w:t>无组织</w:t>
                  </w:r>
                </w:p>
              </w:tc>
              <w:tc>
                <w:tcPr>
                  <w:tcW w:w="572" w:type="pct"/>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0.43</w:t>
                  </w:r>
                </w:p>
              </w:tc>
              <w:tc>
                <w:tcPr>
                  <w:tcW w:w="555" w:type="pct"/>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0.043</w:t>
                  </w:r>
                </w:p>
              </w:tc>
              <w:tc>
                <w:tcPr>
                  <w:tcW w:w="572" w:type="pct"/>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0.019</w:t>
                  </w:r>
                </w:p>
              </w:tc>
              <w:tc>
                <w:tcPr>
                  <w:tcW w:w="860" w:type="pct"/>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vMerge w:val="restar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混凝土生产工序</w:t>
                  </w:r>
                </w:p>
              </w:tc>
              <w:tc>
                <w:tcPr>
                  <w:tcW w:w="739"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rPr>
                    <w:t>物料输送储存粉尘</w:t>
                  </w:r>
                  <w:r>
                    <w:rPr>
                      <w:rFonts w:hint="eastAsia"/>
                      <w:color w:val="auto"/>
                      <w:sz w:val="24"/>
                      <w:szCs w:val="24"/>
                      <w:u w:val="none"/>
                      <w:lang w:eastAsia="zh-CN"/>
                    </w:rPr>
                    <w:t>（</w:t>
                  </w:r>
                  <w:r>
                    <w:rPr>
                      <w:rFonts w:hint="eastAsia"/>
                      <w:color w:val="auto"/>
                      <w:sz w:val="24"/>
                      <w:szCs w:val="24"/>
                      <w:u w:val="none"/>
                      <w:lang w:val="en-US" w:eastAsia="zh-CN"/>
                    </w:rPr>
                    <w:t>G4</w:t>
                  </w:r>
                  <w:r>
                    <w:rPr>
                      <w:rFonts w:hint="eastAsia"/>
                      <w:color w:val="auto"/>
                      <w:sz w:val="24"/>
                      <w:szCs w:val="24"/>
                      <w:u w:val="none"/>
                      <w:lang w:eastAsia="zh-CN"/>
                    </w:rPr>
                    <w:t>）</w:t>
                  </w:r>
                </w:p>
              </w:tc>
              <w:tc>
                <w:tcPr>
                  <w:tcW w:w="633"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rPr>
                    <w:t>粉尘</w:t>
                  </w:r>
                </w:p>
              </w:tc>
              <w:tc>
                <w:tcPr>
                  <w:tcW w:w="653"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lang w:eastAsia="zh-CN"/>
                    </w:rPr>
                    <w:t>无</w:t>
                  </w:r>
                  <w:r>
                    <w:rPr>
                      <w:rFonts w:hint="default" w:ascii="Times New Roman" w:hAnsi="Times New Roman" w:cs="Times New Roman"/>
                      <w:color w:val="auto"/>
                      <w:u w:val="none"/>
                    </w:rPr>
                    <w:t>组织</w:t>
                  </w:r>
                </w:p>
              </w:tc>
              <w:tc>
                <w:tcPr>
                  <w:tcW w:w="572"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36.53</w:t>
                  </w:r>
                </w:p>
              </w:tc>
              <w:tc>
                <w:tcPr>
                  <w:tcW w:w="555"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0.004</w:t>
                  </w:r>
                </w:p>
              </w:tc>
              <w:tc>
                <w:tcPr>
                  <w:tcW w:w="572"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0.002</w:t>
                  </w:r>
                </w:p>
              </w:tc>
              <w:tc>
                <w:tcPr>
                  <w:tcW w:w="860"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eastAsia="zh-CN"/>
                    </w:rPr>
                    <w:t>企业建设全封闭式厂房，对混凝土生产区域进行全封闭，</w:t>
                  </w:r>
                  <w:r>
                    <w:rPr>
                      <w:rFonts w:hint="default" w:ascii="Times New Roman" w:hAnsi="Times New Roman" w:cs="Times New Roman"/>
                      <w:color w:val="auto"/>
                      <w:u w:val="none"/>
                    </w:rPr>
                    <w:t>筒库顶部自带收尘机除尘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p>
              </w:tc>
              <w:tc>
                <w:tcPr>
                  <w:tcW w:w="739"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rPr>
                    <w:t>物料混合搅拌粉尘</w:t>
                  </w:r>
                  <w:r>
                    <w:rPr>
                      <w:rFonts w:hint="eastAsia"/>
                      <w:color w:val="auto"/>
                      <w:sz w:val="24"/>
                      <w:szCs w:val="24"/>
                      <w:u w:val="none"/>
                      <w:lang w:eastAsia="zh-CN"/>
                    </w:rPr>
                    <w:t>（</w:t>
                  </w:r>
                  <w:r>
                    <w:rPr>
                      <w:rFonts w:hint="eastAsia"/>
                      <w:color w:val="auto"/>
                      <w:sz w:val="24"/>
                      <w:szCs w:val="24"/>
                      <w:u w:val="none"/>
                      <w:lang w:val="en-US" w:eastAsia="zh-CN"/>
                    </w:rPr>
                    <w:t>G5</w:t>
                  </w:r>
                  <w:r>
                    <w:rPr>
                      <w:rFonts w:hint="eastAsia"/>
                      <w:color w:val="auto"/>
                      <w:sz w:val="24"/>
                      <w:szCs w:val="24"/>
                      <w:u w:val="none"/>
                      <w:lang w:eastAsia="zh-CN"/>
                    </w:rPr>
                    <w:t>）</w:t>
                  </w:r>
                </w:p>
              </w:tc>
              <w:tc>
                <w:tcPr>
                  <w:tcW w:w="633"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rPr>
                    <w:t>粉尘</w:t>
                  </w:r>
                </w:p>
              </w:tc>
              <w:tc>
                <w:tcPr>
                  <w:tcW w:w="653"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rPr>
                    <w:t>无组织</w:t>
                  </w:r>
                </w:p>
              </w:tc>
              <w:tc>
                <w:tcPr>
                  <w:tcW w:w="572"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100.51</w:t>
                  </w:r>
                </w:p>
              </w:tc>
              <w:tc>
                <w:tcPr>
                  <w:tcW w:w="555"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0.01</w:t>
                  </w:r>
                </w:p>
              </w:tc>
              <w:tc>
                <w:tcPr>
                  <w:tcW w:w="572"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0.004</w:t>
                  </w:r>
                </w:p>
              </w:tc>
              <w:tc>
                <w:tcPr>
                  <w:tcW w:w="860"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rPr>
                    <w:t>搅拌主机、配料机等设施设在封闭式车间内，并配备有高效布袋除尘器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w:t>
                  </w:r>
                </w:p>
              </w:tc>
              <w:tc>
                <w:tcPr>
                  <w:tcW w:w="739"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rPr>
                    <w:t>运输动力起尘</w:t>
                  </w:r>
                  <w:r>
                    <w:rPr>
                      <w:rFonts w:hint="eastAsia"/>
                      <w:color w:val="auto"/>
                      <w:sz w:val="24"/>
                      <w:szCs w:val="24"/>
                      <w:u w:val="none"/>
                      <w:lang w:eastAsia="zh-CN"/>
                    </w:rPr>
                    <w:t>（</w:t>
                  </w:r>
                  <w:r>
                    <w:rPr>
                      <w:rFonts w:hint="eastAsia"/>
                      <w:color w:val="auto"/>
                      <w:sz w:val="24"/>
                      <w:szCs w:val="24"/>
                      <w:u w:val="none"/>
                      <w:lang w:val="en-US" w:eastAsia="zh-CN"/>
                    </w:rPr>
                    <w:t>G6</w:t>
                  </w:r>
                  <w:r>
                    <w:rPr>
                      <w:rFonts w:hint="eastAsia"/>
                      <w:color w:val="auto"/>
                      <w:sz w:val="24"/>
                      <w:szCs w:val="24"/>
                      <w:u w:val="none"/>
                      <w:lang w:eastAsia="zh-CN"/>
                    </w:rPr>
                    <w:t>）</w:t>
                  </w:r>
                </w:p>
              </w:tc>
              <w:tc>
                <w:tcPr>
                  <w:tcW w:w="633"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rPr>
                    <w:t>粉尘</w:t>
                  </w:r>
                </w:p>
              </w:tc>
              <w:tc>
                <w:tcPr>
                  <w:tcW w:w="653"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rPr>
                    <w:t>无组织</w:t>
                  </w:r>
                </w:p>
              </w:tc>
              <w:tc>
                <w:tcPr>
                  <w:tcW w:w="572"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3.18</w:t>
                  </w:r>
                </w:p>
              </w:tc>
              <w:tc>
                <w:tcPr>
                  <w:tcW w:w="555"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0.22</w:t>
                  </w:r>
                </w:p>
              </w:tc>
              <w:tc>
                <w:tcPr>
                  <w:tcW w:w="572"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0.09</w:t>
                  </w:r>
                </w:p>
              </w:tc>
              <w:tc>
                <w:tcPr>
                  <w:tcW w:w="860"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采用密闭运输，加盖篷布，地面进行硬化，定时洒水抑尘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9" w:type="pct"/>
                  <w:gridSpan w:val="4"/>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r>
                    <w:rPr>
                      <w:rFonts w:hint="default" w:ascii="Times New Roman" w:hAnsi="Times New Roman" w:cs="Times New Roman"/>
                      <w:color w:val="auto"/>
                      <w:u w:val="none"/>
                    </w:rPr>
                    <w:t>合计</w:t>
                  </w:r>
                </w:p>
              </w:tc>
              <w:tc>
                <w:tcPr>
                  <w:tcW w:w="572"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146.67</w:t>
                  </w:r>
                </w:p>
              </w:tc>
              <w:tc>
                <w:tcPr>
                  <w:tcW w:w="555"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0.339</w:t>
                  </w:r>
                </w:p>
              </w:tc>
              <w:tc>
                <w:tcPr>
                  <w:tcW w:w="572"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0.1428</w:t>
                  </w:r>
                </w:p>
              </w:tc>
              <w:tc>
                <w:tcPr>
                  <w:tcW w:w="860" w:type="pct"/>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olor w:val="auto"/>
                <w:sz w:val="24"/>
                <w:szCs w:val="24"/>
              </w:rPr>
              <w:t>综上所述，项目产生的废气经上述措施处理后，不会对项目周围大气环境产生明显的影响。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lang w:val="en-US" w:eastAsia="zh-CN"/>
              </w:rPr>
              <w:t>废气治理设施的可行性分析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u w:val="none"/>
                <w:lang w:eastAsia="zh-CN"/>
              </w:rPr>
            </w:pPr>
            <w:r>
              <w:rPr>
                <w:rFonts w:hint="eastAsia"/>
                <w:color w:val="auto"/>
                <w:sz w:val="24"/>
                <w:szCs w:val="24"/>
                <w:u w:val="none"/>
                <w:lang w:val="en-US" w:eastAsia="zh-CN"/>
              </w:rPr>
              <w:t>本项目主要废气污染源为机</w:t>
            </w:r>
            <w:r>
              <w:rPr>
                <w:rFonts w:hint="eastAsia"/>
                <w:color w:val="auto"/>
                <w:sz w:val="24"/>
                <w:szCs w:val="24"/>
                <w:u w:val="none"/>
                <w:lang w:eastAsia="zh-CN"/>
              </w:rPr>
              <w:t>制砂生产和混凝土生产工序产生的废气，机制砂生产破碎、筛分环节、堆场扬尘、原料装卸粉尘，企业</w:t>
            </w:r>
            <w:r>
              <w:rPr>
                <w:rFonts w:hint="eastAsia"/>
                <w:color w:val="auto"/>
                <w:sz w:val="24"/>
                <w:szCs w:val="24"/>
                <w:u w:val="none"/>
                <w:lang w:val="en-US" w:eastAsia="zh-CN"/>
              </w:rPr>
              <w:t>建设全封闭式厂房，原料和成品储存区均密闭，设置喷雾除尘，地面硬化，破碎筛分工序设置单独封闭式车间，经计算，采取措施后可做到达标排放，混凝土生产过程中</w:t>
            </w:r>
            <w:r>
              <w:rPr>
                <w:rFonts w:hint="default"/>
                <w:color w:val="auto"/>
                <w:sz w:val="24"/>
                <w:szCs w:val="24"/>
                <w:u w:val="none"/>
                <w:lang w:eastAsia="zh-CN"/>
              </w:rPr>
              <w:t>物料输送储存粉尘</w:t>
            </w:r>
            <w:r>
              <w:rPr>
                <w:rFonts w:hint="eastAsia"/>
                <w:color w:val="auto"/>
                <w:sz w:val="24"/>
                <w:szCs w:val="24"/>
                <w:u w:val="none"/>
                <w:lang w:eastAsia="zh-CN"/>
              </w:rPr>
              <w:t>企业建设全封闭式厂房，对混凝土生产区域进行全封闭，</w:t>
            </w:r>
            <w:r>
              <w:rPr>
                <w:rFonts w:hint="default"/>
                <w:color w:val="auto"/>
                <w:sz w:val="24"/>
                <w:szCs w:val="24"/>
                <w:u w:val="none"/>
                <w:lang w:eastAsia="zh-CN"/>
              </w:rPr>
              <w:t>筒库顶部自带收尘机除尘</w:t>
            </w:r>
            <w:r>
              <w:rPr>
                <w:rFonts w:hint="eastAsia"/>
                <w:color w:val="auto"/>
                <w:sz w:val="24"/>
                <w:szCs w:val="24"/>
                <w:u w:val="none"/>
                <w:lang w:eastAsia="zh-CN"/>
              </w:rPr>
              <w:t>，</w:t>
            </w:r>
            <w:r>
              <w:rPr>
                <w:rFonts w:hint="default"/>
                <w:color w:val="auto"/>
                <w:sz w:val="24"/>
                <w:szCs w:val="24"/>
                <w:u w:val="none"/>
                <w:lang w:eastAsia="zh-CN"/>
              </w:rPr>
              <w:t>物料混合搅拌粉尘搅拌主机、配料机等设施设在封闭式车间内，并配备有高效布袋除尘器</w:t>
            </w:r>
            <w:r>
              <w:rPr>
                <w:rFonts w:hint="eastAsia"/>
                <w:color w:val="auto"/>
                <w:sz w:val="24"/>
                <w:szCs w:val="24"/>
                <w:u w:val="none"/>
                <w:lang w:eastAsia="zh-CN"/>
              </w:rPr>
              <w:t>，经过本次计算，也可做到达标排放，因此本项目废气治理设施可行。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u w:val="none"/>
                <w:lang w:eastAsia="zh-CN"/>
              </w:rPr>
            </w:pPr>
            <w:r>
              <w:rPr>
                <w:rFonts w:hint="eastAsia"/>
                <w:color w:val="auto"/>
                <w:sz w:val="24"/>
                <w:szCs w:val="24"/>
                <w:u w:val="none"/>
                <w:lang w:eastAsia="zh-CN"/>
              </w:rPr>
              <w:t>（</w:t>
            </w:r>
            <w:r>
              <w:rPr>
                <w:rFonts w:hint="eastAsia"/>
                <w:color w:val="auto"/>
                <w:sz w:val="24"/>
                <w:szCs w:val="24"/>
                <w:u w:val="none"/>
                <w:lang w:val="en-US" w:eastAsia="zh-CN"/>
              </w:rPr>
              <w:t>3</w:t>
            </w:r>
            <w:r>
              <w:rPr>
                <w:rFonts w:hint="eastAsia"/>
                <w:color w:val="auto"/>
                <w:sz w:val="24"/>
                <w:szCs w:val="24"/>
                <w:u w:val="none"/>
                <w:lang w:eastAsia="zh-CN"/>
              </w:rPr>
              <w:t>）监测要求及排放标准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lang w:val="en-US" w:eastAsia="zh-CN"/>
              </w:rPr>
            </w:pPr>
            <w:r>
              <w:rPr>
                <w:rFonts w:hint="eastAsia"/>
                <w:color w:val="auto"/>
                <w:sz w:val="24"/>
                <w:szCs w:val="24"/>
                <w:u w:val="none"/>
                <w:lang w:val="en-US" w:eastAsia="zh-CN"/>
              </w:rPr>
              <w:t>根据《排污许可证申请与核发技术规范 总则》（HJ942-2018）、《排污单位自行监测技术指南 总则》（HJ 819-2017）等规范的要求，项目运营期应对废气排放进行自行监测，监测计划见下表。</w:t>
            </w:r>
          </w:p>
          <w:p>
            <w:pPr>
              <w:spacing w:line="240" w:lineRule="auto"/>
              <w:jc w:val="center"/>
              <w:rPr>
                <w:rFonts w:hint="default"/>
                <w:b/>
                <w:bCs/>
                <w:color w:val="auto"/>
                <w:u w:val="none"/>
                <w:lang w:val="en-US" w:eastAsia="zh-CN"/>
              </w:rPr>
            </w:pPr>
            <w:r>
              <w:rPr>
                <w:rFonts w:hint="eastAsia"/>
                <w:b/>
                <w:bCs/>
                <w:color w:val="auto"/>
                <w:u w:val="none"/>
                <w:lang w:eastAsia="zh-CN"/>
              </w:rPr>
              <w:t>表</w:t>
            </w:r>
            <w:r>
              <w:rPr>
                <w:rFonts w:hint="eastAsia"/>
                <w:b/>
                <w:bCs/>
                <w:color w:val="auto"/>
                <w:u w:val="none"/>
                <w:lang w:val="en-US" w:eastAsia="zh-CN"/>
              </w:rPr>
              <w:t>4-6  废气监测要求及排放标准一览表</w:t>
            </w:r>
          </w:p>
          <w:tbl>
            <w:tblPr>
              <w:tblStyle w:val="16"/>
              <w:tblW w:w="7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89"/>
              <w:gridCol w:w="1089"/>
              <w:gridCol w:w="856"/>
              <w:gridCol w:w="2147"/>
              <w:gridCol w:w="1117"/>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u w:val="none"/>
                      <w:lang w:eastAsia="zh-CN"/>
                    </w:rPr>
                  </w:pPr>
                  <w:r>
                    <w:rPr>
                      <w:rFonts w:hint="eastAsia"/>
                      <w:color w:val="auto"/>
                      <w:u w:val="none"/>
                      <w:lang w:eastAsia="zh-CN"/>
                    </w:rPr>
                    <w:t>序号</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u w:val="none"/>
                      <w:lang w:val="en-US" w:eastAsia="zh-CN"/>
                    </w:rPr>
                  </w:pPr>
                  <w:r>
                    <w:rPr>
                      <w:rFonts w:hint="eastAsia"/>
                      <w:color w:val="auto"/>
                      <w:u w:val="none"/>
                      <w:lang w:eastAsia="zh-CN"/>
                    </w:rPr>
                    <w:t>排放口编号</w:t>
                  </w:r>
                  <w:r>
                    <w:rPr>
                      <w:rFonts w:hint="eastAsia"/>
                      <w:color w:val="auto"/>
                      <w:u w:val="none"/>
                      <w:lang w:val="en-US" w:eastAsia="zh-CN"/>
                    </w:rPr>
                    <w:t>/监测点位</w:t>
                  </w:r>
                </w:p>
              </w:tc>
              <w:tc>
                <w:tcPr>
                  <w:tcW w:w="10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u w:val="none"/>
                      <w:lang w:eastAsia="zh-CN"/>
                    </w:rPr>
                  </w:pPr>
                  <w:r>
                    <w:rPr>
                      <w:rFonts w:hint="eastAsia"/>
                      <w:color w:val="auto"/>
                      <w:u w:val="none"/>
                      <w:lang w:eastAsia="zh-CN"/>
                    </w:rPr>
                    <w:t>监测因子</w:t>
                  </w:r>
                </w:p>
              </w:tc>
              <w:tc>
                <w:tcPr>
                  <w:tcW w:w="8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u w:val="none"/>
                      <w:lang w:eastAsia="zh-CN"/>
                    </w:rPr>
                  </w:pPr>
                  <w:r>
                    <w:rPr>
                      <w:rFonts w:hint="eastAsia"/>
                      <w:color w:val="auto"/>
                      <w:u w:val="none"/>
                      <w:lang w:eastAsia="zh-CN"/>
                    </w:rPr>
                    <w:t>监测频次</w:t>
                  </w:r>
                </w:p>
              </w:tc>
              <w:tc>
                <w:tcPr>
                  <w:tcW w:w="21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u w:val="none"/>
                      <w:lang w:eastAsia="zh-CN"/>
                    </w:rPr>
                  </w:pPr>
                  <w:r>
                    <w:rPr>
                      <w:rFonts w:hint="eastAsia"/>
                      <w:color w:val="auto"/>
                      <w:u w:val="none"/>
                      <w:lang w:eastAsia="zh-CN"/>
                    </w:rPr>
                    <w:t>排放标准</w:t>
                  </w:r>
                </w:p>
              </w:tc>
              <w:tc>
                <w:tcPr>
                  <w:tcW w:w="11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u w:val="none"/>
                      <w:lang w:eastAsia="zh-CN"/>
                    </w:rPr>
                  </w:pPr>
                  <w:r>
                    <w:rPr>
                      <w:rFonts w:hint="eastAsia"/>
                      <w:color w:val="auto"/>
                      <w:u w:val="none"/>
                      <w:lang w:eastAsia="zh-CN"/>
                    </w:rPr>
                    <w:t>浓度限值</w:t>
                  </w:r>
                </w:p>
              </w:tc>
              <w:tc>
                <w:tcPr>
                  <w:tcW w:w="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u w:val="none"/>
                      <w:lang w:eastAsia="zh-CN"/>
                    </w:rPr>
                  </w:pPr>
                  <w:r>
                    <w:rPr>
                      <w:rFonts w:hint="eastAsia"/>
                      <w:color w:val="auto"/>
                      <w:u w:val="none"/>
                      <w:lang w:eastAsia="zh-CN"/>
                    </w:rPr>
                    <w:t>速率限值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u w:val="none"/>
                      <w:lang w:val="en-US" w:eastAsia="zh-CN"/>
                    </w:rPr>
                  </w:pPr>
                  <w:r>
                    <w:rPr>
                      <w:rFonts w:hint="eastAsia"/>
                      <w:color w:val="auto"/>
                      <w:u w:val="none"/>
                      <w:lang w:val="en-US" w:eastAsia="zh-CN"/>
                    </w:rPr>
                    <w:t>1</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u w:val="none"/>
                      <w:lang w:eastAsia="zh-CN"/>
                    </w:rPr>
                  </w:pPr>
                  <w:r>
                    <w:rPr>
                      <w:rFonts w:hint="eastAsia"/>
                      <w:color w:val="auto"/>
                      <w:u w:val="none"/>
                      <w:lang w:eastAsia="zh-CN"/>
                    </w:rPr>
                    <w:t>厂界</w:t>
                  </w:r>
                </w:p>
              </w:tc>
              <w:tc>
                <w:tcPr>
                  <w:tcW w:w="10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u w:val="none"/>
                      <w:lang w:eastAsia="zh-CN"/>
                    </w:rPr>
                  </w:pPr>
                  <w:r>
                    <w:rPr>
                      <w:rFonts w:hint="eastAsia"/>
                      <w:color w:val="auto"/>
                      <w:u w:val="none"/>
                      <w:lang w:eastAsia="zh-CN"/>
                    </w:rPr>
                    <w:t>颗粒物</w:t>
                  </w:r>
                </w:p>
              </w:tc>
              <w:tc>
                <w:tcPr>
                  <w:tcW w:w="8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u w:val="none"/>
                      <w:lang w:eastAsia="zh-CN"/>
                    </w:rPr>
                  </w:pPr>
                  <w:r>
                    <w:rPr>
                      <w:rFonts w:hint="eastAsia"/>
                      <w:color w:val="auto"/>
                      <w:u w:val="none"/>
                      <w:lang w:val="en-US" w:eastAsia="zh-CN"/>
                    </w:rPr>
                    <w:t>1次/年</w:t>
                  </w:r>
                </w:p>
              </w:tc>
              <w:tc>
                <w:tcPr>
                  <w:tcW w:w="21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u w:val="none"/>
                    </w:rPr>
                  </w:pPr>
                  <w:r>
                    <w:rPr>
                      <w:rFonts w:hint="default"/>
                      <w:color w:val="auto"/>
                      <w:u w:val="none"/>
                    </w:rPr>
                    <w:t>《水泥工业大气污染排放标准》（GB4915-2013）表</w:t>
                  </w:r>
                  <w:r>
                    <w:rPr>
                      <w:rFonts w:hint="eastAsia"/>
                      <w:color w:val="auto"/>
                      <w:u w:val="none"/>
                      <w:lang w:val="en-US" w:eastAsia="zh-CN"/>
                    </w:rPr>
                    <w:t>3</w:t>
                  </w:r>
                  <w:r>
                    <w:rPr>
                      <w:rFonts w:hint="default"/>
                      <w:color w:val="auto"/>
                      <w:u w:val="none"/>
                    </w:rPr>
                    <w:t>中</w:t>
                  </w:r>
                  <w:r>
                    <w:rPr>
                      <w:rFonts w:hint="eastAsia"/>
                      <w:color w:val="auto"/>
                      <w:u w:val="none"/>
                      <w:lang w:eastAsia="zh-CN"/>
                    </w:rPr>
                    <w:t>大气污染物无组织</w:t>
                  </w:r>
                  <w:r>
                    <w:rPr>
                      <w:rFonts w:hint="default"/>
                      <w:color w:val="auto"/>
                      <w:u w:val="none"/>
                    </w:rPr>
                    <w:t>排放限值</w:t>
                  </w:r>
                </w:p>
              </w:tc>
              <w:tc>
                <w:tcPr>
                  <w:tcW w:w="11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u w:val="none"/>
                      <w:lang w:val="en-US" w:eastAsia="zh-CN"/>
                    </w:rPr>
                  </w:pPr>
                  <w:r>
                    <w:rPr>
                      <w:rFonts w:hint="eastAsia"/>
                      <w:color w:val="auto"/>
                      <w:u w:val="none"/>
                      <w:lang w:val="en-US" w:eastAsia="zh-CN"/>
                    </w:rPr>
                    <w:t>0.5mg/m</w:t>
                  </w:r>
                  <w:r>
                    <w:rPr>
                      <w:rFonts w:hint="eastAsia"/>
                      <w:color w:val="auto"/>
                      <w:u w:val="none"/>
                      <w:vertAlign w:val="superscript"/>
                      <w:lang w:val="en-US" w:eastAsia="zh-CN"/>
                    </w:rPr>
                    <w:t>3</w:t>
                  </w:r>
                </w:p>
              </w:tc>
              <w:tc>
                <w:tcPr>
                  <w:tcW w:w="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u w:val="none"/>
                      <w:lang w:val="en-US" w:eastAsia="zh-CN"/>
                    </w:rPr>
                  </w:pPr>
                  <w:r>
                    <w:rPr>
                      <w:rFonts w:hint="eastAsia"/>
                      <w:color w:val="auto"/>
                      <w:u w:val="none"/>
                      <w:lang w:val="en-US" w:eastAsia="zh-CN"/>
                    </w:rPr>
                    <w:t>/</w:t>
                  </w:r>
                </w:p>
              </w:tc>
            </w:tr>
          </w:tbl>
          <w:p>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color w:val="auto"/>
                <w:sz w:val="24"/>
                <w:szCs w:val="21"/>
                <w:highlight w:val="none"/>
                <w:lang w:eastAsia="zh-CN"/>
              </w:rPr>
            </w:pP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lang w:val="en-US" w:eastAsia="zh-CN"/>
              </w:rPr>
              <w:t>4</w:t>
            </w:r>
            <w:r>
              <w:rPr>
                <w:rFonts w:hint="eastAsia" w:ascii="Times New Roman" w:hAnsi="Times New Roman" w:eastAsia="宋体" w:cs="Times New Roman"/>
                <w:color w:val="auto"/>
                <w:sz w:val="24"/>
                <w:szCs w:val="21"/>
                <w:highlight w:val="none"/>
                <w:lang w:eastAsia="zh-CN"/>
              </w:rPr>
              <w:t>）污染源非正常排放情况</w:t>
            </w:r>
          </w:p>
          <w:p>
            <w:pPr>
              <w:shd w:val="clear" w:color="auto" w:fill="auto"/>
              <w:spacing w:line="240" w:lineRule="auto"/>
              <w:jc w:val="center"/>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表4-</w:t>
            </w:r>
            <w:r>
              <w:rPr>
                <w:rFonts w:hint="eastAsia" w:cs="Times New Roman"/>
                <w:b/>
                <w:bCs/>
                <w:color w:val="auto"/>
                <w:sz w:val="21"/>
                <w:szCs w:val="21"/>
                <w:highlight w:val="none"/>
                <w:lang w:val="en-US" w:eastAsia="zh-CN"/>
              </w:rPr>
              <w:t>7</w:t>
            </w:r>
            <w:r>
              <w:rPr>
                <w:rFonts w:hint="eastAsia" w:ascii="Times New Roman" w:hAnsi="Times New Roman" w:eastAsia="宋体" w:cs="Times New Roman"/>
                <w:b/>
                <w:bCs/>
                <w:color w:val="auto"/>
                <w:sz w:val="21"/>
                <w:szCs w:val="21"/>
                <w:highlight w:val="none"/>
                <w:lang w:val="en-US" w:eastAsia="zh-CN"/>
              </w:rPr>
              <w:t xml:space="preserve">  废气污染源非正常排放量核算表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086"/>
              <w:gridCol w:w="796"/>
              <w:gridCol w:w="879"/>
              <w:gridCol w:w="1157"/>
              <w:gridCol w:w="902"/>
              <w:gridCol w:w="883"/>
              <w:gridCol w:w="884"/>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pPr>
                    <w:pStyle w:val="30"/>
                    <w:shd w:val="clear" w:color="auto" w:fill="auto"/>
                    <w:rPr>
                      <w:rFonts w:hint="default" w:ascii="Times New Roman" w:hAnsi="Times New Roman" w:eastAsia="宋体" w:cs="Times New Roman"/>
                      <w:b/>
                      <w:bCs/>
                      <w:color w:val="auto"/>
                      <w:sz w:val="21"/>
                      <w:szCs w:val="21"/>
                      <w:highlight w:val="none"/>
                      <w:u w:val="none"/>
                    </w:rPr>
                  </w:pPr>
                  <w:r>
                    <w:rPr>
                      <w:rFonts w:hint="default" w:ascii="Times New Roman" w:hAnsi="Times New Roman" w:eastAsia="宋体" w:cs="Times New Roman"/>
                      <w:b/>
                      <w:bCs/>
                      <w:color w:val="auto"/>
                      <w:sz w:val="21"/>
                      <w:szCs w:val="21"/>
                      <w:highlight w:val="none"/>
                      <w:u w:val="none"/>
                    </w:rPr>
                    <w:t>序号</w:t>
                  </w:r>
                </w:p>
              </w:tc>
              <w:tc>
                <w:tcPr>
                  <w:tcW w:w="677" w:type="pct"/>
                  <w:noWrap w:val="0"/>
                  <w:vAlign w:val="center"/>
                </w:tcPr>
                <w:p>
                  <w:pPr>
                    <w:pStyle w:val="30"/>
                    <w:shd w:val="clear" w:color="auto" w:fill="auto"/>
                    <w:rPr>
                      <w:rFonts w:hint="default" w:ascii="Times New Roman" w:hAnsi="Times New Roman" w:eastAsia="宋体" w:cs="Times New Roman"/>
                      <w:b/>
                      <w:bCs/>
                      <w:color w:val="auto"/>
                      <w:sz w:val="21"/>
                      <w:szCs w:val="21"/>
                      <w:highlight w:val="none"/>
                      <w:u w:val="none"/>
                    </w:rPr>
                  </w:pPr>
                  <w:r>
                    <w:rPr>
                      <w:rFonts w:hint="default" w:ascii="Times New Roman" w:hAnsi="Times New Roman" w:eastAsia="宋体" w:cs="Times New Roman"/>
                      <w:b/>
                      <w:bCs/>
                      <w:color w:val="auto"/>
                      <w:sz w:val="21"/>
                      <w:szCs w:val="21"/>
                      <w:highlight w:val="none"/>
                      <w:u w:val="none"/>
                    </w:rPr>
                    <w:t>污染源</w:t>
                  </w:r>
                </w:p>
              </w:tc>
              <w:tc>
                <w:tcPr>
                  <w:tcW w:w="496" w:type="pct"/>
                  <w:noWrap w:val="0"/>
                  <w:vAlign w:val="center"/>
                </w:tcPr>
                <w:p>
                  <w:pPr>
                    <w:pStyle w:val="30"/>
                    <w:shd w:val="clear" w:color="auto" w:fill="auto"/>
                    <w:rPr>
                      <w:rFonts w:hint="default" w:ascii="Times New Roman" w:hAnsi="Times New Roman" w:eastAsia="宋体" w:cs="Times New Roman"/>
                      <w:b/>
                      <w:bCs/>
                      <w:color w:val="auto"/>
                      <w:sz w:val="21"/>
                      <w:szCs w:val="21"/>
                      <w:highlight w:val="none"/>
                      <w:u w:val="none"/>
                    </w:rPr>
                  </w:pPr>
                  <w:r>
                    <w:rPr>
                      <w:rFonts w:hint="default" w:ascii="Times New Roman" w:hAnsi="Times New Roman" w:eastAsia="宋体" w:cs="Times New Roman"/>
                      <w:b/>
                      <w:bCs/>
                      <w:color w:val="auto"/>
                      <w:sz w:val="21"/>
                      <w:szCs w:val="21"/>
                      <w:highlight w:val="none"/>
                      <w:u w:val="none"/>
                    </w:rPr>
                    <w:t>非正常排放原因</w:t>
                  </w:r>
                </w:p>
              </w:tc>
              <w:tc>
                <w:tcPr>
                  <w:tcW w:w="548" w:type="pct"/>
                  <w:noWrap w:val="0"/>
                  <w:vAlign w:val="center"/>
                </w:tcPr>
                <w:p>
                  <w:pPr>
                    <w:pStyle w:val="30"/>
                    <w:shd w:val="clear" w:color="auto" w:fill="auto"/>
                    <w:rPr>
                      <w:rFonts w:hint="default" w:ascii="Times New Roman" w:hAnsi="Times New Roman" w:eastAsia="宋体" w:cs="Times New Roman"/>
                      <w:b/>
                      <w:bCs/>
                      <w:color w:val="auto"/>
                      <w:sz w:val="21"/>
                      <w:szCs w:val="21"/>
                      <w:highlight w:val="none"/>
                      <w:u w:val="none"/>
                    </w:rPr>
                  </w:pPr>
                  <w:r>
                    <w:rPr>
                      <w:rFonts w:hint="default" w:ascii="Times New Roman" w:hAnsi="Times New Roman" w:eastAsia="宋体" w:cs="Times New Roman"/>
                      <w:b/>
                      <w:bCs/>
                      <w:color w:val="auto"/>
                      <w:sz w:val="21"/>
                      <w:szCs w:val="21"/>
                      <w:highlight w:val="none"/>
                      <w:u w:val="none"/>
                    </w:rPr>
                    <w:t>污染物</w:t>
                  </w:r>
                </w:p>
              </w:tc>
              <w:tc>
                <w:tcPr>
                  <w:tcW w:w="721" w:type="pct"/>
                  <w:noWrap w:val="0"/>
                  <w:vAlign w:val="center"/>
                </w:tcPr>
                <w:p>
                  <w:pPr>
                    <w:pStyle w:val="30"/>
                    <w:shd w:val="clear" w:color="auto" w:fill="auto"/>
                    <w:rPr>
                      <w:rFonts w:hint="default" w:ascii="Times New Roman" w:hAnsi="Times New Roman" w:eastAsia="宋体" w:cs="Times New Roman"/>
                      <w:b/>
                      <w:bCs/>
                      <w:color w:val="auto"/>
                      <w:sz w:val="21"/>
                      <w:szCs w:val="21"/>
                      <w:highlight w:val="none"/>
                      <w:u w:val="none"/>
                    </w:rPr>
                  </w:pPr>
                  <w:r>
                    <w:rPr>
                      <w:rFonts w:hint="default" w:ascii="Times New Roman" w:hAnsi="Times New Roman" w:eastAsia="宋体" w:cs="Times New Roman"/>
                      <w:b/>
                      <w:bCs/>
                      <w:color w:val="auto"/>
                      <w:sz w:val="21"/>
                      <w:szCs w:val="21"/>
                      <w:highlight w:val="none"/>
                      <w:u w:val="none"/>
                    </w:rPr>
                    <w:t>非正常排放浓度(mg/m</w:t>
                  </w:r>
                  <w:r>
                    <w:rPr>
                      <w:rFonts w:hint="default" w:ascii="Times New Roman" w:hAnsi="Times New Roman" w:eastAsia="宋体" w:cs="Times New Roman"/>
                      <w:b/>
                      <w:bCs/>
                      <w:color w:val="auto"/>
                      <w:sz w:val="21"/>
                      <w:szCs w:val="21"/>
                      <w:highlight w:val="none"/>
                      <w:u w:val="none"/>
                      <w:vertAlign w:val="superscript"/>
                    </w:rPr>
                    <w:t>3</w:t>
                  </w:r>
                  <w:r>
                    <w:rPr>
                      <w:rFonts w:hint="default" w:ascii="Times New Roman" w:hAnsi="Times New Roman" w:eastAsia="宋体" w:cs="Times New Roman"/>
                      <w:b/>
                      <w:bCs/>
                      <w:color w:val="auto"/>
                      <w:sz w:val="21"/>
                      <w:szCs w:val="21"/>
                      <w:highlight w:val="none"/>
                      <w:u w:val="none"/>
                    </w:rPr>
                    <w:t>)</w:t>
                  </w:r>
                </w:p>
              </w:tc>
              <w:tc>
                <w:tcPr>
                  <w:tcW w:w="562" w:type="pct"/>
                  <w:noWrap w:val="0"/>
                  <w:vAlign w:val="center"/>
                </w:tcPr>
                <w:p>
                  <w:pPr>
                    <w:pStyle w:val="30"/>
                    <w:shd w:val="clear" w:color="auto" w:fill="auto"/>
                    <w:rPr>
                      <w:rFonts w:hint="eastAsia" w:ascii="Times New Roman" w:hAnsi="Times New Roman" w:eastAsia="宋体" w:cs="Times New Roman"/>
                      <w:b/>
                      <w:bCs/>
                      <w:color w:val="auto"/>
                      <w:sz w:val="21"/>
                      <w:szCs w:val="21"/>
                      <w:highlight w:val="none"/>
                      <w:u w:val="none"/>
                      <w:lang w:eastAsia="zh-CN"/>
                    </w:rPr>
                  </w:pPr>
                  <w:r>
                    <w:rPr>
                      <w:rFonts w:hint="eastAsia" w:ascii="Times New Roman" w:hAnsi="Times New Roman" w:eastAsia="宋体" w:cs="Times New Roman"/>
                      <w:b/>
                      <w:bCs/>
                      <w:color w:val="auto"/>
                      <w:sz w:val="21"/>
                      <w:szCs w:val="21"/>
                      <w:highlight w:val="none"/>
                      <w:u w:val="none"/>
                      <w:lang w:eastAsia="zh-CN"/>
                    </w:rPr>
                    <w:t>排放量（</w:t>
                  </w:r>
                  <w:r>
                    <w:rPr>
                      <w:rFonts w:hint="eastAsia" w:ascii="Times New Roman" w:hAnsi="Times New Roman" w:eastAsia="宋体" w:cs="Times New Roman"/>
                      <w:b/>
                      <w:bCs/>
                      <w:color w:val="auto"/>
                      <w:sz w:val="21"/>
                      <w:szCs w:val="21"/>
                      <w:highlight w:val="none"/>
                      <w:u w:val="none"/>
                      <w:lang w:val="en-US" w:eastAsia="zh-CN"/>
                    </w:rPr>
                    <w:t>kg</w:t>
                  </w:r>
                  <w:r>
                    <w:rPr>
                      <w:rFonts w:hint="eastAsia" w:ascii="Times New Roman" w:hAnsi="Times New Roman" w:eastAsia="宋体" w:cs="Times New Roman"/>
                      <w:b/>
                      <w:bCs/>
                      <w:color w:val="auto"/>
                      <w:sz w:val="21"/>
                      <w:szCs w:val="21"/>
                      <w:highlight w:val="none"/>
                      <w:u w:val="none"/>
                      <w:lang w:eastAsia="zh-CN"/>
                    </w:rPr>
                    <w:t>）</w:t>
                  </w:r>
                </w:p>
              </w:tc>
              <w:tc>
                <w:tcPr>
                  <w:tcW w:w="550" w:type="pct"/>
                  <w:noWrap w:val="0"/>
                  <w:vAlign w:val="center"/>
                </w:tcPr>
                <w:p>
                  <w:pPr>
                    <w:pStyle w:val="30"/>
                    <w:shd w:val="clear" w:color="auto" w:fill="auto"/>
                    <w:rPr>
                      <w:rFonts w:hint="default" w:ascii="Times New Roman" w:hAnsi="Times New Roman" w:eastAsia="宋体" w:cs="Times New Roman"/>
                      <w:b/>
                      <w:bCs/>
                      <w:color w:val="auto"/>
                      <w:sz w:val="21"/>
                      <w:szCs w:val="21"/>
                      <w:highlight w:val="none"/>
                      <w:u w:val="none"/>
                    </w:rPr>
                  </w:pPr>
                  <w:r>
                    <w:rPr>
                      <w:rFonts w:hint="default" w:ascii="Times New Roman" w:hAnsi="Times New Roman" w:eastAsia="宋体" w:cs="Times New Roman"/>
                      <w:b/>
                      <w:bCs/>
                      <w:color w:val="auto"/>
                      <w:sz w:val="21"/>
                      <w:szCs w:val="21"/>
                      <w:highlight w:val="none"/>
                      <w:u w:val="none"/>
                    </w:rPr>
                    <w:t>单次持续时间/h</w:t>
                  </w:r>
                </w:p>
              </w:tc>
              <w:tc>
                <w:tcPr>
                  <w:tcW w:w="551" w:type="pct"/>
                  <w:noWrap w:val="0"/>
                  <w:vAlign w:val="center"/>
                </w:tcPr>
                <w:p>
                  <w:pPr>
                    <w:pStyle w:val="30"/>
                    <w:shd w:val="clear" w:color="auto" w:fill="auto"/>
                    <w:rPr>
                      <w:rFonts w:hint="default" w:ascii="Times New Roman" w:hAnsi="Times New Roman" w:eastAsia="宋体" w:cs="Times New Roman"/>
                      <w:b/>
                      <w:bCs/>
                      <w:color w:val="auto"/>
                      <w:sz w:val="21"/>
                      <w:szCs w:val="21"/>
                      <w:highlight w:val="none"/>
                      <w:u w:val="none"/>
                    </w:rPr>
                  </w:pPr>
                  <w:r>
                    <w:rPr>
                      <w:rFonts w:hint="default" w:ascii="Times New Roman" w:hAnsi="Times New Roman" w:eastAsia="宋体" w:cs="Times New Roman"/>
                      <w:b/>
                      <w:bCs/>
                      <w:color w:val="auto"/>
                      <w:sz w:val="21"/>
                      <w:szCs w:val="21"/>
                      <w:highlight w:val="none"/>
                      <w:u w:val="none"/>
                    </w:rPr>
                    <w:t>年发生频次/次</w:t>
                  </w:r>
                </w:p>
              </w:tc>
              <w:tc>
                <w:tcPr>
                  <w:tcW w:w="551" w:type="pct"/>
                  <w:noWrap w:val="0"/>
                  <w:vAlign w:val="center"/>
                </w:tcPr>
                <w:p>
                  <w:pPr>
                    <w:pStyle w:val="30"/>
                    <w:shd w:val="clear" w:color="auto" w:fill="auto"/>
                    <w:rPr>
                      <w:rFonts w:hint="default" w:ascii="Times New Roman" w:hAnsi="Times New Roman" w:eastAsia="宋体" w:cs="Times New Roman"/>
                      <w:b/>
                      <w:bCs/>
                      <w:color w:val="auto"/>
                      <w:sz w:val="21"/>
                      <w:szCs w:val="21"/>
                      <w:highlight w:val="none"/>
                      <w:u w:val="none"/>
                    </w:rPr>
                  </w:pPr>
                  <w:r>
                    <w:rPr>
                      <w:rFonts w:hint="default" w:ascii="Times New Roman" w:hAnsi="Times New Roman" w:eastAsia="宋体" w:cs="Times New Roman"/>
                      <w:b/>
                      <w:bCs/>
                      <w:color w:val="auto"/>
                      <w:sz w:val="21"/>
                      <w:szCs w:val="21"/>
                      <w:highlight w:val="none"/>
                      <w:u w:val="none"/>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pPr>
                    <w:pStyle w:val="30"/>
                    <w:shd w:val="clear" w:color="auto" w:fil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1</w:t>
                  </w:r>
                </w:p>
              </w:tc>
              <w:tc>
                <w:tcPr>
                  <w:tcW w:w="677" w:type="pct"/>
                  <w:noWrap w:val="0"/>
                  <w:vAlign w:val="center"/>
                </w:tcPr>
                <w:p>
                  <w:pPr>
                    <w:pStyle w:val="30"/>
                    <w:shd w:val="clear" w:color="auto" w:fill="auto"/>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机制砂生产工序（破碎、筛分、堆场、原料装卸）</w:t>
                  </w:r>
                </w:p>
              </w:tc>
              <w:tc>
                <w:tcPr>
                  <w:tcW w:w="496" w:type="pct"/>
                  <w:noWrap w:val="0"/>
                  <w:vAlign w:val="center"/>
                </w:tcPr>
                <w:p>
                  <w:pPr>
                    <w:pStyle w:val="30"/>
                    <w:shd w:val="clear" w:color="auto" w:fill="auto"/>
                    <w:rPr>
                      <w:rFonts w:hint="eastAsia" w:ascii="Times New Roman" w:hAnsi="Times New Roman" w:eastAsia="宋体" w:cs="Times New Roman"/>
                      <w:color w:val="auto"/>
                      <w:sz w:val="21"/>
                      <w:szCs w:val="21"/>
                      <w:highlight w:val="none"/>
                      <w:u w:val="none"/>
                      <w:lang w:eastAsia="zh-CN"/>
                    </w:rPr>
                  </w:pPr>
                  <w:r>
                    <w:rPr>
                      <w:rFonts w:hint="eastAsia" w:ascii="Times New Roman" w:hAnsi="Times New Roman" w:eastAsia="宋体" w:cs="Times New Roman"/>
                      <w:color w:val="auto"/>
                      <w:sz w:val="21"/>
                      <w:szCs w:val="21"/>
                      <w:highlight w:val="none"/>
                      <w:u w:val="none"/>
                      <w:lang w:eastAsia="zh-CN"/>
                    </w:rPr>
                    <w:t>环保设施失效</w:t>
                  </w:r>
                </w:p>
              </w:tc>
              <w:tc>
                <w:tcPr>
                  <w:tcW w:w="548" w:type="pct"/>
                  <w:noWrap w:val="0"/>
                  <w:vAlign w:val="center"/>
                </w:tcPr>
                <w:p>
                  <w:pPr>
                    <w:pStyle w:val="30"/>
                    <w:shd w:val="clear" w:color="auto" w:fill="auto"/>
                    <w:rPr>
                      <w:rFonts w:hint="eastAsia" w:ascii="Times New Roman" w:hAnsi="Times New Roman" w:eastAsia="宋体" w:cs="Times New Roman"/>
                      <w:color w:val="auto"/>
                      <w:sz w:val="21"/>
                      <w:szCs w:val="21"/>
                      <w:highlight w:val="none"/>
                      <w:u w:val="none"/>
                      <w:lang w:eastAsia="zh-CN"/>
                    </w:rPr>
                  </w:pPr>
                  <w:r>
                    <w:rPr>
                      <w:rFonts w:hint="eastAsia" w:ascii="Times New Roman" w:hAnsi="Times New Roman" w:eastAsia="宋体" w:cs="Times New Roman"/>
                      <w:color w:val="auto"/>
                      <w:sz w:val="21"/>
                      <w:szCs w:val="21"/>
                      <w:highlight w:val="none"/>
                      <w:u w:val="none"/>
                      <w:lang w:eastAsia="zh-CN"/>
                    </w:rPr>
                    <w:t>颗粒物</w:t>
                  </w:r>
                </w:p>
              </w:tc>
              <w:tc>
                <w:tcPr>
                  <w:tcW w:w="721" w:type="pct"/>
                  <w:noWrap w:val="0"/>
                  <w:vAlign w:val="center"/>
                </w:tcPr>
                <w:p>
                  <w:pPr>
                    <w:pStyle w:val="30"/>
                    <w:shd w:val="clear" w:color="auto" w:fill="auto"/>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w:t>
                  </w:r>
                </w:p>
              </w:tc>
              <w:tc>
                <w:tcPr>
                  <w:tcW w:w="562" w:type="pct"/>
                  <w:noWrap w:val="0"/>
                  <w:vAlign w:val="center"/>
                </w:tcPr>
                <w:p>
                  <w:pPr>
                    <w:pStyle w:val="30"/>
                    <w:shd w:val="clear" w:color="auto" w:fill="auto"/>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6.45</w:t>
                  </w:r>
                </w:p>
              </w:tc>
              <w:tc>
                <w:tcPr>
                  <w:tcW w:w="550" w:type="pct"/>
                  <w:noWrap w:val="0"/>
                  <w:vAlign w:val="center"/>
                </w:tcPr>
                <w:p>
                  <w:pPr>
                    <w:pStyle w:val="30"/>
                    <w:shd w:val="clear" w:color="auto" w:fil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1</w:t>
                  </w:r>
                </w:p>
              </w:tc>
              <w:tc>
                <w:tcPr>
                  <w:tcW w:w="551" w:type="pct"/>
                  <w:noWrap w:val="0"/>
                  <w:vAlign w:val="center"/>
                </w:tcPr>
                <w:p>
                  <w:pPr>
                    <w:pStyle w:val="30"/>
                    <w:shd w:val="clear" w:color="auto" w:fill="auto"/>
                    <w:rPr>
                      <w:rFonts w:hint="eastAsia" w:ascii="Times New Roman" w:hAnsi="Times New Roman" w:eastAsia="宋体" w:cs="Times New Roman"/>
                      <w:color w:val="auto"/>
                      <w:sz w:val="21"/>
                      <w:szCs w:val="21"/>
                      <w:highlight w:val="none"/>
                      <w:u w:val="none"/>
                      <w:lang w:eastAsia="zh-CN"/>
                    </w:rPr>
                  </w:pPr>
                  <w:r>
                    <w:rPr>
                      <w:rFonts w:hint="eastAsia" w:ascii="Times New Roman" w:hAnsi="Times New Roman" w:eastAsia="宋体" w:cs="Times New Roman"/>
                      <w:color w:val="auto"/>
                      <w:sz w:val="21"/>
                      <w:szCs w:val="21"/>
                      <w:highlight w:val="none"/>
                      <w:u w:val="none"/>
                      <w:lang w:val="en-US" w:eastAsia="zh-CN"/>
                    </w:rPr>
                    <w:t>2</w:t>
                  </w:r>
                  <w:r>
                    <w:rPr>
                      <w:rFonts w:hint="eastAsia" w:ascii="Times New Roman" w:hAnsi="Times New Roman" w:eastAsia="宋体" w:cs="Times New Roman"/>
                      <w:color w:val="auto"/>
                      <w:sz w:val="21"/>
                      <w:szCs w:val="21"/>
                      <w:highlight w:val="none"/>
                      <w:u w:val="none"/>
                      <w:lang w:eastAsia="zh-CN"/>
                    </w:rPr>
                    <w:t>次</w:t>
                  </w:r>
                </w:p>
              </w:tc>
              <w:tc>
                <w:tcPr>
                  <w:tcW w:w="551" w:type="pct"/>
                  <w:noWrap w:val="0"/>
                  <w:vAlign w:val="center"/>
                </w:tcPr>
                <w:p>
                  <w:pPr>
                    <w:pStyle w:val="30"/>
                    <w:shd w:val="clear" w:color="auto" w:fil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停止生产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pPr>
                    <w:pStyle w:val="30"/>
                    <w:shd w:val="clear" w:color="auto" w:fill="auto"/>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2</w:t>
                  </w:r>
                </w:p>
              </w:tc>
              <w:tc>
                <w:tcPr>
                  <w:tcW w:w="677" w:type="pct"/>
                  <w:noWrap w:val="0"/>
                  <w:vAlign w:val="center"/>
                </w:tcPr>
                <w:p>
                  <w:pPr>
                    <w:pStyle w:val="30"/>
                    <w:shd w:val="clear" w:color="auto" w:fill="auto"/>
                    <w:rPr>
                      <w:rFonts w:hint="eastAsia" w:ascii="Times New Roman" w:hAnsi="Times New Roman" w:eastAsia="宋体" w:cs="Times New Roman"/>
                      <w:color w:val="auto"/>
                      <w:sz w:val="21"/>
                      <w:szCs w:val="21"/>
                      <w:highlight w:val="none"/>
                      <w:u w:val="none"/>
                      <w:lang w:eastAsia="zh-CN"/>
                    </w:rPr>
                  </w:pPr>
                  <w:r>
                    <w:rPr>
                      <w:rFonts w:hint="eastAsia" w:ascii="Times New Roman" w:hAnsi="Times New Roman" w:cs="Times New Roman"/>
                      <w:color w:val="auto"/>
                      <w:sz w:val="21"/>
                      <w:szCs w:val="21"/>
                      <w:highlight w:val="none"/>
                      <w:u w:val="none"/>
                      <w:lang w:eastAsia="zh-CN"/>
                    </w:rPr>
                    <w:t>混凝土生产工序（物料输送、物料混合）</w:t>
                  </w:r>
                </w:p>
              </w:tc>
              <w:tc>
                <w:tcPr>
                  <w:tcW w:w="496" w:type="pct"/>
                  <w:noWrap w:val="0"/>
                  <w:vAlign w:val="center"/>
                </w:tcPr>
                <w:p>
                  <w:pPr>
                    <w:pStyle w:val="30"/>
                    <w:shd w:val="clear" w:color="auto" w:fill="auto"/>
                    <w:ind w:firstLine="0" w:firstLineChars="0"/>
                    <w:rPr>
                      <w:rFonts w:hint="eastAsia" w:ascii="Times New Roman" w:hAnsi="Times New Roman" w:eastAsia="宋体" w:cs="Times New Roman"/>
                      <w:color w:val="auto"/>
                      <w:sz w:val="21"/>
                      <w:szCs w:val="21"/>
                      <w:highlight w:val="none"/>
                      <w:u w:val="none"/>
                      <w:lang w:eastAsia="zh-CN"/>
                    </w:rPr>
                  </w:pPr>
                  <w:r>
                    <w:rPr>
                      <w:rFonts w:hint="eastAsia" w:ascii="Times New Roman" w:hAnsi="Times New Roman" w:eastAsia="宋体" w:cs="Times New Roman"/>
                      <w:color w:val="auto"/>
                      <w:sz w:val="21"/>
                      <w:szCs w:val="21"/>
                      <w:highlight w:val="none"/>
                      <w:u w:val="none"/>
                      <w:lang w:eastAsia="zh-CN"/>
                    </w:rPr>
                    <w:t>环保设施失效</w:t>
                  </w:r>
                </w:p>
              </w:tc>
              <w:tc>
                <w:tcPr>
                  <w:tcW w:w="548" w:type="pct"/>
                  <w:noWrap w:val="0"/>
                  <w:vAlign w:val="center"/>
                </w:tcPr>
                <w:p>
                  <w:pPr>
                    <w:pStyle w:val="30"/>
                    <w:shd w:val="clear" w:color="auto" w:fill="auto"/>
                    <w:ind w:firstLine="0" w:firstLineChars="0"/>
                    <w:rPr>
                      <w:rFonts w:hint="eastAsia" w:ascii="Times New Roman" w:hAnsi="Times New Roman" w:eastAsia="宋体" w:cs="Times New Roman"/>
                      <w:color w:val="auto"/>
                      <w:sz w:val="21"/>
                      <w:szCs w:val="21"/>
                      <w:highlight w:val="none"/>
                      <w:u w:val="none"/>
                      <w:lang w:eastAsia="zh-CN"/>
                    </w:rPr>
                  </w:pPr>
                  <w:r>
                    <w:rPr>
                      <w:rFonts w:hint="eastAsia" w:ascii="Times New Roman" w:hAnsi="Times New Roman" w:eastAsia="宋体" w:cs="Times New Roman"/>
                      <w:color w:val="auto"/>
                      <w:sz w:val="21"/>
                      <w:szCs w:val="21"/>
                      <w:highlight w:val="none"/>
                      <w:u w:val="none"/>
                      <w:lang w:eastAsia="zh-CN"/>
                    </w:rPr>
                    <w:t>颗粒物</w:t>
                  </w:r>
                </w:p>
              </w:tc>
              <w:tc>
                <w:tcPr>
                  <w:tcW w:w="721" w:type="pct"/>
                  <w:noWrap w:val="0"/>
                  <w:vAlign w:val="center"/>
                </w:tcPr>
                <w:p>
                  <w:pPr>
                    <w:pStyle w:val="30"/>
                    <w:shd w:val="clear" w:color="auto" w:fill="auto"/>
                    <w:ind w:firstLine="0" w:firstLineChars="0"/>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w:t>
                  </w:r>
                </w:p>
              </w:tc>
              <w:tc>
                <w:tcPr>
                  <w:tcW w:w="562" w:type="pct"/>
                  <w:noWrap w:val="0"/>
                  <w:vAlign w:val="center"/>
                </w:tcPr>
                <w:p>
                  <w:pPr>
                    <w:pStyle w:val="30"/>
                    <w:shd w:val="clear" w:color="auto" w:fill="auto"/>
                    <w:ind w:firstLine="0" w:firstLineChars="0"/>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140.22</w:t>
                  </w:r>
                </w:p>
              </w:tc>
              <w:tc>
                <w:tcPr>
                  <w:tcW w:w="550" w:type="pct"/>
                  <w:noWrap w:val="0"/>
                  <w:vAlign w:val="center"/>
                </w:tcPr>
                <w:p>
                  <w:pPr>
                    <w:pStyle w:val="30"/>
                    <w:shd w:val="clear" w:color="auto" w:fill="auto"/>
                    <w:ind w:firstLine="0" w:firstLineChars="0"/>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1</w:t>
                  </w:r>
                </w:p>
              </w:tc>
              <w:tc>
                <w:tcPr>
                  <w:tcW w:w="551" w:type="pct"/>
                  <w:noWrap w:val="0"/>
                  <w:vAlign w:val="center"/>
                </w:tcPr>
                <w:p>
                  <w:pPr>
                    <w:pStyle w:val="30"/>
                    <w:shd w:val="clear" w:color="auto" w:fill="auto"/>
                    <w:ind w:firstLine="0" w:firstLineChars="0"/>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2</w:t>
                  </w:r>
                  <w:r>
                    <w:rPr>
                      <w:rFonts w:hint="eastAsia" w:ascii="Times New Roman" w:hAnsi="Times New Roman" w:eastAsia="宋体" w:cs="Times New Roman"/>
                      <w:color w:val="auto"/>
                      <w:sz w:val="21"/>
                      <w:szCs w:val="21"/>
                      <w:highlight w:val="none"/>
                      <w:u w:val="none"/>
                      <w:lang w:eastAsia="zh-CN"/>
                    </w:rPr>
                    <w:t>次</w:t>
                  </w:r>
                </w:p>
              </w:tc>
              <w:tc>
                <w:tcPr>
                  <w:tcW w:w="551" w:type="pct"/>
                  <w:noWrap w:val="0"/>
                  <w:vAlign w:val="center"/>
                </w:tcPr>
                <w:p>
                  <w:pPr>
                    <w:pStyle w:val="30"/>
                    <w:shd w:val="clear" w:color="auto" w:fill="auto"/>
                    <w:ind w:firstLine="0" w:firstLineChars="0"/>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停止生产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pPr>
                    <w:pStyle w:val="30"/>
                    <w:shd w:val="clear" w:color="auto" w:fill="auto"/>
                    <w:rPr>
                      <w:rFonts w:hint="default" w:ascii="Times New Roman" w:hAnsi="Times New Roman" w:eastAsia="宋体" w:cs="Times New Roman"/>
                      <w:color w:val="auto"/>
                      <w:sz w:val="21"/>
                      <w:szCs w:val="21"/>
                      <w:highlight w:val="none"/>
                      <w:u w:val="none"/>
                    </w:rPr>
                  </w:pPr>
                </w:p>
              </w:tc>
              <w:tc>
                <w:tcPr>
                  <w:tcW w:w="677" w:type="pct"/>
                  <w:noWrap w:val="0"/>
                  <w:vAlign w:val="center"/>
                </w:tcPr>
                <w:p>
                  <w:pPr>
                    <w:pStyle w:val="30"/>
                    <w:shd w:val="clear" w:color="auto" w:fill="auto"/>
                    <w:rPr>
                      <w:rFonts w:hint="eastAsia" w:ascii="Times New Roman" w:hAnsi="Times New Roman" w:eastAsia="宋体" w:cs="Times New Roman"/>
                      <w:color w:val="auto"/>
                      <w:sz w:val="21"/>
                      <w:szCs w:val="21"/>
                      <w:highlight w:val="none"/>
                      <w:u w:val="none"/>
                      <w:lang w:eastAsia="zh-CN"/>
                    </w:rPr>
                  </w:pPr>
                </w:p>
              </w:tc>
              <w:tc>
                <w:tcPr>
                  <w:tcW w:w="496" w:type="pct"/>
                  <w:noWrap w:val="0"/>
                  <w:vAlign w:val="center"/>
                </w:tcPr>
                <w:p>
                  <w:pPr>
                    <w:pStyle w:val="30"/>
                    <w:shd w:val="clear" w:color="auto" w:fill="auto"/>
                    <w:rPr>
                      <w:rFonts w:hint="eastAsia" w:ascii="Times New Roman" w:hAnsi="Times New Roman" w:eastAsia="宋体" w:cs="Times New Roman"/>
                      <w:color w:val="auto"/>
                      <w:sz w:val="21"/>
                      <w:szCs w:val="21"/>
                      <w:highlight w:val="none"/>
                      <w:u w:val="none"/>
                      <w:lang w:eastAsia="zh-CN"/>
                    </w:rPr>
                  </w:pPr>
                </w:p>
              </w:tc>
              <w:tc>
                <w:tcPr>
                  <w:tcW w:w="548" w:type="pct"/>
                  <w:noWrap w:val="0"/>
                  <w:vAlign w:val="center"/>
                </w:tcPr>
                <w:p>
                  <w:pPr>
                    <w:pStyle w:val="30"/>
                    <w:shd w:val="clear" w:color="auto" w:fill="auto"/>
                    <w:rPr>
                      <w:rFonts w:hint="eastAsia" w:ascii="Times New Roman" w:hAnsi="Times New Roman" w:eastAsia="宋体" w:cs="Times New Roman"/>
                      <w:color w:val="auto"/>
                      <w:sz w:val="21"/>
                      <w:szCs w:val="21"/>
                      <w:highlight w:val="none"/>
                      <w:u w:val="none"/>
                      <w:lang w:eastAsia="zh-CN"/>
                    </w:rPr>
                  </w:pPr>
                </w:p>
              </w:tc>
              <w:tc>
                <w:tcPr>
                  <w:tcW w:w="721" w:type="pct"/>
                  <w:noWrap w:val="0"/>
                  <w:vAlign w:val="center"/>
                </w:tcPr>
                <w:p>
                  <w:pPr>
                    <w:pStyle w:val="30"/>
                    <w:shd w:val="clear" w:color="auto" w:fill="auto"/>
                    <w:rPr>
                      <w:rFonts w:hint="eastAsia" w:ascii="Times New Roman" w:hAnsi="Times New Roman" w:eastAsia="宋体" w:cs="Times New Roman"/>
                      <w:color w:val="auto"/>
                      <w:sz w:val="21"/>
                      <w:szCs w:val="21"/>
                      <w:highlight w:val="none"/>
                      <w:u w:val="none"/>
                      <w:lang w:val="en-US" w:eastAsia="zh-CN"/>
                    </w:rPr>
                  </w:pPr>
                </w:p>
              </w:tc>
              <w:tc>
                <w:tcPr>
                  <w:tcW w:w="562" w:type="pct"/>
                  <w:noWrap w:val="0"/>
                  <w:vAlign w:val="center"/>
                </w:tcPr>
                <w:p>
                  <w:pPr>
                    <w:pStyle w:val="30"/>
                    <w:shd w:val="clear" w:color="auto" w:fill="auto"/>
                    <w:rPr>
                      <w:rFonts w:hint="eastAsia" w:ascii="Times New Roman" w:hAnsi="Times New Roman" w:eastAsia="宋体" w:cs="Times New Roman"/>
                      <w:color w:val="auto"/>
                      <w:sz w:val="21"/>
                      <w:szCs w:val="21"/>
                      <w:highlight w:val="none"/>
                      <w:u w:val="none"/>
                      <w:lang w:val="en-US" w:eastAsia="zh-CN"/>
                    </w:rPr>
                  </w:pPr>
                </w:p>
              </w:tc>
              <w:tc>
                <w:tcPr>
                  <w:tcW w:w="550" w:type="pct"/>
                  <w:noWrap w:val="0"/>
                  <w:vAlign w:val="center"/>
                </w:tcPr>
                <w:p>
                  <w:pPr>
                    <w:pStyle w:val="30"/>
                    <w:shd w:val="clear" w:color="auto" w:fill="auto"/>
                    <w:rPr>
                      <w:rFonts w:hint="default" w:ascii="Times New Roman" w:hAnsi="Times New Roman" w:eastAsia="宋体" w:cs="Times New Roman"/>
                      <w:color w:val="auto"/>
                      <w:sz w:val="21"/>
                      <w:szCs w:val="21"/>
                      <w:highlight w:val="none"/>
                      <w:u w:val="none"/>
                    </w:rPr>
                  </w:pPr>
                </w:p>
              </w:tc>
              <w:tc>
                <w:tcPr>
                  <w:tcW w:w="551" w:type="pct"/>
                  <w:noWrap w:val="0"/>
                  <w:vAlign w:val="center"/>
                </w:tcPr>
                <w:p>
                  <w:pPr>
                    <w:pStyle w:val="30"/>
                    <w:shd w:val="clear" w:color="auto" w:fill="auto"/>
                    <w:rPr>
                      <w:rFonts w:hint="eastAsia" w:ascii="Times New Roman" w:hAnsi="Times New Roman" w:eastAsia="宋体" w:cs="Times New Roman"/>
                      <w:color w:val="auto"/>
                      <w:sz w:val="21"/>
                      <w:szCs w:val="21"/>
                      <w:highlight w:val="none"/>
                      <w:u w:val="none"/>
                      <w:lang w:val="en-US" w:eastAsia="zh-CN"/>
                    </w:rPr>
                  </w:pPr>
                </w:p>
              </w:tc>
              <w:tc>
                <w:tcPr>
                  <w:tcW w:w="551" w:type="pct"/>
                  <w:noWrap w:val="0"/>
                  <w:vAlign w:val="center"/>
                </w:tcPr>
                <w:p>
                  <w:pPr>
                    <w:pStyle w:val="30"/>
                    <w:shd w:val="clear" w:color="auto" w:fill="auto"/>
                    <w:rPr>
                      <w:rFonts w:hint="default" w:ascii="Times New Roman" w:hAnsi="Times New Roman" w:eastAsia="宋体" w:cs="Times New Roman"/>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noWrap w:val="0"/>
                  <w:vAlign w:val="center"/>
                </w:tcPr>
                <w:p>
                  <w:pPr>
                    <w:pStyle w:val="30"/>
                    <w:shd w:val="clear" w:color="auto" w:fill="auto"/>
                    <w:rPr>
                      <w:rFonts w:hint="default" w:ascii="Times New Roman" w:hAnsi="Times New Roman" w:eastAsia="宋体" w:cs="Times New Roman"/>
                      <w:color w:val="auto"/>
                      <w:sz w:val="21"/>
                      <w:szCs w:val="21"/>
                      <w:highlight w:val="none"/>
                      <w:u w:val="none"/>
                    </w:rPr>
                  </w:pPr>
                </w:p>
              </w:tc>
              <w:tc>
                <w:tcPr>
                  <w:tcW w:w="677" w:type="pct"/>
                  <w:noWrap w:val="0"/>
                  <w:vAlign w:val="center"/>
                </w:tcPr>
                <w:p>
                  <w:pPr>
                    <w:pStyle w:val="30"/>
                    <w:shd w:val="clear" w:color="auto" w:fill="auto"/>
                    <w:rPr>
                      <w:rFonts w:hint="eastAsia" w:ascii="Times New Roman" w:hAnsi="Times New Roman" w:eastAsia="宋体" w:cs="Times New Roman"/>
                      <w:color w:val="auto"/>
                      <w:sz w:val="21"/>
                      <w:szCs w:val="21"/>
                      <w:highlight w:val="none"/>
                      <w:u w:val="none"/>
                      <w:lang w:eastAsia="zh-CN"/>
                    </w:rPr>
                  </w:pPr>
                </w:p>
              </w:tc>
              <w:tc>
                <w:tcPr>
                  <w:tcW w:w="496" w:type="pct"/>
                  <w:noWrap w:val="0"/>
                  <w:vAlign w:val="center"/>
                </w:tcPr>
                <w:p>
                  <w:pPr>
                    <w:pStyle w:val="30"/>
                    <w:shd w:val="clear" w:color="auto" w:fill="auto"/>
                    <w:rPr>
                      <w:rFonts w:hint="eastAsia" w:ascii="Times New Roman" w:hAnsi="Times New Roman" w:eastAsia="宋体" w:cs="Times New Roman"/>
                      <w:color w:val="auto"/>
                      <w:sz w:val="21"/>
                      <w:szCs w:val="21"/>
                      <w:highlight w:val="none"/>
                      <w:u w:val="none"/>
                      <w:lang w:eastAsia="zh-CN"/>
                    </w:rPr>
                  </w:pPr>
                </w:p>
              </w:tc>
              <w:tc>
                <w:tcPr>
                  <w:tcW w:w="548" w:type="pct"/>
                  <w:noWrap w:val="0"/>
                  <w:vAlign w:val="center"/>
                </w:tcPr>
                <w:p>
                  <w:pPr>
                    <w:pStyle w:val="30"/>
                    <w:shd w:val="clear" w:color="auto" w:fill="auto"/>
                    <w:rPr>
                      <w:rFonts w:hint="eastAsia" w:ascii="Times New Roman" w:hAnsi="Times New Roman" w:eastAsia="宋体" w:cs="Times New Roman"/>
                      <w:color w:val="auto"/>
                      <w:sz w:val="21"/>
                      <w:szCs w:val="21"/>
                      <w:highlight w:val="none"/>
                      <w:u w:val="none"/>
                      <w:lang w:eastAsia="zh-CN"/>
                    </w:rPr>
                  </w:pPr>
                </w:p>
              </w:tc>
              <w:tc>
                <w:tcPr>
                  <w:tcW w:w="721" w:type="pct"/>
                  <w:noWrap w:val="0"/>
                  <w:vAlign w:val="center"/>
                </w:tcPr>
                <w:p>
                  <w:pPr>
                    <w:pStyle w:val="30"/>
                    <w:shd w:val="clear" w:color="auto" w:fill="auto"/>
                    <w:rPr>
                      <w:rFonts w:hint="eastAsia" w:ascii="Times New Roman" w:hAnsi="Times New Roman" w:eastAsia="宋体" w:cs="Times New Roman"/>
                      <w:color w:val="auto"/>
                      <w:sz w:val="21"/>
                      <w:szCs w:val="21"/>
                      <w:highlight w:val="none"/>
                      <w:u w:val="none"/>
                      <w:lang w:val="en-US" w:eastAsia="zh-CN"/>
                    </w:rPr>
                  </w:pPr>
                </w:p>
              </w:tc>
              <w:tc>
                <w:tcPr>
                  <w:tcW w:w="562" w:type="pct"/>
                  <w:noWrap w:val="0"/>
                  <w:vAlign w:val="center"/>
                </w:tcPr>
                <w:p>
                  <w:pPr>
                    <w:pStyle w:val="30"/>
                    <w:shd w:val="clear" w:color="auto" w:fill="auto"/>
                    <w:rPr>
                      <w:rFonts w:hint="eastAsia" w:ascii="Times New Roman" w:hAnsi="Times New Roman" w:eastAsia="宋体" w:cs="Times New Roman"/>
                      <w:color w:val="auto"/>
                      <w:sz w:val="21"/>
                      <w:szCs w:val="21"/>
                      <w:highlight w:val="none"/>
                      <w:u w:val="none"/>
                      <w:lang w:val="en-US" w:eastAsia="zh-CN"/>
                    </w:rPr>
                  </w:pPr>
                </w:p>
              </w:tc>
              <w:tc>
                <w:tcPr>
                  <w:tcW w:w="550" w:type="pct"/>
                  <w:noWrap w:val="0"/>
                  <w:vAlign w:val="center"/>
                </w:tcPr>
                <w:p>
                  <w:pPr>
                    <w:pStyle w:val="30"/>
                    <w:shd w:val="clear" w:color="auto" w:fill="auto"/>
                    <w:rPr>
                      <w:rFonts w:hint="default" w:ascii="Times New Roman" w:hAnsi="Times New Roman" w:eastAsia="宋体" w:cs="Times New Roman"/>
                      <w:color w:val="auto"/>
                      <w:sz w:val="21"/>
                      <w:szCs w:val="21"/>
                      <w:highlight w:val="none"/>
                      <w:u w:val="none"/>
                    </w:rPr>
                  </w:pPr>
                </w:p>
              </w:tc>
              <w:tc>
                <w:tcPr>
                  <w:tcW w:w="551" w:type="pct"/>
                  <w:noWrap w:val="0"/>
                  <w:vAlign w:val="center"/>
                </w:tcPr>
                <w:p>
                  <w:pPr>
                    <w:pStyle w:val="30"/>
                    <w:shd w:val="clear" w:color="auto" w:fill="auto"/>
                    <w:rPr>
                      <w:rFonts w:hint="eastAsia" w:ascii="Times New Roman" w:hAnsi="Times New Roman" w:eastAsia="宋体" w:cs="Times New Roman"/>
                      <w:color w:val="auto"/>
                      <w:sz w:val="21"/>
                      <w:szCs w:val="21"/>
                      <w:highlight w:val="none"/>
                      <w:u w:val="none"/>
                      <w:lang w:val="en-US" w:eastAsia="zh-CN"/>
                    </w:rPr>
                  </w:pPr>
                </w:p>
              </w:tc>
              <w:tc>
                <w:tcPr>
                  <w:tcW w:w="551" w:type="pct"/>
                  <w:noWrap w:val="0"/>
                  <w:vAlign w:val="center"/>
                </w:tcPr>
                <w:p>
                  <w:pPr>
                    <w:pStyle w:val="30"/>
                    <w:shd w:val="clear" w:color="auto" w:fill="auto"/>
                    <w:rPr>
                      <w:rFonts w:hint="default" w:ascii="Times New Roman" w:hAnsi="Times New Roman" w:eastAsia="宋体" w:cs="Times New Roman"/>
                      <w:color w:val="auto"/>
                      <w:sz w:val="21"/>
                      <w:szCs w:val="21"/>
                      <w:highlight w:val="none"/>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 xml:space="preserve">环评要求项目一旦发生非正常排放，必须立即检修。为杜绝废气非正常 排放，应采取以下措施确保废气达标排放：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 xml:space="preserve">①安排专人负责环保设备的日常维护和管理，每个固定时间检查、汇报情况，及时发现废气处理设备的隐患，确保废气处理系统正常运行；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 xml:space="preserve">②建立健全的环保管理机构，对环保管理人员和技术人员进行岗位培训， 委托具有专业资质的环境检测单位对项目排放的各类污染物进行定期检测；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rPr>
            </w:pPr>
            <w:r>
              <w:rPr>
                <w:rFonts w:hint="eastAsia" w:ascii="Times New Roman" w:hAnsi="Times New Roman" w:eastAsia="宋体" w:cs="Times New Roman"/>
                <w:color w:val="auto"/>
                <w:sz w:val="24"/>
                <w:szCs w:val="21"/>
                <w:highlight w:val="none"/>
              </w:rPr>
              <w:t>③应定期维护、检修废气处理装置，以保持废气处理装置的</w:t>
            </w:r>
            <w:r>
              <w:rPr>
                <w:rFonts w:hint="eastAsia" w:ascii="Times New Roman" w:hAnsi="Times New Roman" w:cs="Times New Roman"/>
                <w:color w:val="auto"/>
                <w:sz w:val="24"/>
                <w:szCs w:val="21"/>
                <w:highlight w:val="none"/>
                <w:lang w:eastAsia="zh-CN"/>
              </w:rPr>
              <w:t>处理</w:t>
            </w:r>
            <w:r>
              <w:rPr>
                <w:rFonts w:hint="eastAsia" w:ascii="Times New Roman" w:hAnsi="Times New Roman" w:eastAsia="宋体" w:cs="Times New Roman"/>
                <w:color w:val="auto"/>
                <w:sz w:val="24"/>
                <w:szCs w:val="21"/>
                <w:highlight w:val="none"/>
              </w:rPr>
              <w:t>能力和容量。</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color w:val="auto"/>
                <w:sz w:val="24"/>
                <w:szCs w:val="24"/>
                <w:lang w:eastAsia="zh-CN"/>
              </w:rPr>
            </w:pPr>
            <w:r>
              <w:rPr>
                <w:rFonts w:hint="eastAsia"/>
                <w:color w:val="auto"/>
                <w:sz w:val="24"/>
                <w:szCs w:val="24"/>
              </w:rPr>
              <w:t>（</w:t>
            </w:r>
            <w:r>
              <w:rPr>
                <w:rFonts w:hint="eastAsia"/>
                <w:color w:val="auto"/>
                <w:sz w:val="24"/>
                <w:szCs w:val="24"/>
                <w:lang w:val="en-US" w:eastAsia="zh-CN"/>
              </w:rPr>
              <w:t>4</w:t>
            </w:r>
            <w:r>
              <w:rPr>
                <w:rFonts w:hint="eastAsia"/>
                <w:color w:val="auto"/>
                <w:sz w:val="24"/>
                <w:szCs w:val="24"/>
              </w:rPr>
              <w:t>）大气环境影响</w:t>
            </w:r>
            <w:r>
              <w:rPr>
                <w:rFonts w:hint="eastAsia"/>
                <w:color w:val="auto"/>
                <w:sz w:val="24"/>
                <w:szCs w:val="24"/>
                <w:lang w:eastAsia="zh-CN"/>
              </w:rPr>
              <w:t>分析</w:t>
            </w:r>
          </w:p>
          <w:p>
            <w:pPr>
              <w:shd w:val="clear" w:color="auto" w:fill="auto"/>
              <w:spacing w:line="360" w:lineRule="auto"/>
              <w:ind w:firstLine="480" w:firstLineChars="200"/>
              <w:rPr>
                <w:rFonts w:hint="eastAsia"/>
                <w:color w:val="auto"/>
                <w:sz w:val="24"/>
                <w:szCs w:val="24"/>
              </w:rPr>
            </w:pPr>
            <w:r>
              <w:rPr>
                <w:rFonts w:hint="eastAsia"/>
                <w:color w:val="auto"/>
                <w:sz w:val="24"/>
                <w:szCs w:val="24"/>
              </w:rPr>
              <w:t>本项目营运期</w:t>
            </w:r>
            <w:r>
              <w:rPr>
                <w:rFonts w:hint="eastAsia"/>
                <w:color w:val="auto"/>
                <w:sz w:val="24"/>
                <w:szCs w:val="24"/>
                <w:lang w:val="en-US" w:eastAsia="zh-CN"/>
              </w:rPr>
              <w:t>机制砂</w:t>
            </w:r>
            <w:r>
              <w:rPr>
                <w:rFonts w:hint="default"/>
                <w:color w:val="auto"/>
                <w:sz w:val="24"/>
                <w:szCs w:val="24"/>
                <w:lang w:val="en-US" w:eastAsia="zh-CN"/>
              </w:rPr>
              <w:t>生产</w:t>
            </w:r>
            <w:r>
              <w:rPr>
                <w:rFonts w:hint="eastAsia"/>
                <w:color w:val="auto"/>
                <w:sz w:val="24"/>
                <w:szCs w:val="24"/>
                <w:lang w:val="en-US" w:eastAsia="zh-CN"/>
              </w:rPr>
              <w:t>过程中</w:t>
            </w:r>
            <w:r>
              <w:rPr>
                <w:rFonts w:hint="default"/>
                <w:color w:val="auto"/>
                <w:sz w:val="24"/>
                <w:szCs w:val="24"/>
                <w:lang w:val="en-US" w:eastAsia="zh-CN"/>
              </w:rPr>
              <w:t>废气主要为</w:t>
            </w:r>
            <w:r>
              <w:rPr>
                <w:rFonts w:hint="eastAsia"/>
                <w:color w:val="auto"/>
                <w:sz w:val="24"/>
                <w:szCs w:val="24"/>
                <w:lang w:val="en-US" w:eastAsia="zh-CN"/>
              </w:rPr>
              <w:t>堆场</w:t>
            </w:r>
            <w:r>
              <w:rPr>
                <w:rFonts w:hint="default"/>
                <w:color w:val="auto"/>
                <w:sz w:val="24"/>
                <w:szCs w:val="24"/>
                <w:lang w:val="en-US" w:eastAsia="zh-CN"/>
              </w:rPr>
              <w:t>、输送、</w:t>
            </w:r>
            <w:r>
              <w:rPr>
                <w:rFonts w:hint="eastAsia"/>
                <w:color w:val="auto"/>
                <w:sz w:val="24"/>
                <w:szCs w:val="24"/>
                <w:lang w:val="en-US" w:eastAsia="zh-CN"/>
              </w:rPr>
              <w:t>装卸</w:t>
            </w:r>
            <w:r>
              <w:rPr>
                <w:rFonts w:hint="default"/>
                <w:color w:val="auto"/>
                <w:sz w:val="24"/>
                <w:szCs w:val="24"/>
                <w:lang w:val="en-US" w:eastAsia="zh-CN"/>
              </w:rPr>
              <w:t>、破碎</w:t>
            </w:r>
            <w:r>
              <w:rPr>
                <w:rFonts w:hint="eastAsia"/>
                <w:color w:val="auto"/>
                <w:sz w:val="24"/>
                <w:szCs w:val="24"/>
                <w:lang w:val="en-US" w:eastAsia="zh-CN"/>
              </w:rPr>
              <w:t>、筛分</w:t>
            </w:r>
            <w:r>
              <w:rPr>
                <w:rFonts w:hint="default"/>
                <w:color w:val="auto"/>
                <w:sz w:val="24"/>
                <w:szCs w:val="24"/>
                <w:lang w:val="en-US" w:eastAsia="zh-CN"/>
              </w:rPr>
              <w:t>过程产生的颗粒物</w:t>
            </w:r>
            <w:r>
              <w:rPr>
                <w:rFonts w:hint="eastAsia"/>
                <w:color w:val="auto"/>
                <w:sz w:val="24"/>
                <w:szCs w:val="24"/>
                <w:lang w:val="en-US" w:eastAsia="zh-CN"/>
              </w:rPr>
              <w:t>。</w:t>
            </w:r>
            <w:r>
              <w:rPr>
                <w:rFonts w:hint="eastAsia"/>
                <w:color w:val="auto"/>
                <w:sz w:val="24"/>
                <w:szCs w:val="24"/>
                <w:lang w:eastAsia="zh-CN"/>
              </w:rPr>
              <w:t>混凝土生产过程中</w:t>
            </w:r>
            <w:r>
              <w:rPr>
                <w:rFonts w:hint="eastAsia"/>
                <w:color w:val="auto"/>
                <w:sz w:val="24"/>
                <w:szCs w:val="24"/>
              </w:rPr>
              <w:t>产生的废气主要为</w:t>
            </w:r>
            <w:r>
              <w:rPr>
                <w:rFonts w:hint="eastAsia"/>
                <w:color w:val="auto"/>
                <w:sz w:val="24"/>
                <w:szCs w:val="24"/>
                <w:lang w:val="en-US" w:eastAsia="zh-CN"/>
              </w:rPr>
              <w:t>物料输送储存粉尘、搅拌机搅拌粉尘、原料仓库粉尘、运输道路扬尘</w:t>
            </w:r>
            <w:r>
              <w:rPr>
                <w:rFonts w:hint="eastAsia"/>
                <w:color w:val="auto"/>
                <w:sz w:val="24"/>
                <w:szCs w:val="24"/>
              </w:rPr>
              <w:t>。</w:t>
            </w:r>
          </w:p>
          <w:p>
            <w:pPr>
              <w:spacing w:line="360" w:lineRule="auto"/>
              <w:ind w:firstLine="480" w:firstLineChars="200"/>
              <w:rPr>
                <w:rFonts w:hint="eastAsia"/>
                <w:color w:val="auto"/>
                <w:sz w:val="24"/>
                <w:szCs w:val="24"/>
                <w:lang w:val="en-US" w:eastAsia="zh-CN"/>
              </w:rPr>
            </w:pPr>
            <w:r>
              <w:rPr>
                <w:rFonts w:hint="eastAsia"/>
                <w:color w:val="auto"/>
                <w:sz w:val="24"/>
                <w:szCs w:val="24"/>
              </w:rPr>
              <w:t>根据工程分析计算可知，</w:t>
            </w:r>
            <w:r>
              <w:rPr>
                <w:rFonts w:hint="eastAsia"/>
                <w:color w:val="auto"/>
                <w:sz w:val="24"/>
                <w:szCs w:val="24"/>
                <w:lang w:eastAsia="zh-CN"/>
              </w:rPr>
              <w:t>本项目</w:t>
            </w:r>
            <w:r>
              <w:rPr>
                <w:rFonts w:hint="default"/>
                <w:color w:val="auto"/>
                <w:sz w:val="24"/>
                <w:szCs w:val="24"/>
                <w:lang w:val="en-US" w:eastAsia="zh-CN"/>
              </w:rPr>
              <w:t>产生的</w:t>
            </w:r>
            <w:r>
              <w:rPr>
                <w:rFonts w:hint="eastAsia"/>
                <w:color w:val="auto"/>
                <w:sz w:val="24"/>
                <w:szCs w:val="24"/>
              </w:rPr>
              <w:t>粉尘量为</w:t>
            </w:r>
            <w:r>
              <w:rPr>
                <w:rFonts w:hint="eastAsia"/>
                <w:color w:val="auto"/>
                <w:sz w:val="24"/>
                <w:szCs w:val="24"/>
                <w:lang w:val="en-US" w:eastAsia="zh-CN"/>
              </w:rPr>
              <w:t>146.67</w:t>
            </w:r>
            <w:r>
              <w:rPr>
                <w:rFonts w:hint="eastAsia"/>
                <w:color w:val="auto"/>
                <w:sz w:val="24"/>
                <w:szCs w:val="24"/>
              </w:rPr>
              <w:t>t/a。</w:t>
            </w:r>
            <w:r>
              <w:rPr>
                <w:rFonts w:hint="eastAsia"/>
                <w:color w:val="auto"/>
                <w:sz w:val="24"/>
                <w:szCs w:val="24"/>
                <w:lang w:eastAsia="zh-CN"/>
              </w:rPr>
              <w:t>机制砂生产</w:t>
            </w:r>
            <w:r>
              <w:rPr>
                <w:rFonts w:hint="eastAsia"/>
                <w:color w:val="auto"/>
                <w:sz w:val="24"/>
                <w:szCs w:val="24"/>
                <w:lang w:val="en-US" w:eastAsia="zh-CN"/>
              </w:rPr>
              <w:t>建设全封闭式厂房，设置喷雾除尘，地面硬化，破碎筛分工序设置单独封闭式车间，混凝土生产</w:t>
            </w:r>
            <w:r>
              <w:rPr>
                <w:rFonts w:hint="eastAsia"/>
                <w:color w:val="auto"/>
                <w:sz w:val="24"/>
                <w:szCs w:val="24"/>
                <w:lang w:eastAsia="zh-CN"/>
              </w:rPr>
              <w:t>企业建设全封闭式厂房，对混凝土生产区域进行全封闭，</w:t>
            </w:r>
            <w:r>
              <w:rPr>
                <w:rFonts w:hint="default"/>
                <w:color w:val="auto"/>
                <w:sz w:val="24"/>
                <w:szCs w:val="24"/>
              </w:rPr>
              <w:t>筒库顶部自带收尘机除尘</w:t>
            </w:r>
            <w:r>
              <w:rPr>
                <w:rFonts w:hint="eastAsia"/>
                <w:color w:val="auto"/>
                <w:sz w:val="24"/>
                <w:szCs w:val="24"/>
                <w:lang w:eastAsia="zh-CN"/>
              </w:rPr>
              <w:t>，</w:t>
            </w:r>
            <w:r>
              <w:rPr>
                <w:rFonts w:hint="default"/>
                <w:color w:val="auto"/>
                <w:sz w:val="24"/>
                <w:szCs w:val="24"/>
              </w:rPr>
              <w:t>搅拌主机、配料机等设施设在封闭式车间内，并配备有高效布袋除尘器</w:t>
            </w:r>
            <w:r>
              <w:rPr>
                <w:rFonts w:hint="eastAsia"/>
                <w:color w:val="auto"/>
                <w:sz w:val="24"/>
                <w:szCs w:val="24"/>
                <w:lang w:eastAsia="zh-CN"/>
              </w:rPr>
              <w:t>，采用密闭运输，加盖篷布，地面进行硬化，定时洒水抑尘，采取上述措施后</w:t>
            </w:r>
            <w:r>
              <w:rPr>
                <w:rFonts w:hint="eastAsia"/>
                <w:color w:val="auto"/>
                <w:sz w:val="24"/>
                <w:szCs w:val="24"/>
                <w:lang w:val="en-US" w:eastAsia="zh-CN"/>
              </w:rPr>
              <w:t>，散逸的粉尘量为0.1428t/a。</w:t>
            </w:r>
          </w:p>
          <w:p>
            <w:pPr>
              <w:spacing w:line="360" w:lineRule="auto"/>
              <w:ind w:firstLine="480" w:firstLineChars="200"/>
              <w:rPr>
                <w:rFonts w:hint="eastAsia"/>
                <w:color w:val="auto"/>
                <w:sz w:val="24"/>
                <w:szCs w:val="24"/>
                <w:lang w:val="en-US" w:eastAsia="zh-CN"/>
              </w:rPr>
            </w:pPr>
            <w:r>
              <w:rPr>
                <w:rFonts w:hint="eastAsia"/>
                <w:color w:val="auto"/>
                <w:sz w:val="24"/>
                <w:szCs w:val="24"/>
              </w:rPr>
              <w:t>通</w:t>
            </w:r>
            <w:r>
              <w:rPr>
                <w:rFonts w:hint="eastAsia"/>
                <w:color w:val="auto"/>
                <w:sz w:val="24"/>
                <w:szCs w:val="24"/>
                <w:lang w:eastAsia="zh-CN"/>
              </w:rPr>
              <w:t>过采取以上措施后，对周边环境的影响较小。</w:t>
            </w:r>
          </w:p>
          <w:p>
            <w:pPr>
              <w:spacing w:line="360" w:lineRule="auto"/>
              <w:ind w:firstLine="480" w:firstLineChars="200"/>
              <w:rPr>
                <w:rFonts w:hint="eastAsia"/>
                <w:color w:val="auto"/>
                <w:sz w:val="24"/>
                <w:szCs w:val="24"/>
                <w:lang w:eastAsia="zh-CN"/>
              </w:rPr>
            </w:pPr>
            <w:r>
              <w:rPr>
                <w:rFonts w:hint="eastAsia"/>
                <w:color w:val="auto"/>
                <w:sz w:val="24"/>
                <w:szCs w:val="24"/>
                <w:lang w:val="en-US" w:eastAsia="zh-CN"/>
              </w:rPr>
              <w:t>2、废水</w:t>
            </w:r>
          </w:p>
          <w:p>
            <w:pPr>
              <w:spacing w:line="360" w:lineRule="auto"/>
              <w:ind w:left="420" w:leftChars="200"/>
              <w:rPr>
                <w:rFonts w:hint="eastAsia" w:eastAsia="宋体"/>
                <w:color w:val="auto"/>
                <w:sz w:val="24"/>
                <w:szCs w:val="24"/>
                <w:lang w:eastAsia="zh-CN"/>
              </w:rPr>
            </w:pPr>
            <w:r>
              <w:rPr>
                <w:rFonts w:hint="eastAsia"/>
                <w:color w:val="auto"/>
                <w:sz w:val="24"/>
                <w:szCs w:val="24"/>
              </w:rPr>
              <w:t>（</w:t>
            </w:r>
            <w:r>
              <w:rPr>
                <w:rFonts w:hint="eastAsia"/>
                <w:color w:val="auto"/>
                <w:sz w:val="24"/>
                <w:szCs w:val="24"/>
                <w:lang w:val="en-US" w:eastAsia="zh-CN"/>
              </w:rPr>
              <w:t>1</w:t>
            </w:r>
            <w:r>
              <w:rPr>
                <w:rFonts w:hint="eastAsia"/>
                <w:color w:val="auto"/>
                <w:sz w:val="24"/>
                <w:szCs w:val="24"/>
              </w:rPr>
              <w:t>）生活污水</w:t>
            </w:r>
            <w:r>
              <w:rPr>
                <w:rFonts w:hint="eastAsia"/>
                <w:color w:val="auto"/>
                <w:sz w:val="24"/>
                <w:szCs w:val="24"/>
                <w:lang w:eastAsia="zh-CN"/>
              </w:rPr>
              <w:t>（</w:t>
            </w:r>
            <w:r>
              <w:rPr>
                <w:rFonts w:hint="eastAsia"/>
                <w:color w:val="auto"/>
                <w:sz w:val="24"/>
                <w:szCs w:val="24"/>
                <w:lang w:val="en-US" w:eastAsia="zh-CN"/>
              </w:rPr>
              <w:t>W1</w:t>
            </w:r>
            <w:r>
              <w:rPr>
                <w:rFonts w:hint="eastAsia"/>
                <w:color w:val="auto"/>
                <w:sz w:val="24"/>
                <w:szCs w:val="24"/>
                <w:lang w:eastAsia="zh-CN"/>
              </w:rPr>
              <w:t>）</w:t>
            </w:r>
          </w:p>
          <w:p>
            <w:pPr>
              <w:spacing w:line="360" w:lineRule="auto"/>
              <w:ind w:firstLine="480" w:firstLineChars="200"/>
              <w:rPr>
                <w:rFonts w:hint="eastAsia"/>
                <w:color w:val="auto"/>
                <w:sz w:val="24"/>
                <w:szCs w:val="24"/>
              </w:rPr>
            </w:pPr>
            <w:r>
              <w:rPr>
                <w:rFonts w:hint="eastAsia"/>
                <w:color w:val="auto"/>
                <w:sz w:val="24"/>
                <w:szCs w:val="24"/>
              </w:rPr>
              <w:t>本项目劳动定员</w:t>
            </w:r>
            <w:r>
              <w:rPr>
                <w:rFonts w:hint="eastAsia"/>
                <w:color w:val="auto"/>
                <w:sz w:val="24"/>
                <w:szCs w:val="24"/>
                <w:lang w:val="en-US" w:eastAsia="zh-CN"/>
              </w:rPr>
              <w:t>12</w:t>
            </w:r>
            <w:r>
              <w:rPr>
                <w:rFonts w:hint="eastAsia"/>
                <w:color w:val="auto"/>
                <w:sz w:val="24"/>
                <w:szCs w:val="24"/>
              </w:rPr>
              <w:t>人，</w:t>
            </w:r>
            <w:r>
              <w:rPr>
                <w:rFonts w:hint="eastAsia"/>
                <w:color w:val="auto"/>
                <w:sz w:val="24"/>
                <w:szCs w:val="24"/>
                <w:lang w:eastAsia="zh-CN"/>
              </w:rPr>
              <w:t>厂内食宿</w:t>
            </w:r>
            <w:r>
              <w:rPr>
                <w:rFonts w:hint="eastAsia"/>
                <w:color w:val="auto"/>
                <w:sz w:val="24"/>
                <w:szCs w:val="24"/>
              </w:rPr>
              <w:t>，用水定额参照湖南省地方标准《用水定额》（</w:t>
            </w:r>
            <w:r>
              <w:rPr>
                <w:color w:val="auto"/>
                <w:sz w:val="24"/>
                <w:szCs w:val="24"/>
              </w:rPr>
              <w:t>DB43/T388-20</w:t>
            </w:r>
            <w:r>
              <w:rPr>
                <w:rFonts w:hint="eastAsia"/>
                <w:color w:val="auto"/>
                <w:sz w:val="24"/>
                <w:szCs w:val="24"/>
                <w:lang w:val="en-US" w:eastAsia="zh-CN"/>
              </w:rPr>
              <w:t>20</w:t>
            </w:r>
            <w:r>
              <w:rPr>
                <w:rFonts w:hint="eastAsia"/>
                <w:color w:val="auto"/>
                <w:sz w:val="24"/>
                <w:szCs w:val="24"/>
              </w:rPr>
              <w:t>）表</w:t>
            </w:r>
            <w:r>
              <w:rPr>
                <w:rFonts w:hint="eastAsia"/>
                <w:color w:val="auto"/>
                <w:sz w:val="24"/>
                <w:szCs w:val="24"/>
                <w:lang w:val="en-US" w:eastAsia="zh-CN"/>
              </w:rPr>
              <w:t>30农村</w:t>
            </w:r>
            <w:r>
              <w:rPr>
                <w:rFonts w:hint="eastAsia"/>
                <w:color w:val="auto"/>
                <w:sz w:val="24"/>
                <w:szCs w:val="24"/>
              </w:rPr>
              <w:t>居民生活用水定额指标，员工按1</w:t>
            </w:r>
            <w:r>
              <w:rPr>
                <w:rFonts w:hint="eastAsia"/>
                <w:color w:val="auto"/>
                <w:sz w:val="24"/>
                <w:szCs w:val="24"/>
                <w:lang w:val="en-US" w:eastAsia="zh-CN"/>
              </w:rPr>
              <w:t>00</w:t>
            </w:r>
            <w:r>
              <w:rPr>
                <w:color w:val="auto"/>
                <w:sz w:val="24"/>
                <w:szCs w:val="24"/>
              </w:rPr>
              <w:t>L/</w:t>
            </w:r>
            <w:r>
              <w:rPr>
                <w:rFonts w:hint="eastAsia"/>
                <w:color w:val="auto"/>
                <w:sz w:val="24"/>
                <w:szCs w:val="24"/>
              </w:rPr>
              <w:t>人</w:t>
            </w:r>
            <w:r>
              <w:rPr>
                <w:color w:val="auto"/>
                <w:sz w:val="24"/>
                <w:szCs w:val="24"/>
              </w:rPr>
              <w:t>•d</w:t>
            </w:r>
            <w:r>
              <w:rPr>
                <w:rFonts w:hint="eastAsia"/>
                <w:color w:val="auto"/>
                <w:sz w:val="24"/>
                <w:szCs w:val="24"/>
              </w:rPr>
              <w:t>，企业每年正常生产</w:t>
            </w:r>
            <w:r>
              <w:rPr>
                <w:rFonts w:hint="eastAsia"/>
                <w:color w:val="auto"/>
                <w:sz w:val="24"/>
                <w:szCs w:val="24"/>
                <w:lang w:val="en-US" w:eastAsia="zh-CN"/>
              </w:rPr>
              <w:t>300</w:t>
            </w:r>
            <w:r>
              <w:rPr>
                <w:rFonts w:hint="eastAsia"/>
                <w:color w:val="auto"/>
                <w:sz w:val="24"/>
                <w:szCs w:val="24"/>
              </w:rPr>
              <w:t>天计，则日常用水为</w:t>
            </w:r>
            <w:r>
              <w:rPr>
                <w:color w:val="auto"/>
                <w:sz w:val="24"/>
                <w:szCs w:val="24"/>
              </w:rPr>
              <w:t xml:space="preserve"> </w:t>
            </w:r>
            <w:r>
              <w:rPr>
                <w:rFonts w:hint="eastAsia"/>
                <w:color w:val="auto"/>
                <w:sz w:val="24"/>
                <w:szCs w:val="24"/>
                <w:lang w:val="en-US" w:eastAsia="zh-CN"/>
              </w:rPr>
              <w:t>1.2</w:t>
            </w:r>
            <w:r>
              <w:rPr>
                <w:color w:val="auto"/>
                <w:sz w:val="24"/>
                <w:szCs w:val="24"/>
              </w:rPr>
              <w:t>m</w:t>
            </w:r>
            <w:r>
              <w:rPr>
                <w:color w:val="auto"/>
                <w:sz w:val="24"/>
                <w:szCs w:val="24"/>
                <w:vertAlign w:val="superscript"/>
              </w:rPr>
              <w:t>3</w:t>
            </w:r>
            <w:r>
              <w:rPr>
                <w:color w:val="auto"/>
                <w:sz w:val="24"/>
                <w:szCs w:val="24"/>
              </w:rPr>
              <w:t xml:space="preserve"> /d</w:t>
            </w:r>
            <w:r>
              <w:rPr>
                <w:rFonts w:hint="eastAsia"/>
                <w:color w:val="auto"/>
                <w:sz w:val="24"/>
                <w:szCs w:val="24"/>
              </w:rPr>
              <w:t>（</w:t>
            </w:r>
            <w:r>
              <w:rPr>
                <w:rFonts w:hint="eastAsia"/>
                <w:color w:val="auto"/>
                <w:sz w:val="24"/>
                <w:szCs w:val="24"/>
                <w:lang w:val="en-US" w:eastAsia="zh-CN"/>
              </w:rPr>
              <w:t>360</w:t>
            </w:r>
            <w:r>
              <w:rPr>
                <w:color w:val="auto"/>
                <w:sz w:val="24"/>
                <w:szCs w:val="24"/>
              </w:rPr>
              <w:t>m</w:t>
            </w:r>
            <w:r>
              <w:rPr>
                <w:color w:val="auto"/>
                <w:sz w:val="24"/>
                <w:szCs w:val="24"/>
                <w:vertAlign w:val="superscript"/>
              </w:rPr>
              <w:t>3</w:t>
            </w:r>
            <w:r>
              <w:rPr>
                <w:color w:val="auto"/>
                <w:sz w:val="24"/>
                <w:szCs w:val="24"/>
              </w:rPr>
              <w:t>/a</w:t>
            </w:r>
            <w:r>
              <w:rPr>
                <w:rFonts w:hint="eastAsia"/>
                <w:color w:val="auto"/>
                <w:sz w:val="24"/>
                <w:szCs w:val="24"/>
              </w:rPr>
              <w:t>）。</w:t>
            </w:r>
          </w:p>
          <w:p>
            <w:pPr>
              <w:spacing w:line="360" w:lineRule="auto"/>
              <w:ind w:firstLine="480" w:firstLineChars="200"/>
              <w:rPr>
                <w:rFonts w:hint="eastAsia"/>
                <w:color w:val="auto"/>
                <w:sz w:val="24"/>
                <w:szCs w:val="24"/>
                <w:lang w:eastAsia="zh-CN"/>
              </w:rPr>
            </w:pPr>
            <w:r>
              <w:rPr>
                <w:rFonts w:hint="eastAsia"/>
                <w:color w:val="auto"/>
                <w:sz w:val="24"/>
                <w:szCs w:val="24"/>
              </w:rPr>
              <w:t>排污系数按</w:t>
            </w:r>
            <w:r>
              <w:rPr>
                <w:color w:val="auto"/>
                <w:sz w:val="24"/>
                <w:szCs w:val="24"/>
              </w:rPr>
              <w:t>0.8</w:t>
            </w:r>
            <w:r>
              <w:rPr>
                <w:rFonts w:hint="eastAsia"/>
                <w:color w:val="auto"/>
                <w:sz w:val="24"/>
                <w:szCs w:val="24"/>
              </w:rPr>
              <w:t>计，则项目污水排放量为</w:t>
            </w:r>
            <w:r>
              <w:rPr>
                <w:rFonts w:hint="eastAsia"/>
                <w:color w:val="auto"/>
                <w:sz w:val="24"/>
                <w:szCs w:val="24"/>
                <w:lang w:val="en-US" w:eastAsia="zh-CN"/>
              </w:rPr>
              <w:t>0.96</w:t>
            </w:r>
            <w:r>
              <w:rPr>
                <w:color w:val="auto"/>
                <w:sz w:val="24"/>
                <w:szCs w:val="24"/>
              </w:rPr>
              <w:t>m</w:t>
            </w:r>
            <w:r>
              <w:rPr>
                <w:color w:val="auto"/>
                <w:sz w:val="24"/>
                <w:szCs w:val="24"/>
                <w:vertAlign w:val="superscript"/>
              </w:rPr>
              <w:t>3</w:t>
            </w:r>
            <w:r>
              <w:rPr>
                <w:color w:val="auto"/>
                <w:sz w:val="24"/>
                <w:szCs w:val="24"/>
              </w:rPr>
              <w:t>/d</w:t>
            </w:r>
            <w:r>
              <w:rPr>
                <w:rFonts w:hint="eastAsia"/>
                <w:color w:val="auto"/>
                <w:sz w:val="24"/>
                <w:szCs w:val="24"/>
              </w:rPr>
              <w:t>（</w:t>
            </w:r>
            <w:r>
              <w:rPr>
                <w:rFonts w:hint="eastAsia"/>
                <w:color w:val="auto"/>
                <w:sz w:val="24"/>
                <w:szCs w:val="24"/>
                <w:lang w:val="en-US" w:eastAsia="zh-CN"/>
              </w:rPr>
              <w:t>288</w:t>
            </w:r>
            <w:r>
              <w:rPr>
                <w:color w:val="auto"/>
                <w:sz w:val="24"/>
                <w:szCs w:val="24"/>
              </w:rPr>
              <w:t>m</w:t>
            </w:r>
            <w:r>
              <w:rPr>
                <w:color w:val="auto"/>
                <w:sz w:val="24"/>
                <w:szCs w:val="24"/>
                <w:vertAlign w:val="superscript"/>
              </w:rPr>
              <w:t>3</w:t>
            </w:r>
            <w:r>
              <w:rPr>
                <w:color w:val="auto"/>
                <w:sz w:val="24"/>
                <w:szCs w:val="24"/>
              </w:rPr>
              <w:t>/a</w:t>
            </w:r>
            <w:r>
              <w:rPr>
                <w:rFonts w:hint="eastAsia"/>
                <w:color w:val="auto"/>
                <w:sz w:val="24"/>
                <w:szCs w:val="24"/>
              </w:rPr>
              <w:t>）。生活污水经厂内化粪池处理后用作于</w:t>
            </w:r>
            <w:r>
              <w:rPr>
                <w:rFonts w:hint="eastAsia"/>
                <w:color w:val="auto"/>
                <w:sz w:val="24"/>
                <w:szCs w:val="24"/>
                <w:lang w:eastAsia="zh-CN"/>
              </w:rPr>
              <w:t>农肥</w:t>
            </w:r>
            <w:r>
              <w:rPr>
                <w:rFonts w:hint="eastAsia"/>
                <w:color w:val="auto"/>
                <w:sz w:val="24"/>
                <w:szCs w:val="24"/>
              </w:rPr>
              <w:t>，不外排。</w:t>
            </w:r>
          </w:p>
          <w:p>
            <w:pPr>
              <w:spacing w:line="360" w:lineRule="auto"/>
              <w:ind w:firstLine="480" w:firstLineChars="200"/>
              <w:rPr>
                <w:rFonts w:hint="default"/>
                <w:color w:val="auto"/>
                <w:sz w:val="24"/>
                <w:szCs w:val="24"/>
                <w:u w:val="none"/>
                <w:lang w:val="en-US" w:eastAsia="zh-CN"/>
              </w:rPr>
            </w:pPr>
            <w:r>
              <w:rPr>
                <w:rFonts w:hint="eastAsia"/>
                <w:color w:val="auto"/>
                <w:sz w:val="24"/>
                <w:szCs w:val="24"/>
                <w:u w:val="none"/>
                <w:lang w:eastAsia="zh-CN"/>
              </w:rPr>
              <w:t>（</w:t>
            </w:r>
            <w:r>
              <w:rPr>
                <w:rFonts w:hint="eastAsia"/>
                <w:color w:val="auto"/>
                <w:sz w:val="24"/>
                <w:szCs w:val="24"/>
                <w:u w:val="none"/>
                <w:lang w:val="en-US" w:eastAsia="zh-CN"/>
              </w:rPr>
              <w:t>2</w:t>
            </w:r>
            <w:r>
              <w:rPr>
                <w:rFonts w:hint="eastAsia"/>
                <w:color w:val="auto"/>
                <w:sz w:val="24"/>
                <w:szCs w:val="24"/>
                <w:u w:val="none"/>
                <w:lang w:eastAsia="zh-CN"/>
              </w:rPr>
              <w:t>）洗砂废水（</w:t>
            </w:r>
            <w:r>
              <w:rPr>
                <w:rFonts w:hint="eastAsia"/>
                <w:color w:val="auto"/>
                <w:sz w:val="24"/>
                <w:szCs w:val="24"/>
                <w:u w:val="none"/>
                <w:lang w:val="en-US" w:eastAsia="zh-CN"/>
              </w:rPr>
              <w:t>W2</w:t>
            </w:r>
            <w:r>
              <w:rPr>
                <w:rFonts w:hint="eastAsia"/>
                <w:color w:val="auto"/>
                <w:sz w:val="24"/>
                <w:szCs w:val="24"/>
                <w:u w:val="none"/>
                <w:lang w:eastAsia="zh-CN"/>
              </w:rPr>
              <w:t>）</w:t>
            </w:r>
          </w:p>
          <w:p>
            <w:pPr>
              <w:snapToGrid w:val="0"/>
              <w:spacing w:line="360" w:lineRule="auto"/>
              <w:ind w:firstLine="480" w:firstLineChars="200"/>
              <w:rPr>
                <w:rFonts w:hint="eastAsia"/>
                <w:color w:val="auto"/>
                <w:sz w:val="24"/>
                <w:szCs w:val="24"/>
                <w:u w:val="single"/>
              </w:rPr>
            </w:pPr>
            <w:r>
              <w:rPr>
                <w:rFonts w:hint="eastAsia"/>
                <w:color w:val="auto"/>
                <w:sz w:val="24"/>
                <w:szCs w:val="24"/>
                <w:u w:val="none"/>
              </w:rPr>
              <w:t>本项目的生产废</w:t>
            </w:r>
            <w:r>
              <w:rPr>
                <w:color w:val="auto"/>
                <w:sz w:val="24"/>
                <w:szCs w:val="24"/>
                <w:u w:val="none"/>
              </w:rPr>
              <w:t>水主要为冲洗砂石废水，项目砂石</w:t>
            </w:r>
            <w:r>
              <w:rPr>
                <w:rFonts w:hint="eastAsia"/>
                <w:color w:val="auto"/>
                <w:sz w:val="24"/>
                <w:szCs w:val="24"/>
                <w:u w:val="none"/>
                <w:lang w:eastAsia="zh-CN"/>
              </w:rPr>
              <w:t>含泥率为</w:t>
            </w:r>
            <w:r>
              <w:rPr>
                <w:rFonts w:hint="eastAsia"/>
                <w:color w:val="auto"/>
                <w:sz w:val="24"/>
                <w:szCs w:val="24"/>
                <w:u w:val="none"/>
                <w:lang w:val="en-US" w:eastAsia="zh-CN"/>
              </w:rPr>
              <w:t>2%，</w:t>
            </w:r>
            <w:r>
              <w:rPr>
                <w:color w:val="auto"/>
                <w:sz w:val="24"/>
                <w:szCs w:val="24"/>
                <w:u w:val="none"/>
              </w:rPr>
              <w:t>在振动分筛机进过水冲洗后，砂进入</w:t>
            </w:r>
            <w:r>
              <w:rPr>
                <w:rFonts w:hint="eastAsia"/>
                <w:color w:val="auto"/>
                <w:sz w:val="24"/>
                <w:szCs w:val="24"/>
                <w:u w:val="none"/>
                <w:lang w:eastAsia="zh-CN"/>
              </w:rPr>
              <w:t>搅砂机</w:t>
            </w:r>
            <w:r>
              <w:rPr>
                <w:color w:val="auto"/>
                <w:sz w:val="24"/>
                <w:szCs w:val="24"/>
                <w:u w:val="none"/>
              </w:rPr>
              <w:t>，水洗过程中用水量较大，用水量约为</w:t>
            </w:r>
            <w:r>
              <w:rPr>
                <w:rFonts w:hint="eastAsia"/>
                <w:color w:val="auto"/>
                <w:sz w:val="24"/>
                <w:szCs w:val="24"/>
                <w:u w:val="none"/>
              </w:rPr>
              <w:t>15</w:t>
            </w:r>
            <w:r>
              <w:rPr>
                <w:color w:val="auto"/>
                <w:sz w:val="24"/>
                <w:szCs w:val="24"/>
                <w:u w:val="none"/>
              </w:rPr>
              <w:t>-</w:t>
            </w:r>
            <w:r>
              <w:rPr>
                <w:rFonts w:hint="eastAsia"/>
                <w:color w:val="auto"/>
                <w:sz w:val="24"/>
                <w:szCs w:val="24"/>
                <w:u w:val="none"/>
              </w:rPr>
              <w:t>25</w:t>
            </w:r>
            <w:r>
              <w:rPr>
                <w:color w:val="auto"/>
                <w:sz w:val="24"/>
                <w:szCs w:val="24"/>
                <w:u w:val="none"/>
              </w:rPr>
              <w:t>m</w:t>
            </w:r>
            <w:r>
              <w:rPr>
                <w:color w:val="auto"/>
                <w:sz w:val="24"/>
                <w:szCs w:val="24"/>
                <w:u w:val="none"/>
                <w:vertAlign w:val="superscript"/>
              </w:rPr>
              <w:t>3</w:t>
            </w:r>
            <w:r>
              <w:rPr>
                <w:color w:val="auto"/>
                <w:sz w:val="24"/>
                <w:szCs w:val="24"/>
                <w:u w:val="none"/>
              </w:rPr>
              <w:t>/300t（原料），本项目生产原料为</w:t>
            </w:r>
            <w:r>
              <w:rPr>
                <w:rFonts w:hint="eastAsia"/>
                <w:color w:val="auto"/>
                <w:sz w:val="24"/>
                <w:szCs w:val="24"/>
                <w:u w:val="none"/>
              </w:rPr>
              <w:t>6</w:t>
            </w:r>
            <w:r>
              <w:rPr>
                <w:rFonts w:hint="eastAsia"/>
                <w:color w:val="auto"/>
                <w:sz w:val="24"/>
                <w:szCs w:val="24"/>
                <w:u w:val="none"/>
                <w:lang w:val="en-US" w:eastAsia="zh-CN"/>
              </w:rPr>
              <w:t>3</w:t>
            </w:r>
            <w:r>
              <w:rPr>
                <w:color w:val="auto"/>
                <w:sz w:val="24"/>
                <w:szCs w:val="24"/>
                <w:u w:val="none"/>
              </w:rPr>
              <w:t>万吨，取用水量2</w:t>
            </w:r>
            <w:r>
              <w:rPr>
                <w:rFonts w:hint="eastAsia"/>
                <w:color w:val="auto"/>
                <w:sz w:val="24"/>
                <w:szCs w:val="24"/>
                <w:u w:val="none"/>
              </w:rPr>
              <w:t>0</w:t>
            </w:r>
            <w:r>
              <w:rPr>
                <w:color w:val="auto"/>
                <w:sz w:val="24"/>
                <w:szCs w:val="24"/>
                <w:u w:val="none"/>
              </w:rPr>
              <w:t>m</w:t>
            </w:r>
            <w:r>
              <w:rPr>
                <w:color w:val="auto"/>
                <w:sz w:val="24"/>
                <w:szCs w:val="24"/>
                <w:u w:val="none"/>
                <w:vertAlign w:val="superscript"/>
              </w:rPr>
              <w:t>3</w:t>
            </w:r>
            <w:r>
              <w:rPr>
                <w:color w:val="auto"/>
                <w:sz w:val="24"/>
                <w:szCs w:val="24"/>
                <w:u w:val="none"/>
              </w:rPr>
              <w:t>/300t（原料）吨，则年用水量约为</w:t>
            </w:r>
            <w:r>
              <w:rPr>
                <w:rFonts w:hint="eastAsia"/>
                <w:color w:val="auto"/>
                <w:sz w:val="24"/>
                <w:szCs w:val="24"/>
                <w:u w:val="none"/>
              </w:rPr>
              <w:t>4</w:t>
            </w:r>
            <w:r>
              <w:rPr>
                <w:rFonts w:hint="eastAsia"/>
                <w:color w:val="auto"/>
                <w:sz w:val="24"/>
                <w:szCs w:val="24"/>
                <w:u w:val="none"/>
                <w:lang w:val="en-US" w:eastAsia="zh-CN"/>
              </w:rPr>
              <w:t>2000</w:t>
            </w:r>
            <w:r>
              <w:rPr>
                <w:color w:val="auto"/>
                <w:sz w:val="24"/>
                <w:szCs w:val="24"/>
                <w:u w:val="none"/>
              </w:rPr>
              <w:t xml:space="preserve"> m</w:t>
            </w:r>
            <w:r>
              <w:rPr>
                <w:color w:val="auto"/>
                <w:sz w:val="24"/>
                <w:szCs w:val="24"/>
                <w:u w:val="none"/>
                <w:vertAlign w:val="superscript"/>
              </w:rPr>
              <w:t>3</w:t>
            </w:r>
            <w:r>
              <w:rPr>
                <w:rFonts w:hint="eastAsia"/>
                <w:color w:val="auto"/>
                <w:sz w:val="24"/>
                <w:szCs w:val="24"/>
                <w:u w:val="none"/>
              </w:rPr>
              <w:t>/a</w:t>
            </w:r>
            <w:r>
              <w:rPr>
                <w:color w:val="auto"/>
                <w:sz w:val="24"/>
                <w:szCs w:val="24"/>
                <w:u w:val="none"/>
              </w:rPr>
              <w:t>（</w:t>
            </w:r>
            <w:r>
              <w:rPr>
                <w:rFonts w:hint="eastAsia"/>
                <w:color w:val="auto"/>
                <w:sz w:val="24"/>
                <w:szCs w:val="24"/>
                <w:u w:val="none"/>
                <w:lang w:val="en-US" w:eastAsia="zh-CN"/>
              </w:rPr>
              <w:t>140</w:t>
            </w:r>
            <w:r>
              <w:rPr>
                <w:color w:val="auto"/>
                <w:sz w:val="24"/>
                <w:szCs w:val="24"/>
                <w:u w:val="none"/>
              </w:rPr>
              <w:t>m</w:t>
            </w:r>
            <w:r>
              <w:rPr>
                <w:color w:val="auto"/>
                <w:sz w:val="24"/>
                <w:szCs w:val="24"/>
                <w:u w:val="none"/>
                <w:vertAlign w:val="superscript"/>
              </w:rPr>
              <w:t>3</w:t>
            </w:r>
            <w:r>
              <w:rPr>
                <w:color w:val="auto"/>
                <w:sz w:val="24"/>
                <w:szCs w:val="24"/>
                <w:u w:val="none"/>
              </w:rPr>
              <w:t>/d）；因蒸发、成品砂带走等产生的损耗</w:t>
            </w:r>
            <w:r>
              <w:rPr>
                <w:rFonts w:hint="default"/>
                <w:color w:val="auto"/>
                <w:sz w:val="24"/>
                <w:szCs w:val="24"/>
                <w:u w:val="none"/>
              </w:rPr>
              <w:t>按20%计，损耗量为</w:t>
            </w:r>
            <w:r>
              <w:rPr>
                <w:rFonts w:hint="default"/>
                <w:color w:val="auto"/>
                <w:sz w:val="24"/>
                <w:szCs w:val="24"/>
                <w:u w:val="none"/>
                <w:lang w:val="en-US" w:eastAsia="zh-CN"/>
              </w:rPr>
              <w:t>8400</w:t>
            </w:r>
            <w:r>
              <w:rPr>
                <w:color w:val="auto"/>
                <w:sz w:val="24"/>
                <w:szCs w:val="24"/>
                <w:u w:val="none"/>
              </w:rPr>
              <w:t>m</w:t>
            </w:r>
            <w:r>
              <w:rPr>
                <w:color w:val="auto"/>
                <w:sz w:val="24"/>
                <w:szCs w:val="24"/>
                <w:u w:val="none"/>
                <w:vertAlign w:val="superscript"/>
              </w:rPr>
              <w:t>3</w:t>
            </w:r>
            <w:r>
              <w:rPr>
                <w:rFonts w:hint="default"/>
                <w:color w:val="auto"/>
                <w:sz w:val="24"/>
                <w:szCs w:val="24"/>
                <w:u w:val="none"/>
              </w:rPr>
              <w:t>/a（</w:t>
            </w:r>
            <w:r>
              <w:rPr>
                <w:rFonts w:hint="default"/>
                <w:color w:val="auto"/>
                <w:sz w:val="24"/>
                <w:szCs w:val="24"/>
                <w:u w:val="none"/>
                <w:lang w:val="en-US" w:eastAsia="zh-CN"/>
              </w:rPr>
              <w:t>28</w:t>
            </w:r>
            <w:r>
              <w:rPr>
                <w:color w:val="auto"/>
                <w:sz w:val="24"/>
                <w:szCs w:val="24"/>
                <w:u w:val="none"/>
              </w:rPr>
              <w:t>m</w:t>
            </w:r>
            <w:r>
              <w:rPr>
                <w:color w:val="auto"/>
                <w:sz w:val="24"/>
                <w:szCs w:val="24"/>
                <w:u w:val="none"/>
                <w:vertAlign w:val="superscript"/>
              </w:rPr>
              <w:t>3</w:t>
            </w:r>
            <w:r>
              <w:rPr>
                <w:rFonts w:hint="default"/>
                <w:color w:val="auto"/>
                <w:sz w:val="24"/>
                <w:szCs w:val="24"/>
                <w:u w:val="none"/>
              </w:rPr>
              <w:t>/d）。则冲洗砂废水的产生量为3</w:t>
            </w:r>
            <w:r>
              <w:rPr>
                <w:rFonts w:hint="default"/>
                <w:color w:val="auto"/>
                <w:sz w:val="24"/>
                <w:szCs w:val="24"/>
                <w:u w:val="none"/>
                <w:lang w:val="en-US" w:eastAsia="zh-CN"/>
              </w:rPr>
              <w:t>3600</w:t>
            </w:r>
            <w:r>
              <w:rPr>
                <w:color w:val="auto"/>
                <w:sz w:val="24"/>
                <w:szCs w:val="24"/>
                <w:u w:val="none"/>
              </w:rPr>
              <w:t>m</w:t>
            </w:r>
            <w:r>
              <w:rPr>
                <w:color w:val="auto"/>
                <w:sz w:val="24"/>
                <w:szCs w:val="24"/>
                <w:u w:val="none"/>
                <w:vertAlign w:val="superscript"/>
              </w:rPr>
              <w:t>3</w:t>
            </w:r>
            <w:r>
              <w:rPr>
                <w:rFonts w:hint="default"/>
                <w:color w:val="auto"/>
                <w:sz w:val="24"/>
                <w:szCs w:val="24"/>
                <w:u w:val="none"/>
              </w:rPr>
              <w:t>/a（</w:t>
            </w:r>
            <w:r>
              <w:rPr>
                <w:rFonts w:hint="default"/>
                <w:color w:val="auto"/>
                <w:sz w:val="24"/>
                <w:szCs w:val="24"/>
                <w:u w:val="none"/>
                <w:lang w:val="en-US" w:eastAsia="zh-CN"/>
              </w:rPr>
              <w:t>112</w:t>
            </w:r>
            <w:r>
              <w:rPr>
                <w:color w:val="auto"/>
                <w:sz w:val="24"/>
                <w:szCs w:val="24"/>
                <w:u w:val="none"/>
              </w:rPr>
              <w:t>m</w:t>
            </w:r>
            <w:r>
              <w:rPr>
                <w:color w:val="auto"/>
                <w:sz w:val="24"/>
                <w:szCs w:val="24"/>
                <w:u w:val="none"/>
                <w:vertAlign w:val="superscript"/>
              </w:rPr>
              <w:t>3</w:t>
            </w:r>
            <w:r>
              <w:rPr>
                <w:rFonts w:hint="default"/>
                <w:color w:val="auto"/>
                <w:sz w:val="24"/>
                <w:szCs w:val="24"/>
                <w:u w:val="none"/>
              </w:rPr>
              <w:t>/d），主要污染物为SS，浓度为1000mg/L，则泥</w:t>
            </w:r>
            <w:r>
              <w:rPr>
                <w:rFonts w:hint="eastAsia"/>
                <w:color w:val="auto"/>
                <w:sz w:val="24"/>
                <w:szCs w:val="24"/>
                <w:u w:val="none"/>
              </w:rPr>
              <w:t>沙的产生量为</w:t>
            </w:r>
            <w:r>
              <w:rPr>
                <w:rFonts w:hint="eastAsia"/>
                <w:color w:val="auto"/>
                <w:sz w:val="24"/>
                <w:szCs w:val="24"/>
                <w:u w:val="none"/>
                <w:lang w:val="en-US" w:eastAsia="zh-CN"/>
              </w:rPr>
              <w:t>33.60</w:t>
            </w:r>
            <w:r>
              <w:rPr>
                <w:rFonts w:hint="eastAsia"/>
                <w:color w:val="auto"/>
                <w:sz w:val="24"/>
                <w:szCs w:val="24"/>
                <w:u w:val="none"/>
              </w:rPr>
              <w:t>t/a。</w:t>
            </w:r>
          </w:p>
          <w:p>
            <w:pPr>
              <w:snapToGrid w:val="0"/>
              <w:spacing w:line="360" w:lineRule="auto"/>
              <w:ind w:firstLine="480" w:firstLineChars="200"/>
              <w:rPr>
                <w:color w:val="auto"/>
                <w:sz w:val="24"/>
                <w:szCs w:val="24"/>
              </w:rPr>
            </w:pPr>
            <w:r>
              <w:rPr>
                <w:rFonts w:hint="eastAsia"/>
                <w:color w:val="auto"/>
                <w:sz w:val="24"/>
                <w:szCs w:val="24"/>
              </w:rPr>
              <w:t>洗砂机过滤的污水通过渣浆泵排进脱水筛，将砂水分离，污水存入沉淀罐，再通过泵将沉淀罐里的水送入沉淀池，经过两级沉淀（单个沉淀池容积不小于50</w:t>
            </w:r>
            <w:r>
              <w:rPr>
                <w:rFonts w:hint="eastAsia"/>
                <w:color w:val="auto"/>
                <w:sz w:val="24"/>
                <w:szCs w:val="24"/>
                <w:lang w:val="en-US" w:eastAsia="zh-CN"/>
              </w:rPr>
              <w:t>0</w:t>
            </w:r>
            <w:r>
              <w:rPr>
                <w:color w:val="auto"/>
                <w:sz w:val="24"/>
                <w:szCs w:val="24"/>
              </w:rPr>
              <w:t>m</w:t>
            </w:r>
            <w:r>
              <w:rPr>
                <w:color w:val="auto"/>
                <w:sz w:val="24"/>
                <w:szCs w:val="24"/>
                <w:vertAlign w:val="superscript"/>
              </w:rPr>
              <w:t>3</w:t>
            </w:r>
            <w:r>
              <w:rPr>
                <w:rFonts w:hint="eastAsia"/>
                <w:color w:val="auto"/>
                <w:sz w:val="24"/>
                <w:szCs w:val="24"/>
              </w:rPr>
              <w:t>）最后进入清水池（一个，容积为</w:t>
            </w:r>
            <w:r>
              <w:rPr>
                <w:rFonts w:hint="eastAsia"/>
                <w:color w:val="auto"/>
                <w:sz w:val="24"/>
                <w:szCs w:val="24"/>
                <w:lang w:val="en-US" w:eastAsia="zh-CN"/>
              </w:rPr>
              <w:t>10</w:t>
            </w:r>
            <w:r>
              <w:rPr>
                <w:rFonts w:hint="eastAsia"/>
                <w:color w:val="auto"/>
                <w:sz w:val="24"/>
                <w:szCs w:val="24"/>
              </w:rPr>
              <w:t>00</w:t>
            </w:r>
            <w:r>
              <w:rPr>
                <w:color w:val="auto"/>
                <w:sz w:val="24"/>
                <w:szCs w:val="24"/>
              </w:rPr>
              <w:t>m</w:t>
            </w:r>
            <w:r>
              <w:rPr>
                <w:color w:val="auto"/>
                <w:sz w:val="24"/>
                <w:szCs w:val="24"/>
                <w:vertAlign w:val="superscript"/>
              </w:rPr>
              <w:t>3</w:t>
            </w:r>
            <w:r>
              <w:rPr>
                <w:rFonts w:hint="eastAsia"/>
                <w:color w:val="auto"/>
                <w:sz w:val="24"/>
                <w:szCs w:val="24"/>
              </w:rPr>
              <w:t>），泥渣进入</w:t>
            </w:r>
            <w:r>
              <w:rPr>
                <w:rFonts w:hint="eastAsia"/>
                <w:color w:val="auto"/>
                <w:sz w:val="24"/>
                <w:szCs w:val="24"/>
                <w:lang w:eastAsia="zh-CN"/>
              </w:rPr>
              <w:t>板框</w:t>
            </w:r>
            <w:r>
              <w:rPr>
                <w:rFonts w:hint="eastAsia"/>
                <w:color w:val="auto"/>
                <w:sz w:val="24"/>
                <w:szCs w:val="24"/>
              </w:rPr>
              <w:t>压滤机压滤，废水经沉淀池处理后，可达到回用要求，循环用于洗砂工序，不外排。</w:t>
            </w:r>
          </w:p>
          <w:p>
            <w:pPr>
              <w:snapToGrid w:val="0"/>
              <w:spacing w:line="360" w:lineRule="auto"/>
              <w:ind w:firstLine="480" w:firstLineChars="200"/>
              <w:rPr>
                <w:rFonts w:hint="default"/>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）厂区喷淋降尘（</w:t>
            </w:r>
            <w:r>
              <w:rPr>
                <w:rFonts w:hint="eastAsia"/>
                <w:color w:val="auto"/>
                <w:sz w:val="24"/>
                <w:szCs w:val="24"/>
                <w:lang w:val="en-US" w:eastAsia="zh-CN"/>
              </w:rPr>
              <w:t>W3</w:t>
            </w:r>
            <w:r>
              <w:rPr>
                <w:rFonts w:hint="eastAsia"/>
                <w:color w:val="auto"/>
                <w:sz w:val="24"/>
                <w:szCs w:val="24"/>
                <w:lang w:eastAsia="zh-CN"/>
              </w:rPr>
              <w:t>）</w:t>
            </w:r>
          </w:p>
          <w:p>
            <w:pPr>
              <w:snapToGrid w:val="0"/>
              <w:spacing w:line="360" w:lineRule="auto"/>
              <w:ind w:firstLine="480" w:firstLineChars="200"/>
              <w:rPr>
                <w:color w:val="auto"/>
                <w:sz w:val="24"/>
                <w:szCs w:val="24"/>
              </w:rPr>
            </w:pPr>
            <w:r>
              <w:rPr>
                <w:rFonts w:hint="eastAsia"/>
                <w:color w:val="auto"/>
                <w:sz w:val="24"/>
                <w:szCs w:val="24"/>
                <w:lang w:eastAsia="zh-CN"/>
              </w:rPr>
              <w:t>①</w:t>
            </w:r>
            <w:r>
              <w:rPr>
                <w:color w:val="auto"/>
                <w:sz w:val="24"/>
                <w:szCs w:val="24"/>
              </w:rPr>
              <w:t>厂区喷淋降尘用水</w:t>
            </w:r>
          </w:p>
          <w:p>
            <w:pPr>
              <w:snapToGrid w:val="0"/>
              <w:spacing w:line="360" w:lineRule="auto"/>
              <w:ind w:firstLine="480" w:firstLineChars="200"/>
              <w:rPr>
                <w:color w:val="auto"/>
                <w:sz w:val="24"/>
                <w:szCs w:val="24"/>
              </w:rPr>
            </w:pPr>
            <w:r>
              <w:rPr>
                <w:color w:val="auto"/>
                <w:sz w:val="24"/>
                <w:szCs w:val="24"/>
              </w:rPr>
              <w:t>根据建设单位提供的资料，项目厂区原料堆场、成品堆场、装卸点、厂区空地和道路等需要定期采用洒水降尘。通过类比有关数据，项目原料堆场、成品堆场和厂区空地和道路喷淋降尘用水量为</w:t>
            </w:r>
            <w:r>
              <w:rPr>
                <w:rFonts w:hint="eastAsia"/>
                <w:color w:val="auto"/>
                <w:sz w:val="24"/>
                <w:szCs w:val="24"/>
                <w:lang w:val="en-US" w:eastAsia="zh-CN"/>
              </w:rPr>
              <w:t>2</w:t>
            </w:r>
            <w:r>
              <w:rPr>
                <w:color w:val="auto"/>
                <w:sz w:val="24"/>
                <w:szCs w:val="24"/>
              </w:rPr>
              <w:t>L/m</w:t>
            </w:r>
            <w:r>
              <w:rPr>
                <w:color w:val="auto"/>
                <w:sz w:val="24"/>
                <w:szCs w:val="24"/>
                <w:vertAlign w:val="superscript"/>
              </w:rPr>
              <w:t>2</w:t>
            </w:r>
            <w:r>
              <w:rPr>
                <w:color w:val="auto"/>
                <w:sz w:val="24"/>
                <w:szCs w:val="24"/>
              </w:rPr>
              <w:t>·d，经类比折算，本项目需要喷淋降尘的面积约为</w:t>
            </w:r>
            <w:r>
              <w:rPr>
                <w:rFonts w:hint="eastAsia"/>
                <w:color w:val="auto"/>
                <w:sz w:val="24"/>
                <w:szCs w:val="24"/>
                <w:lang w:val="en-US" w:eastAsia="zh-CN"/>
              </w:rPr>
              <w:t>5000</w:t>
            </w:r>
            <w:r>
              <w:rPr>
                <w:color w:val="auto"/>
                <w:sz w:val="24"/>
                <w:szCs w:val="24"/>
              </w:rPr>
              <w:t>m</w:t>
            </w:r>
            <w:r>
              <w:rPr>
                <w:color w:val="auto"/>
                <w:sz w:val="24"/>
                <w:szCs w:val="24"/>
                <w:vertAlign w:val="superscript"/>
              </w:rPr>
              <w:t>2</w:t>
            </w:r>
            <w:r>
              <w:rPr>
                <w:color w:val="auto"/>
                <w:sz w:val="24"/>
                <w:szCs w:val="24"/>
              </w:rPr>
              <w:t>，则本项目厂区喷淋降尘用水量为</w:t>
            </w:r>
            <w:r>
              <w:rPr>
                <w:rFonts w:hint="eastAsia"/>
                <w:color w:val="auto"/>
                <w:sz w:val="24"/>
                <w:szCs w:val="24"/>
                <w:lang w:val="en-US" w:eastAsia="zh-CN"/>
              </w:rPr>
              <w:t>10</w:t>
            </w:r>
            <w:r>
              <w:rPr>
                <w:color w:val="auto"/>
                <w:sz w:val="24"/>
                <w:szCs w:val="24"/>
              </w:rPr>
              <w:t>m</w:t>
            </w:r>
            <w:r>
              <w:rPr>
                <w:color w:val="auto"/>
                <w:sz w:val="24"/>
                <w:szCs w:val="24"/>
                <w:vertAlign w:val="superscript"/>
              </w:rPr>
              <w:t>3</w:t>
            </w:r>
            <w:r>
              <w:rPr>
                <w:color w:val="auto"/>
                <w:sz w:val="24"/>
                <w:szCs w:val="24"/>
              </w:rPr>
              <w:t>/d，该部分用水均经过蒸发扩散，无废水排放。</w:t>
            </w:r>
          </w:p>
          <w:p>
            <w:pPr>
              <w:snapToGrid w:val="0"/>
              <w:spacing w:line="360" w:lineRule="auto"/>
              <w:ind w:firstLine="480" w:firstLineChars="200"/>
              <w:rPr>
                <w:color w:val="auto"/>
                <w:sz w:val="24"/>
                <w:szCs w:val="24"/>
              </w:rPr>
            </w:pPr>
            <w:r>
              <w:rPr>
                <w:rFonts w:hint="eastAsia"/>
                <w:color w:val="auto"/>
                <w:sz w:val="24"/>
                <w:szCs w:val="24"/>
              </w:rPr>
              <w:t>②</w:t>
            </w:r>
            <w:r>
              <w:rPr>
                <w:color w:val="auto"/>
                <w:sz w:val="24"/>
                <w:szCs w:val="24"/>
              </w:rPr>
              <w:t>料斗下料喷淋降尘用水</w:t>
            </w:r>
          </w:p>
          <w:p>
            <w:pPr>
              <w:snapToGrid w:val="0"/>
              <w:spacing w:line="360" w:lineRule="auto"/>
              <w:ind w:firstLine="480" w:firstLineChars="200"/>
              <w:rPr>
                <w:color w:val="auto"/>
                <w:sz w:val="24"/>
                <w:szCs w:val="24"/>
              </w:rPr>
            </w:pPr>
            <w:r>
              <w:rPr>
                <w:color w:val="auto"/>
                <w:sz w:val="24"/>
                <w:szCs w:val="24"/>
              </w:rPr>
              <w:t>项目原料通过铲车送入料斗</w:t>
            </w:r>
            <w:r>
              <w:rPr>
                <w:rFonts w:hint="eastAsia"/>
                <w:color w:val="auto"/>
                <w:sz w:val="24"/>
                <w:szCs w:val="24"/>
              </w:rPr>
              <w:t>及落料口</w:t>
            </w:r>
            <w:r>
              <w:rPr>
                <w:color w:val="auto"/>
                <w:sz w:val="24"/>
                <w:szCs w:val="24"/>
              </w:rPr>
              <w:t>是会产生较大的粉尘。根据建设方提供的资料，项目送料时送料口进行水喷淋降尘，用水量约</w:t>
            </w:r>
            <w:r>
              <w:rPr>
                <w:rFonts w:hint="eastAsia"/>
                <w:color w:val="auto"/>
                <w:sz w:val="24"/>
                <w:szCs w:val="24"/>
              </w:rPr>
              <w:t>0.8</w:t>
            </w:r>
            <w:r>
              <w:rPr>
                <w:color w:val="auto"/>
                <w:sz w:val="24"/>
                <w:szCs w:val="24"/>
              </w:rPr>
              <w:t>m</w:t>
            </w:r>
            <w:r>
              <w:rPr>
                <w:color w:val="auto"/>
                <w:sz w:val="24"/>
                <w:szCs w:val="24"/>
                <w:vertAlign w:val="superscript"/>
              </w:rPr>
              <w:t>3</w:t>
            </w:r>
            <w:r>
              <w:rPr>
                <w:color w:val="auto"/>
                <w:sz w:val="24"/>
                <w:szCs w:val="24"/>
              </w:rPr>
              <w:t>/d（</w:t>
            </w:r>
            <w:r>
              <w:rPr>
                <w:rFonts w:hint="eastAsia"/>
                <w:color w:val="auto"/>
                <w:sz w:val="24"/>
                <w:szCs w:val="24"/>
              </w:rPr>
              <w:t>240</w:t>
            </w:r>
            <w:r>
              <w:rPr>
                <w:color w:val="auto"/>
                <w:sz w:val="24"/>
                <w:szCs w:val="24"/>
              </w:rPr>
              <w:t xml:space="preserve"> m</w:t>
            </w:r>
            <w:r>
              <w:rPr>
                <w:color w:val="auto"/>
                <w:sz w:val="24"/>
                <w:szCs w:val="24"/>
                <w:vertAlign w:val="superscript"/>
              </w:rPr>
              <w:t>3</w:t>
            </w:r>
            <w:r>
              <w:rPr>
                <w:color w:val="auto"/>
                <w:sz w:val="24"/>
                <w:szCs w:val="24"/>
              </w:rPr>
              <w:t>/a），该部分用水保留在原料中进入下一工序，无废水排放。</w:t>
            </w:r>
          </w:p>
          <w:p>
            <w:pPr>
              <w:adjustRightInd w:val="0"/>
              <w:snapToGrid w:val="0"/>
              <w:spacing w:line="360" w:lineRule="auto"/>
              <w:ind w:firstLine="480" w:firstLineChars="200"/>
              <w:rPr>
                <w:rFonts w:hint="eastAsia" w:eastAsia="宋体"/>
                <w:color w:val="auto"/>
                <w:sz w:val="24"/>
                <w:szCs w:val="24"/>
                <w:lang w:val="en-US" w:eastAsia="zh-CN"/>
              </w:rPr>
            </w:pPr>
            <w:r>
              <w:rPr>
                <w:rFonts w:hint="default"/>
                <w:color w:val="auto"/>
                <w:sz w:val="24"/>
                <w:szCs w:val="24"/>
                <w:lang w:eastAsia="zh-CN"/>
              </w:rPr>
              <w:t>（</w:t>
            </w:r>
            <w:r>
              <w:rPr>
                <w:rFonts w:hint="eastAsia"/>
                <w:color w:val="auto"/>
                <w:sz w:val="24"/>
                <w:szCs w:val="24"/>
                <w:lang w:val="en-US" w:eastAsia="zh-CN"/>
              </w:rPr>
              <w:t>4</w:t>
            </w:r>
            <w:r>
              <w:rPr>
                <w:rFonts w:hint="default"/>
                <w:color w:val="auto"/>
                <w:sz w:val="24"/>
                <w:szCs w:val="24"/>
                <w:lang w:eastAsia="zh-CN"/>
              </w:rPr>
              <w:t>）</w:t>
            </w:r>
            <w:r>
              <w:rPr>
                <w:rFonts w:hint="default"/>
                <w:color w:val="auto"/>
                <w:sz w:val="24"/>
                <w:szCs w:val="24"/>
              </w:rPr>
              <w:t>混凝土搅拌设备清洗水</w:t>
            </w:r>
            <w:r>
              <w:rPr>
                <w:rFonts w:hint="eastAsia"/>
                <w:color w:val="auto"/>
                <w:sz w:val="24"/>
                <w:szCs w:val="24"/>
                <w:lang w:eastAsia="zh-CN"/>
              </w:rPr>
              <w:t>（</w:t>
            </w:r>
            <w:r>
              <w:rPr>
                <w:rFonts w:hint="eastAsia"/>
                <w:color w:val="auto"/>
                <w:sz w:val="24"/>
                <w:szCs w:val="24"/>
                <w:lang w:val="en-US" w:eastAsia="zh-CN"/>
              </w:rPr>
              <w:t>W4</w:t>
            </w:r>
            <w:r>
              <w:rPr>
                <w:rFonts w:hint="eastAsia"/>
                <w:color w:val="auto"/>
                <w:sz w:val="24"/>
                <w:szCs w:val="24"/>
                <w:lang w:eastAsia="zh-CN"/>
              </w:rPr>
              <w:t>）</w:t>
            </w:r>
          </w:p>
          <w:p>
            <w:pPr>
              <w:snapToGrid w:val="0"/>
              <w:spacing w:line="360" w:lineRule="auto"/>
              <w:ind w:firstLine="480" w:firstLineChars="200"/>
              <w:rPr>
                <w:rFonts w:hint="eastAsia"/>
                <w:color w:val="auto"/>
                <w:sz w:val="24"/>
                <w:szCs w:val="24"/>
                <w:lang w:eastAsia="zh-CN"/>
              </w:rPr>
            </w:pPr>
            <w:r>
              <w:rPr>
                <w:rFonts w:hint="default"/>
                <w:color w:val="auto"/>
                <w:sz w:val="24"/>
                <w:szCs w:val="24"/>
              </w:rPr>
              <w:t>搅拌设备为项目的主要生产设备，其在暂时停止生产时必须冲洗干净。停止生产原因有生产节奏的问题及设备检修问题。按搅拌机平均每</w:t>
            </w:r>
            <w:r>
              <w:rPr>
                <w:rFonts w:hint="eastAsia"/>
                <w:color w:val="auto"/>
                <w:sz w:val="24"/>
                <w:szCs w:val="24"/>
                <w:lang w:eastAsia="zh-CN"/>
              </w:rPr>
              <w:t>月</w:t>
            </w:r>
            <w:r>
              <w:rPr>
                <w:rFonts w:hint="default"/>
                <w:color w:val="auto"/>
                <w:sz w:val="24"/>
                <w:szCs w:val="24"/>
              </w:rPr>
              <w:t>冲洗</w:t>
            </w:r>
            <w:r>
              <w:rPr>
                <w:rFonts w:hint="eastAsia"/>
                <w:color w:val="auto"/>
                <w:sz w:val="24"/>
                <w:szCs w:val="24"/>
                <w:lang w:val="en-US" w:eastAsia="zh-CN"/>
              </w:rPr>
              <w:t>1</w:t>
            </w:r>
            <w:r>
              <w:rPr>
                <w:rFonts w:hint="default"/>
                <w:color w:val="auto"/>
                <w:sz w:val="24"/>
                <w:szCs w:val="24"/>
              </w:rPr>
              <w:t>次，搅拌机容积为2m</w:t>
            </w:r>
            <w:r>
              <w:rPr>
                <w:rFonts w:hint="default"/>
                <w:color w:val="auto"/>
                <w:sz w:val="24"/>
                <w:szCs w:val="24"/>
                <w:vertAlign w:val="superscript"/>
              </w:rPr>
              <w:t>3</w:t>
            </w:r>
            <w:r>
              <w:rPr>
                <w:rFonts w:hint="default"/>
                <w:color w:val="auto"/>
                <w:sz w:val="24"/>
                <w:szCs w:val="24"/>
              </w:rPr>
              <w:t>，每次冲洗水耗水量以2m</w:t>
            </w:r>
            <w:r>
              <w:rPr>
                <w:rFonts w:hint="default"/>
                <w:color w:val="auto"/>
                <w:sz w:val="24"/>
                <w:szCs w:val="24"/>
                <w:vertAlign w:val="superscript"/>
              </w:rPr>
              <w:t>3</w:t>
            </w:r>
            <w:r>
              <w:rPr>
                <w:rFonts w:hint="default"/>
                <w:color w:val="auto"/>
                <w:sz w:val="24"/>
                <w:szCs w:val="24"/>
              </w:rPr>
              <w:t>计算，年</w:t>
            </w:r>
            <w:r>
              <w:rPr>
                <w:rFonts w:hint="eastAsia"/>
                <w:color w:val="auto"/>
                <w:sz w:val="24"/>
                <w:szCs w:val="24"/>
                <w:lang w:eastAsia="zh-CN"/>
              </w:rPr>
              <w:t>清洗次数</w:t>
            </w:r>
            <w:r>
              <w:rPr>
                <w:rFonts w:hint="eastAsia"/>
                <w:color w:val="auto"/>
                <w:sz w:val="24"/>
                <w:szCs w:val="24"/>
                <w:lang w:val="en-US" w:eastAsia="zh-CN"/>
              </w:rPr>
              <w:t>12次</w:t>
            </w:r>
            <w:r>
              <w:rPr>
                <w:rFonts w:hint="default"/>
                <w:color w:val="auto"/>
                <w:sz w:val="24"/>
                <w:szCs w:val="24"/>
              </w:rPr>
              <w:t>，则项目混凝土搅拌设备冲洗用量为</w:t>
            </w:r>
            <w:r>
              <w:rPr>
                <w:rFonts w:hint="eastAsia"/>
                <w:color w:val="auto"/>
                <w:sz w:val="24"/>
                <w:szCs w:val="24"/>
                <w:lang w:val="en-US" w:eastAsia="zh-CN"/>
              </w:rPr>
              <w:t>24</w:t>
            </w:r>
            <w:r>
              <w:rPr>
                <w:rFonts w:hint="default"/>
                <w:color w:val="auto"/>
                <w:sz w:val="24"/>
                <w:szCs w:val="24"/>
              </w:rPr>
              <w:t>m</w:t>
            </w:r>
            <w:r>
              <w:rPr>
                <w:rFonts w:hint="default"/>
                <w:color w:val="auto"/>
                <w:sz w:val="24"/>
                <w:szCs w:val="24"/>
                <w:vertAlign w:val="superscript"/>
              </w:rPr>
              <w:t>3</w:t>
            </w:r>
            <w:r>
              <w:rPr>
                <w:rFonts w:hint="default"/>
                <w:color w:val="auto"/>
                <w:sz w:val="24"/>
                <w:szCs w:val="24"/>
              </w:rPr>
              <w:t>/a，损耗系数取15%，则设备清洗废水产生量为</w:t>
            </w:r>
            <w:r>
              <w:rPr>
                <w:rFonts w:hint="eastAsia"/>
                <w:color w:val="auto"/>
                <w:sz w:val="24"/>
                <w:szCs w:val="24"/>
                <w:lang w:val="en-US" w:eastAsia="zh-CN"/>
              </w:rPr>
              <w:t>20.4</w:t>
            </w:r>
            <w:r>
              <w:rPr>
                <w:rFonts w:hint="default"/>
                <w:color w:val="auto"/>
                <w:sz w:val="24"/>
                <w:szCs w:val="24"/>
              </w:rPr>
              <w:t>m3/a，其主要水质污染因子为SS，根据对同类型企业的类比调查，SS的浓度大致为2000-3000mg/L，本项目取SS浓度为3000mg/L，则SS产生量为</w:t>
            </w:r>
            <w:r>
              <w:rPr>
                <w:rFonts w:hint="eastAsia"/>
                <w:color w:val="auto"/>
                <w:sz w:val="24"/>
                <w:szCs w:val="24"/>
                <w:lang w:val="en-US" w:eastAsia="zh-CN"/>
              </w:rPr>
              <w:t>0.06</w:t>
            </w:r>
            <w:r>
              <w:rPr>
                <w:rFonts w:hint="default"/>
                <w:color w:val="auto"/>
                <w:sz w:val="24"/>
                <w:szCs w:val="24"/>
              </w:rPr>
              <w:t>t/a。</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宋体"/>
                <w:b/>
                <w:bCs w:val="0"/>
                <w:color w:val="auto"/>
                <w:sz w:val="24"/>
                <w:highlight w:val="none"/>
                <w:u w:val="none"/>
                <w:lang w:val="en-US" w:eastAsia="zh-CN"/>
              </w:rPr>
            </w:pPr>
            <w:r>
              <w:rPr>
                <w:rFonts w:hint="eastAsia"/>
                <w:b w:val="0"/>
                <w:bCs/>
                <w:color w:val="auto"/>
                <w:sz w:val="24"/>
                <w:highlight w:val="none"/>
                <w:u w:val="none"/>
                <w:lang w:eastAsia="zh-CN"/>
              </w:rPr>
              <w:t>（</w:t>
            </w:r>
            <w:r>
              <w:rPr>
                <w:rFonts w:hint="eastAsia"/>
                <w:b w:val="0"/>
                <w:bCs/>
                <w:color w:val="auto"/>
                <w:sz w:val="24"/>
                <w:highlight w:val="none"/>
                <w:u w:val="none"/>
                <w:lang w:val="en-US" w:eastAsia="zh-CN"/>
              </w:rPr>
              <w:t>5</w:t>
            </w:r>
            <w:r>
              <w:rPr>
                <w:rFonts w:hint="eastAsia"/>
                <w:b w:val="0"/>
                <w:bCs/>
                <w:color w:val="auto"/>
                <w:sz w:val="24"/>
                <w:highlight w:val="none"/>
                <w:u w:val="none"/>
                <w:lang w:eastAsia="zh-CN"/>
              </w:rPr>
              <w:t>）搅拌车罐体及车斗清洗废水（</w:t>
            </w:r>
            <w:r>
              <w:rPr>
                <w:rFonts w:hint="eastAsia"/>
                <w:b w:val="0"/>
                <w:bCs/>
                <w:color w:val="auto"/>
                <w:sz w:val="24"/>
                <w:highlight w:val="none"/>
                <w:u w:val="none"/>
                <w:lang w:val="en-US" w:eastAsia="zh-CN"/>
              </w:rPr>
              <w:t>W5</w:t>
            </w:r>
            <w:r>
              <w:rPr>
                <w:rFonts w:hint="eastAsia"/>
                <w:b w:val="0"/>
                <w:bCs/>
                <w:color w:val="auto"/>
                <w:sz w:val="24"/>
                <w:highlight w:val="none"/>
                <w:u w:val="none"/>
                <w:lang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宋体"/>
                <w:b/>
                <w:bCs w:val="0"/>
                <w:color w:val="auto"/>
                <w:sz w:val="24"/>
                <w:highlight w:val="none"/>
                <w:u w:val="none"/>
                <w:lang w:val="en-US" w:eastAsia="zh-CN"/>
              </w:rPr>
            </w:pPr>
            <w:r>
              <w:rPr>
                <w:rFonts w:hint="eastAsia"/>
                <w:b w:val="0"/>
                <w:bCs/>
                <w:color w:val="auto"/>
                <w:sz w:val="24"/>
                <w:highlight w:val="none"/>
                <w:u w:val="none"/>
                <w:lang w:eastAsia="zh-CN"/>
              </w:rPr>
              <w:t>本项目年生产混凝土</w:t>
            </w:r>
            <w:r>
              <w:rPr>
                <w:rFonts w:hint="eastAsia"/>
                <w:b w:val="0"/>
                <w:bCs/>
                <w:color w:val="auto"/>
                <w:sz w:val="24"/>
                <w:highlight w:val="none"/>
                <w:u w:val="none"/>
                <w:lang w:val="en-US" w:eastAsia="zh-CN"/>
              </w:rPr>
              <w:t>5万方，现场采用容量为5m</w:t>
            </w:r>
            <w:r>
              <w:rPr>
                <w:rFonts w:hint="eastAsia"/>
                <w:b w:val="0"/>
                <w:bCs/>
                <w:color w:val="auto"/>
                <w:sz w:val="24"/>
                <w:highlight w:val="none"/>
                <w:u w:val="none"/>
                <w:vertAlign w:val="superscript"/>
                <w:lang w:val="en-US" w:eastAsia="zh-CN"/>
              </w:rPr>
              <w:t>3</w:t>
            </w:r>
            <w:r>
              <w:rPr>
                <w:rFonts w:hint="eastAsia"/>
                <w:b w:val="0"/>
                <w:bCs/>
                <w:color w:val="auto"/>
                <w:sz w:val="24"/>
                <w:highlight w:val="none"/>
                <w:u w:val="none"/>
                <w:lang w:val="en-US" w:eastAsia="zh-CN"/>
              </w:rPr>
              <w:t>的混凝土搅拌车进行运输，主要运送至周边建筑企业以及居民，车辆工作后需对运输车进行罐体和车斗冲洗，防止水泥硬化，</w:t>
            </w:r>
            <w:r>
              <w:rPr>
                <w:rFonts w:hint="default"/>
                <w:color w:val="auto"/>
                <w:sz w:val="24"/>
                <w:highlight w:val="none"/>
                <w:u w:val="none"/>
              </w:rPr>
              <w:t>车辆冲洗水量大致为</w:t>
            </w:r>
            <w:r>
              <w:rPr>
                <w:rFonts w:hint="eastAsia"/>
                <w:color w:val="auto"/>
                <w:sz w:val="24"/>
                <w:highlight w:val="none"/>
                <w:u w:val="none"/>
                <w:lang w:val="en-US" w:eastAsia="zh-CN"/>
              </w:rPr>
              <w:t>0.5</w:t>
            </w:r>
            <w:r>
              <w:rPr>
                <w:rFonts w:hint="default"/>
                <w:color w:val="auto"/>
                <w:sz w:val="24"/>
                <w:highlight w:val="none"/>
                <w:u w:val="none"/>
              </w:rPr>
              <w:t>m</w:t>
            </w:r>
            <w:r>
              <w:rPr>
                <w:rFonts w:hint="default"/>
                <w:color w:val="auto"/>
                <w:sz w:val="24"/>
                <w:highlight w:val="none"/>
                <w:u w:val="none"/>
                <w:vertAlign w:val="superscript"/>
              </w:rPr>
              <w:t>3</w:t>
            </w:r>
            <w:r>
              <w:rPr>
                <w:rFonts w:hint="default"/>
                <w:color w:val="auto"/>
                <w:sz w:val="24"/>
                <w:highlight w:val="none"/>
                <w:u w:val="none"/>
              </w:rPr>
              <w:t>/（辆·</w:t>
            </w:r>
            <w:r>
              <w:rPr>
                <w:rFonts w:hint="eastAsia"/>
                <w:color w:val="auto"/>
                <w:sz w:val="24"/>
                <w:highlight w:val="none"/>
                <w:u w:val="none"/>
                <w:lang w:eastAsia="zh-CN"/>
              </w:rPr>
              <w:t>次</w:t>
            </w:r>
            <w:r>
              <w:rPr>
                <w:rFonts w:hint="default"/>
                <w:color w:val="auto"/>
                <w:sz w:val="24"/>
                <w:highlight w:val="none"/>
                <w:u w:val="none"/>
              </w:rPr>
              <w:t>）</w:t>
            </w:r>
            <w:r>
              <w:rPr>
                <w:rFonts w:hint="eastAsia"/>
                <w:color w:val="auto"/>
                <w:sz w:val="24"/>
                <w:highlight w:val="none"/>
                <w:u w:val="none"/>
                <w:lang w:eastAsia="zh-CN"/>
              </w:rPr>
              <w:t>，每天</w:t>
            </w:r>
            <w:r>
              <w:rPr>
                <w:rFonts w:hint="eastAsia"/>
                <w:color w:val="auto"/>
                <w:sz w:val="24"/>
                <w:highlight w:val="none"/>
                <w:u w:val="none"/>
                <w:lang w:val="en-US" w:eastAsia="zh-CN"/>
              </w:rPr>
              <w:t>约9辆·次</w:t>
            </w:r>
            <w:r>
              <w:rPr>
                <w:rFonts w:hint="eastAsia"/>
                <w:b w:val="0"/>
                <w:bCs/>
                <w:color w:val="auto"/>
                <w:sz w:val="24"/>
                <w:highlight w:val="none"/>
                <w:u w:val="none"/>
                <w:lang w:val="en-US" w:eastAsia="zh-CN"/>
              </w:rPr>
              <w:t>，</w:t>
            </w:r>
            <w:r>
              <w:rPr>
                <w:rFonts w:hint="default"/>
                <w:color w:val="auto"/>
                <w:sz w:val="24"/>
                <w:highlight w:val="none"/>
                <w:u w:val="none"/>
              </w:rPr>
              <w:t>则项目</w:t>
            </w:r>
            <w:r>
              <w:rPr>
                <w:rFonts w:hint="eastAsia"/>
                <w:b w:val="0"/>
                <w:bCs/>
                <w:color w:val="auto"/>
                <w:sz w:val="24"/>
                <w:highlight w:val="none"/>
                <w:u w:val="none"/>
                <w:lang w:eastAsia="zh-CN"/>
              </w:rPr>
              <w:t>搅拌车罐体及车斗清洗废水</w:t>
            </w:r>
            <w:r>
              <w:rPr>
                <w:rFonts w:hint="default"/>
                <w:color w:val="auto"/>
                <w:sz w:val="24"/>
                <w:highlight w:val="none"/>
                <w:u w:val="none"/>
              </w:rPr>
              <w:t>约为</w:t>
            </w:r>
            <w:r>
              <w:rPr>
                <w:rFonts w:hint="eastAsia"/>
                <w:color w:val="auto"/>
                <w:sz w:val="24"/>
                <w:highlight w:val="none"/>
                <w:u w:val="none"/>
                <w:lang w:val="en-US" w:eastAsia="zh-CN"/>
              </w:rPr>
              <w:t>1350</w:t>
            </w:r>
            <w:r>
              <w:rPr>
                <w:rFonts w:hint="default"/>
                <w:color w:val="auto"/>
                <w:sz w:val="24"/>
                <w:highlight w:val="none"/>
                <w:u w:val="none"/>
              </w:rPr>
              <w:t>m</w:t>
            </w:r>
            <w:r>
              <w:rPr>
                <w:rFonts w:hint="default"/>
                <w:color w:val="auto"/>
                <w:sz w:val="24"/>
                <w:highlight w:val="none"/>
                <w:u w:val="none"/>
                <w:vertAlign w:val="superscript"/>
              </w:rPr>
              <w:t>3</w:t>
            </w:r>
            <w:r>
              <w:rPr>
                <w:rFonts w:hint="default"/>
                <w:color w:val="auto"/>
                <w:sz w:val="24"/>
                <w:highlight w:val="none"/>
                <w:u w:val="none"/>
              </w:rPr>
              <w:t>/a（</w:t>
            </w:r>
            <w:r>
              <w:rPr>
                <w:rFonts w:hint="eastAsia"/>
                <w:color w:val="auto"/>
                <w:sz w:val="24"/>
                <w:highlight w:val="none"/>
                <w:u w:val="none"/>
                <w:lang w:val="en-US" w:eastAsia="zh-CN"/>
              </w:rPr>
              <w:t>4.5</w:t>
            </w:r>
            <w:r>
              <w:rPr>
                <w:rFonts w:hint="default"/>
                <w:color w:val="auto"/>
                <w:sz w:val="24"/>
                <w:highlight w:val="none"/>
                <w:u w:val="none"/>
              </w:rPr>
              <w:t>m</w:t>
            </w:r>
            <w:r>
              <w:rPr>
                <w:rFonts w:hint="default"/>
                <w:color w:val="auto"/>
                <w:sz w:val="24"/>
                <w:highlight w:val="none"/>
                <w:u w:val="none"/>
                <w:vertAlign w:val="superscript"/>
              </w:rPr>
              <w:t>3</w:t>
            </w:r>
            <w:r>
              <w:rPr>
                <w:rFonts w:hint="default"/>
                <w:color w:val="auto"/>
                <w:sz w:val="24"/>
                <w:highlight w:val="none"/>
                <w:u w:val="none"/>
              </w:rPr>
              <w:t>/d），损耗系数取15%，则</w:t>
            </w:r>
            <w:r>
              <w:rPr>
                <w:rFonts w:hint="eastAsia"/>
                <w:b w:val="0"/>
                <w:bCs/>
                <w:color w:val="auto"/>
                <w:sz w:val="24"/>
                <w:highlight w:val="none"/>
                <w:u w:val="none"/>
                <w:lang w:eastAsia="zh-CN"/>
              </w:rPr>
              <w:t>搅拌车罐体及车斗清洗废水</w:t>
            </w:r>
            <w:r>
              <w:rPr>
                <w:rFonts w:hint="default"/>
                <w:color w:val="auto"/>
                <w:sz w:val="24"/>
                <w:highlight w:val="none"/>
                <w:u w:val="none"/>
              </w:rPr>
              <w:t>产生量为</w:t>
            </w:r>
            <w:r>
              <w:rPr>
                <w:rFonts w:hint="eastAsia"/>
                <w:color w:val="auto"/>
                <w:sz w:val="24"/>
                <w:highlight w:val="none"/>
                <w:u w:val="none"/>
                <w:lang w:val="en-US" w:eastAsia="zh-CN"/>
              </w:rPr>
              <w:t>1147.5</w:t>
            </w:r>
            <w:r>
              <w:rPr>
                <w:rFonts w:hint="default"/>
                <w:color w:val="auto"/>
                <w:sz w:val="24"/>
                <w:highlight w:val="none"/>
                <w:u w:val="none"/>
              </w:rPr>
              <w:t>m</w:t>
            </w:r>
            <w:r>
              <w:rPr>
                <w:rFonts w:hint="default"/>
                <w:color w:val="auto"/>
                <w:sz w:val="24"/>
                <w:highlight w:val="none"/>
                <w:u w:val="none"/>
                <w:vertAlign w:val="superscript"/>
              </w:rPr>
              <w:t>3</w:t>
            </w:r>
            <w:r>
              <w:rPr>
                <w:rFonts w:hint="default"/>
                <w:color w:val="auto"/>
                <w:sz w:val="24"/>
                <w:highlight w:val="none"/>
                <w:u w:val="none"/>
              </w:rPr>
              <w:t>/a（</w:t>
            </w:r>
            <w:r>
              <w:rPr>
                <w:rFonts w:hint="eastAsia"/>
                <w:color w:val="auto"/>
                <w:sz w:val="24"/>
                <w:highlight w:val="none"/>
                <w:u w:val="none"/>
                <w:lang w:val="en-US" w:eastAsia="zh-CN"/>
              </w:rPr>
              <w:t>3.83</w:t>
            </w:r>
            <w:r>
              <w:rPr>
                <w:rFonts w:hint="default"/>
                <w:color w:val="auto"/>
                <w:sz w:val="24"/>
                <w:highlight w:val="none"/>
                <w:u w:val="none"/>
              </w:rPr>
              <w:t>m</w:t>
            </w:r>
            <w:r>
              <w:rPr>
                <w:rFonts w:hint="default"/>
                <w:color w:val="auto"/>
                <w:sz w:val="24"/>
                <w:highlight w:val="none"/>
                <w:u w:val="none"/>
                <w:vertAlign w:val="superscript"/>
              </w:rPr>
              <w:t>3</w:t>
            </w:r>
            <w:r>
              <w:rPr>
                <w:rFonts w:hint="default"/>
                <w:color w:val="auto"/>
                <w:sz w:val="24"/>
                <w:highlight w:val="none"/>
                <w:u w:val="none"/>
              </w:rPr>
              <w:t>/d）。该废水的主要水质污染</w:t>
            </w:r>
            <w:r>
              <w:rPr>
                <w:rFonts w:hint="eastAsia"/>
                <w:color w:val="auto"/>
                <w:sz w:val="24"/>
                <w:highlight w:val="none"/>
                <w:u w:val="none"/>
                <w:lang w:eastAsia="zh-CN"/>
              </w:rPr>
              <w:t>物为</w:t>
            </w:r>
            <w:r>
              <w:rPr>
                <w:rFonts w:hint="eastAsia"/>
                <w:color w:val="auto"/>
                <w:sz w:val="24"/>
                <w:highlight w:val="none"/>
                <w:u w:val="none"/>
                <w:lang w:val="en-US" w:eastAsia="zh-CN"/>
              </w:rPr>
              <w:t>pH</w:t>
            </w:r>
            <w:r>
              <w:rPr>
                <w:rFonts w:hint="default"/>
                <w:color w:val="auto"/>
                <w:sz w:val="24"/>
                <w:highlight w:val="none"/>
                <w:u w:val="none"/>
              </w:rPr>
              <w:t>，</w:t>
            </w:r>
            <w:r>
              <w:rPr>
                <w:rFonts w:hint="eastAsia"/>
                <w:color w:val="auto"/>
                <w:sz w:val="24"/>
                <w:highlight w:val="none"/>
                <w:u w:val="none"/>
                <w:lang w:val="en-US" w:eastAsia="zh-CN"/>
              </w:rPr>
              <w:t>pH值可达到13，其次为SS，SS</w:t>
            </w:r>
            <w:r>
              <w:rPr>
                <w:rFonts w:hint="default"/>
                <w:color w:val="auto"/>
                <w:sz w:val="24"/>
                <w:highlight w:val="none"/>
                <w:u w:val="none"/>
              </w:rPr>
              <w:t>浓度</w:t>
            </w:r>
            <w:r>
              <w:rPr>
                <w:rFonts w:hint="eastAsia"/>
                <w:color w:val="auto"/>
                <w:sz w:val="24"/>
                <w:highlight w:val="none"/>
                <w:u w:val="none"/>
                <w:lang w:eastAsia="zh-CN"/>
              </w:rPr>
              <w:t>根据同类型验收项目，</w:t>
            </w:r>
            <w:r>
              <w:rPr>
                <w:rFonts w:hint="eastAsia"/>
                <w:b w:val="0"/>
                <w:bCs/>
                <w:color w:val="auto"/>
                <w:sz w:val="24"/>
                <w:highlight w:val="none"/>
                <w:u w:val="none"/>
                <w:lang w:eastAsia="zh-CN"/>
              </w:rPr>
              <w:t>搅拌车罐体及车斗清洗废水</w:t>
            </w:r>
            <w:r>
              <w:rPr>
                <w:rFonts w:hint="eastAsia"/>
                <w:color w:val="auto"/>
                <w:sz w:val="24"/>
                <w:highlight w:val="none"/>
                <w:u w:val="none"/>
                <w:lang w:eastAsia="zh-CN"/>
              </w:rPr>
              <w:t>浓度约为</w:t>
            </w:r>
            <w:r>
              <w:rPr>
                <w:rFonts w:hint="eastAsia"/>
                <w:color w:val="auto"/>
                <w:sz w:val="24"/>
                <w:highlight w:val="none"/>
                <w:u w:val="none"/>
                <w:lang w:val="en-US" w:eastAsia="zh-CN"/>
              </w:rPr>
              <w:t>30</w:t>
            </w:r>
            <w:r>
              <w:rPr>
                <w:rFonts w:hint="default"/>
                <w:color w:val="auto"/>
                <w:sz w:val="24"/>
                <w:highlight w:val="none"/>
                <w:u w:val="none"/>
              </w:rPr>
              <w:t>00mg/L，</w:t>
            </w:r>
            <w:r>
              <w:rPr>
                <w:rFonts w:hint="eastAsia"/>
                <w:color w:val="auto"/>
                <w:sz w:val="24"/>
                <w:highlight w:val="none"/>
                <w:u w:val="none"/>
                <w:lang w:eastAsia="zh-CN"/>
              </w:rPr>
              <w:t>则</w:t>
            </w:r>
            <w:r>
              <w:rPr>
                <w:rFonts w:hint="default"/>
                <w:color w:val="auto"/>
                <w:sz w:val="24"/>
                <w:highlight w:val="none"/>
                <w:u w:val="none"/>
              </w:rPr>
              <w:t>产生量约为</w:t>
            </w:r>
            <w:r>
              <w:rPr>
                <w:rFonts w:hint="eastAsia"/>
                <w:color w:val="auto"/>
                <w:sz w:val="24"/>
                <w:highlight w:val="none"/>
                <w:u w:val="none"/>
                <w:lang w:val="en-US" w:eastAsia="zh-CN"/>
              </w:rPr>
              <w:t>3.44</w:t>
            </w:r>
            <w:r>
              <w:rPr>
                <w:rFonts w:hint="default"/>
                <w:color w:val="auto"/>
                <w:sz w:val="24"/>
                <w:highlight w:val="none"/>
                <w:u w:val="none"/>
              </w:rPr>
              <w:t>t/a。</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4"/>
                <w:u w:val="none"/>
                <w:lang w:eastAsia="zh-CN"/>
              </w:rPr>
            </w:pPr>
            <w:r>
              <w:rPr>
                <w:rFonts w:hint="eastAsia"/>
                <w:b w:val="0"/>
                <w:bCs/>
                <w:color w:val="auto"/>
                <w:sz w:val="24"/>
                <w:highlight w:val="none"/>
                <w:u w:val="none"/>
                <w:lang w:val="en-US" w:eastAsia="zh-CN"/>
              </w:rPr>
              <w:t>混凝土生产过程中产生的废水W4、W5统一收集，</w:t>
            </w:r>
            <w:r>
              <w:rPr>
                <w:rFonts w:hint="eastAsia"/>
                <w:b w:val="0"/>
                <w:bCs/>
                <w:color w:val="auto"/>
                <w:sz w:val="24"/>
                <w:highlight w:val="none"/>
                <w:u w:val="none"/>
                <w:lang w:eastAsia="zh-CN"/>
              </w:rPr>
              <w:t>本项目设砂石分离机，搅拌车罐体及车斗清洗产生的废水先进入砂石分离机分离后水流入三级沉淀池处理后进行</w:t>
            </w:r>
            <w:r>
              <w:rPr>
                <w:rFonts w:hint="eastAsia"/>
                <w:b w:val="0"/>
                <w:bCs/>
                <w:color w:val="auto"/>
                <w:sz w:val="24"/>
                <w:highlight w:val="none"/>
                <w:u w:val="none"/>
                <w:lang w:val="en-US" w:eastAsia="zh-CN"/>
              </w:rPr>
              <w:t>回用。</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4"/>
                <w:u w:val="none"/>
                <w:lang w:eastAsia="zh-CN"/>
              </w:rPr>
            </w:pPr>
            <w:r>
              <w:rPr>
                <w:rFonts w:hint="default"/>
                <w:color w:val="auto"/>
                <w:sz w:val="24"/>
                <w:szCs w:val="24"/>
                <w:u w:val="none"/>
                <w:lang w:eastAsia="zh-CN"/>
              </w:rPr>
              <w:t>（</w:t>
            </w:r>
            <w:r>
              <w:rPr>
                <w:rFonts w:hint="eastAsia"/>
                <w:color w:val="auto"/>
                <w:sz w:val="24"/>
                <w:szCs w:val="24"/>
                <w:u w:val="none"/>
                <w:lang w:val="en-US" w:eastAsia="zh-CN"/>
              </w:rPr>
              <w:t>6</w:t>
            </w:r>
            <w:r>
              <w:rPr>
                <w:rFonts w:hint="default"/>
                <w:color w:val="auto"/>
                <w:sz w:val="24"/>
                <w:szCs w:val="24"/>
                <w:u w:val="none"/>
                <w:lang w:eastAsia="zh-CN"/>
              </w:rPr>
              <w:t>）地面冲洗废水</w:t>
            </w:r>
            <w:r>
              <w:rPr>
                <w:rFonts w:hint="eastAsia"/>
                <w:color w:val="auto"/>
                <w:sz w:val="24"/>
                <w:szCs w:val="24"/>
                <w:u w:val="none"/>
                <w:lang w:eastAsia="zh-CN"/>
              </w:rPr>
              <w:t>（</w:t>
            </w:r>
            <w:r>
              <w:rPr>
                <w:rFonts w:hint="eastAsia"/>
                <w:color w:val="auto"/>
                <w:sz w:val="24"/>
                <w:szCs w:val="24"/>
                <w:u w:val="none"/>
                <w:lang w:val="en-US" w:eastAsia="zh-CN"/>
              </w:rPr>
              <w:t>W6</w:t>
            </w:r>
            <w:r>
              <w:rPr>
                <w:rFonts w:hint="eastAsia"/>
                <w:color w:val="auto"/>
                <w:sz w:val="24"/>
                <w:szCs w:val="24"/>
                <w:u w:val="none"/>
                <w:lang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4"/>
                <w:u w:val="none"/>
                <w:lang w:eastAsia="zh-CN"/>
              </w:rPr>
            </w:pPr>
            <w:r>
              <w:rPr>
                <w:rFonts w:hint="default"/>
                <w:color w:val="auto"/>
                <w:sz w:val="24"/>
                <w:szCs w:val="24"/>
                <w:u w:val="none"/>
              </w:rPr>
              <w:t>根据</w:t>
            </w:r>
            <w:r>
              <w:rPr>
                <w:rFonts w:hint="eastAsia"/>
                <w:color w:val="auto"/>
                <w:sz w:val="24"/>
                <w:szCs w:val="24"/>
                <w:u w:val="none"/>
                <w:lang w:eastAsia="zh-CN"/>
              </w:rPr>
              <w:t>场地设计</w:t>
            </w:r>
            <w:r>
              <w:rPr>
                <w:rFonts w:hint="default"/>
                <w:color w:val="auto"/>
                <w:sz w:val="24"/>
                <w:szCs w:val="24"/>
                <w:u w:val="none"/>
              </w:rPr>
              <w:t>，</w:t>
            </w:r>
            <w:r>
              <w:rPr>
                <w:rFonts w:hint="default"/>
                <w:color w:val="auto"/>
                <w:sz w:val="24"/>
                <w:szCs w:val="24"/>
                <w:u w:val="none"/>
                <w:lang w:eastAsia="zh-CN"/>
              </w:rPr>
              <w:t>需冲洗</w:t>
            </w:r>
            <w:r>
              <w:rPr>
                <w:rFonts w:hint="default"/>
                <w:color w:val="auto"/>
                <w:sz w:val="24"/>
                <w:szCs w:val="24"/>
                <w:u w:val="none"/>
              </w:rPr>
              <w:t>区面积约为</w:t>
            </w:r>
            <w:r>
              <w:rPr>
                <w:rFonts w:hint="eastAsia"/>
                <w:color w:val="auto"/>
                <w:sz w:val="24"/>
                <w:szCs w:val="24"/>
                <w:u w:val="none"/>
                <w:lang w:val="en-US" w:eastAsia="zh-CN"/>
              </w:rPr>
              <w:t>4</w:t>
            </w:r>
            <w:r>
              <w:rPr>
                <w:rFonts w:hint="default"/>
                <w:color w:val="auto"/>
                <w:sz w:val="24"/>
                <w:szCs w:val="24"/>
                <w:u w:val="none"/>
                <w:lang w:val="en-US" w:eastAsia="zh-CN"/>
              </w:rPr>
              <w:t>0</w:t>
            </w:r>
            <w:r>
              <w:rPr>
                <w:rFonts w:hint="default"/>
                <w:color w:val="auto"/>
                <w:sz w:val="24"/>
                <w:szCs w:val="24"/>
                <w:u w:val="none"/>
              </w:rPr>
              <w:t>00m</w:t>
            </w:r>
            <w:r>
              <w:rPr>
                <w:rFonts w:hint="default"/>
                <w:color w:val="auto"/>
                <w:sz w:val="24"/>
                <w:szCs w:val="24"/>
                <w:u w:val="none"/>
                <w:vertAlign w:val="superscript"/>
              </w:rPr>
              <w:t>2</w:t>
            </w:r>
            <w:r>
              <w:rPr>
                <w:rFonts w:hint="default"/>
                <w:color w:val="auto"/>
                <w:sz w:val="24"/>
                <w:szCs w:val="24"/>
                <w:u w:val="none"/>
              </w:rPr>
              <w:t>，其冲洗水量按1.0m</w:t>
            </w:r>
            <w:r>
              <w:rPr>
                <w:rFonts w:hint="default"/>
                <w:color w:val="auto"/>
                <w:sz w:val="24"/>
                <w:szCs w:val="24"/>
                <w:u w:val="none"/>
                <w:vertAlign w:val="superscript"/>
              </w:rPr>
              <w:t>3</w:t>
            </w:r>
            <w:r>
              <w:rPr>
                <w:rFonts w:hint="default"/>
                <w:color w:val="auto"/>
                <w:sz w:val="24"/>
                <w:szCs w:val="24"/>
                <w:u w:val="none"/>
              </w:rPr>
              <w:t>/100m</w:t>
            </w:r>
            <w:r>
              <w:rPr>
                <w:rFonts w:hint="default"/>
                <w:color w:val="auto"/>
                <w:sz w:val="24"/>
                <w:szCs w:val="24"/>
                <w:u w:val="none"/>
                <w:vertAlign w:val="superscript"/>
              </w:rPr>
              <w:t>2</w:t>
            </w:r>
            <w:r>
              <w:rPr>
                <w:rFonts w:hint="default"/>
                <w:color w:val="auto"/>
                <w:sz w:val="24"/>
                <w:szCs w:val="24"/>
                <w:u w:val="none"/>
              </w:rPr>
              <w:t>·d计算，平均每</w:t>
            </w:r>
            <w:r>
              <w:rPr>
                <w:rFonts w:hint="default"/>
                <w:color w:val="auto"/>
                <w:sz w:val="24"/>
                <w:szCs w:val="24"/>
                <w:u w:val="none"/>
                <w:lang w:eastAsia="zh-CN"/>
              </w:rPr>
              <w:t>个月冲洗两次</w:t>
            </w:r>
            <w:r>
              <w:rPr>
                <w:rFonts w:hint="default"/>
                <w:color w:val="auto"/>
                <w:sz w:val="24"/>
                <w:szCs w:val="24"/>
                <w:u w:val="none"/>
              </w:rPr>
              <w:t>，则地面冲洗用水为</w:t>
            </w:r>
            <w:r>
              <w:rPr>
                <w:rFonts w:hint="eastAsia"/>
                <w:color w:val="auto"/>
                <w:sz w:val="24"/>
                <w:szCs w:val="24"/>
                <w:u w:val="none"/>
                <w:lang w:val="en-US" w:eastAsia="zh-CN"/>
              </w:rPr>
              <w:t>960</w:t>
            </w:r>
            <w:r>
              <w:rPr>
                <w:rFonts w:hint="default"/>
                <w:color w:val="auto"/>
                <w:sz w:val="24"/>
                <w:szCs w:val="24"/>
                <w:u w:val="none"/>
              </w:rPr>
              <w:t>m</w:t>
            </w:r>
            <w:r>
              <w:rPr>
                <w:rFonts w:hint="default"/>
                <w:color w:val="auto"/>
                <w:sz w:val="24"/>
                <w:szCs w:val="24"/>
                <w:u w:val="none"/>
                <w:vertAlign w:val="superscript"/>
              </w:rPr>
              <w:t>3</w:t>
            </w:r>
            <w:r>
              <w:rPr>
                <w:rFonts w:hint="default"/>
                <w:color w:val="auto"/>
                <w:sz w:val="24"/>
                <w:szCs w:val="24"/>
                <w:u w:val="none"/>
              </w:rPr>
              <w:t>/a</w:t>
            </w:r>
            <w:r>
              <w:rPr>
                <w:rFonts w:hint="default"/>
                <w:color w:val="auto"/>
                <w:sz w:val="24"/>
                <w:szCs w:val="24"/>
                <w:u w:val="none"/>
                <w:lang w:eastAsia="zh-CN"/>
              </w:rPr>
              <w:t>（</w:t>
            </w:r>
            <w:r>
              <w:rPr>
                <w:rFonts w:hint="eastAsia"/>
                <w:color w:val="auto"/>
                <w:sz w:val="24"/>
                <w:szCs w:val="24"/>
                <w:u w:val="none"/>
                <w:lang w:val="en-US" w:eastAsia="zh-CN"/>
              </w:rPr>
              <w:t>3.2</w:t>
            </w:r>
            <w:r>
              <w:rPr>
                <w:rFonts w:hint="default"/>
                <w:color w:val="auto"/>
                <w:sz w:val="24"/>
                <w:szCs w:val="24"/>
                <w:u w:val="none"/>
              </w:rPr>
              <w:t>m</w:t>
            </w:r>
            <w:r>
              <w:rPr>
                <w:rFonts w:hint="default"/>
                <w:color w:val="auto"/>
                <w:sz w:val="24"/>
                <w:szCs w:val="24"/>
                <w:u w:val="none"/>
                <w:vertAlign w:val="superscript"/>
              </w:rPr>
              <w:t>3</w:t>
            </w:r>
            <w:r>
              <w:rPr>
                <w:rFonts w:hint="default"/>
                <w:color w:val="auto"/>
                <w:sz w:val="24"/>
                <w:szCs w:val="24"/>
                <w:u w:val="none"/>
              </w:rPr>
              <w:t>/</w:t>
            </w:r>
            <w:r>
              <w:rPr>
                <w:rFonts w:hint="default"/>
                <w:color w:val="auto"/>
                <w:sz w:val="24"/>
                <w:szCs w:val="24"/>
                <w:u w:val="none"/>
                <w:lang w:val="en-US" w:eastAsia="zh-CN"/>
              </w:rPr>
              <w:t>d</w:t>
            </w:r>
            <w:r>
              <w:rPr>
                <w:rFonts w:hint="default"/>
                <w:color w:val="auto"/>
                <w:sz w:val="24"/>
                <w:szCs w:val="24"/>
                <w:u w:val="none"/>
                <w:lang w:eastAsia="zh-CN"/>
              </w:rPr>
              <w:t>），</w:t>
            </w:r>
            <w:r>
              <w:rPr>
                <w:rFonts w:hint="default"/>
                <w:color w:val="auto"/>
                <w:sz w:val="24"/>
                <w:szCs w:val="24"/>
                <w:u w:val="none"/>
              </w:rPr>
              <w:t>损耗系数取</w:t>
            </w:r>
            <w:r>
              <w:rPr>
                <w:rFonts w:hint="default"/>
                <w:color w:val="auto"/>
                <w:sz w:val="24"/>
                <w:szCs w:val="24"/>
                <w:u w:val="none"/>
                <w:lang w:val="en-US" w:eastAsia="zh-CN"/>
              </w:rPr>
              <w:t>20</w:t>
            </w:r>
            <w:r>
              <w:rPr>
                <w:rFonts w:hint="default"/>
                <w:color w:val="auto"/>
                <w:sz w:val="24"/>
                <w:szCs w:val="24"/>
                <w:u w:val="none"/>
              </w:rPr>
              <w:t>%，则</w:t>
            </w:r>
            <w:r>
              <w:rPr>
                <w:rFonts w:hint="default"/>
                <w:color w:val="auto"/>
                <w:sz w:val="24"/>
                <w:szCs w:val="24"/>
                <w:u w:val="none"/>
                <w:lang w:eastAsia="zh-CN"/>
              </w:rPr>
              <w:t>场地冲洗</w:t>
            </w:r>
            <w:r>
              <w:rPr>
                <w:rFonts w:hint="default"/>
                <w:color w:val="auto"/>
                <w:sz w:val="24"/>
                <w:szCs w:val="24"/>
                <w:u w:val="none"/>
              </w:rPr>
              <w:t>废水产生量为</w:t>
            </w:r>
            <w:r>
              <w:rPr>
                <w:rFonts w:hint="eastAsia"/>
                <w:color w:val="auto"/>
                <w:sz w:val="24"/>
                <w:szCs w:val="24"/>
                <w:u w:val="none"/>
                <w:lang w:val="en-US" w:eastAsia="zh-CN"/>
              </w:rPr>
              <w:t>768</w:t>
            </w:r>
            <w:r>
              <w:rPr>
                <w:rFonts w:hint="default"/>
                <w:color w:val="auto"/>
                <w:sz w:val="24"/>
                <w:szCs w:val="24"/>
                <w:u w:val="none"/>
              </w:rPr>
              <w:t>m</w:t>
            </w:r>
            <w:r>
              <w:rPr>
                <w:rFonts w:hint="default"/>
                <w:color w:val="auto"/>
                <w:sz w:val="24"/>
                <w:szCs w:val="24"/>
                <w:u w:val="none"/>
                <w:vertAlign w:val="superscript"/>
              </w:rPr>
              <w:t>3</w:t>
            </w:r>
            <w:r>
              <w:rPr>
                <w:rFonts w:hint="default"/>
                <w:color w:val="auto"/>
                <w:sz w:val="24"/>
                <w:szCs w:val="24"/>
                <w:u w:val="none"/>
              </w:rPr>
              <w:t>/a（</w:t>
            </w:r>
            <w:r>
              <w:rPr>
                <w:rFonts w:hint="eastAsia"/>
                <w:color w:val="auto"/>
                <w:sz w:val="24"/>
                <w:szCs w:val="24"/>
                <w:u w:val="none"/>
                <w:lang w:val="en-US" w:eastAsia="zh-CN"/>
              </w:rPr>
              <w:t>2.56</w:t>
            </w:r>
            <w:r>
              <w:rPr>
                <w:rFonts w:hint="default"/>
                <w:color w:val="auto"/>
                <w:sz w:val="24"/>
                <w:szCs w:val="24"/>
                <w:u w:val="none"/>
              </w:rPr>
              <w:t>m</w:t>
            </w:r>
            <w:r>
              <w:rPr>
                <w:rFonts w:hint="default"/>
                <w:color w:val="auto"/>
                <w:sz w:val="24"/>
                <w:szCs w:val="24"/>
                <w:u w:val="none"/>
                <w:vertAlign w:val="superscript"/>
              </w:rPr>
              <w:t>3</w:t>
            </w:r>
            <w:r>
              <w:rPr>
                <w:rFonts w:hint="default"/>
                <w:color w:val="auto"/>
                <w:sz w:val="24"/>
                <w:szCs w:val="24"/>
                <w:u w:val="none"/>
              </w:rPr>
              <w:t>/d）</w:t>
            </w:r>
            <w:r>
              <w:rPr>
                <w:rFonts w:hint="default"/>
                <w:color w:val="auto"/>
                <w:sz w:val="24"/>
                <w:szCs w:val="24"/>
                <w:u w:val="none"/>
                <w:lang w:eastAsia="zh-CN"/>
              </w:rPr>
              <w:t>，</w:t>
            </w:r>
            <w:r>
              <w:rPr>
                <w:rFonts w:hint="default"/>
                <w:color w:val="auto"/>
                <w:sz w:val="24"/>
                <w:szCs w:val="24"/>
                <w:u w:val="none"/>
              </w:rPr>
              <w:t>该废水的主要水质污染因子为SS，其浓度约为1000mg/L，产生量为</w:t>
            </w:r>
            <w:r>
              <w:rPr>
                <w:rFonts w:hint="eastAsia"/>
                <w:color w:val="auto"/>
                <w:sz w:val="24"/>
                <w:szCs w:val="24"/>
                <w:u w:val="none"/>
                <w:lang w:val="en-US" w:eastAsia="zh-CN"/>
              </w:rPr>
              <w:t>0.77</w:t>
            </w:r>
            <w:r>
              <w:rPr>
                <w:rFonts w:hint="default"/>
                <w:color w:val="auto"/>
                <w:sz w:val="24"/>
                <w:szCs w:val="24"/>
                <w:u w:val="none"/>
              </w:rPr>
              <w:t>t/a。</w:t>
            </w:r>
          </w:p>
          <w:p>
            <w:pPr>
              <w:shd w:val="clear" w:color="auto" w:fill="auto"/>
              <w:spacing w:line="360" w:lineRule="auto"/>
              <w:ind w:firstLine="480" w:firstLineChars="200"/>
              <w:rPr>
                <w:rFonts w:hint="default"/>
                <w:color w:val="auto"/>
                <w:sz w:val="24"/>
                <w:szCs w:val="24"/>
                <w:u w:val="none"/>
                <w:lang w:val="en-US" w:eastAsia="zh-CN"/>
              </w:rPr>
            </w:pPr>
            <w:r>
              <w:rPr>
                <w:rFonts w:hint="eastAsia"/>
                <w:color w:val="auto"/>
                <w:sz w:val="24"/>
                <w:szCs w:val="24"/>
                <w:u w:val="none"/>
                <w:lang w:eastAsia="zh-CN"/>
              </w:rPr>
              <w:t>（</w:t>
            </w:r>
            <w:r>
              <w:rPr>
                <w:rFonts w:hint="eastAsia"/>
                <w:color w:val="auto"/>
                <w:sz w:val="24"/>
                <w:szCs w:val="24"/>
                <w:u w:val="none"/>
                <w:lang w:val="en-US" w:eastAsia="zh-CN"/>
              </w:rPr>
              <w:t>7</w:t>
            </w:r>
            <w:r>
              <w:rPr>
                <w:rFonts w:hint="eastAsia"/>
                <w:color w:val="auto"/>
                <w:sz w:val="24"/>
                <w:szCs w:val="24"/>
                <w:u w:val="none"/>
                <w:lang w:eastAsia="zh-CN"/>
              </w:rPr>
              <w:t>）运输车辆轮胎冲洗废水（</w:t>
            </w:r>
            <w:r>
              <w:rPr>
                <w:rFonts w:hint="eastAsia"/>
                <w:color w:val="auto"/>
                <w:sz w:val="24"/>
                <w:szCs w:val="24"/>
                <w:u w:val="none"/>
                <w:lang w:val="en-US" w:eastAsia="zh-CN"/>
              </w:rPr>
              <w:t>W7</w:t>
            </w:r>
            <w:r>
              <w:rPr>
                <w:rFonts w:hint="eastAsia"/>
                <w:color w:val="auto"/>
                <w:sz w:val="24"/>
                <w:szCs w:val="24"/>
                <w:u w:val="none"/>
                <w:lang w:eastAsia="zh-CN"/>
              </w:rPr>
              <w:t>）</w:t>
            </w:r>
          </w:p>
          <w:p>
            <w:pPr>
              <w:spacing w:line="360" w:lineRule="auto"/>
              <w:ind w:right="183" w:rightChars="87" w:firstLine="480" w:firstLineChars="200"/>
              <w:rPr>
                <w:rFonts w:hint="eastAsia"/>
                <w:color w:val="auto"/>
                <w:sz w:val="24"/>
                <w:szCs w:val="24"/>
                <w:u w:val="none"/>
                <w:lang w:val="en-US" w:eastAsia="zh-CN"/>
              </w:rPr>
            </w:pPr>
            <w:r>
              <w:rPr>
                <w:rFonts w:hint="eastAsia"/>
                <w:color w:val="auto"/>
                <w:sz w:val="24"/>
                <w:szCs w:val="24"/>
                <w:u w:val="none"/>
              </w:rPr>
              <w:t>本项目</w:t>
            </w:r>
            <w:r>
              <w:rPr>
                <w:rFonts w:hint="eastAsia"/>
                <w:color w:val="auto"/>
                <w:sz w:val="24"/>
                <w:szCs w:val="24"/>
                <w:u w:val="none"/>
                <w:lang w:eastAsia="zh-CN"/>
              </w:rPr>
              <w:t>部分砂石用于生产混凝土自用，则</w:t>
            </w:r>
            <w:r>
              <w:rPr>
                <w:color w:val="auto"/>
                <w:sz w:val="24"/>
                <w:szCs w:val="24"/>
                <w:u w:val="none"/>
              </w:rPr>
              <w:t>项目</w:t>
            </w:r>
            <w:r>
              <w:rPr>
                <w:rFonts w:hint="eastAsia"/>
                <w:color w:val="auto"/>
                <w:sz w:val="24"/>
                <w:szCs w:val="24"/>
                <w:u w:val="none"/>
              </w:rPr>
              <w:t>运输原料和成品共</w:t>
            </w:r>
            <w:r>
              <w:rPr>
                <w:rFonts w:hint="eastAsia"/>
                <w:color w:val="auto"/>
                <w:sz w:val="24"/>
                <w:szCs w:val="24"/>
                <w:u w:val="none"/>
                <w:lang w:val="en-US" w:eastAsia="zh-CN"/>
              </w:rPr>
              <w:t>110</w:t>
            </w:r>
            <w:r>
              <w:rPr>
                <w:rFonts w:hint="eastAsia"/>
                <w:color w:val="auto"/>
                <w:sz w:val="24"/>
                <w:szCs w:val="24"/>
                <w:u w:val="none"/>
              </w:rPr>
              <w:t>万t/a，</w:t>
            </w:r>
            <w:r>
              <w:rPr>
                <w:rFonts w:hint="eastAsia"/>
                <w:color w:val="auto"/>
                <w:sz w:val="24"/>
                <w:szCs w:val="24"/>
                <w:u w:val="none"/>
                <w:lang w:val="en-US" w:eastAsia="zh-CN"/>
              </w:rPr>
              <w:t>3666</w:t>
            </w:r>
            <w:r>
              <w:rPr>
                <w:rFonts w:hint="eastAsia"/>
                <w:color w:val="auto"/>
                <w:sz w:val="24"/>
                <w:szCs w:val="24"/>
                <w:u w:val="none"/>
              </w:rPr>
              <w:t>t/d（每年工作300d），每辆货车载重为20t，则每个工作日所需载重车为</w:t>
            </w:r>
            <w:r>
              <w:rPr>
                <w:rFonts w:hint="eastAsia"/>
                <w:color w:val="auto"/>
                <w:sz w:val="24"/>
                <w:szCs w:val="24"/>
                <w:u w:val="none"/>
                <w:lang w:val="en-US" w:eastAsia="zh-CN"/>
              </w:rPr>
              <w:t>183</w:t>
            </w:r>
            <w:r>
              <w:rPr>
                <w:rFonts w:hint="eastAsia"/>
                <w:color w:val="auto"/>
                <w:sz w:val="24"/>
                <w:szCs w:val="24"/>
                <w:u w:val="none"/>
              </w:rPr>
              <w:t>辆。根据用水定额，运输车辆每日冲洗一次，车辆</w:t>
            </w:r>
            <w:r>
              <w:rPr>
                <w:rFonts w:hint="eastAsia"/>
                <w:color w:val="auto"/>
                <w:sz w:val="24"/>
                <w:szCs w:val="24"/>
                <w:u w:val="none"/>
                <w:lang w:eastAsia="zh-CN"/>
              </w:rPr>
              <w:t>轮胎</w:t>
            </w:r>
            <w:r>
              <w:rPr>
                <w:rFonts w:hint="eastAsia"/>
                <w:color w:val="auto"/>
                <w:sz w:val="24"/>
                <w:szCs w:val="24"/>
                <w:u w:val="none"/>
              </w:rPr>
              <w:t>冲洗用水为</w:t>
            </w:r>
            <w:r>
              <w:rPr>
                <w:rFonts w:hint="eastAsia"/>
                <w:color w:val="auto"/>
                <w:sz w:val="24"/>
                <w:szCs w:val="24"/>
                <w:u w:val="none"/>
                <w:lang w:val="en-US" w:eastAsia="zh-CN"/>
              </w:rPr>
              <w:t>80</w:t>
            </w:r>
            <w:r>
              <w:rPr>
                <w:rFonts w:hint="eastAsia"/>
                <w:color w:val="auto"/>
                <w:sz w:val="24"/>
                <w:szCs w:val="24"/>
                <w:u w:val="none"/>
              </w:rPr>
              <w:t xml:space="preserve"> L/辆</w:t>
            </w:r>
            <w:r>
              <w:rPr>
                <w:rFonts w:hint="eastAsia"/>
                <w:color w:val="auto"/>
                <w:sz w:val="24"/>
                <w:szCs w:val="24"/>
                <w:u w:val="none"/>
                <w:lang w:eastAsia="zh-CN"/>
              </w:rPr>
              <w:t>，</w:t>
            </w:r>
            <w:r>
              <w:rPr>
                <w:rFonts w:hint="eastAsia"/>
                <w:color w:val="auto"/>
                <w:sz w:val="24"/>
                <w:szCs w:val="24"/>
                <w:u w:val="none"/>
              </w:rPr>
              <w:t>则项目清洗车辆</w:t>
            </w:r>
            <w:r>
              <w:rPr>
                <w:color w:val="auto"/>
                <w:sz w:val="24"/>
                <w:szCs w:val="24"/>
                <w:u w:val="none"/>
              </w:rPr>
              <w:t>约产生</w:t>
            </w:r>
            <w:r>
              <w:rPr>
                <w:rFonts w:hint="eastAsia"/>
                <w:color w:val="auto"/>
                <w:sz w:val="24"/>
                <w:szCs w:val="24"/>
                <w:u w:val="none"/>
              </w:rPr>
              <w:t>废水</w:t>
            </w:r>
            <w:r>
              <w:rPr>
                <w:rFonts w:hint="eastAsia"/>
                <w:color w:val="auto"/>
                <w:sz w:val="24"/>
                <w:szCs w:val="24"/>
                <w:u w:val="none"/>
                <w:lang w:val="en-US" w:eastAsia="zh-CN"/>
              </w:rPr>
              <w:t>14.64m</w:t>
            </w:r>
            <w:r>
              <w:rPr>
                <w:rFonts w:hint="eastAsia"/>
                <w:color w:val="auto"/>
                <w:sz w:val="24"/>
                <w:szCs w:val="24"/>
                <w:u w:val="none"/>
                <w:vertAlign w:val="superscript"/>
                <w:lang w:val="en-US" w:eastAsia="zh-CN"/>
              </w:rPr>
              <w:t>3</w:t>
            </w:r>
            <w:r>
              <w:rPr>
                <w:rFonts w:hint="eastAsia"/>
                <w:color w:val="auto"/>
                <w:sz w:val="24"/>
                <w:szCs w:val="24"/>
                <w:u w:val="none"/>
              </w:rPr>
              <w:t>/d，</w:t>
            </w:r>
            <w:r>
              <w:rPr>
                <w:color w:val="auto"/>
                <w:sz w:val="24"/>
                <w:szCs w:val="24"/>
                <w:u w:val="none"/>
              </w:rPr>
              <w:t>即</w:t>
            </w:r>
            <w:r>
              <w:rPr>
                <w:rFonts w:hint="eastAsia"/>
                <w:color w:val="auto"/>
                <w:sz w:val="24"/>
                <w:szCs w:val="24"/>
                <w:u w:val="none"/>
                <w:lang w:val="en-US" w:eastAsia="zh-CN"/>
              </w:rPr>
              <w:t>4392m</w:t>
            </w:r>
            <w:r>
              <w:rPr>
                <w:rFonts w:hint="eastAsia"/>
                <w:color w:val="auto"/>
                <w:sz w:val="24"/>
                <w:szCs w:val="24"/>
                <w:u w:val="none"/>
                <w:vertAlign w:val="superscript"/>
                <w:lang w:val="en-US" w:eastAsia="zh-CN"/>
              </w:rPr>
              <w:t>3</w:t>
            </w:r>
            <w:r>
              <w:rPr>
                <w:color w:val="auto"/>
                <w:sz w:val="24"/>
                <w:szCs w:val="24"/>
                <w:u w:val="none"/>
              </w:rPr>
              <w:t>/a，</w:t>
            </w:r>
            <w:r>
              <w:rPr>
                <w:rFonts w:hint="eastAsia"/>
                <w:color w:val="auto"/>
                <w:sz w:val="24"/>
                <w:szCs w:val="24"/>
                <w:u w:val="none"/>
              </w:rPr>
              <w:t>车辆冲洗</w:t>
            </w:r>
            <w:r>
              <w:rPr>
                <w:color w:val="auto"/>
                <w:sz w:val="24"/>
                <w:szCs w:val="24"/>
                <w:u w:val="none"/>
              </w:rPr>
              <w:t>废水</w:t>
            </w:r>
            <w:r>
              <w:rPr>
                <w:rFonts w:hint="eastAsia"/>
                <w:color w:val="auto"/>
                <w:sz w:val="24"/>
                <w:szCs w:val="24"/>
                <w:u w:val="none"/>
              </w:rPr>
              <w:t>损耗以20%计，则可收集废水为</w:t>
            </w:r>
            <w:r>
              <w:rPr>
                <w:rFonts w:hint="eastAsia"/>
                <w:color w:val="auto"/>
                <w:sz w:val="24"/>
                <w:szCs w:val="24"/>
                <w:u w:val="none"/>
                <w:lang w:val="en-US" w:eastAsia="zh-CN"/>
              </w:rPr>
              <w:t>3153.6m</w:t>
            </w:r>
            <w:r>
              <w:rPr>
                <w:rFonts w:hint="eastAsia"/>
                <w:color w:val="auto"/>
                <w:sz w:val="24"/>
                <w:szCs w:val="24"/>
                <w:u w:val="none"/>
                <w:vertAlign w:val="superscript"/>
                <w:lang w:val="en-US" w:eastAsia="zh-CN"/>
              </w:rPr>
              <w:t>3</w:t>
            </w:r>
            <w:r>
              <w:rPr>
                <w:rFonts w:hint="eastAsia"/>
                <w:color w:val="auto"/>
                <w:sz w:val="24"/>
                <w:szCs w:val="24"/>
                <w:u w:val="none"/>
              </w:rPr>
              <w:t>/a（</w:t>
            </w:r>
            <w:r>
              <w:rPr>
                <w:rFonts w:hint="eastAsia"/>
                <w:color w:val="auto"/>
                <w:sz w:val="24"/>
                <w:szCs w:val="24"/>
                <w:u w:val="none"/>
                <w:lang w:val="en-US" w:eastAsia="zh-CN"/>
              </w:rPr>
              <w:t>11.71m</w:t>
            </w:r>
            <w:r>
              <w:rPr>
                <w:rFonts w:hint="eastAsia"/>
                <w:color w:val="auto"/>
                <w:sz w:val="24"/>
                <w:szCs w:val="24"/>
                <w:u w:val="none"/>
                <w:vertAlign w:val="superscript"/>
                <w:lang w:val="en-US" w:eastAsia="zh-CN"/>
              </w:rPr>
              <w:t>3</w:t>
            </w:r>
            <w:r>
              <w:rPr>
                <w:rFonts w:hint="eastAsia"/>
                <w:color w:val="auto"/>
                <w:sz w:val="24"/>
                <w:szCs w:val="24"/>
                <w:u w:val="none"/>
              </w:rPr>
              <w:t>/</w:t>
            </w:r>
            <w:r>
              <w:rPr>
                <w:rFonts w:hint="eastAsia"/>
                <w:color w:val="auto"/>
                <w:sz w:val="24"/>
                <w:szCs w:val="24"/>
                <w:u w:val="none"/>
                <w:lang w:val="en-US" w:eastAsia="zh-CN"/>
              </w:rPr>
              <w:t>d</w:t>
            </w:r>
            <w:r>
              <w:rPr>
                <w:rFonts w:hint="eastAsia"/>
                <w:color w:val="auto"/>
                <w:sz w:val="24"/>
                <w:szCs w:val="24"/>
                <w:u w:val="none"/>
              </w:rPr>
              <w:t>），</w:t>
            </w:r>
            <w:r>
              <w:rPr>
                <w:color w:val="auto"/>
                <w:sz w:val="24"/>
                <w:szCs w:val="24"/>
                <w:u w:val="none"/>
              </w:rPr>
              <w:t>类比同类型企业，SS的浓度为1000~1500 mg/L，本次评价取值1500mg/L，则冲洗水中SS产生量为</w:t>
            </w:r>
            <w:r>
              <w:rPr>
                <w:rFonts w:hint="eastAsia"/>
                <w:color w:val="auto"/>
                <w:sz w:val="24"/>
                <w:szCs w:val="24"/>
                <w:u w:val="none"/>
                <w:lang w:val="en-US" w:eastAsia="zh-CN"/>
              </w:rPr>
              <w:t>4.73</w:t>
            </w:r>
            <w:r>
              <w:rPr>
                <w:color w:val="auto"/>
                <w:sz w:val="24"/>
                <w:szCs w:val="24"/>
                <w:u w:val="none"/>
              </w:rPr>
              <w:t>t/a</w:t>
            </w:r>
            <w:r>
              <w:rPr>
                <w:rFonts w:hint="eastAsia"/>
                <w:color w:val="auto"/>
                <w:sz w:val="24"/>
                <w:szCs w:val="24"/>
                <w:u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eastAsia"/>
                <w:color w:val="auto"/>
                <w:sz w:val="24"/>
                <w:szCs w:val="24"/>
                <w:lang w:val="en-US" w:eastAsia="zh-CN"/>
              </w:rPr>
              <w:t>根据企业建设要求，建设导流沟将污水统一收集，在厂区出入口设置一处洗车平台和一个沉淀池，洗车废水收集后再通过导流沟与生产区域W2、W6、W7废水混合先进入一级沉淀池（500m</w:t>
            </w:r>
            <w:r>
              <w:rPr>
                <w:rFonts w:hint="eastAsia"/>
                <w:color w:val="auto"/>
                <w:sz w:val="24"/>
                <w:szCs w:val="24"/>
                <w:vertAlign w:val="superscript"/>
                <w:lang w:val="en-US" w:eastAsia="zh-CN"/>
              </w:rPr>
              <w:t>3</w:t>
            </w:r>
            <w:r>
              <w:rPr>
                <w:rFonts w:hint="eastAsia"/>
                <w:color w:val="auto"/>
                <w:sz w:val="24"/>
                <w:szCs w:val="24"/>
                <w:lang w:val="en-US" w:eastAsia="zh-CN"/>
              </w:rPr>
              <w:t>），再用泵送入沉淀罐（包含有砂石分离器）内，在沉淀罐中加入絮凝剂，絮凝沉淀处理后用泵抽入二级沉淀池沉淀（500m</w:t>
            </w:r>
            <w:r>
              <w:rPr>
                <w:rFonts w:hint="eastAsia"/>
                <w:color w:val="auto"/>
                <w:sz w:val="24"/>
                <w:szCs w:val="24"/>
                <w:vertAlign w:val="superscript"/>
                <w:lang w:val="en-US" w:eastAsia="zh-CN"/>
              </w:rPr>
              <w:t>3</w:t>
            </w:r>
            <w:r>
              <w:rPr>
                <w:rFonts w:hint="eastAsia"/>
                <w:color w:val="auto"/>
                <w:sz w:val="24"/>
                <w:szCs w:val="24"/>
                <w:lang w:val="en-US" w:eastAsia="zh-CN"/>
              </w:rPr>
              <w:t>），泥渣则进入压滤机处理，沉淀池沉淀处理后的水可达到回用要求，再进入清水池（容积为1000m</w:t>
            </w:r>
            <w:r>
              <w:rPr>
                <w:rFonts w:hint="eastAsia"/>
                <w:color w:val="auto"/>
                <w:sz w:val="24"/>
                <w:szCs w:val="24"/>
                <w:vertAlign w:val="superscript"/>
                <w:lang w:val="en-US" w:eastAsia="zh-CN"/>
              </w:rPr>
              <w:t>3</w:t>
            </w:r>
            <w:r>
              <w:rPr>
                <w:rFonts w:hint="eastAsia"/>
                <w:color w:val="auto"/>
                <w:sz w:val="24"/>
                <w:szCs w:val="24"/>
                <w:lang w:val="en-US" w:eastAsia="zh-CN"/>
              </w:rPr>
              <w:t>）贮存，回用于洗砂工序、地面清洗等，不外排。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lang w:eastAsia="zh-CN"/>
              </w:rPr>
              <w:t>）废水回用的可行性分析</w:t>
            </w:r>
          </w:p>
          <w:p>
            <w:pPr>
              <w:pStyle w:val="2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color w:val="auto"/>
                <w:sz w:val="24"/>
                <w:szCs w:val="24"/>
              </w:rPr>
            </w:pPr>
            <w:r>
              <w:rPr>
                <w:rFonts w:hint="default" w:ascii="Times New Roman" w:hAnsi="Times New Roman" w:cs="Times New Roman"/>
                <w:color w:val="auto"/>
                <w:sz w:val="24"/>
                <w:szCs w:val="24"/>
              </w:rPr>
              <w:t>可知，本项目</w:t>
            </w:r>
            <w:r>
              <w:rPr>
                <w:rFonts w:hint="default" w:ascii="Times New Roman" w:hAnsi="Times New Roman" w:cs="Times New Roman"/>
                <w:color w:val="auto"/>
                <w:sz w:val="24"/>
                <w:szCs w:val="24"/>
                <w:lang w:eastAsia="zh-CN"/>
              </w:rPr>
              <w:t>上述</w:t>
            </w:r>
            <w:r>
              <w:rPr>
                <w:rFonts w:hint="default" w:ascii="Times New Roman" w:hAnsi="Times New Roman" w:cs="Times New Roman"/>
                <w:color w:val="auto"/>
                <w:sz w:val="24"/>
                <w:szCs w:val="24"/>
                <w:lang w:val="en-US" w:eastAsia="zh-CN"/>
              </w:rPr>
              <w:t>环节</w:t>
            </w:r>
            <w:r>
              <w:rPr>
                <w:rFonts w:hint="default" w:ascii="Times New Roman" w:hAnsi="Times New Roman" w:cs="Times New Roman"/>
                <w:color w:val="auto"/>
                <w:sz w:val="24"/>
                <w:szCs w:val="24"/>
              </w:rPr>
              <w:t>废水总产生量为</w:t>
            </w:r>
            <w:r>
              <w:rPr>
                <w:rFonts w:hint="default" w:ascii="Times New Roman" w:hAnsi="Times New Roman" w:cs="Times New Roman"/>
                <w:color w:val="auto"/>
                <w:sz w:val="24"/>
                <w:szCs w:val="24"/>
                <w:lang w:val="en-US" w:eastAsia="zh-CN"/>
              </w:rPr>
              <w:t>38982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rPr>
              <w:t>/a，</w:t>
            </w:r>
            <w:r>
              <w:rPr>
                <w:rFonts w:hint="default" w:ascii="Times New Roman" w:hAnsi="Times New Roman" w:cs="Times New Roman"/>
                <w:color w:val="auto"/>
                <w:sz w:val="24"/>
                <w:szCs w:val="24"/>
                <w:lang w:val="en-US" w:eastAsia="zh-CN"/>
              </w:rPr>
              <w:t>129.94</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rPr>
              <w:t>/d (</w:t>
            </w:r>
            <w:r>
              <w:rPr>
                <w:rFonts w:hint="default" w:ascii="Times New Roman" w:hAnsi="Times New Roman" w:cs="Times New Roman"/>
                <w:color w:val="auto"/>
                <w:sz w:val="24"/>
                <w:szCs w:val="24"/>
                <w:lang w:val="en-US" w:eastAsia="zh-CN"/>
              </w:rPr>
              <w:t>16.24</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rPr>
              <w:t>/h）。</w:t>
            </w:r>
            <w:r>
              <w:rPr>
                <w:rFonts w:hint="default" w:ascii="Times New Roman" w:hAnsi="Times New Roman" w:cs="Times New Roman"/>
                <w:color w:val="auto"/>
                <w:sz w:val="24"/>
                <w:szCs w:val="24"/>
                <w:lang w:eastAsia="zh-CN"/>
              </w:rPr>
              <w:t>厂</w:t>
            </w:r>
            <w:r>
              <w:rPr>
                <w:rFonts w:hint="eastAsia"/>
                <w:color w:val="auto"/>
                <w:sz w:val="24"/>
                <w:szCs w:val="24"/>
                <w:lang w:eastAsia="zh-CN"/>
              </w:rPr>
              <w:t>区沉淀罐和清水池的容积为</w:t>
            </w:r>
            <w:r>
              <w:rPr>
                <w:rFonts w:hint="eastAsia"/>
                <w:color w:val="auto"/>
                <w:sz w:val="24"/>
                <w:szCs w:val="24"/>
                <w:lang w:val="en-US" w:eastAsia="zh-CN"/>
              </w:rPr>
              <w:t>500</w:t>
            </w:r>
            <w:r>
              <w:rPr>
                <w:rFonts w:hint="default"/>
                <w:color w:val="auto"/>
                <w:sz w:val="24"/>
                <w:szCs w:val="24"/>
              </w:rPr>
              <w:t>m</w:t>
            </w:r>
            <w:r>
              <w:rPr>
                <w:rFonts w:hint="eastAsia"/>
                <w:color w:val="auto"/>
                <w:sz w:val="24"/>
                <w:szCs w:val="24"/>
                <w:vertAlign w:val="superscript"/>
                <w:lang w:val="en-US" w:eastAsia="zh-CN"/>
              </w:rPr>
              <w:t>3</w:t>
            </w:r>
            <w:r>
              <w:rPr>
                <w:rFonts w:hint="default"/>
                <w:color w:val="auto"/>
                <w:sz w:val="24"/>
                <w:szCs w:val="24"/>
              </w:rPr>
              <w:t>。建设单位拟在沉淀罐中加入絮凝剂，根据《环境科学大辞典》(编委会.环境科学大辞典 (修订版)[M].中国环境科学出版社，2008)，絮凝沉淀处理指的是絮凝剂使水中悬浮颗粒发生凝聚沉淀的水处理过程。水中投加混凝剂后，其中悬浮物的胶体及分散颗粒由于分子吸引力的作用，相互碰撞凝聚生成絮状体，在沉降过程中尺寸与质量不断变大，沉速随深度而增加。此时，悬浮物的去除率不仅取决于颗粒沉淀速度，而且与沉淀罐深度有关。</w:t>
            </w:r>
          </w:p>
          <w:p>
            <w:pPr>
              <w:pStyle w:val="2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color w:val="auto"/>
                <w:sz w:val="24"/>
                <w:szCs w:val="24"/>
              </w:rPr>
            </w:pPr>
            <w:r>
              <w:rPr>
                <w:rFonts w:hint="default"/>
                <w:color w:val="auto"/>
                <w:sz w:val="24"/>
                <w:szCs w:val="24"/>
              </w:rPr>
              <w:t>由于洗砂废水含泥量较大，通过添加絮凝剂，形成颗粒沉淀，上清液进入</w:t>
            </w:r>
            <w:r>
              <w:rPr>
                <w:rFonts w:hint="eastAsia"/>
                <w:color w:val="auto"/>
                <w:sz w:val="24"/>
                <w:szCs w:val="24"/>
                <w:lang w:eastAsia="zh-CN"/>
              </w:rPr>
              <w:t>二级沉淀沉淀后</w:t>
            </w:r>
            <w:r>
              <w:rPr>
                <w:rFonts w:hint="default"/>
                <w:color w:val="auto"/>
                <w:sz w:val="24"/>
                <w:szCs w:val="24"/>
              </w:rPr>
              <w:t>回用，下层淤泥进入污泥脱水设备，</w:t>
            </w:r>
            <w:r>
              <w:rPr>
                <w:rFonts w:hint="eastAsia"/>
                <w:color w:val="auto"/>
                <w:sz w:val="24"/>
                <w:szCs w:val="24"/>
                <w:lang w:eastAsia="zh-CN"/>
              </w:rPr>
              <w:t>泥渣</w:t>
            </w:r>
            <w:r>
              <w:rPr>
                <w:rFonts w:hint="default"/>
                <w:color w:val="auto"/>
                <w:sz w:val="24"/>
                <w:szCs w:val="24"/>
              </w:rPr>
              <w:t>外运</w:t>
            </w:r>
            <w:r>
              <w:rPr>
                <w:rFonts w:hint="eastAsia"/>
                <w:color w:val="auto"/>
                <w:sz w:val="24"/>
                <w:szCs w:val="24"/>
                <w:lang w:eastAsia="zh-CN"/>
              </w:rPr>
              <w:t>用作路基填料</w:t>
            </w:r>
            <w:r>
              <w:rPr>
                <w:rFonts w:hint="default"/>
                <w:color w:val="auto"/>
                <w:sz w:val="24"/>
                <w:szCs w:val="24"/>
              </w:rPr>
              <w:t>。</w:t>
            </w:r>
          </w:p>
          <w:p>
            <w:pPr>
              <w:pStyle w:val="2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color w:val="auto"/>
                <w:sz w:val="24"/>
                <w:szCs w:val="24"/>
              </w:rPr>
            </w:pPr>
            <w:r>
              <w:rPr>
                <w:rFonts w:hint="default"/>
                <w:color w:val="auto"/>
                <w:sz w:val="24"/>
                <w:szCs w:val="24"/>
              </w:rPr>
              <w:t>废水经加药沉淀罐沉淀后，流入清水</w:t>
            </w:r>
            <w:r>
              <w:rPr>
                <w:rFonts w:hint="eastAsia"/>
                <w:color w:val="auto"/>
                <w:sz w:val="24"/>
                <w:szCs w:val="24"/>
                <w:lang w:eastAsia="zh-CN"/>
              </w:rPr>
              <w:t>池</w:t>
            </w:r>
            <w:r>
              <w:rPr>
                <w:rFonts w:hint="default"/>
                <w:color w:val="auto"/>
                <w:sz w:val="24"/>
                <w:szCs w:val="24"/>
              </w:rPr>
              <w:t>。由于废水一直在循环使用，回用水量约</w:t>
            </w:r>
            <w:r>
              <w:rPr>
                <w:rFonts w:hint="eastAsia"/>
                <w:color w:val="auto"/>
                <w:sz w:val="24"/>
                <w:szCs w:val="24"/>
                <w:lang w:val="en-US" w:eastAsia="zh-CN"/>
              </w:rPr>
              <w:t>20.48</w:t>
            </w:r>
            <w:r>
              <w:rPr>
                <w:rFonts w:hint="default"/>
                <w:color w:val="auto"/>
                <w:sz w:val="24"/>
                <w:szCs w:val="24"/>
              </w:rPr>
              <w:t>m</w:t>
            </w:r>
            <w:r>
              <w:rPr>
                <w:rFonts w:hint="eastAsia"/>
                <w:color w:val="auto"/>
                <w:sz w:val="24"/>
                <w:szCs w:val="24"/>
                <w:vertAlign w:val="superscript"/>
                <w:lang w:val="en-US" w:eastAsia="zh-CN"/>
              </w:rPr>
              <w:t>3</w:t>
            </w:r>
            <w:r>
              <w:rPr>
                <w:rFonts w:hint="default"/>
                <w:color w:val="auto"/>
                <w:sz w:val="24"/>
                <w:szCs w:val="24"/>
              </w:rPr>
              <w:t>/h。为了满足最大水量要求，同时预留部分空间，项目清水</w:t>
            </w:r>
            <w:r>
              <w:rPr>
                <w:rFonts w:hint="eastAsia"/>
                <w:color w:val="auto"/>
                <w:sz w:val="24"/>
                <w:szCs w:val="24"/>
                <w:lang w:eastAsia="zh-CN"/>
              </w:rPr>
              <w:t>池</w:t>
            </w:r>
            <w:r>
              <w:rPr>
                <w:rFonts w:hint="default"/>
                <w:color w:val="auto"/>
                <w:sz w:val="24"/>
                <w:szCs w:val="24"/>
              </w:rPr>
              <w:t>的设计规模不小于</w:t>
            </w:r>
            <w:r>
              <w:rPr>
                <w:rFonts w:hint="eastAsia"/>
                <w:color w:val="auto"/>
                <w:sz w:val="24"/>
                <w:szCs w:val="24"/>
                <w:lang w:val="en-US" w:eastAsia="zh-CN"/>
              </w:rPr>
              <w:t>1000</w:t>
            </w:r>
            <w:r>
              <w:rPr>
                <w:rFonts w:hint="default"/>
                <w:color w:val="auto"/>
                <w:sz w:val="24"/>
                <w:szCs w:val="24"/>
              </w:rPr>
              <w:t>m</w:t>
            </w:r>
            <w:r>
              <w:rPr>
                <w:rFonts w:hint="eastAsia"/>
                <w:color w:val="auto"/>
                <w:sz w:val="24"/>
                <w:szCs w:val="24"/>
                <w:vertAlign w:val="superscript"/>
                <w:lang w:val="en-US" w:eastAsia="zh-CN"/>
              </w:rPr>
              <w:t>3</w:t>
            </w:r>
            <w:r>
              <w:rPr>
                <w:rFonts w:hint="default"/>
                <w:color w:val="auto"/>
                <w:sz w:val="24"/>
                <w:szCs w:val="24"/>
              </w:rPr>
              <w:t>。能够满足回用要求</w:t>
            </w:r>
            <w:r>
              <w:rPr>
                <w:rFonts w:hint="eastAsia"/>
                <w:color w:val="auto"/>
                <w:sz w:val="24"/>
                <w:szCs w:val="24"/>
                <w:lang w:eastAsia="zh-CN"/>
              </w:rPr>
              <w:t>。</w:t>
            </w:r>
          </w:p>
          <w:p>
            <w:pPr>
              <w:pStyle w:val="2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color w:val="auto"/>
              </w:rPr>
            </w:pPr>
            <w:r>
              <w:rPr>
                <w:rFonts w:hint="default"/>
                <w:color w:val="auto"/>
                <w:sz w:val="24"/>
                <w:szCs w:val="24"/>
              </w:rPr>
              <w:t>由于本项目用水环节对水质要求较低，经沉淀罐处理后的废水完全可满足洗砂、洗车用水</w:t>
            </w:r>
            <w:r>
              <w:rPr>
                <w:rFonts w:hint="eastAsia"/>
                <w:color w:val="auto"/>
                <w:sz w:val="24"/>
                <w:szCs w:val="24"/>
                <w:lang w:eastAsia="zh-CN"/>
              </w:rPr>
              <w:t>、地面清洗等</w:t>
            </w:r>
            <w:r>
              <w:rPr>
                <w:rFonts w:hint="default"/>
                <w:color w:val="auto"/>
                <w:sz w:val="24"/>
                <w:szCs w:val="24"/>
              </w:rPr>
              <w:t>要求。</w:t>
            </w:r>
          </w:p>
          <w:p>
            <w:pPr>
              <w:pStyle w:val="20"/>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color w:val="auto"/>
                <w:sz w:val="24"/>
                <w:szCs w:val="24"/>
              </w:rPr>
            </w:pPr>
            <w:r>
              <w:rPr>
                <w:rFonts w:hint="default"/>
                <w:color w:val="auto"/>
                <w:sz w:val="24"/>
                <w:szCs w:val="24"/>
              </w:rPr>
              <w:t>为防止废水下渗引起地下水的污染问题，或者废水溢出，要求项目建设单位对沉淀罐及清水罐采取防渗漏、防溢、防晒等处理措施。同时，建设单位应在罐体四周修建环形导流沟，防治废水外溢，对环境造成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color w:val="auto"/>
              </w:rPr>
            </w:pPr>
            <w:r>
              <w:rPr>
                <w:rFonts w:hint="default"/>
                <w:color w:val="auto"/>
                <w:sz w:val="24"/>
                <w:szCs w:val="24"/>
              </w:rPr>
              <w:t>建设单位在落实上述环保措施的基础上，洗砂废水、洗车</w:t>
            </w:r>
            <w:r>
              <w:rPr>
                <w:rFonts w:hint="eastAsia"/>
                <w:color w:val="auto"/>
                <w:sz w:val="24"/>
                <w:szCs w:val="24"/>
                <w:lang w:eastAsia="zh-CN"/>
              </w:rPr>
              <w:t>、罐车清洗、搅拌设备清洗水及地面冲洗水</w:t>
            </w:r>
            <w:r>
              <w:rPr>
                <w:rFonts w:hint="default"/>
                <w:color w:val="auto"/>
                <w:sz w:val="24"/>
                <w:szCs w:val="24"/>
              </w:rPr>
              <w:t>不会对区域地表水产生影响</w:t>
            </w:r>
            <w:r>
              <w:rPr>
                <w:rFonts w:hint="default"/>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20" w:firstLineChars="200"/>
              <w:jc w:val="center"/>
              <w:textAlignment w:val="auto"/>
              <w:rPr>
                <w:rFonts w:hint="eastAsia"/>
                <w:color w:val="auto"/>
                <w:lang w:val="en-US" w:eastAsia="zh-CN"/>
              </w:rPr>
            </w:pPr>
            <w:r>
              <w:rPr>
                <w:color w:val="auto"/>
              </w:rPr>
              <w:drawing>
                <wp:inline distT="0" distB="0" distL="114300" distR="114300">
                  <wp:extent cx="5191125" cy="857250"/>
                  <wp:effectExtent l="0" t="0" r="952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5"/>
                          <a:stretch>
                            <a:fillRect/>
                          </a:stretch>
                        </pic:blipFill>
                        <pic:spPr>
                          <a:xfrm>
                            <a:off x="0" y="0"/>
                            <a:ext cx="5191125" cy="8572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20" w:firstLineChars="200"/>
              <w:jc w:val="center"/>
              <w:textAlignment w:val="auto"/>
              <w:rPr>
                <w:rFonts w:hint="eastAsia"/>
                <w:color w:val="auto"/>
                <w:lang w:val="en-US" w:eastAsia="zh-CN"/>
              </w:rPr>
            </w:pPr>
            <w:r>
              <w:drawing>
                <wp:inline distT="0" distB="0" distL="114300" distR="114300">
                  <wp:extent cx="4718050" cy="4328795"/>
                  <wp:effectExtent l="0" t="0" r="6350" b="1460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6"/>
                          <a:stretch>
                            <a:fillRect/>
                          </a:stretch>
                        </pic:blipFill>
                        <pic:spPr>
                          <a:xfrm>
                            <a:off x="0" y="0"/>
                            <a:ext cx="4718050" cy="43287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22" w:firstLineChars="200"/>
              <w:jc w:val="center"/>
              <w:textAlignment w:val="auto"/>
              <w:rPr>
                <w:rFonts w:hint="eastAsia"/>
                <w:b/>
                <w:bCs/>
                <w:color w:val="auto"/>
              </w:rPr>
            </w:pPr>
            <w:r>
              <w:rPr>
                <w:rFonts w:hint="eastAsia"/>
                <w:b/>
                <w:bCs/>
                <w:color w:val="auto"/>
                <w:lang w:val="en-US" w:eastAsia="zh-CN"/>
              </w:rPr>
              <w:t>图4-1 本项目水平衡图</w:t>
            </w:r>
          </w:p>
          <w:p>
            <w:pPr>
              <w:spacing w:line="360" w:lineRule="auto"/>
              <w:ind w:firstLine="480" w:firstLineChars="200"/>
              <w:rPr>
                <w:color w:val="auto"/>
                <w:sz w:val="24"/>
                <w:szCs w:val="24"/>
              </w:rPr>
            </w:pPr>
            <w:r>
              <w:rPr>
                <w:rFonts w:hint="eastAsia"/>
                <w:color w:val="auto"/>
                <w:sz w:val="24"/>
                <w:szCs w:val="24"/>
              </w:rPr>
              <w:t>（</w:t>
            </w:r>
            <w:r>
              <w:rPr>
                <w:rFonts w:hint="eastAsia"/>
                <w:color w:val="auto"/>
                <w:sz w:val="24"/>
                <w:szCs w:val="24"/>
                <w:lang w:val="en-US" w:eastAsia="zh-CN"/>
              </w:rPr>
              <w:t>9</w:t>
            </w:r>
            <w:r>
              <w:rPr>
                <w:rFonts w:hint="eastAsia"/>
                <w:color w:val="auto"/>
                <w:sz w:val="24"/>
                <w:szCs w:val="24"/>
              </w:rPr>
              <w:t>）废水</w:t>
            </w:r>
            <w:r>
              <w:rPr>
                <w:rFonts w:hint="eastAsia"/>
                <w:color w:val="auto"/>
                <w:sz w:val="24"/>
                <w:szCs w:val="24"/>
                <w:lang w:eastAsia="zh-CN"/>
              </w:rPr>
              <w:t>处理</w:t>
            </w:r>
            <w:r>
              <w:rPr>
                <w:rFonts w:hint="eastAsia"/>
                <w:color w:val="auto"/>
                <w:sz w:val="24"/>
                <w:szCs w:val="24"/>
              </w:rPr>
              <w:t>控制要求</w:t>
            </w:r>
          </w:p>
          <w:p>
            <w:pPr>
              <w:spacing w:line="360" w:lineRule="auto"/>
              <w:ind w:firstLine="480" w:firstLineChars="200"/>
              <w:rPr>
                <w:color w:val="auto"/>
                <w:sz w:val="24"/>
                <w:szCs w:val="24"/>
              </w:rPr>
            </w:pPr>
            <w:r>
              <w:rPr>
                <w:color w:val="auto"/>
                <w:sz w:val="24"/>
                <w:szCs w:val="24"/>
              </w:rPr>
              <w:t>1）维护生活污水设备正常运行，</w:t>
            </w:r>
            <w:r>
              <w:rPr>
                <w:rFonts w:hint="eastAsia"/>
                <w:color w:val="auto"/>
                <w:sz w:val="24"/>
                <w:szCs w:val="24"/>
                <w:lang w:eastAsia="zh-CN"/>
              </w:rPr>
              <w:t>生活废水能够合理处置</w:t>
            </w:r>
            <w:r>
              <w:rPr>
                <w:color w:val="auto"/>
                <w:sz w:val="24"/>
                <w:szCs w:val="24"/>
              </w:rPr>
              <w:t>；</w:t>
            </w:r>
          </w:p>
          <w:p>
            <w:pPr>
              <w:spacing w:line="360" w:lineRule="auto"/>
              <w:ind w:firstLine="480" w:firstLineChars="200"/>
              <w:rPr>
                <w:color w:val="auto"/>
                <w:sz w:val="24"/>
                <w:szCs w:val="24"/>
              </w:rPr>
            </w:pPr>
            <w:r>
              <w:rPr>
                <w:color w:val="auto"/>
                <w:sz w:val="24"/>
                <w:szCs w:val="24"/>
              </w:rPr>
              <w:t>2）做好厂区雨污分流，循环利用。在洗砂区</w:t>
            </w:r>
            <w:r>
              <w:rPr>
                <w:rFonts w:hint="eastAsia"/>
                <w:color w:val="auto"/>
                <w:sz w:val="24"/>
                <w:szCs w:val="24"/>
              </w:rPr>
              <w:t>、泥浆压滤区</w:t>
            </w:r>
            <w:r>
              <w:rPr>
                <w:color w:val="auto"/>
                <w:sz w:val="24"/>
                <w:szCs w:val="24"/>
              </w:rPr>
              <w:t>设置围堰截流、导流沟渠</w:t>
            </w:r>
            <w:r>
              <w:rPr>
                <w:rFonts w:hint="eastAsia"/>
                <w:color w:val="auto"/>
                <w:sz w:val="24"/>
                <w:szCs w:val="24"/>
              </w:rPr>
              <w:t>将生产废水</w:t>
            </w:r>
            <w:r>
              <w:rPr>
                <w:color w:val="auto"/>
                <w:sz w:val="24"/>
                <w:szCs w:val="24"/>
              </w:rPr>
              <w:t>引入</w:t>
            </w:r>
            <w:r>
              <w:rPr>
                <w:rFonts w:hint="eastAsia"/>
                <w:color w:val="auto"/>
                <w:sz w:val="24"/>
                <w:szCs w:val="24"/>
              </w:rPr>
              <w:t>沉淀池，洗砂废水经过渣浆泵进入脱水筛脱水后</w:t>
            </w:r>
            <w:r>
              <w:rPr>
                <w:color w:val="auto"/>
                <w:sz w:val="24"/>
                <w:szCs w:val="24"/>
              </w:rPr>
              <w:t>，</w:t>
            </w:r>
            <w:r>
              <w:rPr>
                <w:rFonts w:hint="eastAsia"/>
                <w:color w:val="auto"/>
                <w:sz w:val="24"/>
                <w:szCs w:val="24"/>
                <w:lang w:eastAsia="zh-CN"/>
              </w:rPr>
              <w:t>通过导流沟进入一级沉淀池</w:t>
            </w:r>
            <w:r>
              <w:rPr>
                <w:rFonts w:hint="eastAsia"/>
                <w:color w:val="auto"/>
                <w:sz w:val="24"/>
                <w:szCs w:val="24"/>
                <w:lang w:val="en-US" w:eastAsia="zh-CN"/>
              </w:rPr>
              <w:t>1#</w:t>
            </w:r>
            <w:r>
              <w:rPr>
                <w:rFonts w:hint="eastAsia"/>
                <w:color w:val="auto"/>
                <w:sz w:val="24"/>
                <w:szCs w:val="24"/>
                <w:lang w:eastAsia="zh-CN"/>
              </w:rPr>
              <w:t>（容积为</w:t>
            </w:r>
            <w:r>
              <w:rPr>
                <w:rFonts w:hint="eastAsia"/>
                <w:color w:val="auto"/>
                <w:sz w:val="24"/>
                <w:szCs w:val="24"/>
                <w:lang w:val="en-US" w:eastAsia="zh-CN"/>
              </w:rPr>
              <w:t>500m</w:t>
            </w:r>
            <w:r>
              <w:rPr>
                <w:rFonts w:hint="eastAsia"/>
                <w:color w:val="auto"/>
                <w:sz w:val="24"/>
                <w:szCs w:val="24"/>
                <w:vertAlign w:val="superscript"/>
                <w:lang w:val="en-US" w:eastAsia="zh-CN"/>
              </w:rPr>
              <w:t>3</w:t>
            </w:r>
            <w:r>
              <w:rPr>
                <w:rFonts w:hint="eastAsia"/>
                <w:color w:val="auto"/>
                <w:sz w:val="24"/>
                <w:szCs w:val="24"/>
                <w:lang w:eastAsia="zh-CN"/>
              </w:rPr>
              <w:t>），</w:t>
            </w:r>
            <w:r>
              <w:rPr>
                <w:rFonts w:hint="eastAsia"/>
                <w:color w:val="auto"/>
                <w:sz w:val="24"/>
                <w:szCs w:val="24"/>
              </w:rPr>
              <w:t>污水经过</w:t>
            </w:r>
            <w:r>
              <w:rPr>
                <w:color w:val="auto"/>
                <w:sz w:val="24"/>
                <w:szCs w:val="24"/>
              </w:rPr>
              <w:t>泵入</w:t>
            </w:r>
            <w:r>
              <w:rPr>
                <w:rFonts w:hint="eastAsia"/>
                <w:color w:val="auto"/>
                <w:sz w:val="24"/>
                <w:szCs w:val="24"/>
              </w:rPr>
              <w:t>沉淀</w:t>
            </w:r>
            <w:r>
              <w:rPr>
                <w:color w:val="auto"/>
                <w:sz w:val="24"/>
                <w:szCs w:val="24"/>
              </w:rPr>
              <w:t>罐，</w:t>
            </w:r>
            <w:r>
              <w:rPr>
                <w:rFonts w:hint="eastAsia"/>
                <w:color w:val="auto"/>
                <w:sz w:val="24"/>
                <w:szCs w:val="24"/>
              </w:rPr>
              <w:t>上清液</w:t>
            </w:r>
            <w:r>
              <w:rPr>
                <w:color w:val="auto"/>
                <w:sz w:val="24"/>
                <w:szCs w:val="24"/>
              </w:rPr>
              <w:t>再</w:t>
            </w:r>
            <w:r>
              <w:rPr>
                <w:rFonts w:hint="eastAsia"/>
                <w:color w:val="auto"/>
                <w:sz w:val="24"/>
                <w:szCs w:val="24"/>
              </w:rPr>
              <w:t>进入</w:t>
            </w:r>
            <w:r>
              <w:rPr>
                <w:color w:val="auto"/>
                <w:sz w:val="24"/>
                <w:szCs w:val="24"/>
              </w:rPr>
              <w:t>沉淀池</w:t>
            </w:r>
            <w:r>
              <w:rPr>
                <w:rFonts w:hint="eastAsia"/>
                <w:color w:val="auto"/>
                <w:sz w:val="24"/>
                <w:szCs w:val="24"/>
                <w:lang w:val="en-US" w:eastAsia="zh-CN"/>
              </w:rPr>
              <w:t>2#</w:t>
            </w:r>
            <w:r>
              <w:rPr>
                <w:rFonts w:hint="eastAsia"/>
                <w:color w:val="auto"/>
                <w:sz w:val="24"/>
                <w:szCs w:val="24"/>
              </w:rPr>
              <w:t>沉淀</w:t>
            </w:r>
            <w:r>
              <w:rPr>
                <w:rFonts w:hint="eastAsia"/>
                <w:color w:val="auto"/>
                <w:sz w:val="24"/>
                <w:szCs w:val="24"/>
                <w:lang w:eastAsia="zh-CN"/>
              </w:rPr>
              <w:t>（容积</w:t>
            </w:r>
            <w:r>
              <w:rPr>
                <w:rFonts w:hint="eastAsia"/>
                <w:color w:val="auto"/>
                <w:sz w:val="24"/>
                <w:szCs w:val="24"/>
                <w:lang w:val="en-US" w:eastAsia="zh-CN"/>
              </w:rPr>
              <w:t>500m</w:t>
            </w:r>
            <w:r>
              <w:rPr>
                <w:rFonts w:hint="eastAsia"/>
                <w:color w:val="auto"/>
                <w:sz w:val="24"/>
                <w:szCs w:val="24"/>
                <w:vertAlign w:val="superscript"/>
                <w:lang w:val="en-US" w:eastAsia="zh-CN"/>
              </w:rPr>
              <w:t>3</w:t>
            </w:r>
            <w:r>
              <w:rPr>
                <w:rFonts w:hint="eastAsia"/>
                <w:color w:val="auto"/>
                <w:sz w:val="24"/>
                <w:szCs w:val="24"/>
                <w:lang w:eastAsia="zh-CN"/>
              </w:rPr>
              <w:t>）</w:t>
            </w:r>
            <w:r>
              <w:rPr>
                <w:rFonts w:hint="eastAsia"/>
                <w:color w:val="auto"/>
                <w:sz w:val="24"/>
                <w:szCs w:val="24"/>
              </w:rPr>
              <w:t>，最后进入清水池</w:t>
            </w:r>
            <w:r>
              <w:rPr>
                <w:rFonts w:hint="eastAsia"/>
                <w:color w:val="auto"/>
                <w:sz w:val="24"/>
                <w:szCs w:val="24"/>
                <w:lang w:eastAsia="zh-CN"/>
              </w:rPr>
              <w:t>（</w:t>
            </w:r>
            <w:r>
              <w:rPr>
                <w:rFonts w:hint="eastAsia"/>
                <w:color w:val="auto"/>
                <w:sz w:val="24"/>
                <w:szCs w:val="24"/>
                <w:lang w:val="en-US" w:eastAsia="zh-CN"/>
              </w:rPr>
              <w:t>1000m</w:t>
            </w:r>
            <w:r>
              <w:rPr>
                <w:rFonts w:hint="eastAsia"/>
                <w:color w:val="auto"/>
                <w:sz w:val="24"/>
                <w:szCs w:val="24"/>
                <w:vertAlign w:val="superscript"/>
                <w:lang w:val="en-US" w:eastAsia="zh-CN"/>
              </w:rPr>
              <w:t>3</w:t>
            </w:r>
            <w:r>
              <w:rPr>
                <w:rFonts w:hint="eastAsia"/>
                <w:color w:val="auto"/>
                <w:sz w:val="24"/>
                <w:szCs w:val="24"/>
                <w:lang w:eastAsia="zh-CN"/>
              </w:rPr>
              <w:t>）</w:t>
            </w:r>
            <w:r>
              <w:rPr>
                <w:color w:val="auto"/>
                <w:sz w:val="24"/>
                <w:szCs w:val="24"/>
              </w:rPr>
              <w:t>，确保废水不外溢</w:t>
            </w:r>
            <w:r>
              <w:rPr>
                <w:rFonts w:hint="eastAsia"/>
                <w:color w:val="auto"/>
                <w:sz w:val="24"/>
                <w:szCs w:val="24"/>
              </w:rPr>
              <w:t>，污泥进入压滤机，压滤出的泥渣存放在泥渣暂存区</w:t>
            </w:r>
            <w:r>
              <w:rPr>
                <w:rFonts w:hint="eastAsia"/>
                <w:color w:val="auto"/>
                <w:sz w:val="24"/>
                <w:szCs w:val="24"/>
                <w:lang w:eastAsia="zh-CN"/>
              </w:rPr>
              <w:t>，混凝土生产区域废水单独收集，设砂石分离机，处理后的废水进入二级沉淀池（容积分别为</w:t>
            </w:r>
            <w:r>
              <w:rPr>
                <w:rFonts w:hint="eastAsia"/>
                <w:color w:val="auto"/>
                <w:sz w:val="24"/>
                <w:szCs w:val="24"/>
                <w:lang w:val="en-US" w:eastAsia="zh-CN"/>
              </w:rPr>
              <w:t>40m</w:t>
            </w:r>
            <w:r>
              <w:rPr>
                <w:rFonts w:hint="eastAsia"/>
                <w:color w:val="auto"/>
                <w:sz w:val="24"/>
                <w:szCs w:val="24"/>
                <w:vertAlign w:val="superscript"/>
                <w:lang w:val="en-US" w:eastAsia="zh-CN"/>
              </w:rPr>
              <w:t>3</w:t>
            </w:r>
            <w:r>
              <w:rPr>
                <w:rFonts w:hint="eastAsia"/>
                <w:color w:val="auto"/>
                <w:sz w:val="24"/>
                <w:szCs w:val="24"/>
                <w:lang w:eastAsia="zh-CN"/>
              </w:rPr>
              <w:t>），再进入清水池（</w:t>
            </w:r>
            <w:r>
              <w:rPr>
                <w:rFonts w:hint="eastAsia"/>
                <w:color w:val="auto"/>
                <w:sz w:val="24"/>
                <w:szCs w:val="24"/>
                <w:lang w:val="en-US" w:eastAsia="zh-CN"/>
              </w:rPr>
              <w:t>50m</w:t>
            </w:r>
            <w:r>
              <w:rPr>
                <w:rFonts w:hint="eastAsia"/>
                <w:color w:val="auto"/>
                <w:sz w:val="24"/>
                <w:szCs w:val="24"/>
                <w:vertAlign w:val="superscript"/>
                <w:lang w:val="en-US" w:eastAsia="zh-CN"/>
              </w:rPr>
              <w:t>3</w:t>
            </w:r>
            <w:r>
              <w:rPr>
                <w:rFonts w:hint="eastAsia"/>
                <w:color w:val="auto"/>
                <w:sz w:val="24"/>
                <w:szCs w:val="24"/>
                <w:lang w:eastAsia="zh-CN"/>
              </w:rPr>
              <w:t>）回用</w:t>
            </w:r>
            <w:r>
              <w:rPr>
                <w:color w:val="auto"/>
                <w:sz w:val="24"/>
                <w:szCs w:val="24"/>
              </w:rPr>
              <w:t>。</w:t>
            </w:r>
          </w:p>
          <w:p>
            <w:pPr>
              <w:spacing w:line="360" w:lineRule="auto"/>
              <w:ind w:firstLine="480" w:firstLineChars="200"/>
              <w:rPr>
                <w:rFonts w:hint="eastAsia"/>
                <w:color w:val="auto"/>
                <w:sz w:val="24"/>
                <w:szCs w:val="24"/>
                <w:lang w:val="en-US" w:eastAsia="zh-CN"/>
              </w:rPr>
            </w:pPr>
            <w:r>
              <w:rPr>
                <w:color w:val="auto"/>
                <w:sz w:val="24"/>
                <w:szCs w:val="24"/>
              </w:rPr>
              <w:t>3）定期维护各类水泵，清除</w:t>
            </w:r>
            <w:r>
              <w:rPr>
                <w:rFonts w:hint="eastAsia"/>
                <w:color w:val="auto"/>
                <w:sz w:val="24"/>
                <w:szCs w:val="24"/>
              </w:rPr>
              <w:t>沉淀</w:t>
            </w:r>
            <w:r>
              <w:rPr>
                <w:color w:val="auto"/>
                <w:sz w:val="24"/>
                <w:szCs w:val="24"/>
              </w:rPr>
              <w:t>罐、沉淀池泥渣，确保</w:t>
            </w:r>
            <w:r>
              <w:rPr>
                <w:rFonts w:hint="eastAsia"/>
                <w:color w:val="auto"/>
                <w:sz w:val="24"/>
                <w:szCs w:val="24"/>
              </w:rPr>
              <w:t>沉淀</w:t>
            </w:r>
            <w:r>
              <w:rPr>
                <w:color w:val="auto"/>
                <w:sz w:val="24"/>
                <w:szCs w:val="24"/>
              </w:rPr>
              <w:t>罐、沉淀池蓄水容积，废水不外溢</w:t>
            </w:r>
            <w:r>
              <w:rPr>
                <w:rFonts w:hint="eastAsia"/>
                <w:color w:val="auto"/>
                <w:sz w:val="24"/>
                <w:szCs w:val="24"/>
              </w:rPr>
              <w:t>，泥渣堆放区域设置泥渣暂存区域、设置围堰</w:t>
            </w:r>
            <w:r>
              <w:rPr>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（10）监测要求</w:t>
            </w:r>
          </w:p>
          <w:p>
            <w:pPr>
              <w:keepNext w:val="0"/>
              <w:keepLines w:val="0"/>
              <w:suppressLineNumbers w:val="0"/>
              <w:adjustRightInd w:val="0"/>
              <w:snapToGrid w:val="0"/>
              <w:spacing w:before="0" w:beforeAutospacing="0" w:after="0" w:afterAutospacing="0" w:line="360" w:lineRule="auto"/>
              <w:ind w:left="0" w:right="0" w:firstLine="470" w:firstLineChars="196"/>
              <w:rPr>
                <w:rFonts w:hint="eastAsia"/>
                <w:color w:val="auto"/>
                <w:sz w:val="24"/>
                <w:szCs w:val="24"/>
                <w:lang w:val="en-US" w:eastAsia="zh-CN"/>
              </w:rPr>
            </w:pPr>
            <w:r>
              <w:rPr>
                <w:rFonts w:hint="default"/>
                <w:color w:val="auto"/>
                <w:sz w:val="24"/>
                <w:szCs w:val="24"/>
              </w:rPr>
              <w:t>根据《排污单位自行监测技术指南 总则》（HJ 819-2017）等规范的要求，项目运营期</w:t>
            </w:r>
            <w:r>
              <w:rPr>
                <w:rFonts w:hint="eastAsia"/>
                <w:color w:val="auto"/>
                <w:sz w:val="24"/>
                <w:szCs w:val="24"/>
                <w:lang w:val="en-US" w:eastAsia="zh-CN"/>
              </w:rPr>
              <w:t>本项目无废水外排，可不进行自行监测。</w:t>
            </w:r>
          </w:p>
          <w:p>
            <w:pPr>
              <w:keepNext w:val="0"/>
              <w:keepLines w:val="0"/>
              <w:suppressLineNumbers w:val="0"/>
              <w:adjustRightInd w:val="0"/>
              <w:snapToGrid w:val="0"/>
              <w:spacing w:before="0" w:beforeAutospacing="0" w:after="0" w:afterAutospacing="0" w:line="360" w:lineRule="auto"/>
              <w:ind w:left="0" w:right="0" w:firstLine="470" w:firstLineChars="196"/>
              <w:rPr>
                <w:rFonts w:hint="eastAsia"/>
                <w:color w:val="auto"/>
                <w:sz w:val="24"/>
                <w:szCs w:val="24"/>
                <w:u w:val="none"/>
                <w:lang w:val="en-US" w:eastAsia="zh-CN"/>
              </w:rPr>
            </w:pPr>
            <w:r>
              <w:rPr>
                <w:rFonts w:hint="eastAsia"/>
                <w:color w:val="auto"/>
                <w:sz w:val="24"/>
                <w:szCs w:val="24"/>
                <w:u w:val="none"/>
                <w:lang w:val="en-US" w:eastAsia="zh-CN"/>
              </w:rPr>
              <w:t>（11）水环境影响分析</w:t>
            </w:r>
          </w:p>
          <w:p>
            <w:pPr>
              <w:keepNext w:val="0"/>
              <w:keepLines w:val="0"/>
              <w:suppressLineNumbers w:val="0"/>
              <w:adjustRightInd w:val="0"/>
              <w:snapToGrid w:val="0"/>
              <w:spacing w:before="0" w:beforeAutospacing="0" w:after="0" w:afterAutospacing="0" w:line="360" w:lineRule="auto"/>
              <w:ind w:left="0" w:right="0" w:firstLine="470" w:firstLineChars="196"/>
              <w:rPr>
                <w:rFonts w:hint="eastAsia"/>
                <w:color w:val="auto"/>
                <w:sz w:val="24"/>
                <w:szCs w:val="24"/>
                <w:u w:val="none"/>
                <w:lang w:val="en-US" w:eastAsia="zh-CN"/>
              </w:rPr>
            </w:pPr>
            <w:r>
              <w:rPr>
                <w:rFonts w:hint="eastAsia"/>
                <w:color w:val="auto"/>
                <w:sz w:val="24"/>
                <w:szCs w:val="24"/>
                <w:u w:val="none"/>
                <w:lang w:val="en-US" w:eastAsia="zh-CN"/>
              </w:rPr>
              <w:t>综上所述，本项目废水包括洗砂废水、混凝土搅拌设备清洗废水，地面冲洗废水，罐车清洗废水、运输车辆冲洗水，企业按照要求规范实行雨污分流、污污分流，建设导流沟、沉淀池、污水罐，洗砂废水、地面清洗水、车辆冲洗水经三级沉淀后处理回用，混凝土生产区域的废水经砂石分离机、三级沉淀处理后回用，污泥经压滤机处理后外运，通过废水回用可行性章节分析，本项目废水均能够合理处置、进行回用，不外排，因此本项目废水对周边环境影响较小。</w:t>
            </w:r>
          </w:p>
          <w:p>
            <w:pPr>
              <w:spacing w:line="360" w:lineRule="auto"/>
              <w:ind w:firstLine="480" w:firstLineChars="200"/>
              <w:rPr>
                <w:rFonts w:hint="eastAsia"/>
                <w:color w:val="auto"/>
                <w:sz w:val="24"/>
                <w:szCs w:val="24"/>
                <w:lang w:eastAsia="zh-CN"/>
              </w:rPr>
            </w:pPr>
            <w:r>
              <w:rPr>
                <w:rFonts w:hint="eastAsia"/>
                <w:color w:val="auto"/>
                <w:sz w:val="24"/>
                <w:szCs w:val="24"/>
                <w:lang w:val="en-US" w:eastAsia="zh-CN"/>
              </w:rPr>
              <w:t>3、</w:t>
            </w:r>
            <w:r>
              <w:rPr>
                <w:rFonts w:hint="eastAsia"/>
                <w:color w:val="auto"/>
                <w:sz w:val="24"/>
                <w:szCs w:val="24"/>
                <w:lang w:eastAsia="zh-CN"/>
              </w:rPr>
              <w:t>噪声</w:t>
            </w:r>
          </w:p>
          <w:p>
            <w:pPr>
              <w:spacing w:line="360" w:lineRule="auto"/>
              <w:ind w:firstLine="480" w:firstLineChars="200"/>
              <w:rPr>
                <w:rFonts w:hint="eastAsia"/>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）本项目运营期主要噪声源及防治措施</w:t>
            </w:r>
          </w:p>
          <w:p>
            <w:pPr>
              <w:keepNext w:val="0"/>
              <w:keepLines w:val="0"/>
              <w:suppressLineNumbers w:val="0"/>
              <w:adjustRightInd w:val="0"/>
              <w:snapToGrid w:val="0"/>
              <w:spacing w:before="0" w:beforeAutospacing="0" w:after="0" w:afterAutospacing="0" w:line="360" w:lineRule="auto"/>
              <w:ind w:left="0" w:right="0" w:firstLine="470" w:firstLineChars="196"/>
              <w:rPr>
                <w:rFonts w:hint="eastAsia"/>
                <w:color w:val="auto"/>
                <w:sz w:val="24"/>
                <w:szCs w:val="24"/>
                <w:u w:val="none"/>
                <w:lang w:val="en-US" w:eastAsia="zh-CN"/>
              </w:rPr>
            </w:pPr>
            <w:r>
              <w:rPr>
                <w:rFonts w:hint="default"/>
                <w:color w:val="auto"/>
                <w:sz w:val="24"/>
                <w:szCs w:val="24"/>
                <w:u w:val="none"/>
              </w:rPr>
              <w:t>本工程主要噪声源分为固定声源和流动式声源，固定声源为颚式破碎机、振动筛、圆锥机、</w:t>
            </w:r>
            <w:r>
              <w:rPr>
                <w:rFonts w:hint="eastAsia"/>
                <w:color w:val="auto"/>
                <w:sz w:val="24"/>
                <w:szCs w:val="24"/>
                <w:u w:val="none"/>
                <w:lang w:eastAsia="zh-CN"/>
              </w:rPr>
              <w:t>搅砂</w:t>
            </w:r>
            <w:r>
              <w:rPr>
                <w:rFonts w:hint="default"/>
                <w:color w:val="auto"/>
                <w:sz w:val="24"/>
                <w:szCs w:val="24"/>
                <w:u w:val="none"/>
              </w:rPr>
              <w:t>机、压滤机</w:t>
            </w:r>
            <w:r>
              <w:rPr>
                <w:rFonts w:hint="eastAsia"/>
                <w:color w:val="auto"/>
                <w:sz w:val="24"/>
                <w:szCs w:val="24"/>
                <w:u w:val="none"/>
                <w:lang w:eastAsia="zh-CN"/>
              </w:rPr>
              <w:t>、混凝土搅拌系统、上料机、振动台</w:t>
            </w:r>
            <w:r>
              <w:rPr>
                <w:rFonts w:hint="default"/>
                <w:color w:val="auto"/>
                <w:sz w:val="24"/>
                <w:szCs w:val="24"/>
                <w:u w:val="none"/>
              </w:rPr>
              <w:t>等；流动式声源为运输车辆。项目机制砂生产线采用封闭式生产，通过对高噪声设备采取基础减振和厂房对噪声源隔声之后项目噪声对周围影响会进一步降低。具体详见下表。</w:t>
            </w:r>
          </w:p>
          <w:p>
            <w:pPr>
              <w:keepNext w:val="0"/>
              <w:keepLines w:val="0"/>
              <w:suppressLineNumbers w:val="0"/>
              <w:spacing w:before="0" w:beforeAutospacing="0" w:after="0" w:afterAutospacing="0"/>
              <w:ind w:left="0" w:right="0" w:firstLine="422" w:firstLineChars="200"/>
              <w:jc w:val="center"/>
              <w:rPr>
                <w:rFonts w:hint="default"/>
                <w:b/>
                <w:bCs/>
                <w:color w:val="auto"/>
                <w:u w:val="none"/>
              </w:rPr>
            </w:pPr>
            <w:r>
              <w:rPr>
                <w:rFonts w:hint="default"/>
                <w:b/>
                <w:bCs/>
                <w:color w:val="auto"/>
                <w:u w:val="none"/>
              </w:rPr>
              <w:t>表</w:t>
            </w:r>
            <w:r>
              <w:rPr>
                <w:rFonts w:hint="eastAsia"/>
                <w:b/>
                <w:bCs/>
                <w:color w:val="auto"/>
                <w:u w:val="none"/>
                <w:lang w:val="en-US" w:eastAsia="zh-CN"/>
              </w:rPr>
              <w:t>4</w:t>
            </w:r>
            <w:r>
              <w:rPr>
                <w:rFonts w:hint="default"/>
                <w:b/>
                <w:bCs/>
                <w:color w:val="auto"/>
                <w:u w:val="none"/>
              </w:rPr>
              <w:t>-</w:t>
            </w:r>
            <w:r>
              <w:rPr>
                <w:rFonts w:hint="eastAsia"/>
                <w:b/>
                <w:bCs/>
                <w:color w:val="auto"/>
                <w:u w:val="none"/>
                <w:lang w:val="en-US" w:eastAsia="zh-CN"/>
              </w:rPr>
              <w:t>8</w:t>
            </w:r>
            <w:r>
              <w:rPr>
                <w:rFonts w:hint="default"/>
                <w:b/>
                <w:bCs/>
                <w:color w:val="auto"/>
                <w:u w:val="none"/>
              </w:rPr>
              <w:t xml:space="preserve"> 主要设备和车辆噪声声压级   单位：dB(A)</w:t>
            </w:r>
          </w:p>
          <w:tbl>
            <w:tblPr>
              <w:tblStyle w:val="15"/>
              <w:tblW w:w="793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7"/>
              <w:gridCol w:w="1543"/>
              <w:gridCol w:w="986"/>
              <w:gridCol w:w="1376"/>
              <w:gridCol w:w="930"/>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877"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u w:val="none"/>
                    </w:rPr>
                  </w:pPr>
                  <w:r>
                    <w:rPr>
                      <w:rFonts w:hint="default" w:ascii="Times New Roman" w:hAnsi="Times New Roman" w:cs="Times New Roman"/>
                      <w:color w:val="auto"/>
                      <w:u w:val="none"/>
                    </w:rPr>
                    <w:t>序号</w:t>
                  </w:r>
                </w:p>
              </w:tc>
              <w:tc>
                <w:tcPr>
                  <w:tcW w:w="1543"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u w:val="none"/>
                    </w:rPr>
                  </w:pPr>
                  <w:r>
                    <w:rPr>
                      <w:rFonts w:hint="default" w:ascii="Times New Roman" w:hAnsi="Times New Roman" w:cs="Times New Roman"/>
                      <w:color w:val="auto"/>
                      <w:u w:val="none"/>
                    </w:rPr>
                    <w:t>设备名称</w:t>
                  </w:r>
                </w:p>
              </w:tc>
              <w:tc>
                <w:tcPr>
                  <w:tcW w:w="986"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u w:val="none"/>
                    </w:rPr>
                  </w:pPr>
                  <w:r>
                    <w:rPr>
                      <w:rFonts w:hint="default" w:ascii="Times New Roman" w:hAnsi="Times New Roman" w:cs="Times New Roman"/>
                      <w:color w:val="auto"/>
                      <w:u w:val="none"/>
                    </w:rPr>
                    <w:t>噪声源强</w:t>
                  </w:r>
                </w:p>
              </w:tc>
              <w:tc>
                <w:tcPr>
                  <w:tcW w:w="1376"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u w:val="none"/>
                    </w:rPr>
                  </w:pPr>
                  <w:r>
                    <w:rPr>
                      <w:rFonts w:hint="default" w:ascii="Times New Roman" w:hAnsi="Times New Roman" w:cs="Times New Roman"/>
                      <w:color w:val="auto"/>
                      <w:u w:val="none"/>
                    </w:rPr>
                    <w:t>数量（台套）</w:t>
                  </w:r>
                </w:p>
              </w:tc>
              <w:tc>
                <w:tcPr>
                  <w:tcW w:w="930"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u w:val="none"/>
                    </w:rPr>
                  </w:pPr>
                  <w:r>
                    <w:rPr>
                      <w:rFonts w:hint="default" w:ascii="Times New Roman" w:hAnsi="Times New Roman" w:cs="Times New Roman"/>
                      <w:color w:val="auto"/>
                      <w:u w:val="none"/>
                    </w:rPr>
                    <w:t>工作方式</w:t>
                  </w:r>
                </w:p>
              </w:tc>
              <w:tc>
                <w:tcPr>
                  <w:tcW w:w="2225"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u w:val="none"/>
                    </w:rPr>
                  </w:pPr>
                  <w:r>
                    <w:rPr>
                      <w:rFonts w:hint="default" w:ascii="Times New Roman" w:hAnsi="Times New Roman" w:cs="Times New Roman"/>
                      <w:color w:val="auto"/>
                      <w:u w:val="none"/>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877"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p>
              </w:tc>
              <w:tc>
                <w:tcPr>
                  <w:tcW w:w="1543"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eastAsia="zh-CN"/>
                    </w:rPr>
                    <w:t>圆锥破碎机</w:t>
                  </w:r>
                </w:p>
              </w:tc>
              <w:tc>
                <w:tcPr>
                  <w:tcW w:w="986"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100</w:t>
                  </w:r>
                </w:p>
              </w:tc>
              <w:tc>
                <w:tcPr>
                  <w:tcW w:w="1376"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rPr>
                    <w:t>1</w:t>
                  </w:r>
                </w:p>
              </w:tc>
              <w:tc>
                <w:tcPr>
                  <w:tcW w:w="930"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rPr>
                    <w:t>间歇</w:t>
                  </w:r>
                </w:p>
              </w:tc>
              <w:tc>
                <w:tcPr>
                  <w:tcW w:w="2225" w:type="dxa"/>
                  <w:vMerge w:val="restart"/>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合理布局，夜间停止生产，定期维修设备，封闭厂房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877"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2</w:t>
                  </w:r>
                </w:p>
              </w:tc>
              <w:tc>
                <w:tcPr>
                  <w:tcW w:w="1543"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eastAsia="zh-CN"/>
                    </w:rPr>
                    <w:t>颚式破碎</w:t>
                  </w:r>
                  <w:r>
                    <w:rPr>
                      <w:rFonts w:hint="default" w:ascii="Times New Roman" w:hAnsi="Times New Roman" w:cs="Times New Roman"/>
                      <w:color w:val="auto"/>
                      <w:u w:val="none"/>
                    </w:rPr>
                    <w:t>机</w:t>
                  </w:r>
                </w:p>
              </w:tc>
              <w:tc>
                <w:tcPr>
                  <w:tcW w:w="986"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100</w:t>
                  </w:r>
                </w:p>
              </w:tc>
              <w:tc>
                <w:tcPr>
                  <w:tcW w:w="1376"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rPr>
                    <w:t>1</w:t>
                  </w:r>
                </w:p>
              </w:tc>
              <w:tc>
                <w:tcPr>
                  <w:tcW w:w="930"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rPr>
                    <w:t>间歇</w:t>
                  </w:r>
                </w:p>
              </w:tc>
              <w:tc>
                <w:tcPr>
                  <w:tcW w:w="2225" w:type="dxa"/>
                  <w:vMerge w:val="continue"/>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877"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3</w:t>
                  </w:r>
                </w:p>
              </w:tc>
              <w:tc>
                <w:tcPr>
                  <w:tcW w:w="1543"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rPr>
                    <w:t>振动筛</w:t>
                  </w:r>
                </w:p>
              </w:tc>
              <w:tc>
                <w:tcPr>
                  <w:tcW w:w="986"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90</w:t>
                  </w:r>
                </w:p>
              </w:tc>
              <w:tc>
                <w:tcPr>
                  <w:tcW w:w="1376"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2</w:t>
                  </w:r>
                </w:p>
              </w:tc>
              <w:tc>
                <w:tcPr>
                  <w:tcW w:w="930"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rPr>
                    <w:t>间歇</w:t>
                  </w:r>
                </w:p>
              </w:tc>
              <w:tc>
                <w:tcPr>
                  <w:tcW w:w="2225" w:type="dxa"/>
                  <w:vMerge w:val="continue"/>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877"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u w:val="none"/>
                    </w:rPr>
                  </w:pPr>
                  <w:r>
                    <w:rPr>
                      <w:rFonts w:hint="default" w:ascii="Times New Roman" w:hAnsi="Times New Roman" w:cs="Times New Roman"/>
                      <w:color w:val="auto"/>
                      <w:u w:val="none"/>
                    </w:rPr>
                    <w:t>4</w:t>
                  </w:r>
                </w:p>
              </w:tc>
              <w:tc>
                <w:tcPr>
                  <w:tcW w:w="1543"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eastAsia="zh-CN"/>
                    </w:rPr>
                    <w:t>搅砂</w:t>
                  </w:r>
                  <w:r>
                    <w:rPr>
                      <w:rFonts w:hint="default" w:ascii="Times New Roman" w:hAnsi="Times New Roman" w:cs="Times New Roman"/>
                      <w:color w:val="auto"/>
                      <w:u w:val="none"/>
                    </w:rPr>
                    <w:t>机</w:t>
                  </w:r>
                </w:p>
              </w:tc>
              <w:tc>
                <w:tcPr>
                  <w:tcW w:w="986"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80</w:t>
                  </w:r>
                </w:p>
              </w:tc>
              <w:tc>
                <w:tcPr>
                  <w:tcW w:w="1376"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p>
              </w:tc>
              <w:tc>
                <w:tcPr>
                  <w:tcW w:w="930"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rPr>
                    <w:t>间歇</w:t>
                  </w:r>
                </w:p>
              </w:tc>
              <w:tc>
                <w:tcPr>
                  <w:tcW w:w="2225" w:type="dxa"/>
                  <w:vMerge w:val="continue"/>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trPr>
              <w:tc>
                <w:tcPr>
                  <w:tcW w:w="877"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u w:val="none"/>
                    </w:rPr>
                  </w:pPr>
                  <w:r>
                    <w:rPr>
                      <w:rFonts w:hint="default" w:ascii="Times New Roman" w:hAnsi="Times New Roman" w:cs="Times New Roman"/>
                      <w:color w:val="auto"/>
                      <w:u w:val="none"/>
                    </w:rPr>
                    <w:t>5</w:t>
                  </w:r>
                </w:p>
              </w:tc>
              <w:tc>
                <w:tcPr>
                  <w:tcW w:w="1543"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rPr>
                    <w:t>制砂机</w:t>
                  </w:r>
                </w:p>
              </w:tc>
              <w:tc>
                <w:tcPr>
                  <w:tcW w:w="986"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80</w:t>
                  </w:r>
                </w:p>
              </w:tc>
              <w:tc>
                <w:tcPr>
                  <w:tcW w:w="1376"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p>
              </w:tc>
              <w:tc>
                <w:tcPr>
                  <w:tcW w:w="930"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eastAsia="zh-CN"/>
                    </w:rPr>
                    <w:t>间歇</w:t>
                  </w:r>
                </w:p>
              </w:tc>
              <w:tc>
                <w:tcPr>
                  <w:tcW w:w="2225" w:type="dxa"/>
                  <w:vMerge w:val="continue"/>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877"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6</w:t>
                  </w:r>
                </w:p>
              </w:tc>
              <w:tc>
                <w:tcPr>
                  <w:tcW w:w="1543"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rPr>
                    <w:t>给料机</w:t>
                  </w:r>
                </w:p>
              </w:tc>
              <w:tc>
                <w:tcPr>
                  <w:tcW w:w="986"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80</w:t>
                  </w:r>
                </w:p>
              </w:tc>
              <w:tc>
                <w:tcPr>
                  <w:tcW w:w="1376"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p>
              </w:tc>
              <w:tc>
                <w:tcPr>
                  <w:tcW w:w="930"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eastAsia="zh-CN"/>
                    </w:rPr>
                    <w:t>间歇</w:t>
                  </w:r>
                </w:p>
              </w:tc>
              <w:tc>
                <w:tcPr>
                  <w:tcW w:w="2225" w:type="dxa"/>
                  <w:vMerge w:val="continue"/>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877"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7</w:t>
                  </w:r>
                </w:p>
              </w:tc>
              <w:tc>
                <w:tcPr>
                  <w:tcW w:w="1543" w:type="dxa"/>
                  <w:noWrap w:val="0"/>
                  <w:tcMar>
                    <w:top w:w="15" w:type="dxa"/>
                    <w:left w:w="15" w:type="dxa"/>
                    <w:right w:w="15" w:type="dxa"/>
                  </w:tcMar>
                  <w:vAlign w:val="center"/>
                </w:tcPr>
                <w:p>
                  <w:pPr>
                    <w:jc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压滤机</w:t>
                  </w:r>
                </w:p>
              </w:tc>
              <w:tc>
                <w:tcPr>
                  <w:tcW w:w="986"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80</w:t>
                  </w:r>
                </w:p>
              </w:tc>
              <w:tc>
                <w:tcPr>
                  <w:tcW w:w="1376"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p>
              </w:tc>
              <w:tc>
                <w:tcPr>
                  <w:tcW w:w="930"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间歇</w:t>
                  </w:r>
                </w:p>
              </w:tc>
              <w:tc>
                <w:tcPr>
                  <w:tcW w:w="2225" w:type="dxa"/>
                  <w:vMerge w:val="continue"/>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877"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9</w:t>
                  </w:r>
                </w:p>
              </w:tc>
              <w:tc>
                <w:tcPr>
                  <w:tcW w:w="1543" w:type="dxa"/>
                  <w:noWrap w:val="0"/>
                  <w:tcMar>
                    <w:top w:w="15" w:type="dxa"/>
                    <w:left w:w="15" w:type="dxa"/>
                    <w:right w:w="15" w:type="dxa"/>
                  </w:tcMar>
                  <w:vAlign w:val="center"/>
                </w:tcPr>
                <w:p>
                  <w:pPr>
                    <w:jc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装载机</w:t>
                  </w:r>
                </w:p>
              </w:tc>
              <w:tc>
                <w:tcPr>
                  <w:tcW w:w="986"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70</w:t>
                  </w:r>
                </w:p>
              </w:tc>
              <w:tc>
                <w:tcPr>
                  <w:tcW w:w="1376"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p>
              </w:tc>
              <w:tc>
                <w:tcPr>
                  <w:tcW w:w="930"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间歇</w:t>
                  </w:r>
                </w:p>
              </w:tc>
              <w:tc>
                <w:tcPr>
                  <w:tcW w:w="2225" w:type="dxa"/>
                  <w:vMerge w:val="continue"/>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877"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10</w:t>
                  </w:r>
                </w:p>
              </w:tc>
              <w:tc>
                <w:tcPr>
                  <w:tcW w:w="1543" w:type="dxa"/>
                  <w:noWrap w:val="0"/>
                  <w:tcMar>
                    <w:top w:w="15" w:type="dxa"/>
                    <w:left w:w="15" w:type="dxa"/>
                    <w:right w:w="15" w:type="dxa"/>
                  </w:tcMar>
                  <w:vAlign w:val="center"/>
                </w:tcPr>
                <w:p>
                  <w:pPr>
                    <w:jc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运输车辆</w:t>
                  </w:r>
                </w:p>
              </w:tc>
              <w:tc>
                <w:tcPr>
                  <w:tcW w:w="986"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70</w:t>
                  </w:r>
                </w:p>
              </w:tc>
              <w:tc>
                <w:tcPr>
                  <w:tcW w:w="1376"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4</w:t>
                  </w:r>
                </w:p>
              </w:tc>
              <w:tc>
                <w:tcPr>
                  <w:tcW w:w="930"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间歇</w:t>
                  </w:r>
                </w:p>
              </w:tc>
              <w:tc>
                <w:tcPr>
                  <w:tcW w:w="2225" w:type="dxa"/>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降低车速，厂区内禁止鸣笛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877"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11</w:t>
                  </w:r>
                </w:p>
              </w:tc>
              <w:tc>
                <w:tcPr>
                  <w:tcW w:w="1543" w:type="dxa"/>
                  <w:noWrap w:val="0"/>
                  <w:tcMar>
                    <w:top w:w="15" w:type="dxa"/>
                    <w:left w:w="15" w:type="dxa"/>
                    <w:right w:w="15" w:type="dxa"/>
                  </w:tcMar>
                  <w:vAlign w:val="center"/>
                </w:tcPr>
                <w:p>
                  <w:pPr>
                    <w:jc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混凝土搅拌系统</w:t>
                  </w:r>
                </w:p>
              </w:tc>
              <w:tc>
                <w:tcPr>
                  <w:tcW w:w="986"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90</w:t>
                  </w:r>
                </w:p>
              </w:tc>
              <w:tc>
                <w:tcPr>
                  <w:tcW w:w="1376"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4</w:t>
                  </w:r>
                </w:p>
              </w:tc>
              <w:tc>
                <w:tcPr>
                  <w:tcW w:w="930"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间歇</w:t>
                  </w:r>
                </w:p>
              </w:tc>
              <w:tc>
                <w:tcPr>
                  <w:tcW w:w="2225" w:type="dxa"/>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rPr>
                    <w:t>低噪声设备、底座安装减震器、搅拌主楼进行全封闭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877"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12</w:t>
                  </w:r>
                </w:p>
              </w:tc>
              <w:tc>
                <w:tcPr>
                  <w:tcW w:w="1543" w:type="dxa"/>
                  <w:noWrap w:val="0"/>
                  <w:tcMar>
                    <w:top w:w="15" w:type="dxa"/>
                    <w:left w:w="15" w:type="dxa"/>
                    <w:right w:w="15" w:type="dxa"/>
                  </w:tcMar>
                  <w:vAlign w:val="center"/>
                </w:tcPr>
                <w:p>
                  <w:pPr>
                    <w:jc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除尘风机</w:t>
                  </w:r>
                </w:p>
              </w:tc>
              <w:tc>
                <w:tcPr>
                  <w:tcW w:w="986"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80</w:t>
                  </w:r>
                </w:p>
              </w:tc>
              <w:tc>
                <w:tcPr>
                  <w:tcW w:w="1376"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6</w:t>
                  </w:r>
                </w:p>
              </w:tc>
              <w:tc>
                <w:tcPr>
                  <w:tcW w:w="930"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间歇</w:t>
                  </w:r>
                </w:p>
              </w:tc>
              <w:tc>
                <w:tcPr>
                  <w:tcW w:w="2225" w:type="dxa"/>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rPr>
                    <w:t>低噪声设备、底座安装减震器、合理布局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877"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13</w:t>
                  </w:r>
                </w:p>
              </w:tc>
              <w:tc>
                <w:tcPr>
                  <w:tcW w:w="1543" w:type="dxa"/>
                  <w:noWrap w:val="0"/>
                  <w:tcMar>
                    <w:top w:w="15" w:type="dxa"/>
                    <w:left w:w="15" w:type="dxa"/>
                    <w:right w:w="15" w:type="dxa"/>
                  </w:tcMar>
                  <w:vAlign w:val="center"/>
                </w:tcPr>
                <w:p>
                  <w:pPr>
                    <w:jc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皮带机</w:t>
                  </w:r>
                </w:p>
              </w:tc>
              <w:tc>
                <w:tcPr>
                  <w:tcW w:w="986"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80</w:t>
                  </w:r>
                </w:p>
              </w:tc>
              <w:tc>
                <w:tcPr>
                  <w:tcW w:w="1376" w:type="dxa"/>
                  <w:noWrap w:val="0"/>
                  <w:tcMar>
                    <w:top w:w="15" w:type="dxa"/>
                    <w:left w:w="15" w:type="dxa"/>
                    <w:right w:w="15" w:type="dxa"/>
                  </w:tcMar>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2</w:t>
                  </w:r>
                </w:p>
              </w:tc>
              <w:tc>
                <w:tcPr>
                  <w:tcW w:w="930" w:type="dxa"/>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间歇</w:t>
                  </w:r>
                </w:p>
              </w:tc>
              <w:tc>
                <w:tcPr>
                  <w:tcW w:w="2225" w:type="dxa"/>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建设封闭式厂房</w:t>
                  </w:r>
                </w:p>
              </w:tc>
            </w:tr>
          </w:tbl>
          <w:p>
            <w:pPr>
              <w:pStyle w:val="2"/>
              <w:keepNext w:val="0"/>
              <w:keepLines w:val="0"/>
              <w:pageBreakBefore w:val="0"/>
              <w:widowControl/>
              <w:kinsoku/>
              <w:wordWrap/>
              <w:overflowPunct/>
              <w:topLinePunct w:val="0"/>
              <w:autoSpaceDE/>
              <w:autoSpaceDN/>
              <w:bidi w:val="0"/>
              <w:adjustRightInd/>
              <w:snapToGrid w:val="0"/>
              <w:spacing w:before="0" w:after="0" w:line="360" w:lineRule="auto"/>
              <w:ind w:left="0" w:right="0" w:firstLine="480" w:firstLineChars="200"/>
              <w:textAlignment w:val="auto"/>
              <w:rPr>
                <w:color w:val="auto"/>
                <w:sz w:val="24"/>
                <w:szCs w:val="24"/>
                <w:u w:val="none"/>
              </w:rPr>
            </w:pPr>
            <w:r>
              <w:rPr>
                <w:rFonts w:hint="eastAsia"/>
                <w:color w:val="auto"/>
                <w:sz w:val="24"/>
                <w:szCs w:val="24"/>
                <w:u w:val="none"/>
                <w:lang w:eastAsia="zh-CN"/>
              </w:rPr>
              <w:t>（</w:t>
            </w:r>
            <w:r>
              <w:rPr>
                <w:rFonts w:hint="eastAsia"/>
                <w:color w:val="auto"/>
                <w:sz w:val="24"/>
                <w:szCs w:val="24"/>
                <w:u w:val="none"/>
                <w:lang w:val="en-US" w:eastAsia="zh-CN"/>
              </w:rPr>
              <w:t>2</w:t>
            </w:r>
            <w:r>
              <w:rPr>
                <w:rFonts w:hint="eastAsia"/>
                <w:color w:val="auto"/>
                <w:sz w:val="24"/>
                <w:szCs w:val="24"/>
                <w:u w:val="none"/>
                <w:lang w:eastAsia="zh-CN"/>
              </w:rPr>
              <w:t>）</w:t>
            </w:r>
            <w:r>
              <w:rPr>
                <w:color w:val="auto"/>
                <w:sz w:val="24"/>
                <w:szCs w:val="24"/>
                <w:u w:val="none"/>
              </w:rPr>
              <w:t>为进一步降低噪声对临近居民的影响，建设单位还应采取以下降噪措施：</w:t>
            </w:r>
          </w:p>
          <w:p>
            <w:pPr>
              <w:pStyle w:val="2"/>
              <w:keepNext w:val="0"/>
              <w:keepLines w:val="0"/>
              <w:pageBreakBefore w:val="0"/>
              <w:widowControl/>
              <w:kinsoku/>
              <w:wordWrap/>
              <w:overflowPunct/>
              <w:topLinePunct w:val="0"/>
              <w:autoSpaceDE/>
              <w:autoSpaceDN/>
              <w:bidi w:val="0"/>
              <w:adjustRightInd/>
              <w:snapToGrid w:val="0"/>
              <w:spacing w:before="0" w:after="0" w:line="360" w:lineRule="auto"/>
              <w:ind w:left="0" w:right="0" w:firstLine="480" w:firstLineChars="200"/>
              <w:textAlignment w:val="auto"/>
              <w:rPr>
                <w:color w:val="auto"/>
                <w:sz w:val="24"/>
                <w:szCs w:val="24"/>
                <w:u w:val="none"/>
              </w:rPr>
            </w:pPr>
            <w:r>
              <w:rPr>
                <w:color w:val="auto"/>
                <w:sz w:val="24"/>
                <w:szCs w:val="24"/>
                <w:u w:val="none"/>
              </w:rPr>
              <w:t>①采用封闭厂房；选用低噪声设备；对设备进行基础减震等处理，使设备保持在最低噪声值范围内。</w:t>
            </w:r>
          </w:p>
          <w:p>
            <w:pPr>
              <w:pStyle w:val="2"/>
              <w:keepNext w:val="0"/>
              <w:keepLines w:val="0"/>
              <w:pageBreakBefore w:val="0"/>
              <w:widowControl/>
              <w:kinsoku/>
              <w:wordWrap/>
              <w:overflowPunct/>
              <w:topLinePunct w:val="0"/>
              <w:autoSpaceDE/>
              <w:autoSpaceDN/>
              <w:bidi w:val="0"/>
              <w:adjustRightInd/>
              <w:snapToGrid w:val="0"/>
              <w:spacing w:before="0" w:after="0" w:line="360" w:lineRule="auto"/>
              <w:ind w:left="0" w:right="0" w:firstLine="480" w:firstLineChars="200"/>
              <w:textAlignment w:val="auto"/>
              <w:rPr>
                <w:color w:val="auto"/>
                <w:sz w:val="24"/>
                <w:szCs w:val="24"/>
                <w:u w:val="none"/>
              </w:rPr>
            </w:pPr>
            <w:r>
              <w:rPr>
                <w:color w:val="auto"/>
                <w:sz w:val="24"/>
                <w:szCs w:val="24"/>
                <w:u w:val="none"/>
              </w:rPr>
              <w:t>②加强设备管理，对生产设备定期检查与维护，使设备保持良好的运行状况，降低运转时产生的噪声。</w:t>
            </w:r>
          </w:p>
          <w:p>
            <w:pPr>
              <w:pStyle w:val="2"/>
              <w:keepNext w:val="0"/>
              <w:keepLines w:val="0"/>
              <w:pageBreakBefore w:val="0"/>
              <w:widowControl/>
              <w:kinsoku/>
              <w:wordWrap/>
              <w:overflowPunct/>
              <w:topLinePunct w:val="0"/>
              <w:autoSpaceDE/>
              <w:autoSpaceDN/>
              <w:bidi w:val="0"/>
              <w:adjustRightInd/>
              <w:snapToGrid w:val="0"/>
              <w:spacing w:before="0" w:after="0" w:line="360" w:lineRule="auto"/>
              <w:ind w:left="0" w:right="0" w:firstLine="480" w:firstLineChars="200"/>
              <w:textAlignment w:val="auto"/>
              <w:rPr>
                <w:color w:val="auto"/>
                <w:sz w:val="24"/>
                <w:szCs w:val="24"/>
                <w:u w:val="none"/>
              </w:rPr>
            </w:pPr>
            <w:r>
              <w:rPr>
                <w:color w:val="auto"/>
                <w:sz w:val="24"/>
                <w:szCs w:val="24"/>
                <w:u w:val="none"/>
              </w:rPr>
              <w:t>③合理安排工作时间，夜间22:00-6:00 禁止生产，避免噪声对项目附近居民的生活产生较大影响。</w:t>
            </w:r>
          </w:p>
          <w:p>
            <w:pPr>
              <w:pStyle w:val="2"/>
              <w:keepNext w:val="0"/>
              <w:keepLines w:val="0"/>
              <w:pageBreakBefore w:val="0"/>
              <w:widowControl/>
              <w:kinsoku/>
              <w:wordWrap/>
              <w:overflowPunct/>
              <w:topLinePunct w:val="0"/>
              <w:autoSpaceDE/>
              <w:autoSpaceDN/>
              <w:bidi w:val="0"/>
              <w:adjustRightInd/>
              <w:snapToGrid w:val="0"/>
              <w:spacing w:before="0" w:after="0" w:line="360" w:lineRule="auto"/>
              <w:ind w:left="0" w:right="0" w:firstLine="480" w:firstLineChars="200"/>
              <w:textAlignment w:val="auto"/>
              <w:rPr>
                <w:color w:val="auto"/>
                <w:sz w:val="24"/>
                <w:szCs w:val="24"/>
                <w:u w:val="none"/>
              </w:rPr>
            </w:pPr>
            <w:r>
              <w:rPr>
                <w:color w:val="auto"/>
                <w:sz w:val="24"/>
                <w:szCs w:val="24"/>
                <w:u w:val="none"/>
              </w:rPr>
              <w:t>④场地内部空地及厂界四周种植绿色植物，采用大乔木和低矮灌木相结合的形式，形成绿化吸声带形。</w:t>
            </w:r>
          </w:p>
          <w:p>
            <w:pPr>
              <w:pStyle w:val="2"/>
              <w:keepNext w:val="0"/>
              <w:keepLines w:val="0"/>
              <w:pageBreakBefore w:val="0"/>
              <w:widowControl/>
              <w:kinsoku/>
              <w:wordWrap/>
              <w:overflowPunct/>
              <w:topLinePunct w:val="0"/>
              <w:autoSpaceDE/>
              <w:autoSpaceDN/>
              <w:bidi w:val="0"/>
              <w:adjustRightInd/>
              <w:snapToGrid w:val="0"/>
              <w:spacing w:before="0" w:after="0" w:line="360" w:lineRule="auto"/>
              <w:ind w:left="0" w:right="0" w:firstLine="480" w:firstLineChars="200"/>
              <w:textAlignment w:val="auto"/>
              <w:rPr>
                <w:color w:val="auto"/>
                <w:sz w:val="24"/>
                <w:szCs w:val="24"/>
                <w:u w:val="none"/>
              </w:rPr>
            </w:pPr>
            <w:r>
              <w:rPr>
                <w:color w:val="auto"/>
                <w:sz w:val="24"/>
                <w:szCs w:val="24"/>
                <w:u w:val="none"/>
              </w:rPr>
              <w:t>⑤加强职工环保意识教育，提倡文明生产；强化行车管理制度，设置降噪标准，严禁  鸣号，进入厂区低速行驶。</w:t>
            </w:r>
          </w:p>
          <w:p>
            <w:pPr>
              <w:pStyle w:val="2"/>
              <w:keepNext w:val="0"/>
              <w:keepLines w:val="0"/>
              <w:pageBreakBefore w:val="0"/>
              <w:widowControl/>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color w:val="auto"/>
                <w:sz w:val="24"/>
                <w:szCs w:val="24"/>
                <w:u w:val="none"/>
                <w:lang w:eastAsia="zh-CN"/>
              </w:rPr>
            </w:pPr>
            <w:r>
              <w:rPr>
                <w:color w:val="auto"/>
                <w:sz w:val="24"/>
                <w:szCs w:val="24"/>
                <w:u w:val="none"/>
              </w:rPr>
              <w:t>综上所述，经采取上述降噪措施后，营运期厂界噪声对周围环境和敏感点的影响较小</w:t>
            </w:r>
            <w:r>
              <w:rPr>
                <w:rFonts w:hint="eastAsia"/>
                <w:color w:val="auto"/>
                <w:sz w:val="24"/>
                <w:szCs w:val="24"/>
                <w:u w:val="none"/>
                <w:lang w:eastAsia="zh-CN"/>
              </w:rPr>
              <w:t>。</w:t>
            </w:r>
          </w:p>
          <w:p>
            <w:pPr>
              <w:pStyle w:val="2"/>
              <w:keepNext w:val="0"/>
              <w:keepLines w:val="0"/>
              <w:pageBreakBefore w:val="0"/>
              <w:widowControl/>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Times New Roman" w:hAnsi="Times New Roman" w:cs="Times New Roman"/>
                <w:color w:val="auto"/>
                <w:sz w:val="24"/>
                <w:szCs w:val="24"/>
                <w:u w:val="none"/>
                <w:lang w:eastAsia="zh-CN"/>
              </w:rPr>
            </w:pPr>
            <w:r>
              <w:rPr>
                <w:rFonts w:hint="eastAsia"/>
                <w:color w:val="auto"/>
                <w:sz w:val="24"/>
                <w:szCs w:val="24"/>
                <w:u w:val="none"/>
                <w:lang w:eastAsia="zh-CN"/>
              </w:rPr>
              <w:t>⑦</w:t>
            </w:r>
            <w:r>
              <w:rPr>
                <w:rFonts w:hint="eastAsia"/>
                <w:color w:val="auto"/>
                <w:sz w:val="24"/>
                <w:szCs w:val="24"/>
                <w:u w:val="none"/>
              </w:rPr>
              <w:t>对空压</w:t>
            </w:r>
            <w:r>
              <w:rPr>
                <w:rFonts w:hint="eastAsia" w:ascii="Times New Roman" w:hAnsi="Times New Roman" w:cs="Times New Roman"/>
                <w:color w:val="auto"/>
                <w:sz w:val="24"/>
                <w:szCs w:val="24"/>
                <w:u w:val="none"/>
              </w:rPr>
              <w:t>机设立独立机房，并安装基础减震垫及消声器。</w:t>
            </w:r>
          </w:p>
          <w:p>
            <w:pPr>
              <w:pStyle w:val="2"/>
              <w:keepNext w:val="0"/>
              <w:keepLines w:val="0"/>
              <w:pageBreakBefore w:val="0"/>
              <w:widowControl/>
              <w:kinsoku/>
              <w:wordWrap/>
              <w:overflowPunct/>
              <w:topLinePunct w:val="0"/>
              <w:autoSpaceDE/>
              <w:autoSpaceDN/>
              <w:bidi w:val="0"/>
              <w:adjustRightInd/>
              <w:snapToGrid w:val="0"/>
              <w:spacing w:before="0" w:after="0" w:line="360" w:lineRule="auto"/>
              <w:ind w:left="0" w:right="0" w:firstLine="480" w:firstLineChars="200"/>
              <w:textAlignment w:val="auto"/>
              <w:rPr>
                <w:rFonts w:hint="eastAsia" w:ascii="Times New Roman" w:hAnsi="Times New Roman" w:cs="Times New Roman"/>
                <w:color w:val="auto"/>
                <w:sz w:val="24"/>
                <w:szCs w:val="24"/>
                <w:u w:val="none"/>
                <w:lang w:eastAsia="zh-CN"/>
              </w:rPr>
            </w:pPr>
            <w:r>
              <w:rPr>
                <w:rFonts w:hint="eastAsia" w:ascii="Times New Roman" w:hAnsi="Times New Roman" w:cs="Times New Roman"/>
                <w:color w:val="auto"/>
                <w:sz w:val="24"/>
                <w:szCs w:val="24"/>
                <w:u w:val="none"/>
                <w:lang w:eastAsia="zh-CN"/>
              </w:rPr>
              <w:t>（</w:t>
            </w:r>
            <w:r>
              <w:rPr>
                <w:rFonts w:hint="eastAsia" w:ascii="Times New Roman" w:hAnsi="Times New Roman" w:cs="Times New Roman"/>
                <w:color w:val="auto"/>
                <w:sz w:val="24"/>
                <w:szCs w:val="24"/>
                <w:u w:val="none"/>
                <w:lang w:val="en-US" w:eastAsia="zh-CN"/>
              </w:rPr>
              <w:t>3</w:t>
            </w:r>
            <w:r>
              <w:rPr>
                <w:rFonts w:hint="eastAsia" w:ascii="Times New Roman" w:hAnsi="Times New Roman" w:cs="Times New Roman"/>
                <w:color w:val="auto"/>
                <w:sz w:val="24"/>
                <w:szCs w:val="24"/>
                <w:u w:val="none"/>
                <w:lang w:eastAsia="zh-CN"/>
              </w:rPr>
              <w:t>）监测要求</w:t>
            </w:r>
          </w:p>
          <w:p>
            <w:pPr>
              <w:spacing w:line="360" w:lineRule="auto"/>
              <w:jc w:val="left"/>
              <w:rPr>
                <w:rFonts w:hint="default"/>
                <w:color w:val="auto"/>
                <w:sz w:val="24"/>
                <w:szCs w:val="24"/>
                <w:u w:val="none"/>
                <w:lang w:val="en-US" w:eastAsia="zh-CN"/>
              </w:rPr>
            </w:pPr>
            <w:r>
              <w:rPr>
                <w:rFonts w:hint="eastAsia"/>
                <w:color w:val="auto"/>
                <w:sz w:val="24"/>
                <w:szCs w:val="24"/>
                <w:u w:val="none"/>
                <w:lang w:val="en-US" w:eastAsia="zh-CN"/>
              </w:rPr>
              <w:t xml:space="preserve">    本项目噪声自行监测要求如下表。</w:t>
            </w:r>
          </w:p>
          <w:p>
            <w:pPr>
              <w:spacing w:line="240" w:lineRule="auto"/>
              <w:jc w:val="center"/>
              <w:rPr>
                <w:rFonts w:hint="default"/>
                <w:color w:val="auto"/>
                <w:u w:val="none"/>
                <w:lang w:val="en-US" w:eastAsia="zh-CN"/>
              </w:rPr>
            </w:pPr>
            <w:r>
              <w:rPr>
                <w:rFonts w:hint="eastAsia"/>
                <w:b/>
                <w:bCs/>
                <w:color w:val="auto"/>
                <w:u w:val="none"/>
                <w:lang w:eastAsia="zh-CN"/>
              </w:rPr>
              <w:t>表</w:t>
            </w:r>
            <w:r>
              <w:rPr>
                <w:rFonts w:hint="eastAsia"/>
                <w:b/>
                <w:bCs/>
                <w:color w:val="auto"/>
                <w:u w:val="none"/>
                <w:lang w:val="en-US" w:eastAsia="zh-CN"/>
              </w:rPr>
              <w:t>4-9  噪声监测要求</w:t>
            </w:r>
          </w:p>
          <w:tbl>
            <w:tblPr>
              <w:tblStyle w:val="16"/>
              <w:tblW w:w="7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376"/>
              <w:gridCol w:w="1079"/>
              <w:gridCol w:w="1093"/>
              <w:gridCol w:w="1606"/>
              <w:gridCol w:w="112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序号</w:t>
                  </w:r>
                </w:p>
              </w:tc>
              <w:tc>
                <w:tcPr>
                  <w:tcW w:w="13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监测点位</w:t>
                  </w:r>
                </w:p>
              </w:tc>
              <w:tc>
                <w:tcPr>
                  <w:tcW w:w="10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监测因子</w:t>
                  </w:r>
                </w:p>
              </w:tc>
              <w:tc>
                <w:tcPr>
                  <w:tcW w:w="10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监测频次</w:t>
                  </w:r>
                </w:p>
              </w:tc>
              <w:tc>
                <w:tcPr>
                  <w:tcW w:w="16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排放标准</w:t>
                  </w:r>
                </w:p>
              </w:tc>
              <w:tc>
                <w:tcPr>
                  <w:tcW w:w="2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标准值（</w:t>
                  </w:r>
                  <w:r>
                    <w:rPr>
                      <w:rFonts w:hint="default" w:ascii="Times New Roman" w:hAnsi="Times New Roman" w:cs="Times New Roman"/>
                      <w:color w:val="auto"/>
                      <w:u w:val="none"/>
                      <w:lang w:val="en-US" w:eastAsia="zh-CN"/>
                    </w:rPr>
                    <w:t>dB（A）</w:t>
                  </w:r>
                  <w:r>
                    <w:rPr>
                      <w:rFonts w:hint="default" w:ascii="Times New Roman" w:hAnsi="Times New Roman" w:cs="Times New Roman"/>
                      <w:color w:val="auto"/>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p>
              </w:tc>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p>
              </w:tc>
              <w:tc>
                <w:tcPr>
                  <w:tcW w:w="10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p>
              </w:tc>
              <w:tc>
                <w:tcPr>
                  <w:tcW w:w="10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p>
              </w:tc>
              <w:tc>
                <w:tcPr>
                  <w:tcW w:w="16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昼间</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厂界东</w:t>
                  </w:r>
                </w:p>
              </w:tc>
              <w:tc>
                <w:tcPr>
                  <w:tcW w:w="10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Leq（A）</w:t>
                  </w:r>
                </w:p>
              </w:tc>
              <w:tc>
                <w:tcPr>
                  <w:tcW w:w="10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1</w:t>
                  </w:r>
                  <w:r>
                    <w:rPr>
                      <w:rFonts w:hint="default" w:ascii="Times New Roman" w:hAnsi="Times New Roman" w:cs="Times New Roman"/>
                      <w:color w:val="auto"/>
                      <w:u w:val="none"/>
                      <w:lang w:eastAsia="zh-CN"/>
                    </w:rPr>
                    <w:t>年</w:t>
                  </w:r>
                  <w:r>
                    <w:rPr>
                      <w:rFonts w:hint="default" w:ascii="Times New Roman" w:hAnsi="Times New Roman" w:cs="Times New Roman"/>
                      <w:color w:val="auto"/>
                      <w:u w:val="none"/>
                      <w:lang w:val="en-US" w:eastAsia="zh-CN"/>
                    </w:rPr>
                    <w:t>1次</w:t>
                  </w:r>
                </w:p>
              </w:tc>
              <w:tc>
                <w:tcPr>
                  <w:tcW w:w="16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GB12348-2008</w:t>
                  </w:r>
                </w:p>
              </w:tc>
              <w:tc>
                <w:tcPr>
                  <w:tcW w:w="1125" w:type="dxa"/>
                  <w:noWrap w:val="0"/>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60</w:t>
                  </w:r>
                </w:p>
              </w:tc>
              <w:tc>
                <w:tcPr>
                  <w:tcW w:w="1009" w:type="dxa"/>
                  <w:noWrap w:val="0"/>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2</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厂界南</w:t>
                  </w:r>
                </w:p>
              </w:tc>
              <w:tc>
                <w:tcPr>
                  <w:tcW w:w="10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p>
              </w:tc>
              <w:tc>
                <w:tcPr>
                  <w:tcW w:w="10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p>
              </w:tc>
              <w:tc>
                <w:tcPr>
                  <w:tcW w:w="16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p>
              </w:tc>
              <w:tc>
                <w:tcPr>
                  <w:tcW w:w="1125" w:type="dxa"/>
                  <w:noWrap w:val="0"/>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60</w:t>
                  </w:r>
                </w:p>
              </w:tc>
              <w:tc>
                <w:tcPr>
                  <w:tcW w:w="1009" w:type="dxa"/>
                  <w:noWrap w:val="0"/>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3</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厂界西</w:t>
                  </w:r>
                </w:p>
              </w:tc>
              <w:tc>
                <w:tcPr>
                  <w:tcW w:w="10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p>
              </w:tc>
              <w:tc>
                <w:tcPr>
                  <w:tcW w:w="10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p>
              </w:tc>
              <w:tc>
                <w:tcPr>
                  <w:tcW w:w="16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p>
              </w:tc>
              <w:tc>
                <w:tcPr>
                  <w:tcW w:w="1125" w:type="dxa"/>
                  <w:noWrap w:val="0"/>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60</w:t>
                  </w:r>
                </w:p>
              </w:tc>
              <w:tc>
                <w:tcPr>
                  <w:tcW w:w="1009" w:type="dxa"/>
                  <w:noWrap w:val="0"/>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4</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r>
                    <w:rPr>
                      <w:rFonts w:hint="default" w:ascii="Times New Roman" w:hAnsi="Times New Roman" w:cs="Times New Roman"/>
                      <w:color w:val="auto"/>
                      <w:u w:val="none"/>
                      <w:lang w:eastAsia="zh-CN"/>
                    </w:rPr>
                    <w:t>厂界北</w:t>
                  </w:r>
                </w:p>
              </w:tc>
              <w:tc>
                <w:tcPr>
                  <w:tcW w:w="10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p>
              </w:tc>
              <w:tc>
                <w:tcPr>
                  <w:tcW w:w="10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eastAsia="zh-CN"/>
                    </w:rPr>
                  </w:pPr>
                </w:p>
              </w:tc>
              <w:tc>
                <w:tcPr>
                  <w:tcW w:w="16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u w:val="none"/>
                      <w:lang w:val="en-US" w:eastAsia="zh-CN"/>
                    </w:rPr>
                  </w:pPr>
                </w:p>
              </w:tc>
              <w:tc>
                <w:tcPr>
                  <w:tcW w:w="1125" w:type="dxa"/>
                  <w:noWrap w:val="0"/>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60</w:t>
                  </w:r>
                </w:p>
              </w:tc>
              <w:tc>
                <w:tcPr>
                  <w:tcW w:w="1009" w:type="dxa"/>
                  <w:noWrap w:val="0"/>
                  <w:vAlign w:val="center"/>
                </w:tcPr>
                <w:p>
                  <w:pPr>
                    <w:jc w:val="center"/>
                    <w:rPr>
                      <w:rFonts w:hint="default" w:ascii="Times New Roman" w:hAnsi="Times New Roman" w:cs="Times New Roman"/>
                      <w:color w:val="auto"/>
                      <w:u w:val="none"/>
                      <w:lang w:val="en-US" w:eastAsia="zh-CN"/>
                    </w:rPr>
                  </w:pPr>
                  <w:r>
                    <w:rPr>
                      <w:rFonts w:hint="default" w:ascii="Times New Roman" w:hAnsi="Times New Roman" w:cs="Times New Roman"/>
                      <w:color w:val="auto"/>
                      <w:u w:val="none"/>
                      <w:lang w:val="en-US" w:eastAsia="zh-CN"/>
                    </w:rPr>
                    <w:t>50</w:t>
                  </w:r>
                </w:p>
              </w:tc>
            </w:tr>
          </w:tbl>
          <w:p>
            <w:pPr>
              <w:spacing w:line="240" w:lineRule="auto"/>
              <w:jc w:val="both"/>
              <w:rPr>
                <w:rFonts w:hint="eastAsia"/>
                <w:b/>
                <w:bCs/>
                <w:color w:val="auto"/>
                <w:u w:val="none"/>
                <w:lang w:eastAsia="zh-CN"/>
              </w:rPr>
            </w:pPr>
          </w:p>
          <w:p>
            <w:pPr>
              <w:keepNext w:val="0"/>
              <w:keepLines w:val="0"/>
              <w:pageBreakBefore w:val="0"/>
              <w:widowControl w:val="0"/>
              <w:tabs>
                <w:tab w:val="left" w:pos="396"/>
              </w:tabs>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sz w:val="24"/>
                <w:szCs w:val="24"/>
                <w:highlight w:val="none"/>
                <w:lang w:eastAsia="zh-CN"/>
              </w:rPr>
            </w:pPr>
            <w:r>
              <w:rPr>
                <w:rFonts w:hint="eastAsia"/>
                <w:b w:val="0"/>
                <w:bCs w:val="0"/>
                <w:color w:val="auto"/>
                <w:sz w:val="24"/>
                <w:szCs w:val="24"/>
                <w:lang w:val="en-US" w:eastAsia="zh-CN"/>
              </w:rPr>
              <w:t>（4）声环境影响分析</w:t>
            </w:r>
          </w:p>
          <w:p>
            <w:pPr>
              <w:spacing w:line="360" w:lineRule="auto"/>
              <w:ind w:firstLine="480" w:firstLineChars="200"/>
              <w:rPr>
                <w:rFonts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1）</w:t>
            </w:r>
            <w:r>
              <w:rPr>
                <w:rFonts w:ascii="Times New Roman" w:hAnsi="Times New Roman" w:eastAsia="宋体" w:cs="Times New Roman"/>
                <w:b w:val="0"/>
                <w:bCs w:val="0"/>
                <w:color w:val="auto"/>
                <w:sz w:val="24"/>
                <w:szCs w:val="24"/>
                <w:highlight w:val="none"/>
              </w:rPr>
              <w:t>预测模式</w:t>
            </w:r>
          </w:p>
          <w:p>
            <w:pPr>
              <w:widowControl w:val="0"/>
              <w:tabs>
                <w:tab w:val="left" w:pos="1021"/>
                <w:tab w:val="left" w:pos="1320"/>
              </w:tabs>
              <w:spacing w:line="360" w:lineRule="auto"/>
              <w:ind w:firstLine="464" w:firstLineChars="200"/>
              <w:jc w:val="both"/>
              <w:rPr>
                <w:rFonts w:ascii="Times New Roman" w:hAnsi="Times New Roman" w:eastAsia="宋体" w:cs="Times New Roman"/>
                <w:color w:val="auto"/>
                <w:spacing w:val="-4"/>
                <w:kern w:val="2"/>
                <w:sz w:val="24"/>
                <w:szCs w:val="24"/>
                <w:highlight w:val="none"/>
                <w:lang w:val="en-US" w:eastAsia="zh-CN" w:bidi="ar-SA"/>
              </w:rPr>
            </w:pPr>
            <w:r>
              <w:rPr>
                <w:rFonts w:ascii="Times New Roman" w:hAnsi="Times New Roman" w:eastAsia="宋体" w:cs="Times New Roman"/>
                <w:color w:val="auto"/>
                <w:spacing w:val="-4"/>
                <w:kern w:val="2"/>
                <w:sz w:val="24"/>
                <w:szCs w:val="24"/>
                <w:highlight w:val="none"/>
                <w:lang w:val="en-US" w:eastAsia="zh-CN" w:bidi="ar-SA"/>
              </w:rPr>
              <w:t>①点源预测模式</w:t>
            </w:r>
          </w:p>
          <w:p>
            <w:pPr>
              <w:widowControl w:val="0"/>
              <w:tabs>
                <w:tab w:val="left" w:pos="1021"/>
                <w:tab w:val="left" w:pos="1320"/>
              </w:tabs>
              <w:spacing w:line="360" w:lineRule="auto"/>
              <w:ind w:firstLine="464" w:firstLineChars="200"/>
              <w:jc w:val="both"/>
              <w:rPr>
                <w:rFonts w:ascii="Times New Roman" w:hAnsi="Times New Roman" w:eastAsia="宋体" w:cs="Times New Roman"/>
                <w:color w:val="auto"/>
                <w:spacing w:val="-4"/>
                <w:kern w:val="2"/>
                <w:sz w:val="24"/>
                <w:szCs w:val="24"/>
                <w:highlight w:val="none"/>
                <w:lang w:val="en-US" w:eastAsia="zh-CN" w:bidi="ar-SA"/>
              </w:rPr>
            </w:pPr>
            <w:r>
              <w:rPr>
                <w:rFonts w:ascii="Times New Roman" w:hAnsi="Times New Roman" w:eastAsia="宋体" w:cs="Times New Roman"/>
                <w:color w:val="auto"/>
                <w:spacing w:val="-4"/>
                <w:kern w:val="2"/>
                <w:sz w:val="24"/>
                <w:szCs w:val="24"/>
                <w:highlight w:val="none"/>
                <w:lang w:val="en-US" w:eastAsia="zh-CN" w:bidi="ar-SA"/>
              </w:rPr>
              <w:t>根据各声源噪声排放特点，并结合《环境影响评价技术导则-声环境》(HJ2.4-2009)的要求，采用《噪声影响评价系统(NoiseSystem)》噪声软件进行预测本工程噪声对环境的影响。</w:t>
            </w:r>
          </w:p>
          <w:p>
            <w:pPr>
              <w:widowControl w:val="0"/>
              <w:tabs>
                <w:tab w:val="left" w:pos="1021"/>
                <w:tab w:val="left" w:pos="1320"/>
              </w:tabs>
              <w:spacing w:line="360" w:lineRule="auto"/>
              <w:ind w:firstLine="464" w:firstLineChars="200"/>
              <w:jc w:val="left"/>
              <w:rPr>
                <w:rFonts w:ascii="Times New Roman" w:hAnsi="Times New Roman" w:eastAsia="宋体" w:cs="Times New Roman"/>
                <w:color w:val="auto"/>
                <w:spacing w:val="-4"/>
                <w:kern w:val="2"/>
                <w:sz w:val="24"/>
                <w:szCs w:val="24"/>
                <w:highlight w:val="none"/>
                <w:lang w:val="en-US" w:eastAsia="zh-CN" w:bidi="ar-SA"/>
              </w:rPr>
            </w:pPr>
            <w:r>
              <w:rPr>
                <w:rFonts w:ascii="Times New Roman" w:hAnsi="Times New Roman" w:eastAsia="宋体" w:cs="Times New Roman"/>
                <w:color w:val="auto"/>
                <w:spacing w:val="-4"/>
                <w:kern w:val="2"/>
                <w:sz w:val="24"/>
                <w:szCs w:val="24"/>
                <w:highlight w:val="none"/>
                <w:lang w:val="en-US" w:eastAsia="zh-CN" w:bidi="ar-SA"/>
              </w:rPr>
              <w:t>模式如下：</w:t>
            </w:r>
          </w:p>
          <w:p>
            <w:pPr>
              <w:widowControl w:val="0"/>
              <w:tabs>
                <w:tab w:val="left" w:pos="1021"/>
                <w:tab w:val="left" w:pos="1320"/>
              </w:tabs>
              <w:spacing w:line="360" w:lineRule="auto"/>
              <w:ind w:firstLine="464" w:firstLineChars="200"/>
              <w:jc w:val="left"/>
              <w:rPr>
                <w:rFonts w:ascii="Times New Roman" w:hAnsi="Times New Roman" w:eastAsia="宋体" w:cs="Times New Roman"/>
                <w:color w:val="auto"/>
                <w:spacing w:val="-4"/>
                <w:kern w:val="2"/>
                <w:sz w:val="24"/>
                <w:szCs w:val="24"/>
                <w:highlight w:val="none"/>
                <w:lang w:val="en-US" w:eastAsia="zh-CN" w:bidi="ar-SA"/>
              </w:rPr>
            </w:pPr>
            <w:r>
              <w:rPr>
                <w:rFonts w:ascii="Times New Roman" w:hAnsi="Times New Roman" w:eastAsia="宋体" w:cs="Times New Roman"/>
                <w:color w:val="auto"/>
                <w:spacing w:val="-4"/>
                <w:kern w:val="2"/>
                <w:sz w:val="24"/>
                <w:szCs w:val="24"/>
                <w:highlight w:val="none"/>
                <w:lang w:val="en-US" w:eastAsia="zh-CN" w:bidi="ar-SA"/>
              </w:rPr>
              <w:t xml:space="preserve">          </w:t>
            </w:r>
            <w:r>
              <w:rPr>
                <w:rFonts w:ascii="Times New Roman" w:hAnsi="Times New Roman" w:eastAsia="宋体" w:cs="Times New Roman"/>
                <w:color w:val="auto"/>
                <w:spacing w:val="-4"/>
                <w:kern w:val="2"/>
                <w:sz w:val="24"/>
                <w:szCs w:val="24"/>
                <w:highlight w:val="none"/>
                <w:lang w:val="en-US" w:eastAsia="zh-CN" w:bidi="ar-SA"/>
              </w:rPr>
              <w:drawing>
                <wp:inline distT="0" distB="0" distL="114300" distR="114300">
                  <wp:extent cx="1422400" cy="444500"/>
                  <wp:effectExtent l="0" t="0" r="0" b="1397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7"/>
                          <a:stretch>
                            <a:fillRect/>
                          </a:stretch>
                        </pic:blipFill>
                        <pic:spPr>
                          <a:xfrm>
                            <a:off x="0" y="0"/>
                            <a:ext cx="1422400" cy="444500"/>
                          </a:xfrm>
                          <a:prstGeom prst="rect">
                            <a:avLst/>
                          </a:prstGeom>
                          <a:noFill/>
                          <a:ln>
                            <a:noFill/>
                          </a:ln>
                        </pic:spPr>
                      </pic:pic>
                    </a:graphicData>
                  </a:graphic>
                </wp:inline>
              </w:drawing>
            </w:r>
          </w:p>
          <w:p>
            <w:pPr>
              <w:widowControl w:val="0"/>
              <w:tabs>
                <w:tab w:val="left" w:pos="1021"/>
                <w:tab w:val="left" w:pos="1320"/>
              </w:tabs>
              <w:spacing w:line="360" w:lineRule="auto"/>
              <w:ind w:firstLine="464" w:firstLineChars="200"/>
              <w:jc w:val="left"/>
              <w:rPr>
                <w:rFonts w:ascii="Times New Roman" w:hAnsi="Times New Roman" w:eastAsia="宋体" w:cs="Times New Roman"/>
                <w:color w:val="auto"/>
                <w:spacing w:val="-4"/>
                <w:kern w:val="2"/>
                <w:sz w:val="24"/>
                <w:szCs w:val="24"/>
                <w:highlight w:val="none"/>
                <w:lang w:val="en-US" w:eastAsia="zh-CN" w:bidi="ar-SA"/>
              </w:rPr>
            </w:pPr>
            <w:r>
              <w:rPr>
                <w:rFonts w:ascii="Times New Roman" w:hAnsi="Times New Roman" w:eastAsia="宋体" w:cs="Times New Roman"/>
                <w:color w:val="auto"/>
                <w:spacing w:val="-4"/>
                <w:kern w:val="2"/>
                <w:sz w:val="24"/>
                <w:szCs w:val="24"/>
                <w:highlight w:val="none"/>
                <w:lang w:val="en-US" w:eastAsia="zh-CN" w:bidi="ar-SA"/>
              </w:rPr>
              <w:t>式中：</w:t>
            </w:r>
            <w:r>
              <w:rPr>
                <w:rFonts w:ascii="Times New Roman" w:hAnsi="Times New Roman" w:eastAsia="宋体" w:cs="Times New Roman"/>
                <w:color w:val="auto"/>
                <w:spacing w:val="-4"/>
                <w:kern w:val="2"/>
                <w:sz w:val="24"/>
                <w:szCs w:val="24"/>
                <w:highlight w:val="none"/>
                <w:lang w:val="en-US" w:eastAsia="zh-CN" w:bidi="ar-SA"/>
              </w:rPr>
              <w:drawing>
                <wp:inline distT="0" distB="0" distL="114300" distR="114300">
                  <wp:extent cx="190500" cy="215900"/>
                  <wp:effectExtent l="0" t="0" r="0" b="1460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8"/>
                          <a:stretch>
                            <a:fillRect/>
                          </a:stretch>
                        </pic:blipFill>
                        <pic:spPr>
                          <a:xfrm>
                            <a:off x="0" y="0"/>
                            <a:ext cx="190500" cy="215900"/>
                          </a:xfrm>
                          <a:prstGeom prst="rect">
                            <a:avLst/>
                          </a:prstGeom>
                          <a:noFill/>
                          <a:ln>
                            <a:noFill/>
                          </a:ln>
                        </pic:spPr>
                      </pic:pic>
                    </a:graphicData>
                  </a:graphic>
                </wp:inline>
              </w:drawing>
            </w:r>
            <w:r>
              <w:rPr>
                <w:rFonts w:ascii="Times New Roman" w:hAnsi="Times New Roman" w:eastAsia="宋体" w:cs="Times New Roman"/>
                <w:color w:val="auto"/>
                <w:spacing w:val="-4"/>
                <w:kern w:val="2"/>
                <w:sz w:val="24"/>
                <w:szCs w:val="24"/>
                <w:highlight w:val="none"/>
                <w:lang w:val="en-US" w:eastAsia="zh-CN" w:bidi="ar-SA"/>
              </w:rPr>
              <w:t>——点声源在预测点产生的声压级；</w:t>
            </w:r>
          </w:p>
          <w:p>
            <w:pPr>
              <w:widowControl w:val="0"/>
              <w:tabs>
                <w:tab w:val="left" w:pos="1021"/>
                <w:tab w:val="left" w:pos="1320"/>
              </w:tabs>
              <w:spacing w:line="360" w:lineRule="auto"/>
              <w:ind w:firstLine="464" w:firstLineChars="200"/>
              <w:jc w:val="left"/>
              <w:rPr>
                <w:rFonts w:ascii="Times New Roman" w:hAnsi="Times New Roman" w:eastAsia="宋体" w:cs="Times New Roman"/>
                <w:color w:val="auto"/>
                <w:spacing w:val="-4"/>
                <w:kern w:val="2"/>
                <w:sz w:val="24"/>
                <w:szCs w:val="24"/>
                <w:highlight w:val="none"/>
                <w:lang w:val="en-US" w:eastAsia="zh-CN" w:bidi="ar-SA"/>
              </w:rPr>
            </w:pPr>
            <w:r>
              <w:rPr>
                <w:rFonts w:ascii="Times New Roman" w:hAnsi="Times New Roman" w:eastAsia="宋体" w:cs="Times New Roman"/>
                <w:color w:val="auto"/>
                <w:spacing w:val="-4"/>
                <w:kern w:val="2"/>
                <w:sz w:val="24"/>
                <w:szCs w:val="24"/>
                <w:highlight w:val="none"/>
                <w:lang w:val="en-US" w:eastAsia="zh-CN" w:bidi="ar-SA"/>
              </w:rPr>
              <w:t xml:space="preserve">      </w:t>
            </w:r>
            <w:r>
              <w:rPr>
                <w:rFonts w:ascii="Times New Roman" w:hAnsi="Times New Roman" w:eastAsia="宋体" w:cs="Times New Roman"/>
                <w:color w:val="auto"/>
                <w:spacing w:val="-4"/>
                <w:kern w:val="2"/>
                <w:sz w:val="24"/>
                <w:szCs w:val="24"/>
                <w:highlight w:val="none"/>
                <w:lang w:val="en-US" w:eastAsia="zh-CN" w:bidi="ar-SA"/>
              </w:rPr>
              <w:drawing>
                <wp:inline distT="0" distB="0" distL="114300" distR="114300">
                  <wp:extent cx="165100" cy="215900"/>
                  <wp:effectExtent l="0" t="0" r="6350" b="1460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9"/>
                          <a:stretch>
                            <a:fillRect/>
                          </a:stretch>
                        </pic:blipFill>
                        <pic:spPr>
                          <a:xfrm>
                            <a:off x="0" y="0"/>
                            <a:ext cx="165100" cy="215900"/>
                          </a:xfrm>
                          <a:prstGeom prst="rect">
                            <a:avLst/>
                          </a:prstGeom>
                          <a:noFill/>
                          <a:ln>
                            <a:noFill/>
                          </a:ln>
                        </pic:spPr>
                      </pic:pic>
                    </a:graphicData>
                  </a:graphic>
                </wp:inline>
              </w:drawing>
            </w:r>
            <w:r>
              <w:rPr>
                <w:rFonts w:ascii="Times New Roman" w:hAnsi="Times New Roman" w:eastAsia="宋体" w:cs="Times New Roman"/>
                <w:color w:val="auto"/>
                <w:spacing w:val="-4"/>
                <w:kern w:val="2"/>
                <w:sz w:val="24"/>
                <w:szCs w:val="24"/>
                <w:highlight w:val="none"/>
                <w:lang w:val="en-US" w:eastAsia="zh-CN" w:bidi="ar-SA"/>
              </w:rPr>
              <w:t>——点声源在参考点产生的声压级；</w:t>
            </w:r>
          </w:p>
          <w:p>
            <w:pPr>
              <w:widowControl w:val="0"/>
              <w:tabs>
                <w:tab w:val="left" w:pos="1021"/>
                <w:tab w:val="left" w:pos="1320"/>
              </w:tabs>
              <w:spacing w:line="360" w:lineRule="auto"/>
              <w:ind w:firstLine="464" w:firstLineChars="200"/>
              <w:jc w:val="left"/>
              <w:rPr>
                <w:rFonts w:ascii="Times New Roman" w:hAnsi="Times New Roman" w:eastAsia="宋体" w:cs="Times New Roman"/>
                <w:color w:val="auto"/>
                <w:spacing w:val="-4"/>
                <w:kern w:val="2"/>
                <w:sz w:val="24"/>
                <w:szCs w:val="24"/>
                <w:highlight w:val="none"/>
                <w:lang w:val="en-US" w:eastAsia="zh-CN" w:bidi="ar-SA"/>
              </w:rPr>
            </w:pPr>
            <w:r>
              <w:rPr>
                <w:rFonts w:ascii="Times New Roman" w:hAnsi="Times New Roman" w:eastAsia="宋体" w:cs="Times New Roman"/>
                <w:color w:val="auto"/>
                <w:spacing w:val="-4"/>
                <w:kern w:val="2"/>
                <w:sz w:val="24"/>
                <w:szCs w:val="24"/>
                <w:highlight w:val="none"/>
                <w:lang w:val="en-US" w:eastAsia="zh-CN" w:bidi="ar-SA"/>
              </w:rPr>
              <w:t xml:space="preserve">      </w:t>
            </w:r>
            <w:r>
              <w:rPr>
                <w:rFonts w:ascii="Times New Roman" w:hAnsi="Times New Roman" w:eastAsia="宋体" w:cs="Times New Roman"/>
                <w:color w:val="auto"/>
                <w:spacing w:val="-4"/>
                <w:kern w:val="2"/>
                <w:sz w:val="24"/>
                <w:szCs w:val="24"/>
                <w:highlight w:val="none"/>
                <w:lang w:val="en-US" w:eastAsia="zh-CN" w:bidi="ar-SA"/>
              </w:rPr>
              <w:drawing>
                <wp:inline distT="0" distB="0" distL="114300" distR="114300">
                  <wp:extent cx="111760" cy="215900"/>
                  <wp:effectExtent l="0" t="0" r="2540" b="1587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20"/>
                          <a:stretch>
                            <a:fillRect/>
                          </a:stretch>
                        </pic:blipFill>
                        <pic:spPr>
                          <a:xfrm>
                            <a:off x="0" y="0"/>
                            <a:ext cx="111760" cy="215900"/>
                          </a:xfrm>
                          <a:prstGeom prst="rect">
                            <a:avLst/>
                          </a:prstGeom>
                          <a:noFill/>
                          <a:ln>
                            <a:noFill/>
                          </a:ln>
                        </pic:spPr>
                      </pic:pic>
                    </a:graphicData>
                  </a:graphic>
                </wp:inline>
              </w:drawing>
            </w:r>
            <w:r>
              <w:rPr>
                <w:rFonts w:ascii="Times New Roman" w:hAnsi="Times New Roman" w:eastAsia="宋体" w:cs="Times New Roman"/>
                <w:color w:val="auto"/>
                <w:spacing w:val="-4"/>
                <w:kern w:val="2"/>
                <w:sz w:val="24"/>
                <w:szCs w:val="24"/>
                <w:highlight w:val="none"/>
                <w:lang w:val="en-US" w:eastAsia="zh-CN" w:bidi="ar-SA"/>
              </w:rPr>
              <w:t xml:space="preserve">——预测点距声源的距离； </w:t>
            </w:r>
          </w:p>
          <w:p>
            <w:pPr>
              <w:widowControl w:val="0"/>
              <w:tabs>
                <w:tab w:val="left" w:pos="1021"/>
                <w:tab w:val="left" w:pos="1320"/>
              </w:tabs>
              <w:spacing w:line="360" w:lineRule="auto"/>
              <w:ind w:firstLine="464" w:firstLineChars="200"/>
              <w:jc w:val="left"/>
              <w:rPr>
                <w:rFonts w:ascii="Times New Roman" w:hAnsi="Times New Roman" w:eastAsia="宋体" w:cs="Times New Roman"/>
                <w:color w:val="auto"/>
                <w:spacing w:val="-4"/>
                <w:kern w:val="2"/>
                <w:sz w:val="24"/>
                <w:szCs w:val="24"/>
                <w:highlight w:val="none"/>
                <w:lang w:val="en-US" w:eastAsia="zh-CN" w:bidi="ar-SA"/>
              </w:rPr>
            </w:pPr>
            <w:r>
              <w:rPr>
                <w:rFonts w:ascii="Times New Roman" w:hAnsi="Times New Roman" w:eastAsia="宋体" w:cs="Times New Roman"/>
                <w:color w:val="auto"/>
                <w:spacing w:val="-4"/>
                <w:kern w:val="2"/>
                <w:sz w:val="24"/>
                <w:szCs w:val="24"/>
                <w:highlight w:val="none"/>
                <w:lang w:val="en-US" w:eastAsia="zh-CN" w:bidi="ar-SA"/>
              </w:rPr>
              <w:t xml:space="preserve">      </w:t>
            </w:r>
            <w:r>
              <w:rPr>
                <w:rFonts w:ascii="Times New Roman" w:hAnsi="Times New Roman" w:eastAsia="宋体" w:cs="Times New Roman"/>
                <w:color w:val="auto"/>
                <w:spacing w:val="-4"/>
                <w:kern w:val="2"/>
                <w:sz w:val="24"/>
                <w:szCs w:val="24"/>
                <w:highlight w:val="none"/>
                <w:lang w:val="en-US" w:eastAsia="zh-CN" w:bidi="ar-SA"/>
              </w:rPr>
              <w:drawing>
                <wp:inline distT="0" distB="0" distL="114300" distR="114300">
                  <wp:extent cx="101600" cy="215900"/>
                  <wp:effectExtent l="0" t="0" r="12700" b="1587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21"/>
                          <a:stretch>
                            <a:fillRect/>
                          </a:stretch>
                        </pic:blipFill>
                        <pic:spPr>
                          <a:xfrm>
                            <a:off x="0" y="0"/>
                            <a:ext cx="101600" cy="215900"/>
                          </a:xfrm>
                          <a:prstGeom prst="rect">
                            <a:avLst/>
                          </a:prstGeom>
                          <a:noFill/>
                          <a:ln>
                            <a:noFill/>
                          </a:ln>
                        </pic:spPr>
                      </pic:pic>
                    </a:graphicData>
                  </a:graphic>
                </wp:inline>
              </w:drawing>
            </w:r>
            <w:r>
              <w:rPr>
                <w:rFonts w:ascii="Times New Roman" w:hAnsi="Times New Roman" w:eastAsia="宋体" w:cs="Times New Roman"/>
                <w:color w:val="auto"/>
                <w:spacing w:val="-4"/>
                <w:kern w:val="2"/>
                <w:sz w:val="24"/>
                <w:szCs w:val="24"/>
                <w:highlight w:val="none"/>
                <w:lang w:val="en-US" w:eastAsia="zh-CN" w:bidi="ar-SA"/>
              </w:rPr>
              <w:t>——参考点距声源的距离；</w:t>
            </w:r>
          </w:p>
          <w:p>
            <w:pPr>
              <w:widowControl w:val="0"/>
              <w:tabs>
                <w:tab w:val="left" w:pos="1021"/>
                <w:tab w:val="left" w:pos="1320"/>
              </w:tabs>
              <w:spacing w:line="360" w:lineRule="auto"/>
              <w:ind w:firstLine="464" w:firstLineChars="200"/>
              <w:jc w:val="left"/>
              <w:rPr>
                <w:rFonts w:ascii="Times New Roman" w:hAnsi="Times New Roman" w:eastAsia="宋体" w:cs="Times New Roman"/>
                <w:color w:val="auto"/>
                <w:spacing w:val="-4"/>
                <w:kern w:val="2"/>
                <w:sz w:val="24"/>
                <w:szCs w:val="24"/>
                <w:highlight w:val="none"/>
                <w:lang w:val="en-US" w:eastAsia="zh-CN" w:bidi="ar-SA"/>
              </w:rPr>
            </w:pPr>
            <w:r>
              <w:rPr>
                <w:rFonts w:ascii="Times New Roman" w:hAnsi="Times New Roman" w:eastAsia="宋体" w:cs="Times New Roman"/>
                <w:color w:val="auto"/>
                <w:spacing w:val="-4"/>
                <w:kern w:val="2"/>
                <w:sz w:val="24"/>
                <w:szCs w:val="24"/>
                <w:highlight w:val="none"/>
                <w:lang w:val="en-US" w:eastAsia="zh-CN" w:bidi="ar-SA"/>
              </w:rPr>
              <w:t xml:space="preserve">   　 </w:t>
            </w:r>
            <w:r>
              <w:rPr>
                <w:rFonts w:ascii="Times New Roman" w:hAnsi="Times New Roman" w:eastAsia="宋体" w:cs="Times New Roman"/>
                <w:color w:val="auto"/>
                <w:spacing w:val="-4"/>
                <w:kern w:val="2"/>
                <w:sz w:val="24"/>
                <w:szCs w:val="24"/>
                <w:highlight w:val="none"/>
                <w:lang w:val="en-US" w:eastAsia="zh-CN" w:bidi="ar-SA"/>
              </w:rPr>
              <w:drawing>
                <wp:inline distT="0" distB="0" distL="114300" distR="114300">
                  <wp:extent cx="182880" cy="167005"/>
                  <wp:effectExtent l="0" t="0" r="7620" b="317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22"/>
                          <a:stretch>
                            <a:fillRect/>
                          </a:stretch>
                        </pic:blipFill>
                        <pic:spPr>
                          <a:xfrm>
                            <a:off x="0" y="0"/>
                            <a:ext cx="182880" cy="167005"/>
                          </a:xfrm>
                          <a:prstGeom prst="rect">
                            <a:avLst/>
                          </a:prstGeom>
                          <a:noFill/>
                          <a:ln>
                            <a:noFill/>
                          </a:ln>
                        </pic:spPr>
                      </pic:pic>
                    </a:graphicData>
                  </a:graphic>
                </wp:inline>
              </w:drawing>
            </w:r>
            <w:r>
              <w:rPr>
                <w:rFonts w:ascii="Times New Roman" w:hAnsi="Times New Roman" w:eastAsia="宋体" w:cs="Times New Roman"/>
                <w:color w:val="auto"/>
                <w:spacing w:val="-4"/>
                <w:kern w:val="2"/>
                <w:sz w:val="24"/>
                <w:szCs w:val="24"/>
                <w:highlight w:val="none"/>
                <w:lang w:val="en-US" w:eastAsia="zh-CN" w:bidi="ar-SA"/>
              </w:rPr>
              <w:t>——各种因素引起的衰减量（包括声屏障、空气吸收等引起的衰减量）。</w:t>
            </w:r>
          </w:p>
          <w:p>
            <w:pPr>
              <w:spacing w:line="360" w:lineRule="auto"/>
              <w:ind w:firstLine="48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②叠加模式</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对两个以上多个声源同时存在时，其预测点总声压级采用下面公式：</w:t>
            </w:r>
          </w:p>
          <w:p>
            <w:pPr>
              <w:widowControl w:val="0"/>
              <w:tabs>
                <w:tab w:val="left" w:pos="1021"/>
                <w:tab w:val="left" w:pos="1320"/>
              </w:tabs>
              <w:spacing w:line="360" w:lineRule="auto"/>
              <w:ind w:firstLine="464" w:firstLineChars="200"/>
              <w:jc w:val="left"/>
              <w:rPr>
                <w:rFonts w:ascii="Times New Roman" w:hAnsi="Times New Roman" w:eastAsia="宋体" w:cs="Times New Roman"/>
                <w:color w:val="auto"/>
                <w:spacing w:val="-4"/>
                <w:kern w:val="2"/>
                <w:sz w:val="24"/>
                <w:szCs w:val="24"/>
                <w:highlight w:val="none"/>
                <w:lang w:val="en-US" w:eastAsia="zh-CN" w:bidi="ar-SA"/>
              </w:rPr>
            </w:pPr>
            <w:r>
              <w:rPr>
                <w:rFonts w:ascii="Times New Roman" w:hAnsi="Times New Roman" w:eastAsia="宋体" w:cs="Times New Roman"/>
                <w:color w:val="auto"/>
                <w:spacing w:val="-4"/>
                <w:kern w:val="2"/>
                <w:sz w:val="24"/>
                <w:szCs w:val="24"/>
                <w:highlight w:val="none"/>
                <w:lang w:val="en-US" w:eastAsia="zh-CN" w:bidi="ar-SA"/>
              </w:rPr>
              <w:t xml:space="preserve">            Leq=10Lg(</w:t>
            </w:r>
            <w:r>
              <w:rPr>
                <w:rFonts w:ascii="Times New Roman" w:hAnsi="Times New Roman" w:eastAsia="宋体" w:cs="Times New Roman"/>
                <w:color w:val="auto"/>
                <w:spacing w:val="-4"/>
                <w:kern w:val="2"/>
                <w:sz w:val="24"/>
                <w:szCs w:val="24"/>
                <w:highlight w:val="none"/>
                <w:lang w:val="en-US" w:eastAsia="zh-CN" w:bidi="ar-SA"/>
              </w:rPr>
              <w:sym w:font="Times New Roman" w:char="0000"/>
            </w:r>
            <w:r>
              <w:rPr>
                <w:rFonts w:ascii="Times New Roman" w:hAnsi="Times New Roman" w:eastAsia="宋体" w:cs="Times New Roman"/>
                <w:color w:val="auto"/>
                <w:spacing w:val="-4"/>
                <w:kern w:val="2"/>
                <w:sz w:val="24"/>
                <w:szCs w:val="24"/>
                <w:highlight w:val="none"/>
                <w:lang w:val="en-US" w:eastAsia="zh-CN" w:bidi="ar-SA"/>
              </w:rPr>
              <w:t>10</w:t>
            </w:r>
            <w:r>
              <w:rPr>
                <w:rFonts w:ascii="Times New Roman" w:hAnsi="Times New Roman" w:eastAsia="宋体" w:cs="Times New Roman"/>
                <w:color w:val="auto"/>
                <w:spacing w:val="-4"/>
                <w:kern w:val="2"/>
                <w:sz w:val="24"/>
                <w:szCs w:val="24"/>
                <w:highlight w:val="none"/>
                <w:vertAlign w:val="superscript"/>
                <w:lang w:val="en-US" w:eastAsia="zh-CN" w:bidi="ar-SA"/>
              </w:rPr>
              <w:t>0.1Li</w:t>
            </w:r>
            <w:r>
              <w:rPr>
                <w:rFonts w:ascii="Times New Roman" w:hAnsi="Times New Roman" w:eastAsia="宋体" w:cs="Times New Roman"/>
                <w:color w:val="auto"/>
                <w:spacing w:val="-4"/>
                <w:kern w:val="2"/>
                <w:sz w:val="24"/>
                <w:szCs w:val="24"/>
                <w:highlight w:val="none"/>
                <w:lang w:val="en-US" w:eastAsia="zh-CN" w:bidi="ar-SA"/>
              </w:rPr>
              <w:t>)</w:t>
            </w:r>
          </w:p>
          <w:p>
            <w:pPr>
              <w:widowControl w:val="0"/>
              <w:tabs>
                <w:tab w:val="left" w:pos="1021"/>
                <w:tab w:val="left" w:pos="1320"/>
              </w:tabs>
              <w:spacing w:line="360" w:lineRule="auto"/>
              <w:ind w:firstLine="464" w:firstLineChars="200"/>
              <w:jc w:val="left"/>
              <w:rPr>
                <w:rFonts w:ascii="Times New Roman" w:hAnsi="Times New Roman" w:eastAsia="宋体" w:cs="Times New Roman"/>
                <w:color w:val="auto"/>
                <w:spacing w:val="-4"/>
                <w:kern w:val="2"/>
                <w:sz w:val="24"/>
                <w:szCs w:val="24"/>
                <w:highlight w:val="none"/>
                <w:lang w:val="en-US" w:eastAsia="zh-CN" w:bidi="ar-SA"/>
              </w:rPr>
            </w:pPr>
            <w:r>
              <w:rPr>
                <w:rFonts w:ascii="Times New Roman" w:hAnsi="Times New Roman" w:eastAsia="宋体" w:cs="Times New Roman"/>
                <w:color w:val="auto"/>
                <w:spacing w:val="-4"/>
                <w:kern w:val="2"/>
                <w:sz w:val="24"/>
                <w:szCs w:val="24"/>
                <w:highlight w:val="none"/>
                <w:lang w:val="en-US" w:eastAsia="zh-CN" w:bidi="ar-SA"/>
              </w:rPr>
              <w:t>式中：Leq——预测点的总等效声级，dB(A)；</w:t>
            </w:r>
          </w:p>
          <w:p>
            <w:pPr>
              <w:widowControl w:val="0"/>
              <w:tabs>
                <w:tab w:val="left" w:pos="1021"/>
                <w:tab w:val="left" w:pos="1320"/>
              </w:tabs>
              <w:spacing w:line="360" w:lineRule="auto"/>
              <w:ind w:firstLine="464" w:firstLineChars="200"/>
              <w:jc w:val="left"/>
              <w:rPr>
                <w:rFonts w:ascii="Times New Roman" w:hAnsi="Times New Roman" w:eastAsia="宋体" w:cs="Times New Roman"/>
                <w:color w:val="auto"/>
                <w:spacing w:val="-4"/>
                <w:kern w:val="2"/>
                <w:sz w:val="24"/>
                <w:szCs w:val="24"/>
                <w:highlight w:val="none"/>
                <w:lang w:val="en-US" w:eastAsia="zh-CN" w:bidi="ar-SA"/>
              </w:rPr>
            </w:pPr>
            <w:r>
              <w:rPr>
                <w:rFonts w:ascii="Times New Roman" w:hAnsi="Times New Roman" w:eastAsia="宋体" w:cs="Times New Roman"/>
                <w:color w:val="auto"/>
                <w:spacing w:val="-4"/>
                <w:kern w:val="2"/>
                <w:sz w:val="24"/>
                <w:szCs w:val="24"/>
                <w:highlight w:val="none"/>
                <w:lang w:val="en-US" w:eastAsia="zh-CN" w:bidi="ar-SA"/>
              </w:rPr>
              <w:t xml:space="preserve">      Li——第i个声源对预测点的声级影响，dB(A)。</w:t>
            </w:r>
          </w:p>
          <w:p>
            <w:pPr>
              <w:spacing w:line="360" w:lineRule="auto"/>
              <w:ind w:firstLine="480" w:firstLineChars="200"/>
              <w:rPr>
                <w:rFonts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rPr>
              <w:t>2）</w:t>
            </w:r>
            <w:r>
              <w:rPr>
                <w:rFonts w:ascii="Times New Roman" w:hAnsi="Times New Roman" w:eastAsia="宋体" w:cs="Times New Roman"/>
                <w:b w:val="0"/>
                <w:bCs w:val="0"/>
                <w:color w:val="auto"/>
                <w:sz w:val="24"/>
                <w:szCs w:val="24"/>
                <w:highlight w:val="none"/>
              </w:rPr>
              <w:t>预测结果及分析</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各厂界噪声预测结果见表</w:t>
            </w:r>
            <w:r>
              <w:rPr>
                <w:rFonts w:hint="eastAsia" w:ascii="Times New Roman" w:hAnsi="Times New Roman" w:eastAsia="宋体" w:cs="Times New Roman"/>
                <w:color w:val="auto"/>
                <w:sz w:val="24"/>
                <w:szCs w:val="24"/>
                <w:highlight w:val="none"/>
                <w:lang w:val="en-US" w:eastAsia="zh-CN"/>
              </w:rPr>
              <w:t>4-</w:t>
            </w:r>
            <w:r>
              <w:rPr>
                <w:rFonts w:hint="eastAsia" w:cs="Times New Roman"/>
                <w:color w:val="auto"/>
                <w:sz w:val="24"/>
                <w:szCs w:val="24"/>
                <w:highlight w:val="none"/>
                <w:lang w:val="en-US" w:eastAsia="zh-CN"/>
              </w:rPr>
              <w:t>10</w:t>
            </w:r>
            <w:r>
              <w:rPr>
                <w:rFonts w:ascii="Times New Roman" w:hAnsi="Times New Roman" w:eastAsia="宋体" w:cs="Times New Roman"/>
                <w:color w:val="auto"/>
                <w:sz w:val="24"/>
                <w:szCs w:val="24"/>
                <w:highlight w:val="none"/>
              </w:rPr>
              <w:t>。</w:t>
            </w:r>
          </w:p>
          <w:p>
            <w:pPr>
              <w:spacing w:line="240" w:lineRule="auto"/>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4-10</w:t>
            </w:r>
            <w:r>
              <w:rPr>
                <w:rFonts w:ascii="Times New Roman" w:hAnsi="Times New Roman" w:eastAsia="宋体" w:cs="Times New Roman"/>
                <w:b/>
                <w:bCs/>
                <w:color w:val="auto"/>
                <w:sz w:val="21"/>
                <w:szCs w:val="21"/>
                <w:highlight w:val="none"/>
              </w:rPr>
              <w:t xml:space="preserve">  厂界噪声预测结果  单位：dB(A)</w:t>
            </w:r>
          </w:p>
          <w:tbl>
            <w:tblPr>
              <w:tblStyle w:val="15"/>
              <w:tblW w:w="7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536"/>
              <w:gridCol w:w="1536"/>
              <w:gridCol w:w="153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36" w:type="dxa"/>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预测点</w:t>
                  </w:r>
                </w:p>
              </w:tc>
              <w:tc>
                <w:tcPr>
                  <w:tcW w:w="1536" w:type="dxa"/>
                  <w:noWrap w:val="0"/>
                  <w:vAlign w:val="center"/>
                </w:tcPr>
                <w:p>
                  <w:pPr>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时间</w:t>
                  </w:r>
                </w:p>
              </w:tc>
              <w:tc>
                <w:tcPr>
                  <w:tcW w:w="1536" w:type="dxa"/>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预测值</w:t>
                  </w:r>
                </w:p>
              </w:tc>
              <w:tc>
                <w:tcPr>
                  <w:tcW w:w="1536" w:type="dxa"/>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标准值</w:t>
                  </w:r>
                </w:p>
              </w:tc>
              <w:tc>
                <w:tcPr>
                  <w:tcW w:w="1536" w:type="dxa"/>
                  <w:noWrap w:val="0"/>
                  <w:vAlign w:val="center"/>
                </w:tcPr>
                <w:p>
                  <w:pPr>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36" w:type="dxa"/>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东厂界</w:t>
                  </w:r>
                </w:p>
              </w:tc>
              <w:tc>
                <w:tcPr>
                  <w:tcW w:w="1536" w:type="dxa"/>
                  <w:noWrap w:val="0"/>
                  <w:vAlign w:val="center"/>
                </w:tcPr>
                <w:p>
                  <w:pPr>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昼间</w:t>
                  </w:r>
                </w:p>
              </w:tc>
              <w:tc>
                <w:tcPr>
                  <w:tcW w:w="15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pacing w:val="-3"/>
                      <w:sz w:val="21"/>
                      <w:szCs w:val="21"/>
                      <w:lang w:val="en-US" w:eastAsia="zh-CN"/>
                    </w:rPr>
                    <w:t>49.8</w:t>
                  </w:r>
                </w:p>
              </w:tc>
              <w:tc>
                <w:tcPr>
                  <w:tcW w:w="1536" w:type="dxa"/>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536" w:type="dxa"/>
                  <w:noWrap w:val="0"/>
                  <w:vAlign w:val="center"/>
                </w:tcPr>
                <w:p>
                  <w:pPr>
                    <w:jc w:val="center"/>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36" w:type="dxa"/>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南厂界</w:t>
                  </w:r>
                </w:p>
              </w:tc>
              <w:tc>
                <w:tcPr>
                  <w:tcW w:w="1536" w:type="dxa"/>
                  <w:noWrap w:val="0"/>
                  <w:vAlign w:val="center"/>
                </w:tcPr>
                <w:p>
                  <w:pPr>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昼间</w:t>
                  </w:r>
                </w:p>
              </w:tc>
              <w:tc>
                <w:tcPr>
                  <w:tcW w:w="15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ascii="Times New Roman" w:hAnsi="Times New Roman" w:eastAsia="Times New Roman" w:cs="Times New Roman"/>
                      <w:color w:val="auto"/>
                      <w:spacing w:val="-3"/>
                      <w:sz w:val="21"/>
                      <w:szCs w:val="21"/>
                    </w:rPr>
                    <w:t>.</w:t>
                  </w:r>
                  <w:r>
                    <w:rPr>
                      <w:rFonts w:hint="eastAsia" w:ascii="Times New Roman" w:hAnsi="Times New Roman" w:eastAsia="宋体" w:cs="Times New Roman"/>
                      <w:color w:val="auto"/>
                      <w:spacing w:val="-3"/>
                      <w:sz w:val="21"/>
                      <w:szCs w:val="21"/>
                      <w:lang w:val="en-US" w:eastAsia="zh-CN"/>
                    </w:rPr>
                    <w:t>50.1</w:t>
                  </w:r>
                </w:p>
              </w:tc>
              <w:tc>
                <w:tcPr>
                  <w:tcW w:w="1536" w:type="dxa"/>
                  <w:noWrap w:val="0"/>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60</w:t>
                  </w:r>
                </w:p>
              </w:tc>
              <w:tc>
                <w:tcPr>
                  <w:tcW w:w="1536" w:type="dxa"/>
                  <w:noWrap w:val="0"/>
                  <w:vAlign w:val="center"/>
                </w:tcPr>
                <w:p>
                  <w:pPr>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36" w:type="dxa"/>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西厂界</w:t>
                  </w:r>
                </w:p>
              </w:tc>
              <w:tc>
                <w:tcPr>
                  <w:tcW w:w="1536" w:type="dxa"/>
                  <w:noWrap w:val="0"/>
                  <w:vAlign w:val="center"/>
                </w:tcPr>
                <w:p>
                  <w:pPr>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昼间</w:t>
                  </w:r>
                </w:p>
              </w:tc>
              <w:tc>
                <w:tcPr>
                  <w:tcW w:w="15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pacing w:val="-3"/>
                      <w:sz w:val="21"/>
                      <w:szCs w:val="21"/>
                      <w:lang w:val="en-US" w:eastAsia="zh-CN"/>
                    </w:rPr>
                    <w:t>46</w:t>
                  </w:r>
                  <w:r>
                    <w:rPr>
                      <w:rFonts w:ascii="Times New Roman" w:hAnsi="Times New Roman" w:eastAsia="Times New Roman" w:cs="Times New Roman"/>
                      <w:color w:val="auto"/>
                      <w:spacing w:val="-3"/>
                      <w:sz w:val="21"/>
                      <w:szCs w:val="21"/>
                    </w:rPr>
                    <w:t>.8</w:t>
                  </w:r>
                </w:p>
              </w:tc>
              <w:tc>
                <w:tcPr>
                  <w:tcW w:w="1536" w:type="dxa"/>
                  <w:noWrap w:val="0"/>
                  <w:vAlign w:val="center"/>
                </w:tcPr>
                <w:p>
                  <w:pPr>
                    <w:jc w:val="center"/>
                    <w:rPr>
                      <w:rFonts w:hint="default" w:ascii="Times New Roman" w:hAnsi="Times New Roman" w:eastAsia="宋体" w:cs="Times New Roman"/>
                      <w:color w:val="auto"/>
                      <w:szCs w:val="21"/>
                      <w:highlight w:val="none"/>
                      <w:lang w:val="en-US"/>
                    </w:rPr>
                  </w:pPr>
                  <w:r>
                    <w:rPr>
                      <w:rFonts w:hint="eastAsia" w:ascii="Times New Roman" w:hAnsi="Times New Roman" w:eastAsia="宋体" w:cs="Times New Roman"/>
                      <w:color w:val="auto"/>
                      <w:szCs w:val="21"/>
                      <w:highlight w:val="none"/>
                      <w:lang w:val="en-US" w:eastAsia="zh-CN"/>
                    </w:rPr>
                    <w:t>60</w:t>
                  </w:r>
                </w:p>
              </w:tc>
              <w:tc>
                <w:tcPr>
                  <w:tcW w:w="1536" w:type="dxa"/>
                  <w:noWrap w:val="0"/>
                  <w:vAlign w:val="center"/>
                </w:tcPr>
                <w:p>
                  <w:pPr>
                    <w:jc w:val="center"/>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536" w:type="dxa"/>
                  <w:noWrap w:val="0"/>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北厂界</w:t>
                  </w:r>
                </w:p>
              </w:tc>
              <w:tc>
                <w:tcPr>
                  <w:tcW w:w="1536" w:type="dxa"/>
                  <w:noWrap w:val="0"/>
                  <w:vAlign w:val="center"/>
                </w:tcPr>
                <w:p>
                  <w:pPr>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昼间</w:t>
                  </w:r>
                </w:p>
              </w:tc>
              <w:tc>
                <w:tcPr>
                  <w:tcW w:w="15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pacing w:val="-1"/>
                      <w:sz w:val="21"/>
                      <w:szCs w:val="21"/>
                      <w:lang w:val="en-US" w:eastAsia="zh-CN"/>
                    </w:rPr>
                    <w:t>47</w:t>
                  </w:r>
                  <w:r>
                    <w:rPr>
                      <w:rFonts w:ascii="Times New Roman" w:hAnsi="Times New Roman" w:eastAsia="Times New Roman" w:cs="Times New Roman"/>
                      <w:color w:val="auto"/>
                      <w:spacing w:val="-1"/>
                      <w:sz w:val="21"/>
                      <w:szCs w:val="21"/>
                    </w:rPr>
                    <w:t>.6</w:t>
                  </w:r>
                </w:p>
              </w:tc>
              <w:tc>
                <w:tcPr>
                  <w:tcW w:w="1536" w:type="dxa"/>
                  <w:noWrap w:val="0"/>
                  <w:vAlign w:val="center"/>
                </w:tcPr>
                <w:p>
                  <w:pPr>
                    <w:jc w:val="center"/>
                    <w:rPr>
                      <w:rFonts w:hint="default" w:ascii="Times New Roman" w:hAnsi="Times New Roman" w:eastAsia="宋体" w:cs="Times New Roman"/>
                      <w:color w:val="auto"/>
                      <w:szCs w:val="21"/>
                      <w:highlight w:val="none"/>
                      <w:lang w:val="en-US"/>
                    </w:rPr>
                  </w:pPr>
                  <w:r>
                    <w:rPr>
                      <w:rFonts w:hint="eastAsia" w:ascii="Times New Roman" w:hAnsi="Times New Roman" w:eastAsia="宋体" w:cs="Times New Roman"/>
                      <w:color w:val="auto"/>
                      <w:szCs w:val="21"/>
                      <w:highlight w:val="none"/>
                      <w:lang w:val="en-US" w:eastAsia="zh-CN"/>
                    </w:rPr>
                    <w:t>60</w:t>
                  </w:r>
                </w:p>
              </w:tc>
              <w:tc>
                <w:tcPr>
                  <w:tcW w:w="1536" w:type="dxa"/>
                  <w:noWrap w:val="0"/>
                  <w:vAlign w:val="center"/>
                </w:tcPr>
                <w:p>
                  <w:pPr>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eastAsia="zh-CN"/>
                    </w:rPr>
                    <w:t>达标</w:t>
                  </w:r>
                </w:p>
              </w:tc>
            </w:tr>
          </w:tbl>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highlight w:val="none"/>
              </w:rPr>
              <w:t>由上表可知，项目正常生产情况下，根据预测结果，项目厂界四侧噪声符合《工业企业厂界环境噪声排放标准》（GB12348-2008）</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类标准</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因此</w:t>
            </w:r>
            <w:r>
              <w:rPr>
                <w:rFonts w:hint="eastAsia" w:ascii="Times New Roman" w:hAnsi="Times New Roman" w:eastAsia="宋体" w:cs="Times New Roman"/>
                <w:color w:val="auto"/>
                <w:sz w:val="24"/>
                <w:szCs w:val="24"/>
                <w:highlight w:val="none"/>
                <w:lang w:eastAsia="zh-CN"/>
              </w:rPr>
              <w:t>，对周边居</w:t>
            </w:r>
            <w:r>
              <w:rPr>
                <w:rFonts w:hint="eastAsia" w:ascii="Times New Roman" w:hAnsi="Times New Roman" w:eastAsia="宋体" w:cs="Times New Roman"/>
                <w:color w:val="auto"/>
                <w:kern w:val="2"/>
                <w:sz w:val="24"/>
                <w:szCs w:val="24"/>
                <w:lang w:val="en-US" w:eastAsia="zh-CN" w:bidi="ar-SA"/>
              </w:rPr>
              <w:t>民</w:t>
            </w:r>
            <w:r>
              <w:rPr>
                <w:rFonts w:hint="eastAsia" w:ascii="Times New Roman" w:hAnsi="Times New Roman" w:eastAsia="宋体" w:cs="Times New Roman"/>
                <w:color w:val="auto"/>
                <w:sz w:val="24"/>
                <w:szCs w:val="24"/>
                <w:lang w:val="en-US" w:eastAsia="zh-CN"/>
              </w:rPr>
              <w:t>影响较小，本项目投产后不会对周围声环境产生不利影响。</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4、固体废物</w:t>
            </w:r>
          </w:p>
          <w:p>
            <w:pPr>
              <w:pStyle w:val="27"/>
              <w:ind w:firstLine="480"/>
              <w:rPr>
                <w:color w:val="auto"/>
                <w:sz w:val="24"/>
                <w:szCs w:val="24"/>
              </w:rPr>
            </w:pPr>
            <w:r>
              <w:rPr>
                <w:color w:val="auto"/>
                <w:sz w:val="24"/>
                <w:szCs w:val="24"/>
              </w:rPr>
              <w:t>根据现场的实际情况及工艺流程分析，</w:t>
            </w:r>
            <w:r>
              <w:rPr>
                <w:rFonts w:hint="eastAsia"/>
                <w:color w:val="auto"/>
                <w:sz w:val="24"/>
                <w:szCs w:val="24"/>
              </w:rPr>
              <w:t>本项目包括生活垃圾和一般的工业固废</w:t>
            </w:r>
            <w:r>
              <w:rPr>
                <w:rFonts w:hint="eastAsia"/>
                <w:color w:val="auto"/>
                <w:sz w:val="24"/>
                <w:szCs w:val="24"/>
                <w:lang w:eastAsia="zh-CN"/>
              </w:rPr>
              <w:t>、危险废物等</w:t>
            </w:r>
            <w:r>
              <w:rPr>
                <w:rFonts w:hint="eastAsia"/>
                <w:color w:val="auto"/>
                <w:sz w:val="24"/>
                <w:szCs w:val="24"/>
              </w:rPr>
              <w:t>。</w:t>
            </w:r>
          </w:p>
          <w:p>
            <w:pPr>
              <w:spacing w:line="360" w:lineRule="auto"/>
              <w:ind w:firstLine="480" w:firstLineChars="200"/>
              <w:rPr>
                <w:color w:val="auto"/>
                <w:sz w:val="24"/>
                <w:szCs w:val="24"/>
              </w:rPr>
            </w:pPr>
            <w:r>
              <w:rPr>
                <w:color w:val="auto"/>
                <w:sz w:val="24"/>
                <w:szCs w:val="24"/>
              </w:rPr>
              <w:t>（1）</w:t>
            </w:r>
            <w:r>
              <w:rPr>
                <w:rFonts w:hint="eastAsia"/>
                <w:color w:val="auto"/>
                <w:sz w:val="24"/>
                <w:szCs w:val="24"/>
              </w:rPr>
              <w:t>生活垃圾</w:t>
            </w:r>
          </w:p>
          <w:p>
            <w:pPr>
              <w:spacing w:line="360" w:lineRule="auto"/>
              <w:ind w:firstLine="480" w:firstLineChars="200"/>
              <w:rPr>
                <w:color w:val="auto"/>
                <w:sz w:val="24"/>
                <w:szCs w:val="24"/>
              </w:rPr>
            </w:pPr>
            <w:r>
              <w:rPr>
                <w:color w:val="auto"/>
                <w:sz w:val="24"/>
                <w:szCs w:val="24"/>
              </w:rPr>
              <w:t>本厂区共有职</w:t>
            </w:r>
            <w:r>
              <w:rPr>
                <w:rFonts w:hint="eastAsia"/>
                <w:color w:val="auto"/>
                <w:sz w:val="24"/>
                <w:szCs w:val="24"/>
                <w:lang w:val="en-US" w:eastAsia="zh-CN"/>
              </w:rPr>
              <w:t>12</w:t>
            </w:r>
            <w:r>
              <w:rPr>
                <w:color w:val="auto"/>
                <w:sz w:val="24"/>
                <w:szCs w:val="24"/>
              </w:rPr>
              <w:t>人，产生的生活垃圾按0.5kg/人·天计算，年工作时间为</w:t>
            </w:r>
            <w:r>
              <w:rPr>
                <w:rFonts w:hint="eastAsia"/>
                <w:color w:val="auto"/>
                <w:sz w:val="24"/>
                <w:szCs w:val="24"/>
              </w:rPr>
              <w:t>300</w:t>
            </w:r>
            <w:r>
              <w:rPr>
                <w:color w:val="auto"/>
                <w:sz w:val="24"/>
                <w:szCs w:val="24"/>
              </w:rPr>
              <w:t>天，则产生量为</w:t>
            </w:r>
            <w:r>
              <w:rPr>
                <w:rFonts w:hint="eastAsia"/>
                <w:color w:val="auto"/>
                <w:sz w:val="24"/>
                <w:szCs w:val="24"/>
                <w:lang w:val="en-US" w:eastAsia="zh-CN"/>
              </w:rPr>
              <w:t>1.8</w:t>
            </w:r>
            <w:r>
              <w:rPr>
                <w:color w:val="auto"/>
                <w:sz w:val="24"/>
                <w:szCs w:val="24"/>
              </w:rPr>
              <w:t>t/a，垃圾桶收集清运至周边居民垃圾站统一处置。</w:t>
            </w:r>
          </w:p>
          <w:p>
            <w:pPr>
              <w:widowControl/>
              <w:spacing w:line="360" w:lineRule="auto"/>
              <w:ind w:firstLine="480" w:firstLineChars="200"/>
              <w:rPr>
                <w:rFonts w:hint="eastAsia"/>
                <w:color w:val="auto"/>
                <w:sz w:val="24"/>
                <w:szCs w:val="24"/>
                <w:lang w:eastAsia="zh-CN"/>
              </w:rPr>
            </w:pPr>
            <w:r>
              <w:rPr>
                <w:color w:val="auto"/>
                <w:sz w:val="24"/>
                <w:szCs w:val="24"/>
              </w:rPr>
              <w:t>（</w:t>
            </w:r>
            <w:r>
              <w:rPr>
                <w:rFonts w:hint="eastAsia"/>
                <w:color w:val="auto"/>
                <w:sz w:val="24"/>
                <w:szCs w:val="24"/>
                <w:lang w:val="en-US" w:eastAsia="zh-CN"/>
              </w:rPr>
              <w:t>2</w:t>
            </w:r>
            <w:r>
              <w:rPr>
                <w:color w:val="auto"/>
                <w:sz w:val="24"/>
                <w:szCs w:val="24"/>
              </w:rPr>
              <w:t>）</w:t>
            </w:r>
            <w:r>
              <w:rPr>
                <w:rFonts w:hint="eastAsia"/>
                <w:color w:val="auto"/>
                <w:sz w:val="24"/>
                <w:szCs w:val="24"/>
                <w:lang w:eastAsia="zh-CN"/>
              </w:rPr>
              <w:t>泥渣</w:t>
            </w:r>
          </w:p>
          <w:p>
            <w:pPr>
              <w:widowControl/>
              <w:spacing w:line="360" w:lineRule="auto"/>
              <w:ind w:firstLine="480" w:firstLineChars="200"/>
              <w:rPr>
                <w:color w:val="auto"/>
                <w:sz w:val="24"/>
                <w:szCs w:val="24"/>
              </w:rPr>
            </w:pPr>
            <w:r>
              <w:rPr>
                <w:rFonts w:hint="eastAsia"/>
                <w:color w:val="auto"/>
                <w:sz w:val="24"/>
                <w:szCs w:val="24"/>
                <w:lang w:eastAsia="zh-CN"/>
              </w:rPr>
              <w:t>经计算</w:t>
            </w:r>
            <w:r>
              <w:rPr>
                <w:color w:val="auto"/>
                <w:sz w:val="24"/>
                <w:szCs w:val="24"/>
              </w:rPr>
              <w:t>，本项目</w:t>
            </w:r>
            <w:r>
              <w:rPr>
                <w:rFonts w:hint="eastAsia"/>
                <w:color w:val="auto"/>
                <w:sz w:val="24"/>
                <w:szCs w:val="24"/>
              </w:rPr>
              <w:t>经处理</w:t>
            </w:r>
            <w:r>
              <w:rPr>
                <w:color w:val="auto"/>
                <w:sz w:val="24"/>
                <w:szCs w:val="24"/>
              </w:rPr>
              <w:t>后，产生</w:t>
            </w:r>
            <w:r>
              <w:rPr>
                <w:rFonts w:hint="eastAsia"/>
                <w:color w:val="auto"/>
                <w:sz w:val="24"/>
                <w:szCs w:val="24"/>
                <w:lang w:eastAsia="zh-CN"/>
              </w:rPr>
              <w:t>泥渣</w:t>
            </w:r>
            <w:r>
              <w:rPr>
                <w:rFonts w:hint="eastAsia"/>
                <w:color w:val="auto"/>
                <w:sz w:val="24"/>
                <w:szCs w:val="24"/>
                <w:lang w:val="en-US" w:eastAsia="zh-CN"/>
              </w:rPr>
              <w:t>41.32</w:t>
            </w:r>
            <w:r>
              <w:rPr>
                <w:color w:val="auto"/>
                <w:sz w:val="24"/>
                <w:szCs w:val="24"/>
              </w:rPr>
              <w:t>t/a</w:t>
            </w:r>
            <w:r>
              <w:rPr>
                <w:rFonts w:hint="eastAsia"/>
                <w:color w:val="auto"/>
                <w:sz w:val="24"/>
                <w:szCs w:val="24"/>
              </w:rPr>
              <w:t>，</w:t>
            </w:r>
            <w:r>
              <w:rPr>
                <w:color w:val="auto"/>
                <w:sz w:val="24"/>
                <w:szCs w:val="24"/>
              </w:rPr>
              <w:t>统一暂存暂存堆场，外运</w:t>
            </w:r>
            <w:r>
              <w:rPr>
                <w:rFonts w:hint="eastAsia"/>
                <w:color w:val="auto"/>
                <w:sz w:val="24"/>
                <w:szCs w:val="24"/>
                <w:lang w:eastAsia="zh-CN"/>
              </w:rPr>
              <w:t>用作路基填料</w:t>
            </w:r>
            <w:r>
              <w:rPr>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）混凝土生产工序除尘器收集的颗粒物</w:t>
            </w:r>
          </w:p>
          <w:p>
            <w:pPr>
              <w:adjustRightInd w:val="0"/>
              <w:snapToGrid w:val="0"/>
              <w:spacing w:line="360" w:lineRule="auto"/>
              <w:ind w:firstLine="470" w:firstLineChars="196"/>
              <w:rPr>
                <w:rFonts w:hint="eastAsia"/>
                <w:color w:val="auto"/>
                <w:sz w:val="24"/>
                <w:szCs w:val="24"/>
                <w:lang w:eastAsia="zh-CN"/>
              </w:rPr>
            </w:pPr>
            <w:r>
              <w:rPr>
                <w:rFonts w:hint="eastAsia"/>
                <w:color w:val="auto"/>
                <w:sz w:val="24"/>
                <w:szCs w:val="24"/>
              </w:rPr>
              <w:t>本项目除尘器收集的颗粒物为水泥筒库颗粒物（包括散落在车间的）根据除尘器去除效率，</w:t>
            </w:r>
            <w:r>
              <w:rPr>
                <w:rFonts w:hint="eastAsia"/>
                <w:color w:val="auto"/>
                <w:sz w:val="24"/>
                <w:szCs w:val="24"/>
                <w:lang w:eastAsia="zh-CN"/>
              </w:rPr>
              <w:t>除尘器</w:t>
            </w:r>
            <w:r>
              <w:rPr>
                <w:rFonts w:hint="eastAsia"/>
                <w:color w:val="auto"/>
                <w:sz w:val="24"/>
                <w:szCs w:val="24"/>
              </w:rPr>
              <w:t>颗粒物收集量为</w:t>
            </w:r>
            <w:r>
              <w:rPr>
                <w:rFonts w:hint="eastAsia"/>
                <w:color w:val="auto"/>
                <w:sz w:val="24"/>
                <w:szCs w:val="24"/>
                <w:lang w:val="en-US" w:eastAsia="zh-CN"/>
              </w:rPr>
              <w:t>137.02</w:t>
            </w:r>
            <w:r>
              <w:rPr>
                <w:color w:val="auto"/>
                <w:sz w:val="24"/>
                <w:szCs w:val="24"/>
              </w:rPr>
              <w:t>t/a</w:t>
            </w:r>
            <w:r>
              <w:rPr>
                <w:rFonts w:hint="eastAsia"/>
                <w:color w:val="auto"/>
                <w:sz w:val="24"/>
                <w:szCs w:val="24"/>
              </w:rPr>
              <w:t>，主要为粉煤灰、沙、水泥等，</w:t>
            </w:r>
            <w:r>
              <w:rPr>
                <w:rFonts w:hint="eastAsia"/>
                <w:color w:val="auto"/>
                <w:sz w:val="24"/>
                <w:szCs w:val="24"/>
                <w:lang w:eastAsia="zh-CN"/>
              </w:rPr>
              <w:t>直接</w:t>
            </w:r>
            <w:r>
              <w:rPr>
                <w:rFonts w:hint="eastAsia"/>
                <w:color w:val="auto"/>
                <w:sz w:val="24"/>
                <w:szCs w:val="24"/>
              </w:rPr>
              <w:t>回用于生产工序。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rFonts w:hint="eastAsia"/>
                <w:color w:val="auto"/>
                <w:sz w:val="24"/>
                <w:szCs w:val="24"/>
                <w:lang w:val="en-US" w:eastAsia="zh-CN"/>
              </w:rPr>
              <w:t>废矿物油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项目机械设备定期加润滑油，将有少量的废润滑油产生，其产生量约0.2t/a，根据《国家危险废物名录》废润滑油属于HW08号（废矿物油与含矿物油废物）中的废物代码900-214-08，统一收集至危废暂存间定期交由有资质的公司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本项目固体废物产排情况见下表：</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b/>
                <w:bCs/>
                <w:color w:val="auto"/>
                <w:lang w:val="en-US" w:eastAsia="zh-CN"/>
              </w:rPr>
            </w:pPr>
            <w:r>
              <w:rPr>
                <w:rFonts w:hint="eastAsia"/>
                <w:b/>
                <w:bCs/>
                <w:color w:val="auto"/>
                <w:lang w:eastAsia="zh-CN"/>
              </w:rPr>
              <w:t>表</w:t>
            </w:r>
            <w:r>
              <w:rPr>
                <w:rFonts w:hint="eastAsia"/>
                <w:b/>
                <w:bCs/>
                <w:color w:val="auto"/>
                <w:lang w:val="en-US" w:eastAsia="zh-CN"/>
              </w:rPr>
              <w:t>4-11 固体废物产排情况一览表</w:t>
            </w:r>
          </w:p>
          <w:tbl>
            <w:tblPr>
              <w:tblStyle w:val="15"/>
              <w:tblW w:w="7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1374"/>
              <w:gridCol w:w="1273"/>
              <w:gridCol w:w="1363"/>
              <w:gridCol w:w="736"/>
              <w:gridCol w:w="2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79" w:type="dxa"/>
                  <w:noWrap w:val="0"/>
                  <w:vAlign w:val="center"/>
                </w:tcPr>
                <w:p>
                  <w:pPr>
                    <w:pStyle w:val="20"/>
                    <w:spacing w:before="54"/>
                    <w:ind w:left="121" w:right="117"/>
                    <w:jc w:val="center"/>
                    <w:rPr>
                      <w:color w:val="auto"/>
                      <w:sz w:val="21"/>
                      <w:szCs w:val="21"/>
                    </w:rPr>
                  </w:pPr>
                  <w:r>
                    <w:rPr>
                      <w:color w:val="auto"/>
                      <w:sz w:val="21"/>
                      <w:szCs w:val="21"/>
                    </w:rPr>
                    <w:t>序号</w:t>
                  </w:r>
                </w:p>
              </w:tc>
              <w:tc>
                <w:tcPr>
                  <w:tcW w:w="1374" w:type="dxa"/>
                  <w:noWrap w:val="0"/>
                  <w:vAlign w:val="center"/>
                </w:tcPr>
                <w:p>
                  <w:pPr>
                    <w:pStyle w:val="20"/>
                    <w:spacing w:before="54"/>
                    <w:ind w:left="170" w:right="163"/>
                    <w:jc w:val="center"/>
                    <w:rPr>
                      <w:color w:val="auto"/>
                      <w:sz w:val="21"/>
                      <w:szCs w:val="21"/>
                    </w:rPr>
                  </w:pPr>
                  <w:r>
                    <w:rPr>
                      <w:color w:val="auto"/>
                      <w:sz w:val="21"/>
                      <w:szCs w:val="21"/>
                    </w:rPr>
                    <w:t>固废名称</w:t>
                  </w:r>
                </w:p>
              </w:tc>
              <w:tc>
                <w:tcPr>
                  <w:tcW w:w="1273" w:type="dxa"/>
                  <w:noWrap w:val="0"/>
                  <w:vAlign w:val="center"/>
                </w:tcPr>
                <w:p>
                  <w:pPr>
                    <w:pStyle w:val="20"/>
                    <w:spacing w:before="54"/>
                    <w:ind w:left="116" w:right="109"/>
                    <w:jc w:val="center"/>
                    <w:rPr>
                      <w:color w:val="auto"/>
                      <w:sz w:val="21"/>
                      <w:szCs w:val="21"/>
                    </w:rPr>
                  </w:pPr>
                  <w:r>
                    <w:rPr>
                      <w:color w:val="auto"/>
                      <w:sz w:val="21"/>
                      <w:szCs w:val="21"/>
                    </w:rPr>
                    <w:t>产生量（t/a）</w:t>
                  </w:r>
                </w:p>
              </w:tc>
              <w:tc>
                <w:tcPr>
                  <w:tcW w:w="1363" w:type="dxa"/>
                  <w:noWrap w:val="0"/>
                  <w:vAlign w:val="center"/>
                </w:tcPr>
                <w:p>
                  <w:pPr>
                    <w:pStyle w:val="20"/>
                    <w:spacing w:before="54"/>
                    <w:ind w:left="164" w:right="155"/>
                    <w:jc w:val="center"/>
                    <w:rPr>
                      <w:color w:val="auto"/>
                      <w:sz w:val="21"/>
                      <w:szCs w:val="21"/>
                    </w:rPr>
                  </w:pPr>
                  <w:r>
                    <w:rPr>
                      <w:color w:val="auto"/>
                      <w:sz w:val="21"/>
                      <w:szCs w:val="21"/>
                    </w:rPr>
                    <w:t>属性</w:t>
                  </w:r>
                </w:p>
              </w:tc>
              <w:tc>
                <w:tcPr>
                  <w:tcW w:w="736" w:type="dxa"/>
                  <w:noWrap w:val="0"/>
                  <w:vAlign w:val="center"/>
                </w:tcPr>
                <w:p>
                  <w:pPr>
                    <w:pStyle w:val="20"/>
                    <w:spacing w:before="54"/>
                    <w:ind w:left="152" w:right="146"/>
                    <w:jc w:val="center"/>
                    <w:rPr>
                      <w:color w:val="auto"/>
                      <w:sz w:val="21"/>
                      <w:szCs w:val="21"/>
                    </w:rPr>
                  </w:pPr>
                  <w:r>
                    <w:rPr>
                      <w:color w:val="auto"/>
                      <w:sz w:val="21"/>
                      <w:szCs w:val="21"/>
                    </w:rPr>
                    <w:t>状态</w:t>
                  </w:r>
                </w:p>
              </w:tc>
              <w:tc>
                <w:tcPr>
                  <w:tcW w:w="2532" w:type="dxa"/>
                  <w:noWrap w:val="0"/>
                  <w:vAlign w:val="center"/>
                </w:tcPr>
                <w:p>
                  <w:pPr>
                    <w:pStyle w:val="20"/>
                    <w:spacing w:before="54"/>
                    <w:ind w:left="36" w:right="31"/>
                    <w:jc w:val="center"/>
                    <w:rPr>
                      <w:color w:val="auto"/>
                      <w:sz w:val="21"/>
                      <w:szCs w:val="21"/>
                    </w:rPr>
                  </w:pPr>
                  <w:r>
                    <w:rPr>
                      <w:color w:val="auto"/>
                      <w:sz w:val="21"/>
                      <w:szCs w:val="21"/>
                    </w:rPr>
                    <w:t>处置去向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679" w:type="dxa"/>
                  <w:noWrap w:val="0"/>
                  <w:vAlign w:val="center"/>
                </w:tcPr>
                <w:p>
                  <w:pPr>
                    <w:pStyle w:val="20"/>
                    <w:spacing w:before="82"/>
                    <w:ind w:left="8"/>
                    <w:jc w:val="center"/>
                    <w:rPr>
                      <w:color w:val="auto"/>
                      <w:sz w:val="21"/>
                      <w:szCs w:val="21"/>
                    </w:rPr>
                  </w:pPr>
                  <w:r>
                    <w:rPr>
                      <w:color w:val="auto"/>
                      <w:sz w:val="21"/>
                      <w:szCs w:val="21"/>
                    </w:rPr>
                    <w:t>1</w:t>
                  </w:r>
                </w:p>
              </w:tc>
              <w:tc>
                <w:tcPr>
                  <w:tcW w:w="1374" w:type="dxa"/>
                  <w:noWrap w:val="0"/>
                  <w:vAlign w:val="center"/>
                </w:tcPr>
                <w:p>
                  <w:pPr>
                    <w:pStyle w:val="20"/>
                    <w:spacing w:before="68"/>
                    <w:ind w:left="170" w:right="163"/>
                    <w:jc w:val="center"/>
                    <w:rPr>
                      <w:color w:val="auto"/>
                      <w:sz w:val="21"/>
                      <w:szCs w:val="21"/>
                    </w:rPr>
                  </w:pPr>
                  <w:r>
                    <w:rPr>
                      <w:color w:val="auto"/>
                      <w:sz w:val="21"/>
                      <w:szCs w:val="21"/>
                    </w:rPr>
                    <w:t>生活垃圾</w:t>
                  </w:r>
                </w:p>
              </w:tc>
              <w:tc>
                <w:tcPr>
                  <w:tcW w:w="1273" w:type="dxa"/>
                  <w:noWrap w:val="0"/>
                  <w:vAlign w:val="center"/>
                </w:tcPr>
                <w:p>
                  <w:pPr>
                    <w:pStyle w:val="20"/>
                    <w:spacing w:before="82"/>
                    <w:ind w:left="5"/>
                    <w:jc w:val="center"/>
                    <w:rPr>
                      <w:rFonts w:hint="default"/>
                      <w:color w:val="auto"/>
                      <w:sz w:val="21"/>
                      <w:szCs w:val="21"/>
                      <w:lang w:val="en-US" w:eastAsia="zh-CN"/>
                    </w:rPr>
                  </w:pPr>
                  <w:r>
                    <w:rPr>
                      <w:rFonts w:hint="eastAsia"/>
                      <w:color w:val="auto"/>
                      <w:sz w:val="21"/>
                      <w:szCs w:val="21"/>
                      <w:lang w:val="en-US" w:eastAsia="zh-CN"/>
                    </w:rPr>
                    <w:t>1.8</w:t>
                  </w:r>
                </w:p>
              </w:tc>
              <w:tc>
                <w:tcPr>
                  <w:tcW w:w="1363" w:type="dxa"/>
                  <w:noWrap w:val="0"/>
                  <w:vAlign w:val="center"/>
                </w:tcPr>
                <w:p>
                  <w:pPr>
                    <w:pStyle w:val="20"/>
                    <w:spacing w:before="68"/>
                    <w:ind w:left="164" w:right="158"/>
                    <w:jc w:val="center"/>
                    <w:rPr>
                      <w:color w:val="auto"/>
                      <w:sz w:val="21"/>
                      <w:szCs w:val="21"/>
                    </w:rPr>
                  </w:pPr>
                  <w:r>
                    <w:rPr>
                      <w:color w:val="auto"/>
                      <w:sz w:val="21"/>
                      <w:szCs w:val="21"/>
                    </w:rPr>
                    <w:t>生活垃圾</w:t>
                  </w:r>
                </w:p>
              </w:tc>
              <w:tc>
                <w:tcPr>
                  <w:tcW w:w="736" w:type="dxa"/>
                  <w:noWrap w:val="0"/>
                  <w:vAlign w:val="center"/>
                </w:tcPr>
                <w:p>
                  <w:pPr>
                    <w:pStyle w:val="20"/>
                    <w:spacing w:before="68"/>
                    <w:ind w:left="152" w:right="146"/>
                    <w:jc w:val="center"/>
                    <w:rPr>
                      <w:color w:val="auto"/>
                      <w:sz w:val="21"/>
                      <w:szCs w:val="21"/>
                    </w:rPr>
                  </w:pPr>
                  <w:r>
                    <w:rPr>
                      <w:color w:val="auto"/>
                      <w:sz w:val="21"/>
                      <w:szCs w:val="21"/>
                    </w:rPr>
                    <w:t>固态</w:t>
                  </w:r>
                </w:p>
              </w:tc>
              <w:tc>
                <w:tcPr>
                  <w:tcW w:w="2532" w:type="dxa"/>
                  <w:noWrap w:val="0"/>
                  <w:vAlign w:val="center"/>
                </w:tcPr>
                <w:p>
                  <w:pPr>
                    <w:pStyle w:val="20"/>
                    <w:spacing w:before="68"/>
                    <w:ind w:left="38" w:right="31"/>
                    <w:jc w:val="center"/>
                    <w:rPr>
                      <w:color w:val="auto"/>
                      <w:sz w:val="21"/>
                      <w:szCs w:val="21"/>
                    </w:rPr>
                  </w:pPr>
                  <w:r>
                    <w:rPr>
                      <w:color w:val="auto"/>
                      <w:sz w:val="21"/>
                      <w:szCs w:val="21"/>
                    </w:rPr>
                    <w:t>交环卫部门处理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79" w:type="dxa"/>
                  <w:noWrap w:val="0"/>
                  <w:vAlign w:val="center"/>
                </w:tcPr>
                <w:p>
                  <w:pPr>
                    <w:pStyle w:val="20"/>
                    <w:spacing w:before="88"/>
                    <w:ind w:left="8"/>
                    <w:jc w:val="center"/>
                    <w:rPr>
                      <w:color w:val="auto"/>
                      <w:sz w:val="21"/>
                      <w:szCs w:val="21"/>
                    </w:rPr>
                  </w:pPr>
                  <w:r>
                    <w:rPr>
                      <w:color w:val="auto"/>
                      <w:sz w:val="21"/>
                      <w:szCs w:val="21"/>
                    </w:rPr>
                    <w:t>2</w:t>
                  </w:r>
                </w:p>
              </w:tc>
              <w:tc>
                <w:tcPr>
                  <w:tcW w:w="1374" w:type="dxa"/>
                  <w:noWrap w:val="0"/>
                  <w:vAlign w:val="center"/>
                </w:tcPr>
                <w:p>
                  <w:pPr>
                    <w:pStyle w:val="20"/>
                    <w:spacing w:before="72"/>
                    <w:ind w:left="170" w:right="163"/>
                    <w:jc w:val="center"/>
                    <w:rPr>
                      <w:rFonts w:hint="eastAsia"/>
                      <w:color w:val="auto"/>
                      <w:sz w:val="21"/>
                      <w:szCs w:val="21"/>
                      <w:lang w:eastAsia="zh-CN"/>
                    </w:rPr>
                  </w:pPr>
                  <w:r>
                    <w:rPr>
                      <w:rFonts w:hint="eastAsia"/>
                      <w:color w:val="auto"/>
                      <w:sz w:val="21"/>
                      <w:szCs w:val="21"/>
                      <w:lang w:eastAsia="zh-CN"/>
                    </w:rPr>
                    <w:t>泥渣</w:t>
                  </w:r>
                </w:p>
              </w:tc>
              <w:tc>
                <w:tcPr>
                  <w:tcW w:w="1273" w:type="dxa"/>
                  <w:noWrap w:val="0"/>
                  <w:vAlign w:val="center"/>
                </w:tcPr>
                <w:p>
                  <w:pPr>
                    <w:pStyle w:val="20"/>
                    <w:spacing w:before="88"/>
                    <w:ind w:left="116" w:right="108"/>
                    <w:jc w:val="center"/>
                    <w:rPr>
                      <w:rFonts w:hint="default"/>
                      <w:color w:val="auto"/>
                      <w:sz w:val="21"/>
                      <w:szCs w:val="21"/>
                      <w:lang w:val="en-US" w:eastAsia="zh-CN"/>
                    </w:rPr>
                  </w:pPr>
                  <w:r>
                    <w:rPr>
                      <w:rFonts w:hint="eastAsia"/>
                      <w:color w:val="auto"/>
                      <w:sz w:val="21"/>
                      <w:szCs w:val="21"/>
                      <w:lang w:val="en-US" w:eastAsia="zh-CN"/>
                    </w:rPr>
                    <w:t>41.32</w:t>
                  </w:r>
                </w:p>
              </w:tc>
              <w:tc>
                <w:tcPr>
                  <w:tcW w:w="1363" w:type="dxa"/>
                  <w:noWrap w:val="0"/>
                  <w:vAlign w:val="center"/>
                </w:tcPr>
                <w:p>
                  <w:pPr>
                    <w:pStyle w:val="20"/>
                    <w:spacing w:before="72"/>
                    <w:ind w:left="164" w:right="158"/>
                    <w:jc w:val="center"/>
                    <w:rPr>
                      <w:color w:val="auto"/>
                      <w:sz w:val="21"/>
                      <w:szCs w:val="21"/>
                    </w:rPr>
                  </w:pPr>
                  <w:r>
                    <w:rPr>
                      <w:color w:val="auto"/>
                      <w:sz w:val="21"/>
                      <w:szCs w:val="21"/>
                    </w:rPr>
                    <w:t>一般固废</w:t>
                  </w:r>
                </w:p>
              </w:tc>
              <w:tc>
                <w:tcPr>
                  <w:tcW w:w="736" w:type="dxa"/>
                  <w:noWrap w:val="0"/>
                  <w:vAlign w:val="center"/>
                </w:tcPr>
                <w:p>
                  <w:pPr>
                    <w:pStyle w:val="20"/>
                    <w:spacing w:before="72"/>
                    <w:ind w:left="152" w:right="146"/>
                    <w:jc w:val="center"/>
                    <w:rPr>
                      <w:color w:val="auto"/>
                      <w:sz w:val="21"/>
                      <w:szCs w:val="21"/>
                    </w:rPr>
                  </w:pPr>
                  <w:r>
                    <w:rPr>
                      <w:color w:val="auto"/>
                      <w:sz w:val="21"/>
                      <w:szCs w:val="21"/>
                    </w:rPr>
                    <w:t>固态</w:t>
                  </w:r>
                </w:p>
              </w:tc>
              <w:tc>
                <w:tcPr>
                  <w:tcW w:w="2532" w:type="dxa"/>
                  <w:noWrap w:val="0"/>
                  <w:vAlign w:val="center"/>
                </w:tcPr>
                <w:p>
                  <w:pPr>
                    <w:pStyle w:val="20"/>
                    <w:spacing w:before="72"/>
                    <w:ind w:left="38" w:right="31"/>
                    <w:jc w:val="center"/>
                    <w:rPr>
                      <w:rFonts w:hint="eastAsia"/>
                      <w:color w:val="auto"/>
                      <w:sz w:val="21"/>
                      <w:szCs w:val="21"/>
                      <w:lang w:eastAsia="zh-CN"/>
                    </w:rPr>
                  </w:pPr>
                  <w:r>
                    <w:rPr>
                      <w:rFonts w:hint="eastAsia"/>
                      <w:color w:val="auto"/>
                      <w:sz w:val="21"/>
                      <w:szCs w:val="21"/>
                      <w:lang w:eastAsia="zh-CN"/>
                    </w:rPr>
                    <w:t>外运，用作路基填料用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79" w:type="dxa"/>
                  <w:noWrap w:val="0"/>
                  <w:vAlign w:val="center"/>
                </w:tcPr>
                <w:p>
                  <w:pPr>
                    <w:pStyle w:val="20"/>
                    <w:spacing w:before="88"/>
                    <w:ind w:left="8"/>
                    <w:jc w:val="center"/>
                    <w:rPr>
                      <w:rFonts w:hint="eastAsia"/>
                      <w:color w:val="auto"/>
                      <w:sz w:val="21"/>
                      <w:szCs w:val="21"/>
                      <w:lang w:val="en-US" w:eastAsia="zh-CN"/>
                    </w:rPr>
                  </w:pPr>
                  <w:r>
                    <w:rPr>
                      <w:rFonts w:hint="eastAsia"/>
                      <w:color w:val="auto"/>
                      <w:sz w:val="21"/>
                      <w:szCs w:val="21"/>
                      <w:lang w:val="en-US" w:eastAsia="zh-CN"/>
                    </w:rPr>
                    <w:t>3</w:t>
                  </w:r>
                </w:p>
              </w:tc>
              <w:tc>
                <w:tcPr>
                  <w:tcW w:w="1374" w:type="dxa"/>
                  <w:noWrap w:val="0"/>
                  <w:vAlign w:val="center"/>
                </w:tcPr>
                <w:p>
                  <w:pPr>
                    <w:pStyle w:val="20"/>
                    <w:spacing w:before="72"/>
                    <w:ind w:left="170" w:right="163"/>
                    <w:jc w:val="center"/>
                    <w:rPr>
                      <w:rFonts w:hint="eastAsia"/>
                      <w:color w:val="auto"/>
                      <w:sz w:val="21"/>
                      <w:szCs w:val="21"/>
                      <w:lang w:eastAsia="zh-CN"/>
                    </w:rPr>
                  </w:pPr>
                  <w:r>
                    <w:rPr>
                      <w:rFonts w:hint="eastAsia"/>
                      <w:color w:val="auto"/>
                      <w:sz w:val="21"/>
                      <w:szCs w:val="21"/>
                      <w:lang w:eastAsia="zh-CN"/>
                    </w:rPr>
                    <w:t>除尘器收集的颗粒物</w:t>
                  </w:r>
                </w:p>
              </w:tc>
              <w:tc>
                <w:tcPr>
                  <w:tcW w:w="1273" w:type="dxa"/>
                  <w:noWrap w:val="0"/>
                  <w:vAlign w:val="center"/>
                </w:tcPr>
                <w:p>
                  <w:pPr>
                    <w:pStyle w:val="20"/>
                    <w:spacing w:before="88"/>
                    <w:ind w:left="116" w:right="108"/>
                    <w:jc w:val="center"/>
                    <w:rPr>
                      <w:rFonts w:hint="default"/>
                      <w:color w:val="auto"/>
                      <w:sz w:val="21"/>
                      <w:szCs w:val="21"/>
                      <w:lang w:val="en-US" w:eastAsia="zh-CN"/>
                    </w:rPr>
                  </w:pPr>
                  <w:r>
                    <w:rPr>
                      <w:rFonts w:hint="eastAsia"/>
                      <w:color w:val="auto"/>
                      <w:sz w:val="21"/>
                      <w:szCs w:val="21"/>
                      <w:lang w:val="en-US" w:eastAsia="zh-CN"/>
                    </w:rPr>
                    <w:t>137.02</w:t>
                  </w:r>
                </w:p>
              </w:tc>
              <w:tc>
                <w:tcPr>
                  <w:tcW w:w="1363" w:type="dxa"/>
                  <w:noWrap w:val="0"/>
                  <w:vAlign w:val="center"/>
                </w:tcPr>
                <w:p>
                  <w:pPr>
                    <w:pStyle w:val="20"/>
                    <w:spacing w:before="72"/>
                    <w:ind w:left="164" w:right="158"/>
                    <w:jc w:val="center"/>
                    <w:rPr>
                      <w:color w:val="auto"/>
                      <w:sz w:val="21"/>
                      <w:szCs w:val="21"/>
                    </w:rPr>
                  </w:pPr>
                  <w:r>
                    <w:rPr>
                      <w:color w:val="auto"/>
                      <w:sz w:val="21"/>
                      <w:szCs w:val="21"/>
                    </w:rPr>
                    <w:t>一般固废</w:t>
                  </w:r>
                </w:p>
              </w:tc>
              <w:tc>
                <w:tcPr>
                  <w:tcW w:w="736" w:type="dxa"/>
                  <w:noWrap w:val="0"/>
                  <w:vAlign w:val="center"/>
                </w:tcPr>
                <w:p>
                  <w:pPr>
                    <w:pStyle w:val="20"/>
                    <w:spacing w:before="72"/>
                    <w:ind w:left="152" w:right="146"/>
                    <w:jc w:val="center"/>
                    <w:rPr>
                      <w:color w:val="auto"/>
                      <w:sz w:val="21"/>
                      <w:szCs w:val="21"/>
                    </w:rPr>
                  </w:pPr>
                  <w:r>
                    <w:rPr>
                      <w:color w:val="auto"/>
                      <w:sz w:val="21"/>
                      <w:szCs w:val="21"/>
                    </w:rPr>
                    <w:t>固态</w:t>
                  </w:r>
                </w:p>
              </w:tc>
              <w:tc>
                <w:tcPr>
                  <w:tcW w:w="2532" w:type="dxa"/>
                  <w:noWrap w:val="0"/>
                  <w:vAlign w:val="center"/>
                </w:tcPr>
                <w:p>
                  <w:pPr>
                    <w:pStyle w:val="20"/>
                    <w:spacing w:before="72"/>
                    <w:ind w:left="38" w:right="31"/>
                    <w:jc w:val="center"/>
                    <w:rPr>
                      <w:color w:val="auto"/>
                      <w:sz w:val="21"/>
                      <w:szCs w:val="21"/>
                    </w:rPr>
                  </w:pPr>
                  <w:r>
                    <w:rPr>
                      <w:rFonts w:hint="eastAsia"/>
                      <w:color w:val="auto"/>
                      <w:sz w:val="21"/>
                      <w:szCs w:val="21"/>
                    </w:rPr>
                    <w:t>回用于生产工序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79" w:type="dxa"/>
                  <w:noWrap w:val="0"/>
                  <w:vAlign w:val="center"/>
                </w:tcPr>
                <w:p>
                  <w:pPr>
                    <w:pStyle w:val="20"/>
                    <w:spacing w:before="150"/>
                    <w:ind w:left="8"/>
                    <w:jc w:val="center"/>
                    <w:rPr>
                      <w:rFonts w:hint="eastAsia"/>
                      <w:color w:val="auto"/>
                      <w:sz w:val="21"/>
                      <w:szCs w:val="21"/>
                      <w:lang w:eastAsia="zh-CN"/>
                    </w:rPr>
                  </w:pPr>
                  <w:r>
                    <w:rPr>
                      <w:rFonts w:hint="eastAsia"/>
                      <w:color w:val="auto"/>
                      <w:sz w:val="21"/>
                      <w:szCs w:val="21"/>
                      <w:lang w:val="en-US" w:eastAsia="zh-CN"/>
                    </w:rPr>
                    <w:t>4</w:t>
                  </w:r>
                </w:p>
              </w:tc>
              <w:tc>
                <w:tcPr>
                  <w:tcW w:w="1374" w:type="dxa"/>
                  <w:noWrap w:val="0"/>
                  <w:vAlign w:val="center"/>
                </w:tcPr>
                <w:p>
                  <w:pPr>
                    <w:pStyle w:val="20"/>
                    <w:spacing w:before="134"/>
                    <w:ind w:left="170" w:right="163"/>
                    <w:jc w:val="center"/>
                    <w:rPr>
                      <w:color w:val="auto"/>
                      <w:sz w:val="21"/>
                      <w:szCs w:val="21"/>
                    </w:rPr>
                  </w:pPr>
                  <w:r>
                    <w:rPr>
                      <w:color w:val="auto"/>
                      <w:sz w:val="21"/>
                      <w:szCs w:val="21"/>
                    </w:rPr>
                    <w:t>废润滑油</w:t>
                  </w:r>
                </w:p>
              </w:tc>
              <w:tc>
                <w:tcPr>
                  <w:tcW w:w="1273" w:type="dxa"/>
                  <w:noWrap w:val="0"/>
                  <w:vAlign w:val="center"/>
                </w:tcPr>
                <w:p>
                  <w:pPr>
                    <w:pStyle w:val="20"/>
                    <w:spacing w:before="150"/>
                    <w:ind w:left="116" w:right="106"/>
                    <w:jc w:val="center"/>
                    <w:rPr>
                      <w:rFonts w:hint="eastAsia"/>
                      <w:color w:val="auto"/>
                      <w:sz w:val="21"/>
                      <w:szCs w:val="21"/>
                      <w:lang w:eastAsia="zh-CN"/>
                    </w:rPr>
                  </w:pPr>
                  <w:r>
                    <w:rPr>
                      <w:color w:val="auto"/>
                      <w:sz w:val="21"/>
                      <w:szCs w:val="21"/>
                    </w:rPr>
                    <w:t>0.</w:t>
                  </w:r>
                  <w:r>
                    <w:rPr>
                      <w:rFonts w:hint="eastAsia"/>
                      <w:color w:val="auto"/>
                      <w:sz w:val="21"/>
                      <w:szCs w:val="21"/>
                      <w:lang w:val="en-US" w:eastAsia="zh-CN"/>
                    </w:rPr>
                    <w:t>2</w:t>
                  </w:r>
                </w:p>
              </w:tc>
              <w:tc>
                <w:tcPr>
                  <w:tcW w:w="1363" w:type="dxa"/>
                  <w:noWrap w:val="0"/>
                  <w:vAlign w:val="center"/>
                </w:tcPr>
                <w:p>
                  <w:pPr>
                    <w:pStyle w:val="20"/>
                    <w:spacing w:before="134"/>
                    <w:ind w:left="164" w:right="158"/>
                    <w:jc w:val="center"/>
                    <w:rPr>
                      <w:color w:val="auto"/>
                      <w:sz w:val="21"/>
                      <w:szCs w:val="21"/>
                    </w:rPr>
                  </w:pPr>
                  <w:r>
                    <w:rPr>
                      <w:color w:val="auto"/>
                      <w:sz w:val="21"/>
                      <w:szCs w:val="21"/>
                    </w:rPr>
                    <w:t>危险固废</w:t>
                  </w:r>
                </w:p>
              </w:tc>
              <w:tc>
                <w:tcPr>
                  <w:tcW w:w="736" w:type="dxa"/>
                  <w:noWrap w:val="0"/>
                  <w:vAlign w:val="center"/>
                </w:tcPr>
                <w:p>
                  <w:pPr>
                    <w:pStyle w:val="20"/>
                    <w:spacing w:before="134"/>
                    <w:ind w:left="152" w:right="146"/>
                    <w:jc w:val="center"/>
                    <w:rPr>
                      <w:color w:val="auto"/>
                      <w:sz w:val="21"/>
                      <w:szCs w:val="21"/>
                    </w:rPr>
                  </w:pPr>
                  <w:r>
                    <w:rPr>
                      <w:color w:val="auto"/>
                      <w:sz w:val="21"/>
                      <w:szCs w:val="21"/>
                    </w:rPr>
                    <w:t>液态</w:t>
                  </w:r>
                </w:p>
              </w:tc>
              <w:tc>
                <w:tcPr>
                  <w:tcW w:w="2532" w:type="dxa"/>
                  <w:noWrap w:val="0"/>
                  <w:vAlign w:val="center"/>
                </w:tcPr>
                <w:p>
                  <w:pPr>
                    <w:pStyle w:val="20"/>
                    <w:ind w:left="38" w:right="31"/>
                    <w:jc w:val="center"/>
                    <w:rPr>
                      <w:color w:val="auto"/>
                      <w:sz w:val="21"/>
                      <w:szCs w:val="21"/>
                    </w:rPr>
                  </w:pPr>
                  <w:r>
                    <w:rPr>
                      <w:color w:val="auto"/>
                      <w:sz w:val="21"/>
                      <w:szCs w:val="21"/>
                    </w:rPr>
                    <w:t>危废暂存间暂存，定期交由</w:t>
                  </w:r>
                </w:p>
                <w:p>
                  <w:pPr>
                    <w:pStyle w:val="20"/>
                    <w:spacing w:before="2" w:line="253" w:lineRule="exact"/>
                    <w:ind w:left="38" w:right="31"/>
                    <w:jc w:val="center"/>
                    <w:rPr>
                      <w:color w:val="auto"/>
                      <w:sz w:val="21"/>
                      <w:szCs w:val="21"/>
                    </w:rPr>
                  </w:pPr>
                  <w:r>
                    <w:rPr>
                      <w:color w:val="auto"/>
                      <w:sz w:val="21"/>
                      <w:szCs w:val="21"/>
                    </w:rPr>
                    <w:t>有资质公司处理</w:t>
                  </w:r>
                </w:p>
              </w:tc>
            </w:tr>
          </w:tbl>
          <w:p>
            <w:pPr>
              <w:pStyle w:val="2"/>
              <w:keepNext w:val="0"/>
              <w:keepLines w:val="0"/>
              <w:pageBreakBefore w:val="0"/>
              <w:kinsoku/>
              <w:wordWrap/>
              <w:overflowPunct/>
              <w:topLinePunct w:val="0"/>
              <w:autoSpaceDE/>
              <w:autoSpaceDN/>
              <w:bidi w:val="0"/>
              <w:adjustRightInd/>
              <w:spacing w:before="0" w:after="0" w:line="360" w:lineRule="auto"/>
              <w:ind w:left="0" w:right="0" w:firstLine="480" w:firstLineChars="200"/>
              <w:textAlignment w:val="auto"/>
              <w:rPr>
                <w:rFonts w:hint="eastAsia"/>
                <w:color w:val="auto"/>
                <w:sz w:val="24"/>
                <w:szCs w:val="24"/>
              </w:rPr>
            </w:pPr>
            <w:r>
              <w:rPr>
                <w:rFonts w:hint="eastAsia"/>
                <w:color w:val="auto"/>
                <w:sz w:val="24"/>
                <w:szCs w:val="24"/>
              </w:rPr>
              <w:t>由上表可知，项目固体废物防治措施符合固体废物处理处置的无害化、资源化、减量化的基本要求，固废暂存间采用“防扬散、防流失、防渗漏”的三防措施。</w:t>
            </w:r>
          </w:p>
          <w:p>
            <w:pPr>
              <w:pStyle w:val="2"/>
              <w:keepNext w:val="0"/>
              <w:keepLines w:val="0"/>
              <w:pageBreakBefore w:val="0"/>
              <w:kinsoku/>
              <w:wordWrap/>
              <w:overflowPunct/>
              <w:topLinePunct w:val="0"/>
              <w:autoSpaceDE/>
              <w:autoSpaceDN/>
              <w:bidi w:val="0"/>
              <w:adjustRightInd/>
              <w:spacing w:before="0" w:after="0" w:line="360" w:lineRule="auto"/>
              <w:ind w:left="0" w:right="0" w:firstLine="480" w:firstLineChars="200"/>
              <w:textAlignment w:val="auto"/>
              <w:rPr>
                <w:rFonts w:hint="eastAsia"/>
                <w:color w:val="auto"/>
                <w:sz w:val="24"/>
                <w:szCs w:val="24"/>
              </w:rPr>
            </w:pPr>
            <w:r>
              <w:rPr>
                <w:rFonts w:hint="eastAsia"/>
                <w:color w:val="auto"/>
                <w:sz w:val="24"/>
                <w:szCs w:val="24"/>
              </w:rPr>
              <w:t>根据《危险废物贮存污染控制标准》（GB18597-2001）及 2013 年修改单的相关要求， 项目危废暂存间和危废的收集、暂存、运输需满足以下：</w:t>
            </w:r>
          </w:p>
          <w:p>
            <w:pPr>
              <w:pStyle w:val="2"/>
              <w:keepNext w:val="0"/>
              <w:keepLines w:val="0"/>
              <w:pageBreakBefore w:val="0"/>
              <w:kinsoku/>
              <w:wordWrap/>
              <w:overflowPunct/>
              <w:topLinePunct w:val="0"/>
              <w:autoSpaceDE/>
              <w:autoSpaceDN/>
              <w:bidi w:val="0"/>
              <w:adjustRightInd/>
              <w:spacing w:before="0" w:after="0" w:line="360" w:lineRule="auto"/>
              <w:ind w:left="0" w:right="0" w:firstLine="480" w:firstLineChars="200"/>
              <w:textAlignment w:val="auto"/>
              <w:rPr>
                <w:rFonts w:hint="eastAsia"/>
                <w:color w:val="auto"/>
                <w:sz w:val="24"/>
                <w:szCs w:val="24"/>
              </w:rPr>
            </w:pPr>
            <w:r>
              <w:rPr>
                <w:rFonts w:hint="eastAsia"/>
                <w:color w:val="auto"/>
                <w:sz w:val="24"/>
                <w:szCs w:val="24"/>
              </w:rPr>
              <w:t>A、危险废物的收集包装：</w:t>
            </w:r>
          </w:p>
          <w:p>
            <w:pPr>
              <w:pStyle w:val="29"/>
              <w:keepNext w:val="0"/>
              <w:keepLines w:val="0"/>
              <w:pageBreakBefore w:val="0"/>
              <w:numPr>
                <w:ilvl w:val="0"/>
                <w:numId w:val="0"/>
              </w:numPr>
              <w:tabs>
                <w:tab w:val="left" w:pos="1448"/>
              </w:tabs>
              <w:kinsoku/>
              <w:wordWrap/>
              <w:overflowPunct/>
              <w:topLinePunct w:val="0"/>
              <w:autoSpaceDE/>
              <w:autoSpaceDN/>
              <w:bidi w:val="0"/>
              <w:adjustRightInd/>
              <w:spacing w:before="0" w:line="360" w:lineRule="auto"/>
              <w:ind w:leftChars="200" w:right="0" w:rightChars="0"/>
              <w:jc w:val="left"/>
              <w:textAlignment w:val="auto"/>
              <w:rPr>
                <w:rFonts w:hint="eastAsia"/>
                <w:color w:val="auto"/>
                <w:sz w:val="24"/>
                <w:szCs w:val="24"/>
                <w:u w:val="none" w:color="auto"/>
              </w:rPr>
            </w:pPr>
            <w:r>
              <w:rPr>
                <w:rFonts w:hint="eastAsia"/>
                <w:color w:val="auto"/>
                <w:sz w:val="24"/>
                <w:szCs w:val="24"/>
                <w:u w:val="none" w:color="auto"/>
                <w:lang w:val="en-US" w:eastAsia="zh-CN"/>
              </w:rPr>
              <w:t>a、</w:t>
            </w:r>
            <w:r>
              <w:rPr>
                <w:rFonts w:hint="eastAsia"/>
                <w:color w:val="auto"/>
                <w:sz w:val="24"/>
                <w:szCs w:val="24"/>
                <w:u w:val="none" w:color="auto"/>
              </w:rPr>
              <w:t>有符合要求的包装容器、收集人员的个人防护设备。</w:t>
            </w:r>
          </w:p>
          <w:p>
            <w:pPr>
              <w:pStyle w:val="29"/>
              <w:keepNext w:val="0"/>
              <w:keepLines w:val="0"/>
              <w:pageBreakBefore w:val="0"/>
              <w:numPr>
                <w:ilvl w:val="0"/>
                <w:numId w:val="0"/>
              </w:numPr>
              <w:tabs>
                <w:tab w:val="left" w:pos="1460"/>
              </w:tabs>
              <w:kinsoku/>
              <w:wordWrap/>
              <w:overflowPunct/>
              <w:topLinePunct w:val="0"/>
              <w:autoSpaceDE/>
              <w:autoSpaceDN/>
              <w:bidi w:val="0"/>
              <w:adjustRightInd/>
              <w:spacing w:before="0" w:line="360" w:lineRule="auto"/>
              <w:ind w:leftChars="200" w:right="0" w:rightChars="0"/>
              <w:jc w:val="left"/>
              <w:textAlignment w:val="auto"/>
              <w:rPr>
                <w:rFonts w:hint="eastAsia"/>
                <w:color w:val="auto"/>
                <w:sz w:val="24"/>
                <w:szCs w:val="24"/>
                <w:u w:val="none" w:color="auto"/>
              </w:rPr>
            </w:pPr>
            <w:r>
              <w:rPr>
                <w:rFonts w:hint="eastAsia"/>
                <w:color w:val="auto"/>
                <w:sz w:val="24"/>
                <w:szCs w:val="24"/>
                <w:u w:val="none" w:color="auto"/>
                <w:lang w:val="en-US" w:eastAsia="zh-CN"/>
              </w:rPr>
              <w:t>b、</w:t>
            </w:r>
            <w:r>
              <w:rPr>
                <w:rFonts w:hint="eastAsia"/>
                <w:color w:val="auto"/>
                <w:sz w:val="24"/>
                <w:szCs w:val="24"/>
                <w:u w:val="none" w:color="auto"/>
              </w:rPr>
              <w:t>危险废物的收集容器应在醒目位置贴有危险废物标签，在收集场所醒目的地方设置危险废物警告标识。</w:t>
            </w:r>
          </w:p>
          <w:p>
            <w:pPr>
              <w:pStyle w:val="29"/>
              <w:keepNext w:val="0"/>
              <w:keepLines w:val="0"/>
              <w:pageBreakBefore w:val="0"/>
              <w:numPr>
                <w:ilvl w:val="0"/>
                <w:numId w:val="0"/>
              </w:numPr>
              <w:tabs>
                <w:tab w:val="left" w:pos="1449"/>
              </w:tabs>
              <w:kinsoku/>
              <w:wordWrap/>
              <w:overflowPunct/>
              <w:topLinePunct w:val="0"/>
              <w:autoSpaceDE/>
              <w:autoSpaceDN/>
              <w:bidi w:val="0"/>
              <w:adjustRightInd/>
              <w:spacing w:before="0" w:line="360" w:lineRule="auto"/>
              <w:ind w:leftChars="200" w:right="0" w:rightChars="0"/>
              <w:jc w:val="left"/>
              <w:textAlignment w:val="auto"/>
              <w:rPr>
                <w:rFonts w:hint="eastAsia"/>
                <w:color w:val="auto"/>
                <w:sz w:val="24"/>
                <w:szCs w:val="24"/>
                <w:u w:val="none" w:color="auto"/>
              </w:rPr>
            </w:pPr>
            <w:r>
              <w:rPr>
                <w:rFonts w:hint="eastAsia"/>
                <w:color w:val="auto"/>
                <w:sz w:val="24"/>
                <w:szCs w:val="24"/>
                <w:u w:val="none" w:color="auto"/>
                <w:lang w:val="en-US" w:eastAsia="zh-CN"/>
              </w:rPr>
              <w:t>c、</w:t>
            </w:r>
            <w:r>
              <w:rPr>
                <w:rFonts w:hint="eastAsia"/>
                <w:color w:val="auto"/>
                <w:sz w:val="24"/>
                <w:szCs w:val="24"/>
                <w:u w:val="none" w:color="auto"/>
              </w:rPr>
              <w:t>危险废物标签应标明以下信息：主要化学成分或危险废物名称、数量、物理形态、 危险类别、安全措施及危险废物产生单位名称、地址、联系人及电话。</w:t>
            </w:r>
          </w:p>
          <w:p>
            <w:pPr>
              <w:pStyle w:val="2"/>
              <w:keepNext w:val="0"/>
              <w:keepLines w:val="0"/>
              <w:pageBreakBefore w:val="0"/>
              <w:kinsoku/>
              <w:wordWrap/>
              <w:overflowPunct/>
              <w:topLinePunct w:val="0"/>
              <w:autoSpaceDE/>
              <w:autoSpaceDN/>
              <w:bidi w:val="0"/>
              <w:adjustRightInd/>
              <w:spacing w:before="0" w:after="0" w:line="360" w:lineRule="auto"/>
              <w:ind w:left="0" w:right="0" w:firstLine="480" w:firstLineChars="200"/>
              <w:textAlignment w:val="auto"/>
              <w:rPr>
                <w:rFonts w:hint="eastAsia"/>
                <w:color w:val="auto"/>
                <w:sz w:val="24"/>
                <w:szCs w:val="24"/>
                <w:u w:val="none" w:color="auto"/>
              </w:rPr>
            </w:pPr>
            <w:r>
              <w:rPr>
                <w:rFonts w:hint="eastAsia"/>
                <w:color w:val="auto"/>
                <w:sz w:val="24"/>
                <w:szCs w:val="24"/>
                <w:u w:val="none" w:color="auto"/>
              </w:rPr>
              <w:t>B、危险废物的暂存要求：</w:t>
            </w:r>
          </w:p>
          <w:p>
            <w:pPr>
              <w:pStyle w:val="2"/>
              <w:keepNext w:val="0"/>
              <w:keepLines w:val="0"/>
              <w:pageBreakBefore w:val="0"/>
              <w:kinsoku/>
              <w:wordWrap/>
              <w:overflowPunct/>
              <w:topLinePunct w:val="0"/>
              <w:autoSpaceDE/>
              <w:autoSpaceDN/>
              <w:bidi w:val="0"/>
              <w:adjustRightInd/>
              <w:spacing w:before="0" w:after="0" w:line="360" w:lineRule="auto"/>
              <w:ind w:left="0" w:right="0" w:firstLine="480" w:firstLineChars="200"/>
              <w:textAlignment w:val="auto"/>
              <w:rPr>
                <w:rFonts w:hint="eastAsia"/>
                <w:color w:val="auto"/>
                <w:sz w:val="24"/>
                <w:szCs w:val="24"/>
                <w:u w:val="none" w:color="auto"/>
              </w:rPr>
            </w:pPr>
            <w:r>
              <w:rPr>
                <w:rFonts w:hint="eastAsia"/>
                <w:color w:val="auto"/>
                <w:sz w:val="24"/>
                <w:szCs w:val="24"/>
                <w:u w:val="none" w:color="auto"/>
              </w:rPr>
              <w:t>危险废物堆放场所应满足 GB18597-2001《危险废物贮存污染控制标准》中的有关规定：</w:t>
            </w:r>
          </w:p>
          <w:p>
            <w:pPr>
              <w:pStyle w:val="29"/>
              <w:keepNext w:val="0"/>
              <w:keepLines w:val="0"/>
              <w:pageBreakBefore w:val="0"/>
              <w:numPr>
                <w:ilvl w:val="0"/>
                <w:numId w:val="0"/>
              </w:numPr>
              <w:tabs>
                <w:tab w:val="left" w:pos="1291"/>
              </w:tabs>
              <w:kinsoku/>
              <w:wordWrap/>
              <w:overflowPunct/>
              <w:topLinePunct w:val="0"/>
              <w:autoSpaceDE/>
              <w:autoSpaceDN/>
              <w:bidi w:val="0"/>
              <w:adjustRightInd/>
              <w:spacing w:before="0" w:line="360" w:lineRule="auto"/>
              <w:ind w:leftChars="200" w:right="0" w:rightChars="0"/>
              <w:jc w:val="left"/>
              <w:textAlignment w:val="auto"/>
              <w:rPr>
                <w:rFonts w:hint="eastAsia"/>
                <w:color w:val="auto"/>
                <w:sz w:val="24"/>
                <w:szCs w:val="24"/>
                <w:u w:val="none" w:color="auto"/>
              </w:rPr>
            </w:pPr>
            <w:r>
              <w:rPr>
                <w:rFonts w:hint="eastAsia"/>
                <w:color w:val="auto"/>
                <w:sz w:val="24"/>
                <w:szCs w:val="24"/>
                <w:u w:val="none" w:color="auto"/>
                <w:lang w:val="en-US" w:eastAsia="zh-CN"/>
              </w:rPr>
              <w:t>a、</w:t>
            </w:r>
            <w:r>
              <w:rPr>
                <w:rFonts w:hint="eastAsia"/>
                <w:color w:val="auto"/>
                <w:sz w:val="24"/>
                <w:szCs w:val="24"/>
                <w:u w:val="none" w:color="auto"/>
              </w:rPr>
              <w:t>按 GB15562.2《环境保护图形标识—固体废物贮存（处置）场》设置警示标志。</w:t>
            </w:r>
          </w:p>
          <w:p>
            <w:pPr>
              <w:pStyle w:val="29"/>
              <w:keepNext w:val="0"/>
              <w:keepLines w:val="0"/>
              <w:pageBreakBefore w:val="0"/>
              <w:numPr>
                <w:ilvl w:val="0"/>
                <w:numId w:val="0"/>
              </w:numPr>
              <w:tabs>
                <w:tab w:val="left" w:pos="1305"/>
              </w:tabs>
              <w:kinsoku/>
              <w:wordWrap/>
              <w:overflowPunct/>
              <w:topLinePunct w:val="0"/>
              <w:autoSpaceDE/>
              <w:autoSpaceDN/>
              <w:bidi w:val="0"/>
              <w:adjustRightInd/>
              <w:spacing w:before="0" w:line="360" w:lineRule="auto"/>
              <w:ind w:leftChars="200" w:right="0" w:rightChars="0"/>
              <w:jc w:val="left"/>
              <w:textAlignment w:val="auto"/>
              <w:rPr>
                <w:rFonts w:hint="eastAsia"/>
                <w:color w:val="auto"/>
                <w:sz w:val="24"/>
                <w:szCs w:val="24"/>
                <w:u w:val="none" w:color="auto"/>
              </w:rPr>
            </w:pPr>
            <w:r>
              <w:rPr>
                <w:rFonts w:hint="eastAsia"/>
                <w:color w:val="auto"/>
                <w:sz w:val="24"/>
                <w:szCs w:val="24"/>
                <w:u w:val="none" w:color="auto"/>
                <w:lang w:val="en-US" w:eastAsia="zh-CN"/>
              </w:rPr>
              <w:t>b、</w:t>
            </w:r>
            <w:r>
              <w:rPr>
                <w:rFonts w:hint="eastAsia"/>
                <w:color w:val="auto"/>
                <w:sz w:val="24"/>
                <w:szCs w:val="24"/>
                <w:u w:val="none" w:color="auto"/>
              </w:rPr>
              <w:t>必须有耐腐蚀的硬化地面和基础防渗层，地面无裂隙；设施底部必须高于地下水最高水位。</w:t>
            </w:r>
          </w:p>
          <w:p>
            <w:pPr>
              <w:pStyle w:val="29"/>
              <w:keepNext w:val="0"/>
              <w:keepLines w:val="0"/>
              <w:pageBreakBefore w:val="0"/>
              <w:numPr>
                <w:ilvl w:val="0"/>
                <w:numId w:val="0"/>
              </w:numPr>
              <w:tabs>
                <w:tab w:val="left" w:pos="1291"/>
              </w:tabs>
              <w:kinsoku/>
              <w:wordWrap/>
              <w:overflowPunct/>
              <w:topLinePunct w:val="0"/>
              <w:autoSpaceDE/>
              <w:autoSpaceDN/>
              <w:bidi w:val="0"/>
              <w:adjustRightInd/>
              <w:spacing w:before="0" w:line="360" w:lineRule="auto"/>
              <w:ind w:leftChars="200" w:right="0" w:rightChars="0"/>
              <w:jc w:val="left"/>
              <w:textAlignment w:val="auto"/>
              <w:rPr>
                <w:rFonts w:hint="eastAsia"/>
                <w:color w:val="auto"/>
                <w:sz w:val="24"/>
                <w:szCs w:val="24"/>
                <w:u w:val="none" w:color="auto"/>
              </w:rPr>
            </w:pPr>
            <w:r>
              <w:rPr>
                <w:rFonts w:hint="eastAsia"/>
                <w:color w:val="auto"/>
                <w:sz w:val="24"/>
                <w:szCs w:val="24"/>
                <w:u w:val="none" w:color="auto"/>
                <w:lang w:val="en-US" w:eastAsia="zh-CN"/>
              </w:rPr>
              <w:t>c、</w:t>
            </w:r>
            <w:r>
              <w:rPr>
                <w:rFonts w:hint="eastAsia"/>
                <w:color w:val="auto"/>
                <w:sz w:val="24"/>
                <w:szCs w:val="24"/>
                <w:u w:val="none" w:color="auto"/>
              </w:rPr>
              <w:t>要求有必要的防风、防雨、防晒措施。d.要有隔离设施或其它防护栅栏。</w:t>
            </w:r>
          </w:p>
          <w:p>
            <w:pPr>
              <w:pStyle w:val="29"/>
              <w:keepNext w:val="0"/>
              <w:keepLines w:val="0"/>
              <w:pageBreakBefore w:val="0"/>
              <w:numPr>
                <w:ilvl w:val="0"/>
                <w:numId w:val="0"/>
              </w:numPr>
              <w:tabs>
                <w:tab w:val="left" w:pos="1291"/>
              </w:tabs>
              <w:kinsoku/>
              <w:wordWrap/>
              <w:overflowPunct/>
              <w:topLinePunct w:val="0"/>
              <w:autoSpaceDE/>
              <w:autoSpaceDN/>
              <w:bidi w:val="0"/>
              <w:adjustRightInd/>
              <w:spacing w:before="0" w:line="360" w:lineRule="auto"/>
              <w:ind w:leftChars="200" w:right="0" w:rightChars="0"/>
              <w:jc w:val="left"/>
              <w:textAlignment w:val="auto"/>
              <w:rPr>
                <w:rFonts w:hint="eastAsia"/>
                <w:color w:val="auto"/>
                <w:sz w:val="24"/>
                <w:szCs w:val="24"/>
                <w:u w:val="none" w:color="auto"/>
              </w:rPr>
            </w:pPr>
            <w:r>
              <w:rPr>
                <w:rFonts w:hint="eastAsia"/>
                <w:color w:val="auto"/>
                <w:sz w:val="24"/>
                <w:szCs w:val="24"/>
                <w:u w:val="none" w:color="auto"/>
                <w:lang w:val="en-US" w:eastAsia="zh-CN"/>
              </w:rPr>
              <w:t>d、</w:t>
            </w:r>
            <w:r>
              <w:rPr>
                <w:rFonts w:hint="eastAsia"/>
                <w:color w:val="auto"/>
                <w:sz w:val="24"/>
                <w:szCs w:val="24"/>
                <w:u w:val="none" w:color="auto"/>
              </w:rPr>
              <w:t>配备通讯设备、照明设施、安全防护服装，设有报警装置和应急防护设施。</w:t>
            </w:r>
          </w:p>
          <w:p>
            <w:pPr>
              <w:pStyle w:val="29"/>
              <w:keepNext w:val="0"/>
              <w:keepLines w:val="0"/>
              <w:pageBreakBefore w:val="0"/>
              <w:widowControl w:val="0"/>
              <w:numPr>
                <w:ilvl w:val="0"/>
                <w:numId w:val="0"/>
              </w:numPr>
              <w:tabs>
                <w:tab w:val="left" w:pos="1267"/>
              </w:tabs>
              <w:kinsoku/>
              <w:wordWrap/>
              <w:overflowPunct/>
              <w:topLinePunct w:val="0"/>
              <w:autoSpaceDE/>
              <w:autoSpaceDN/>
              <w:bidi w:val="0"/>
              <w:adjustRightInd/>
              <w:snapToGrid/>
              <w:spacing w:before="0" w:line="360" w:lineRule="auto"/>
              <w:ind w:left="0" w:leftChars="0" w:right="0" w:rightChars="0" w:firstLine="480" w:firstLineChars="200"/>
              <w:jc w:val="both"/>
              <w:textAlignment w:val="auto"/>
              <w:rPr>
                <w:rFonts w:hint="eastAsia"/>
                <w:color w:val="auto"/>
                <w:sz w:val="24"/>
                <w:szCs w:val="24"/>
                <w:u w:val="none" w:color="auto"/>
              </w:rPr>
            </w:pPr>
            <w:r>
              <w:rPr>
                <w:rFonts w:hint="eastAsia"/>
                <w:color w:val="auto"/>
                <w:sz w:val="24"/>
                <w:szCs w:val="24"/>
                <w:u w:val="none" w:color="auto"/>
                <w:lang w:val="en-US" w:eastAsia="zh-CN"/>
              </w:rPr>
              <w:t>e、</w:t>
            </w:r>
            <w:r>
              <w:rPr>
                <w:rFonts w:hint="eastAsia"/>
                <w:color w:val="auto"/>
                <w:sz w:val="24"/>
                <w:szCs w:val="24"/>
                <w:u w:val="none" w:color="auto"/>
              </w:rPr>
              <w:t>危险废物必须装入容器内，禁止将不相容的危险废物在同一容器内混装。无法装入常  用容器的危险废物可用防漏胶袋等盛装。盛装危险废物的容器上必须粘贴符合危险废物不同类别的标签。</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olor w:val="auto"/>
                <w:sz w:val="24"/>
                <w:szCs w:val="24"/>
                <w:u w:val="none" w:color="auto"/>
              </w:rPr>
            </w:pPr>
            <w:r>
              <w:rPr>
                <w:rFonts w:hint="eastAsia"/>
                <w:color w:val="auto"/>
                <w:sz w:val="24"/>
                <w:szCs w:val="24"/>
                <w:u w:val="none" w:color="auto"/>
                <w:lang w:val="en-US" w:eastAsia="zh-CN"/>
              </w:rPr>
              <w:t>f、</w:t>
            </w:r>
            <w:r>
              <w:rPr>
                <w:rFonts w:hint="eastAsia"/>
                <w:color w:val="auto"/>
                <w:sz w:val="24"/>
                <w:szCs w:val="24"/>
                <w:u w:val="none" w:color="auto"/>
              </w:rPr>
              <w:t>本项目单位应做好危险废物产生情况的记录，建立台账系统，记录上须注明危险废物的名称、来源、数量、特性和包装容器的类别，入库日期，存放库位，废物出库日期及接收单位名称。危险废物的记录和货单在危险废物回取后应继续保留 3 年。</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olor w:val="auto"/>
                <w:sz w:val="24"/>
                <w:szCs w:val="24"/>
              </w:rPr>
            </w:pPr>
            <w:r>
              <w:rPr>
                <w:rFonts w:hint="eastAsia"/>
                <w:color w:val="auto"/>
                <w:sz w:val="24"/>
                <w:szCs w:val="24"/>
              </w:rPr>
              <w:t>C、危险废物内部转运作业应满足如下要求：</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olor w:val="auto"/>
                <w:sz w:val="24"/>
                <w:szCs w:val="24"/>
              </w:rPr>
            </w:pPr>
            <w:r>
              <w:rPr>
                <w:rFonts w:hint="eastAsia"/>
                <w:color w:val="auto"/>
                <w:sz w:val="24"/>
                <w:szCs w:val="24"/>
              </w:rPr>
              <w:t>a.危险废物内部转运应综合考虑厂区的实际情况确定转运路线，尽量避开办公区和生活区。</w:t>
            </w:r>
          </w:p>
          <w:p>
            <w:pPr>
              <w:spacing w:line="360" w:lineRule="auto"/>
              <w:ind w:firstLine="480" w:firstLineChars="200"/>
              <w:jc w:val="both"/>
              <w:rPr>
                <w:rFonts w:hint="eastAsia"/>
                <w:color w:val="auto"/>
                <w:sz w:val="24"/>
                <w:szCs w:val="24"/>
                <w:lang w:val="en-US" w:eastAsia="zh-CN"/>
              </w:rPr>
            </w:pPr>
            <w:r>
              <w:rPr>
                <w:rFonts w:hint="eastAsia"/>
                <w:color w:val="auto"/>
                <w:sz w:val="24"/>
                <w:szCs w:val="24"/>
              </w:rPr>
              <w:t>综上所述，本项目产生的各类废物均能得到安全妥善处置，对外环境的影响较小</w:t>
            </w:r>
            <w:r>
              <w:rPr>
                <w:rFonts w:hint="eastAsia"/>
                <w:color w:val="auto"/>
                <w:sz w:val="24"/>
                <w:szCs w:val="24"/>
                <w:lang w:eastAsia="zh-CN"/>
              </w:rPr>
              <w:t>。</w:t>
            </w:r>
          </w:p>
          <w:p>
            <w:pPr>
              <w:spacing w:line="360" w:lineRule="auto"/>
              <w:ind w:firstLine="480" w:firstLineChars="200"/>
              <w:jc w:val="both"/>
              <w:rPr>
                <w:color w:val="auto"/>
                <w:sz w:val="24"/>
                <w:szCs w:val="24"/>
              </w:rPr>
            </w:pPr>
            <w:r>
              <w:rPr>
                <w:rFonts w:hint="eastAsia"/>
                <w:color w:val="auto"/>
                <w:sz w:val="24"/>
                <w:szCs w:val="24"/>
                <w:lang w:val="en-US" w:eastAsia="zh-CN"/>
              </w:rPr>
              <w:t>5</w:t>
            </w:r>
            <w:r>
              <w:rPr>
                <w:rFonts w:hint="eastAsia"/>
                <w:color w:val="auto"/>
                <w:sz w:val="24"/>
                <w:szCs w:val="24"/>
              </w:rPr>
              <w:t>、</w:t>
            </w:r>
            <w:r>
              <w:rPr>
                <w:color w:val="auto"/>
                <w:sz w:val="24"/>
                <w:szCs w:val="24"/>
              </w:rPr>
              <w:t>土壤</w:t>
            </w:r>
          </w:p>
          <w:p>
            <w:pPr>
              <w:spacing w:line="360" w:lineRule="auto"/>
              <w:ind w:firstLine="480" w:firstLineChars="200"/>
              <w:jc w:val="both"/>
              <w:rPr>
                <w:color w:val="auto"/>
              </w:rPr>
            </w:pPr>
            <w:r>
              <w:rPr>
                <w:color w:val="auto"/>
                <w:sz w:val="24"/>
                <w:szCs w:val="24"/>
              </w:rPr>
              <w:t>根据《环境影响评价技术导则—土壤环境》（HJ964-2018），本项目属于污染影响类建设项目。根据土壤环境影响评价项目类别、占地规模与敏感程度划分评价工作等级。</w:t>
            </w:r>
          </w:p>
          <w:p>
            <w:pPr>
              <w:spacing w:line="240" w:lineRule="auto"/>
              <w:jc w:val="center"/>
              <w:rPr>
                <w:b/>
                <w:bCs/>
                <w:color w:val="auto"/>
              </w:rPr>
            </w:pPr>
            <w:r>
              <w:rPr>
                <w:b/>
                <w:bCs/>
                <w:color w:val="auto"/>
              </w:rPr>
              <w:t>表</w:t>
            </w:r>
            <w:r>
              <w:rPr>
                <w:rFonts w:hint="eastAsia"/>
                <w:b/>
                <w:bCs/>
                <w:color w:val="auto"/>
                <w:lang w:val="en-US" w:eastAsia="zh-CN"/>
              </w:rPr>
              <w:t xml:space="preserve">4-12 </w:t>
            </w:r>
            <w:r>
              <w:rPr>
                <w:b/>
                <w:bCs/>
                <w:color w:val="auto"/>
              </w:rPr>
              <w:t>土壤环境影响评价等级确定标准</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665"/>
              <w:gridCol w:w="668"/>
              <w:gridCol w:w="668"/>
              <w:gridCol w:w="665"/>
              <w:gridCol w:w="663"/>
              <w:gridCol w:w="675"/>
              <w:gridCol w:w="668"/>
              <w:gridCol w:w="665"/>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50" w:type="pct"/>
                  <w:vMerge w:val="restart"/>
                  <w:noWrap w:val="0"/>
                  <w:vAlign w:val="center"/>
                </w:tcPr>
                <w:p>
                  <w:pPr>
                    <w:jc w:val="center"/>
                    <w:rPr>
                      <w:color w:val="auto"/>
                    </w:rPr>
                  </w:pPr>
                  <w:r>
                    <w:rPr>
                      <w:color w:val="auto"/>
                    </w:rPr>
                    <w:t>敏感程度</w:t>
                  </w:r>
                </w:p>
                <w:p>
                  <w:pPr>
                    <w:jc w:val="center"/>
                    <w:rPr>
                      <w:color w:val="auto"/>
                    </w:rPr>
                  </w:pPr>
                  <w:r>
                    <w:rPr>
                      <w:color w:val="auto"/>
                    </w:rPr>
                    <w:t>评价工作等级</w:t>
                  </w:r>
                </w:p>
                <w:p>
                  <w:pPr>
                    <w:jc w:val="center"/>
                    <w:rPr>
                      <w:color w:val="auto"/>
                    </w:rPr>
                  </w:pPr>
                  <w:r>
                    <w:rPr>
                      <w:color w:val="auto"/>
                    </w:rPr>
                    <w:t>占地规模</w:t>
                  </w:r>
                </w:p>
              </w:tc>
              <w:tc>
                <w:tcPr>
                  <w:tcW w:w="1249" w:type="pct"/>
                  <w:gridSpan w:val="3"/>
                  <w:noWrap w:val="0"/>
                  <w:vAlign w:val="center"/>
                </w:tcPr>
                <w:p>
                  <w:pPr>
                    <w:jc w:val="center"/>
                    <w:rPr>
                      <w:color w:val="auto"/>
                    </w:rPr>
                  </w:pPr>
                  <w:r>
                    <w:rPr>
                      <w:color w:val="auto"/>
                    </w:rPr>
                    <w:t>Ⅰ类</w:t>
                  </w:r>
                </w:p>
              </w:tc>
              <w:tc>
                <w:tcPr>
                  <w:tcW w:w="1250" w:type="pct"/>
                  <w:gridSpan w:val="3"/>
                  <w:noWrap w:val="0"/>
                  <w:vAlign w:val="center"/>
                </w:tcPr>
                <w:p>
                  <w:pPr>
                    <w:jc w:val="center"/>
                    <w:rPr>
                      <w:color w:val="auto"/>
                    </w:rPr>
                  </w:pPr>
                  <w:r>
                    <w:rPr>
                      <w:color w:val="auto"/>
                    </w:rPr>
                    <w:t>Ⅱ类</w:t>
                  </w:r>
                </w:p>
              </w:tc>
              <w:tc>
                <w:tcPr>
                  <w:tcW w:w="1249" w:type="pct"/>
                  <w:gridSpan w:val="3"/>
                  <w:noWrap w:val="0"/>
                  <w:vAlign w:val="center"/>
                </w:tcPr>
                <w:p>
                  <w:pPr>
                    <w:jc w:val="center"/>
                    <w:rPr>
                      <w:color w:val="auto"/>
                    </w:rPr>
                  </w:pPr>
                  <w:r>
                    <w:rPr>
                      <w:color w:val="auto"/>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50" w:type="pct"/>
                  <w:vMerge w:val="continue"/>
                  <w:noWrap w:val="0"/>
                  <w:vAlign w:val="center"/>
                </w:tcPr>
                <w:p>
                  <w:pPr>
                    <w:jc w:val="center"/>
                    <w:rPr>
                      <w:color w:val="auto"/>
                    </w:rPr>
                  </w:pPr>
                </w:p>
              </w:tc>
              <w:tc>
                <w:tcPr>
                  <w:tcW w:w="415" w:type="pct"/>
                  <w:noWrap w:val="0"/>
                  <w:vAlign w:val="center"/>
                </w:tcPr>
                <w:p>
                  <w:pPr>
                    <w:jc w:val="center"/>
                    <w:rPr>
                      <w:color w:val="auto"/>
                    </w:rPr>
                  </w:pPr>
                  <w:r>
                    <w:rPr>
                      <w:color w:val="auto"/>
                    </w:rPr>
                    <w:t>大</w:t>
                  </w:r>
                </w:p>
              </w:tc>
              <w:tc>
                <w:tcPr>
                  <w:tcW w:w="417" w:type="pct"/>
                  <w:noWrap w:val="0"/>
                  <w:vAlign w:val="center"/>
                </w:tcPr>
                <w:p>
                  <w:pPr>
                    <w:jc w:val="center"/>
                    <w:rPr>
                      <w:color w:val="auto"/>
                    </w:rPr>
                  </w:pPr>
                  <w:r>
                    <w:rPr>
                      <w:color w:val="auto"/>
                    </w:rPr>
                    <w:t>中</w:t>
                  </w:r>
                </w:p>
              </w:tc>
              <w:tc>
                <w:tcPr>
                  <w:tcW w:w="417" w:type="pct"/>
                  <w:noWrap w:val="0"/>
                  <w:vAlign w:val="center"/>
                </w:tcPr>
                <w:p>
                  <w:pPr>
                    <w:jc w:val="center"/>
                    <w:rPr>
                      <w:color w:val="auto"/>
                    </w:rPr>
                  </w:pPr>
                  <w:r>
                    <w:rPr>
                      <w:color w:val="auto"/>
                    </w:rPr>
                    <w:t>小</w:t>
                  </w:r>
                </w:p>
              </w:tc>
              <w:tc>
                <w:tcPr>
                  <w:tcW w:w="415" w:type="pct"/>
                  <w:noWrap w:val="0"/>
                  <w:vAlign w:val="center"/>
                </w:tcPr>
                <w:p>
                  <w:pPr>
                    <w:jc w:val="center"/>
                    <w:rPr>
                      <w:color w:val="auto"/>
                    </w:rPr>
                  </w:pPr>
                  <w:r>
                    <w:rPr>
                      <w:color w:val="auto"/>
                    </w:rPr>
                    <w:t>大</w:t>
                  </w:r>
                </w:p>
              </w:tc>
              <w:tc>
                <w:tcPr>
                  <w:tcW w:w="414" w:type="pct"/>
                  <w:noWrap w:val="0"/>
                  <w:vAlign w:val="center"/>
                </w:tcPr>
                <w:p>
                  <w:pPr>
                    <w:jc w:val="center"/>
                    <w:rPr>
                      <w:color w:val="auto"/>
                    </w:rPr>
                  </w:pPr>
                  <w:r>
                    <w:rPr>
                      <w:color w:val="auto"/>
                    </w:rPr>
                    <w:t>中</w:t>
                  </w:r>
                </w:p>
              </w:tc>
              <w:tc>
                <w:tcPr>
                  <w:tcW w:w="420" w:type="pct"/>
                  <w:noWrap w:val="0"/>
                  <w:vAlign w:val="center"/>
                </w:tcPr>
                <w:p>
                  <w:pPr>
                    <w:jc w:val="center"/>
                    <w:rPr>
                      <w:color w:val="auto"/>
                    </w:rPr>
                  </w:pPr>
                  <w:r>
                    <w:rPr>
                      <w:color w:val="auto"/>
                    </w:rPr>
                    <w:t>小</w:t>
                  </w:r>
                </w:p>
              </w:tc>
              <w:tc>
                <w:tcPr>
                  <w:tcW w:w="417" w:type="pct"/>
                  <w:noWrap w:val="0"/>
                  <w:vAlign w:val="center"/>
                </w:tcPr>
                <w:p>
                  <w:pPr>
                    <w:jc w:val="center"/>
                    <w:rPr>
                      <w:color w:val="auto"/>
                    </w:rPr>
                  </w:pPr>
                  <w:r>
                    <w:rPr>
                      <w:color w:val="auto"/>
                    </w:rPr>
                    <w:t>大</w:t>
                  </w:r>
                </w:p>
              </w:tc>
              <w:tc>
                <w:tcPr>
                  <w:tcW w:w="415" w:type="pct"/>
                  <w:noWrap w:val="0"/>
                  <w:vAlign w:val="center"/>
                </w:tcPr>
                <w:p>
                  <w:pPr>
                    <w:jc w:val="center"/>
                    <w:rPr>
                      <w:color w:val="auto"/>
                    </w:rPr>
                  </w:pPr>
                  <w:r>
                    <w:rPr>
                      <w:color w:val="auto"/>
                    </w:rPr>
                    <w:t>中</w:t>
                  </w:r>
                </w:p>
              </w:tc>
              <w:tc>
                <w:tcPr>
                  <w:tcW w:w="416" w:type="pct"/>
                  <w:noWrap w:val="0"/>
                  <w:vAlign w:val="center"/>
                </w:tcPr>
                <w:p>
                  <w:pPr>
                    <w:jc w:val="center"/>
                    <w:rPr>
                      <w:color w:val="auto"/>
                    </w:rPr>
                  </w:pPr>
                  <w:r>
                    <w:rPr>
                      <w:color w:val="auto"/>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50" w:type="pct"/>
                  <w:noWrap w:val="0"/>
                  <w:vAlign w:val="center"/>
                </w:tcPr>
                <w:p>
                  <w:pPr>
                    <w:jc w:val="center"/>
                    <w:rPr>
                      <w:color w:val="auto"/>
                    </w:rPr>
                  </w:pPr>
                  <w:r>
                    <w:rPr>
                      <w:color w:val="auto"/>
                    </w:rPr>
                    <w:t>敏感</w:t>
                  </w:r>
                </w:p>
              </w:tc>
              <w:tc>
                <w:tcPr>
                  <w:tcW w:w="415" w:type="pct"/>
                  <w:noWrap w:val="0"/>
                  <w:vAlign w:val="center"/>
                </w:tcPr>
                <w:p>
                  <w:pPr>
                    <w:jc w:val="center"/>
                    <w:rPr>
                      <w:color w:val="auto"/>
                    </w:rPr>
                  </w:pPr>
                  <w:r>
                    <w:rPr>
                      <w:color w:val="auto"/>
                    </w:rPr>
                    <w:t>一级</w:t>
                  </w:r>
                </w:p>
              </w:tc>
              <w:tc>
                <w:tcPr>
                  <w:tcW w:w="417" w:type="pct"/>
                  <w:noWrap w:val="0"/>
                  <w:vAlign w:val="center"/>
                </w:tcPr>
                <w:p>
                  <w:pPr>
                    <w:jc w:val="center"/>
                    <w:rPr>
                      <w:color w:val="auto"/>
                    </w:rPr>
                  </w:pPr>
                  <w:r>
                    <w:rPr>
                      <w:color w:val="auto"/>
                    </w:rPr>
                    <w:t>一级</w:t>
                  </w:r>
                </w:p>
              </w:tc>
              <w:tc>
                <w:tcPr>
                  <w:tcW w:w="417" w:type="pct"/>
                  <w:noWrap w:val="0"/>
                  <w:vAlign w:val="center"/>
                </w:tcPr>
                <w:p>
                  <w:pPr>
                    <w:jc w:val="center"/>
                    <w:rPr>
                      <w:color w:val="auto"/>
                    </w:rPr>
                  </w:pPr>
                  <w:r>
                    <w:rPr>
                      <w:color w:val="auto"/>
                    </w:rPr>
                    <w:t>一级</w:t>
                  </w:r>
                </w:p>
              </w:tc>
              <w:tc>
                <w:tcPr>
                  <w:tcW w:w="415" w:type="pct"/>
                  <w:noWrap w:val="0"/>
                  <w:vAlign w:val="center"/>
                </w:tcPr>
                <w:p>
                  <w:pPr>
                    <w:jc w:val="center"/>
                    <w:rPr>
                      <w:color w:val="auto"/>
                    </w:rPr>
                  </w:pPr>
                  <w:r>
                    <w:rPr>
                      <w:color w:val="auto"/>
                    </w:rPr>
                    <w:t>二级</w:t>
                  </w:r>
                </w:p>
              </w:tc>
              <w:tc>
                <w:tcPr>
                  <w:tcW w:w="414" w:type="pct"/>
                  <w:noWrap w:val="0"/>
                  <w:vAlign w:val="center"/>
                </w:tcPr>
                <w:p>
                  <w:pPr>
                    <w:jc w:val="center"/>
                    <w:rPr>
                      <w:color w:val="auto"/>
                    </w:rPr>
                  </w:pPr>
                  <w:r>
                    <w:rPr>
                      <w:color w:val="auto"/>
                    </w:rPr>
                    <w:t>二级</w:t>
                  </w:r>
                </w:p>
              </w:tc>
              <w:tc>
                <w:tcPr>
                  <w:tcW w:w="420" w:type="pct"/>
                  <w:noWrap w:val="0"/>
                  <w:vAlign w:val="center"/>
                </w:tcPr>
                <w:p>
                  <w:pPr>
                    <w:jc w:val="center"/>
                    <w:rPr>
                      <w:color w:val="auto"/>
                    </w:rPr>
                  </w:pPr>
                  <w:r>
                    <w:rPr>
                      <w:color w:val="auto"/>
                    </w:rPr>
                    <w:t>二级</w:t>
                  </w:r>
                </w:p>
              </w:tc>
              <w:tc>
                <w:tcPr>
                  <w:tcW w:w="417" w:type="pct"/>
                  <w:noWrap w:val="0"/>
                  <w:vAlign w:val="center"/>
                </w:tcPr>
                <w:p>
                  <w:pPr>
                    <w:jc w:val="center"/>
                    <w:rPr>
                      <w:color w:val="auto"/>
                    </w:rPr>
                  </w:pPr>
                  <w:r>
                    <w:rPr>
                      <w:color w:val="auto"/>
                    </w:rPr>
                    <w:t>三级</w:t>
                  </w:r>
                </w:p>
              </w:tc>
              <w:tc>
                <w:tcPr>
                  <w:tcW w:w="415" w:type="pct"/>
                  <w:noWrap w:val="0"/>
                  <w:vAlign w:val="center"/>
                </w:tcPr>
                <w:p>
                  <w:pPr>
                    <w:jc w:val="center"/>
                    <w:rPr>
                      <w:color w:val="auto"/>
                    </w:rPr>
                  </w:pPr>
                  <w:r>
                    <w:rPr>
                      <w:color w:val="auto"/>
                    </w:rPr>
                    <w:t>三级</w:t>
                  </w:r>
                </w:p>
              </w:tc>
              <w:tc>
                <w:tcPr>
                  <w:tcW w:w="416" w:type="pct"/>
                  <w:noWrap w:val="0"/>
                  <w:vAlign w:val="center"/>
                </w:tcPr>
                <w:p>
                  <w:pPr>
                    <w:jc w:val="center"/>
                    <w:rPr>
                      <w:color w:val="auto"/>
                    </w:rPr>
                  </w:pPr>
                  <w:r>
                    <w:rPr>
                      <w:color w:val="auto"/>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50" w:type="pct"/>
                  <w:noWrap w:val="0"/>
                  <w:vAlign w:val="center"/>
                </w:tcPr>
                <w:p>
                  <w:pPr>
                    <w:jc w:val="center"/>
                    <w:rPr>
                      <w:color w:val="auto"/>
                    </w:rPr>
                  </w:pPr>
                  <w:r>
                    <w:rPr>
                      <w:color w:val="auto"/>
                    </w:rPr>
                    <w:t>较敏感</w:t>
                  </w:r>
                </w:p>
              </w:tc>
              <w:tc>
                <w:tcPr>
                  <w:tcW w:w="415" w:type="pct"/>
                  <w:noWrap w:val="0"/>
                  <w:vAlign w:val="center"/>
                </w:tcPr>
                <w:p>
                  <w:pPr>
                    <w:jc w:val="center"/>
                    <w:rPr>
                      <w:color w:val="auto"/>
                    </w:rPr>
                  </w:pPr>
                  <w:r>
                    <w:rPr>
                      <w:color w:val="auto"/>
                    </w:rPr>
                    <w:t>一级</w:t>
                  </w:r>
                </w:p>
              </w:tc>
              <w:tc>
                <w:tcPr>
                  <w:tcW w:w="417" w:type="pct"/>
                  <w:noWrap w:val="0"/>
                  <w:vAlign w:val="center"/>
                </w:tcPr>
                <w:p>
                  <w:pPr>
                    <w:jc w:val="center"/>
                    <w:rPr>
                      <w:color w:val="auto"/>
                    </w:rPr>
                  </w:pPr>
                  <w:r>
                    <w:rPr>
                      <w:color w:val="auto"/>
                    </w:rPr>
                    <w:t>一级</w:t>
                  </w:r>
                </w:p>
              </w:tc>
              <w:tc>
                <w:tcPr>
                  <w:tcW w:w="417" w:type="pct"/>
                  <w:noWrap w:val="0"/>
                  <w:vAlign w:val="center"/>
                </w:tcPr>
                <w:p>
                  <w:pPr>
                    <w:jc w:val="center"/>
                    <w:rPr>
                      <w:color w:val="auto"/>
                    </w:rPr>
                  </w:pPr>
                  <w:r>
                    <w:rPr>
                      <w:color w:val="auto"/>
                    </w:rPr>
                    <w:t>二级</w:t>
                  </w:r>
                </w:p>
              </w:tc>
              <w:tc>
                <w:tcPr>
                  <w:tcW w:w="415" w:type="pct"/>
                  <w:noWrap w:val="0"/>
                  <w:vAlign w:val="center"/>
                </w:tcPr>
                <w:p>
                  <w:pPr>
                    <w:jc w:val="center"/>
                    <w:rPr>
                      <w:color w:val="auto"/>
                    </w:rPr>
                  </w:pPr>
                  <w:r>
                    <w:rPr>
                      <w:color w:val="auto"/>
                    </w:rPr>
                    <w:t>二级</w:t>
                  </w:r>
                </w:p>
              </w:tc>
              <w:tc>
                <w:tcPr>
                  <w:tcW w:w="414" w:type="pct"/>
                  <w:noWrap w:val="0"/>
                  <w:vAlign w:val="center"/>
                </w:tcPr>
                <w:p>
                  <w:pPr>
                    <w:jc w:val="center"/>
                    <w:rPr>
                      <w:color w:val="auto"/>
                    </w:rPr>
                  </w:pPr>
                  <w:r>
                    <w:rPr>
                      <w:color w:val="auto"/>
                    </w:rPr>
                    <w:t>二级</w:t>
                  </w:r>
                </w:p>
              </w:tc>
              <w:tc>
                <w:tcPr>
                  <w:tcW w:w="420" w:type="pct"/>
                  <w:noWrap w:val="0"/>
                  <w:vAlign w:val="center"/>
                </w:tcPr>
                <w:p>
                  <w:pPr>
                    <w:jc w:val="center"/>
                    <w:rPr>
                      <w:color w:val="auto"/>
                    </w:rPr>
                  </w:pPr>
                  <w:r>
                    <w:rPr>
                      <w:color w:val="auto"/>
                    </w:rPr>
                    <w:t>三级</w:t>
                  </w:r>
                </w:p>
              </w:tc>
              <w:tc>
                <w:tcPr>
                  <w:tcW w:w="417" w:type="pct"/>
                  <w:noWrap w:val="0"/>
                  <w:vAlign w:val="center"/>
                </w:tcPr>
                <w:p>
                  <w:pPr>
                    <w:jc w:val="center"/>
                    <w:rPr>
                      <w:color w:val="auto"/>
                    </w:rPr>
                  </w:pPr>
                  <w:r>
                    <w:rPr>
                      <w:color w:val="auto"/>
                    </w:rPr>
                    <w:t>三级</w:t>
                  </w:r>
                </w:p>
              </w:tc>
              <w:tc>
                <w:tcPr>
                  <w:tcW w:w="415" w:type="pct"/>
                  <w:noWrap w:val="0"/>
                  <w:vAlign w:val="center"/>
                </w:tcPr>
                <w:p>
                  <w:pPr>
                    <w:jc w:val="center"/>
                    <w:rPr>
                      <w:color w:val="auto"/>
                    </w:rPr>
                  </w:pPr>
                  <w:r>
                    <w:rPr>
                      <w:color w:val="auto"/>
                    </w:rPr>
                    <w:t>三级</w:t>
                  </w:r>
                </w:p>
              </w:tc>
              <w:tc>
                <w:tcPr>
                  <w:tcW w:w="416" w:type="pct"/>
                  <w:noWrap w:val="0"/>
                  <w:vAlign w:val="center"/>
                </w:tcPr>
                <w:p>
                  <w:pPr>
                    <w:jc w:val="center"/>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50" w:type="pct"/>
                  <w:noWrap w:val="0"/>
                  <w:vAlign w:val="center"/>
                </w:tcPr>
                <w:p>
                  <w:pPr>
                    <w:jc w:val="center"/>
                    <w:rPr>
                      <w:color w:val="auto"/>
                    </w:rPr>
                  </w:pPr>
                  <w:r>
                    <w:rPr>
                      <w:color w:val="auto"/>
                    </w:rPr>
                    <w:t>不敏感</w:t>
                  </w:r>
                </w:p>
              </w:tc>
              <w:tc>
                <w:tcPr>
                  <w:tcW w:w="415" w:type="pct"/>
                  <w:noWrap w:val="0"/>
                  <w:vAlign w:val="center"/>
                </w:tcPr>
                <w:p>
                  <w:pPr>
                    <w:jc w:val="center"/>
                    <w:rPr>
                      <w:color w:val="auto"/>
                    </w:rPr>
                  </w:pPr>
                  <w:r>
                    <w:rPr>
                      <w:color w:val="auto"/>
                    </w:rPr>
                    <w:t>一级</w:t>
                  </w:r>
                </w:p>
              </w:tc>
              <w:tc>
                <w:tcPr>
                  <w:tcW w:w="417" w:type="pct"/>
                  <w:noWrap w:val="0"/>
                  <w:vAlign w:val="center"/>
                </w:tcPr>
                <w:p>
                  <w:pPr>
                    <w:jc w:val="center"/>
                    <w:rPr>
                      <w:color w:val="auto"/>
                    </w:rPr>
                  </w:pPr>
                  <w:r>
                    <w:rPr>
                      <w:color w:val="auto"/>
                    </w:rPr>
                    <w:t>二级</w:t>
                  </w:r>
                </w:p>
              </w:tc>
              <w:tc>
                <w:tcPr>
                  <w:tcW w:w="417" w:type="pct"/>
                  <w:noWrap w:val="0"/>
                  <w:vAlign w:val="center"/>
                </w:tcPr>
                <w:p>
                  <w:pPr>
                    <w:jc w:val="center"/>
                    <w:rPr>
                      <w:color w:val="auto"/>
                    </w:rPr>
                  </w:pPr>
                  <w:r>
                    <w:rPr>
                      <w:color w:val="auto"/>
                    </w:rPr>
                    <w:t>二</w:t>
                  </w:r>
                  <w:r>
                    <w:rPr>
                      <w:rFonts w:hint="eastAsia"/>
                      <w:color w:val="auto"/>
                    </w:rPr>
                    <w:t>级</w:t>
                  </w:r>
                </w:p>
              </w:tc>
              <w:tc>
                <w:tcPr>
                  <w:tcW w:w="415" w:type="pct"/>
                  <w:noWrap w:val="0"/>
                  <w:vAlign w:val="center"/>
                </w:tcPr>
                <w:p>
                  <w:pPr>
                    <w:jc w:val="center"/>
                    <w:rPr>
                      <w:color w:val="auto"/>
                    </w:rPr>
                  </w:pPr>
                  <w:r>
                    <w:rPr>
                      <w:color w:val="auto"/>
                    </w:rPr>
                    <w:t>二级</w:t>
                  </w:r>
                </w:p>
              </w:tc>
              <w:tc>
                <w:tcPr>
                  <w:tcW w:w="414" w:type="pct"/>
                  <w:noWrap w:val="0"/>
                  <w:vAlign w:val="center"/>
                </w:tcPr>
                <w:p>
                  <w:pPr>
                    <w:jc w:val="center"/>
                    <w:rPr>
                      <w:color w:val="auto"/>
                    </w:rPr>
                  </w:pPr>
                  <w:r>
                    <w:rPr>
                      <w:color w:val="auto"/>
                    </w:rPr>
                    <w:t>三级</w:t>
                  </w:r>
                </w:p>
              </w:tc>
              <w:tc>
                <w:tcPr>
                  <w:tcW w:w="420" w:type="pct"/>
                  <w:noWrap w:val="0"/>
                  <w:vAlign w:val="center"/>
                </w:tcPr>
                <w:p>
                  <w:pPr>
                    <w:jc w:val="center"/>
                    <w:rPr>
                      <w:color w:val="auto"/>
                    </w:rPr>
                  </w:pPr>
                  <w:r>
                    <w:rPr>
                      <w:color w:val="auto"/>
                    </w:rPr>
                    <w:t>三级</w:t>
                  </w:r>
                </w:p>
              </w:tc>
              <w:tc>
                <w:tcPr>
                  <w:tcW w:w="417" w:type="pct"/>
                  <w:noWrap w:val="0"/>
                  <w:vAlign w:val="center"/>
                </w:tcPr>
                <w:p>
                  <w:pPr>
                    <w:jc w:val="center"/>
                    <w:rPr>
                      <w:color w:val="auto"/>
                    </w:rPr>
                  </w:pPr>
                  <w:r>
                    <w:rPr>
                      <w:color w:val="auto"/>
                    </w:rPr>
                    <w:t>三级</w:t>
                  </w:r>
                </w:p>
              </w:tc>
              <w:tc>
                <w:tcPr>
                  <w:tcW w:w="415" w:type="pct"/>
                  <w:noWrap w:val="0"/>
                  <w:vAlign w:val="center"/>
                </w:tcPr>
                <w:p>
                  <w:pPr>
                    <w:jc w:val="center"/>
                    <w:rPr>
                      <w:color w:val="auto"/>
                    </w:rPr>
                  </w:pPr>
                  <w:r>
                    <w:rPr>
                      <w:color w:val="auto"/>
                    </w:rPr>
                    <w:t>-</w:t>
                  </w:r>
                </w:p>
              </w:tc>
              <w:tc>
                <w:tcPr>
                  <w:tcW w:w="416" w:type="pct"/>
                  <w:noWrap w:val="0"/>
                  <w:vAlign w:val="center"/>
                </w:tcPr>
                <w:p>
                  <w:pPr>
                    <w:jc w:val="center"/>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000" w:type="pct"/>
                  <w:gridSpan w:val="10"/>
                  <w:noWrap w:val="0"/>
                  <w:vAlign w:val="center"/>
                </w:tcPr>
                <w:p>
                  <w:pPr>
                    <w:jc w:val="center"/>
                    <w:rPr>
                      <w:color w:val="auto"/>
                    </w:rPr>
                  </w:pPr>
                  <w:r>
                    <w:rPr>
                      <w:color w:val="auto"/>
                    </w:rPr>
                    <w:t>注：“-”表示可不开展土壤环境影响评价工作。</w:t>
                  </w:r>
                </w:p>
              </w:tc>
            </w:tr>
          </w:tbl>
          <w:p>
            <w:p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根据《环境影响评价导则－土壤环境（试行）》（HJ964-2018）中附录A，本项目土壤环境影响评价项目类别属于金属冶炼压延加工及非金属矿物制品中“其他”，属于Ⅲ类项目，项目占地规模＜5hm</w:t>
            </w:r>
            <w:r>
              <w:rPr>
                <w:rFonts w:hint="eastAsia"/>
                <w:color w:val="auto"/>
                <w:sz w:val="24"/>
                <w:szCs w:val="24"/>
                <w:vertAlign w:val="superscript"/>
                <w:lang w:val="en-US" w:eastAsia="zh-CN"/>
              </w:rPr>
              <w:t>2</w:t>
            </w:r>
            <w:r>
              <w:rPr>
                <w:rFonts w:hint="eastAsia"/>
                <w:color w:val="auto"/>
                <w:sz w:val="24"/>
                <w:szCs w:val="24"/>
                <w:lang w:val="en-US" w:eastAsia="zh-CN"/>
              </w:rPr>
              <w:t>，属于小型，因此本项目土壤</w:t>
            </w:r>
            <w:r>
              <w:rPr>
                <w:rFonts w:hint="eastAsia"/>
                <w:color w:val="auto"/>
                <w:sz w:val="24"/>
                <w:szCs w:val="24"/>
              </w:rPr>
              <w:t>不需要</w:t>
            </w:r>
            <w:r>
              <w:rPr>
                <w:color w:val="auto"/>
                <w:sz w:val="24"/>
                <w:szCs w:val="24"/>
              </w:rPr>
              <w:t>开</w:t>
            </w:r>
            <w:r>
              <w:rPr>
                <w:rFonts w:hint="eastAsia"/>
                <w:color w:val="auto"/>
                <w:sz w:val="24"/>
                <w:szCs w:val="24"/>
                <w:lang w:val="en-US" w:eastAsia="zh-CN"/>
              </w:rPr>
              <w:t>展土壤环境影响评价。</w:t>
            </w:r>
          </w:p>
          <w:p>
            <w:p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6、地下水</w:t>
            </w:r>
          </w:p>
          <w:p>
            <w:pPr>
              <w:spacing w:line="360" w:lineRule="auto"/>
              <w:ind w:firstLine="480" w:firstLineChars="200"/>
              <w:jc w:val="both"/>
              <w:rPr>
                <w:color w:val="auto"/>
                <w:sz w:val="24"/>
                <w:szCs w:val="24"/>
              </w:rPr>
            </w:pPr>
            <w:r>
              <w:rPr>
                <w:rFonts w:hint="eastAsia"/>
                <w:color w:val="auto"/>
                <w:sz w:val="24"/>
                <w:szCs w:val="24"/>
                <w:lang w:val="en-US" w:eastAsia="zh-CN"/>
              </w:rPr>
              <w:t>项目地下水评价等级及评价范围根据《环境影响评价技术导则—地下水环境》（HJ610-2016）附录A确定：本项目行业类别属于</w:t>
            </w:r>
            <w:r>
              <w:rPr>
                <w:color w:val="auto"/>
                <w:sz w:val="24"/>
                <w:szCs w:val="24"/>
              </w:rPr>
              <w:t>J 非金属矿采选及制品制造”中的“62、石材加工”中其他类别，地下水环境影响评价类别为Ⅳ类，可不开展地下水环境影响评价。</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color w:val="auto"/>
                <w:sz w:val="24"/>
                <w:szCs w:val="24"/>
              </w:rPr>
            </w:pPr>
            <w:r>
              <w:rPr>
                <w:rFonts w:hint="eastAsia"/>
                <w:color w:val="auto"/>
                <w:sz w:val="24"/>
                <w:szCs w:val="24"/>
                <w:lang w:val="en-US" w:eastAsia="zh-CN"/>
              </w:rPr>
              <w:t>7</w:t>
            </w:r>
            <w:r>
              <w:rPr>
                <w:rFonts w:hint="eastAsia"/>
                <w:color w:val="auto"/>
                <w:sz w:val="24"/>
                <w:szCs w:val="24"/>
              </w:rPr>
              <w:t>、生态</w:t>
            </w:r>
          </w:p>
          <w:p>
            <w:pPr>
              <w:spacing w:line="360" w:lineRule="auto"/>
              <w:ind w:firstLine="601"/>
              <w:jc w:val="left"/>
              <w:rPr>
                <w:rFonts w:hint="eastAsia"/>
                <w:color w:val="auto"/>
                <w:sz w:val="24"/>
                <w:szCs w:val="24"/>
              </w:rPr>
            </w:pPr>
            <w:r>
              <w:rPr>
                <w:color w:val="auto"/>
                <w:sz w:val="24"/>
                <w:szCs w:val="24"/>
              </w:rPr>
              <w:t>项目总用地面积</w:t>
            </w:r>
            <w:r>
              <w:rPr>
                <w:rFonts w:hint="eastAsia"/>
                <w:color w:val="auto"/>
                <w:sz w:val="24"/>
                <w:szCs w:val="24"/>
                <w:lang w:val="en-US" w:eastAsia="zh-CN"/>
              </w:rPr>
              <w:t>7000m</w:t>
            </w:r>
            <w:r>
              <w:rPr>
                <w:rFonts w:hint="eastAsia"/>
                <w:color w:val="auto"/>
                <w:sz w:val="24"/>
                <w:szCs w:val="24"/>
                <w:vertAlign w:val="superscript"/>
                <w:lang w:val="en-US" w:eastAsia="zh-CN"/>
              </w:rPr>
              <w:t>2</w:t>
            </w:r>
            <w:r>
              <w:rPr>
                <w:color w:val="auto"/>
                <w:sz w:val="24"/>
                <w:szCs w:val="24"/>
              </w:rPr>
              <w:t>，远小于2km</w:t>
            </w:r>
            <w:r>
              <w:rPr>
                <w:color w:val="auto"/>
                <w:sz w:val="24"/>
                <w:szCs w:val="24"/>
                <w:vertAlign w:val="superscript"/>
              </w:rPr>
              <w:t>2</w:t>
            </w:r>
            <w:r>
              <w:rPr>
                <w:color w:val="auto"/>
                <w:sz w:val="24"/>
                <w:szCs w:val="24"/>
              </w:rPr>
              <w:t>，建设</w:t>
            </w:r>
            <w:r>
              <w:rPr>
                <w:rFonts w:hint="eastAsia"/>
                <w:color w:val="auto"/>
                <w:sz w:val="24"/>
                <w:szCs w:val="24"/>
                <w:lang w:eastAsia="zh-CN"/>
              </w:rPr>
              <w:t>占地范围</w:t>
            </w:r>
            <w:r>
              <w:rPr>
                <w:color w:val="auto"/>
                <w:sz w:val="24"/>
                <w:szCs w:val="24"/>
              </w:rPr>
              <w:t>无天然林地和珍稀类、濒危动植物，不属于生态环境敏感区，项目建成后以人工绿化方式恢复植被。依据《环境影响评价技术导则——生态影响》（HJ19-2011），确定本项目评级等级为三级，重点对生态环境影响进行分析。</w:t>
            </w:r>
          </w:p>
          <w:p>
            <w:pPr>
              <w:spacing w:line="360" w:lineRule="auto"/>
              <w:ind w:firstLine="601"/>
              <w:jc w:val="left"/>
              <w:rPr>
                <w:color w:val="auto"/>
                <w:sz w:val="24"/>
                <w:szCs w:val="24"/>
              </w:rPr>
            </w:pPr>
            <w:r>
              <w:rPr>
                <w:rFonts w:hint="eastAsia"/>
                <w:color w:val="auto"/>
                <w:sz w:val="24"/>
                <w:szCs w:val="24"/>
              </w:rPr>
              <w:t>本项目</w:t>
            </w:r>
            <w:r>
              <w:rPr>
                <w:rFonts w:hint="eastAsia"/>
                <w:color w:val="auto"/>
                <w:sz w:val="24"/>
                <w:szCs w:val="24"/>
                <w:lang w:eastAsia="zh-CN"/>
              </w:rPr>
              <w:t>用地性质为建设用地</w:t>
            </w:r>
            <w:r>
              <w:rPr>
                <w:rFonts w:hint="eastAsia"/>
                <w:color w:val="auto"/>
                <w:sz w:val="24"/>
                <w:szCs w:val="24"/>
              </w:rPr>
              <w:t>，建设单位在最大限度减少人为活动对自然环境的影响，减少项目的建设对环境的破坏。在本项目建设过程中和建成后应对所产生的污染物有相应的防治措施，使各项污染物的排放都达到国家相应的排放标准。</w:t>
            </w:r>
          </w:p>
          <w:p>
            <w:pPr>
              <w:spacing w:line="360" w:lineRule="auto"/>
              <w:ind w:firstLine="480" w:firstLineChars="200"/>
              <w:jc w:val="left"/>
              <w:rPr>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减少污染物的排放量：本项目采取行之有效的废气、废水和噪声治理措施，减少污染物的排放浓度和排放量，有效地保护了当地环境质量。</w:t>
            </w:r>
          </w:p>
          <w:p>
            <w:pPr>
              <w:spacing w:line="360" w:lineRule="auto"/>
              <w:ind w:firstLine="480" w:firstLineChars="200"/>
              <w:jc w:val="left"/>
              <w:rPr>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该项目建成后，对除建筑物和行车道路以外的空地进行植树、种花草，加大绿化面积，提高绿化率。</w:t>
            </w:r>
          </w:p>
          <w:p>
            <w:pPr>
              <w:spacing w:line="360" w:lineRule="auto"/>
              <w:ind w:firstLine="480" w:firstLineChars="200"/>
              <w:jc w:val="left"/>
              <w:rPr>
                <w:rFonts w:hint="eastAsia"/>
                <w:color w:val="auto"/>
                <w:sz w:val="24"/>
                <w:szCs w:val="24"/>
              </w:rPr>
            </w:pPr>
            <w:r>
              <w:rPr>
                <w:rFonts w:hint="eastAsia"/>
                <w:color w:val="auto"/>
                <w:sz w:val="24"/>
                <w:szCs w:val="24"/>
              </w:rPr>
              <w:t>综上，本项目对所在地生态环境影响不大。</w:t>
            </w:r>
          </w:p>
          <w:p>
            <w:pPr>
              <w:tabs>
                <w:tab w:val="left" w:pos="705"/>
              </w:tabs>
              <w:bidi w:val="0"/>
              <w:jc w:val="left"/>
              <w:rPr>
                <w:rFonts w:hint="eastAsia"/>
                <w:color w:val="auto"/>
                <w:lang w:val="en-US" w:eastAsia="zh-CN"/>
              </w:rPr>
            </w:pPr>
          </w:p>
        </w:tc>
      </w:tr>
    </w:tbl>
    <w:p>
      <w:pPr>
        <w:adjustRightInd w:val="0"/>
        <w:snapToGrid w:val="0"/>
        <w:spacing w:line="360" w:lineRule="auto"/>
        <w:rPr>
          <w:rFonts w:hint="default" w:ascii="Times New Roman" w:hAnsi="Times New Roman" w:cs="Times New Roman"/>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3"/>
        <w:shd w:val="clear" w:color="auto" w:fill="auto"/>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五、</w:t>
      </w:r>
      <w:bookmarkStart w:id="10" w:name="_Hlk54167917"/>
      <w:r>
        <w:rPr>
          <w:rFonts w:hint="default" w:ascii="Times New Roman" w:hAnsi="Times New Roman" w:eastAsia="黑体" w:cs="Times New Roman"/>
          <w:snapToGrid w:val="0"/>
          <w:color w:val="auto"/>
          <w:sz w:val="30"/>
          <w:szCs w:val="30"/>
          <w:highlight w:val="none"/>
        </w:rPr>
        <w:t>环境保护措施监督检查清单</w:t>
      </w:r>
      <w:bookmarkEnd w:id="10"/>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627"/>
        <w:gridCol w:w="1500"/>
        <w:gridCol w:w="2264"/>
        <w:gridCol w:w="17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34" w:type="dxa"/>
            <w:tcBorders>
              <w:tl2br w:val="single" w:color="auto" w:sz="4" w:space="0"/>
            </w:tcBorders>
            <w:noWrap w:val="0"/>
            <w:vAlign w:val="top"/>
          </w:tcPr>
          <w:p>
            <w:pPr>
              <w:adjustRightInd w:val="0"/>
              <w:snapToGrid w:val="0"/>
              <w:ind w:firstLine="840"/>
              <w:rPr>
                <w:rFonts w:hint="default" w:ascii="Times New Roman" w:hAnsi="Times New Roman" w:cs="Times New Roman"/>
                <w:color w:val="auto"/>
                <w:szCs w:val="21"/>
              </w:rPr>
            </w:pPr>
            <w:r>
              <w:rPr>
                <w:rFonts w:hint="default" w:ascii="Times New Roman" w:hAnsi="Times New Roman" w:cs="Times New Roman"/>
                <w:color w:val="auto"/>
                <w:szCs w:val="21"/>
              </w:rPr>
              <w:t>内容</w:t>
            </w:r>
          </w:p>
          <w:p>
            <w:pPr>
              <w:adjustRightInd w:val="0"/>
              <w:snapToGrid w:val="0"/>
              <w:rPr>
                <w:rFonts w:hint="default" w:ascii="Times New Roman" w:hAnsi="Times New Roman" w:cs="Times New Roman"/>
                <w:color w:val="auto"/>
                <w:szCs w:val="21"/>
              </w:rPr>
            </w:pPr>
            <w:r>
              <w:rPr>
                <w:rFonts w:hint="default" w:ascii="Times New Roman" w:hAnsi="Times New Roman" w:cs="Times New Roman"/>
                <w:color w:val="auto"/>
                <w:szCs w:val="21"/>
              </w:rPr>
              <w:t>要素</w:t>
            </w:r>
          </w:p>
        </w:tc>
        <w:tc>
          <w:tcPr>
            <w:tcW w:w="1627"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排放口(编号、</w:t>
            </w:r>
          </w:p>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名称)/污染源</w:t>
            </w:r>
          </w:p>
        </w:tc>
        <w:tc>
          <w:tcPr>
            <w:tcW w:w="1500"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污染物项目</w:t>
            </w:r>
          </w:p>
        </w:tc>
        <w:tc>
          <w:tcPr>
            <w:tcW w:w="2264"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环境保护措施</w:t>
            </w:r>
          </w:p>
        </w:tc>
        <w:tc>
          <w:tcPr>
            <w:tcW w:w="1775"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1634" w:type="dxa"/>
            <w:vMerge w:val="restart"/>
            <w:noWrap w:val="0"/>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大气环境</w:t>
            </w:r>
          </w:p>
        </w:tc>
        <w:tc>
          <w:tcPr>
            <w:tcW w:w="1627" w:type="dxa"/>
            <w:vMerge w:val="restart"/>
            <w:noWrap w:val="0"/>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无组织（厂界）</w:t>
            </w:r>
          </w:p>
        </w:tc>
        <w:tc>
          <w:tcPr>
            <w:tcW w:w="1500" w:type="dxa"/>
            <w:vMerge w:val="restart"/>
            <w:noWrap w:val="0"/>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颗粒物</w:t>
            </w:r>
          </w:p>
        </w:tc>
        <w:tc>
          <w:tcPr>
            <w:tcW w:w="2264" w:type="dxa"/>
            <w:noWrap w:val="0"/>
            <w:vAlign w:val="center"/>
          </w:tcPr>
          <w:p>
            <w:pPr>
              <w:pStyle w:val="6"/>
              <w:rPr>
                <w:rFonts w:hint="default" w:ascii="Times New Roman" w:hAnsi="Times New Roman" w:eastAsia="宋体" w:cs="Times New Roman"/>
                <w:color w:val="auto"/>
                <w:szCs w:val="21"/>
                <w:lang w:val="en-US" w:eastAsia="zh-CN"/>
              </w:rPr>
            </w:pPr>
            <w:r>
              <w:rPr>
                <w:rFonts w:hint="eastAsia" w:ascii="新宋体" w:hAnsi="新宋体" w:eastAsia="新宋体" w:cs="新宋体"/>
                <w:b w:val="0"/>
                <w:bCs w:val="0"/>
                <w:i w:val="0"/>
                <w:iCs w:val="0"/>
                <w:caps w:val="0"/>
                <w:color w:val="auto"/>
                <w:spacing w:val="0"/>
                <w:sz w:val="21"/>
                <w:szCs w:val="21"/>
                <w:shd w:val="clear" w:color="auto" w:fill="FFFFFF"/>
                <w:lang w:eastAsia="zh-CN"/>
              </w:rPr>
              <w:t>机制砂生产线</w:t>
            </w:r>
            <w:r>
              <w:rPr>
                <w:rFonts w:ascii="新宋体" w:hAnsi="新宋体" w:eastAsia="新宋体" w:cs="新宋体"/>
                <w:b w:val="0"/>
                <w:bCs w:val="0"/>
                <w:i w:val="0"/>
                <w:iCs w:val="0"/>
                <w:caps w:val="0"/>
                <w:color w:val="auto"/>
                <w:spacing w:val="0"/>
                <w:sz w:val="21"/>
                <w:szCs w:val="21"/>
                <w:shd w:val="clear" w:color="auto" w:fill="FFFFFF"/>
              </w:rPr>
              <w:t>破碎加工区、</w:t>
            </w:r>
            <w:r>
              <w:rPr>
                <w:rFonts w:hint="eastAsia" w:ascii="新宋体" w:hAnsi="新宋体" w:eastAsia="新宋体" w:cs="新宋体"/>
                <w:b w:val="0"/>
                <w:bCs w:val="0"/>
                <w:i w:val="0"/>
                <w:iCs w:val="0"/>
                <w:caps w:val="0"/>
                <w:color w:val="auto"/>
                <w:spacing w:val="0"/>
                <w:sz w:val="21"/>
                <w:szCs w:val="21"/>
                <w:shd w:val="clear" w:color="auto" w:fill="FFFFFF"/>
                <w:lang w:eastAsia="zh-CN"/>
              </w:rPr>
              <w:t>原料区</w:t>
            </w:r>
            <w:r>
              <w:rPr>
                <w:rFonts w:ascii="新宋体" w:hAnsi="新宋体" w:eastAsia="新宋体" w:cs="新宋体"/>
                <w:b w:val="0"/>
                <w:bCs w:val="0"/>
                <w:i w:val="0"/>
                <w:iCs w:val="0"/>
                <w:caps w:val="0"/>
                <w:color w:val="auto"/>
                <w:spacing w:val="0"/>
                <w:sz w:val="21"/>
                <w:szCs w:val="21"/>
                <w:shd w:val="clear" w:color="auto" w:fill="FFFFFF"/>
              </w:rPr>
              <w:t>、成品库等区域实现厂房全封闭，</w:t>
            </w:r>
            <w:r>
              <w:rPr>
                <w:rFonts w:hint="eastAsia" w:ascii="新宋体" w:hAnsi="新宋体" w:eastAsia="新宋体" w:cs="新宋体"/>
                <w:b w:val="0"/>
                <w:bCs w:val="0"/>
                <w:i w:val="0"/>
                <w:iCs w:val="0"/>
                <w:caps w:val="0"/>
                <w:color w:val="auto"/>
                <w:spacing w:val="0"/>
                <w:sz w:val="21"/>
                <w:szCs w:val="21"/>
                <w:shd w:val="clear" w:color="auto" w:fill="FFFFFF"/>
                <w:lang w:eastAsia="zh-CN"/>
              </w:rPr>
              <w:t>破碎筛分设置单位的封闭式车间，地面进行硬化，</w:t>
            </w:r>
            <w:r>
              <w:rPr>
                <w:rFonts w:ascii="新宋体" w:hAnsi="新宋体" w:eastAsia="新宋体" w:cs="新宋体"/>
                <w:b w:val="0"/>
                <w:bCs w:val="0"/>
                <w:i w:val="0"/>
                <w:iCs w:val="0"/>
                <w:caps w:val="0"/>
                <w:color w:val="auto"/>
                <w:spacing w:val="0"/>
                <w:sz w:val="21"/>
                <w:szCs w:val="21"/>
                <w:shd w:val="clear" w:color="auto" w:fill="FFFFFF"/>
              </w:rPr>
              <w:t>采用喷雾</w:t>
            </w:r>
            <w:r>
              <w:rPr>
                <w:rFonts w:hint="eastAsia" w:ascii="新宋体" w:hAnsi="新宋体" w:eastAsia="新宋体" w:cs="新宋体"/>
                <w:b w:val="0"/>
                <w:bCs w:val="0"/>
                <w:i w:val="0"/>
                <w:iCs w:val="0"/>
                <w:caps w:val="0"/>
                <w:color w:val="auto"/>
                <w:spacing w:val="0"/>
                <w:sz w:val="21"/>
                <w:szCs w:val="21"/>
                <w:shd w:val="clear" w:color="auto" w:fill="FFFFFF"/>
                <w:lang w:eastAsia="zh-CN"/>
              </w:rPr>
              <w:t>抑尘、输送廊道进行密闭，堆场设置雾化喷头</w:t>
            </w:r>
          </w:p>
        </w:tc>
        <w:tc>
          <w:tcPr>
            <w:tcW w:w="17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vertAlign w:val="baseline"/>
                <w:lang w:eastAsia="zh-CN"/>
              </w:rPr>
            </w:pPr>
            <w:r>
              <w:rPr>
                <w:rFonts w:hint="eastAsia" w:ascii="Times New Roman" w:hAnsi="Times New Roman" w:eastAsia="宋体" w:cs="Times New Roman"/>
                <w:color w:val="auto"/>
                <w:sz w:val="21"/>
                <w:szCs w:val="21"/>
                <w:highlight w:val="none"/>
                <w:vertAlign w:val="baseline"/>
                <w:lang w:eastAsia="zh-CN"/>
              </w:rPr>
              <w:t>《水泥工业大气污染排放标准》（GB4915-2013）表</w:t>
            </w:r>
            <w:r>
              <w:rPr>
                <w:rFonts w:hint="eastAsia" w:ascii="Times New Roman" w:hAnsi="Times New Roman" w:eastAsia="宋体" w:cs="Times New Roman"/>
                <w:color w:val="auto"/>
                <w:sz w:val="21"/>
                <w:szCs w:val="21"/>
                <w:highlight w:val="none"/>
                <w:vertAlign w:val="baseline"/>
                <w:lang w:val="en-US" w:eastAsia="zh-CN"/>
              </w:rPr>
              <w:t>3</w:t>
            </w:r>
            <w:r>
              <w:rPr>
                <w:rFonts w:hint="eastAsia" w:ascii="Times New Roman" w:hAnsi="Times New Roman" w:eastAsia="宋体" w:cs="Times New Roman"/>
                <w:color w:val="auto"/>
                <w:sz w:val="21"/>
                <w:szCs w:val="21"/>
                <w:highlight w:val="none"/>
                <w:vertAlign w:val="baseline"/>
                <w:lang w:eastAsia="zh-CN"/>
              </w:rPr>
              <w:t>中大气污染物无组织排放限值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34" w:type="dxa"/>
            <w:vMerge w:val="continue"/>
            <w:noWrap w:val="0"/>
            <w:vAlign w:val="center"/>
          </w:tcPr>
          <w:p>
            <w:pPr>
              <w:adjustRightInd w:val="0"/>
              <w:snapToGrid w:val="0"/>
              <w:jc w:val="center"/>
              <w:rPr>
                <w:rFonts w:hint="eastAsia" w:ascii="Times New Roman" w:hAnsi="Times New Roman" w:eastAsia="宋体" w:cs="Times New Roman"/>
                <w:color w:val="auto"/>
                <w:szCs w:val="21"/>
                <w:lang w:val="en-US" w:eastAsia="zh-CN"/>
              </w:rPr>
            </w:pPr>
          </w:p>
        </w:tc>
        <w:tc>
          <w:tcPr>
            <w:tcW w:w="1627" w:type="dxa"/>
            <w:vMerge w:val="continue"/>
            <w:noWrap w:val="0"/>
            <w:vAlign w:val="center"/>
          </w:tcPr>
          <w:p>
            <w:pPr>
              <w:adjustRightInd w:val="0"/>
              <w:snapToGrid w:val="0"/>
              <w:jc w:val="center"/>
              <w:rPr>
                <w:rFonts w:hint="eastAsia" w:ascii="Times New Roman" w:hAnsi="Times New Roman" w:eastAsia="宋体" w:cs="Times New Roman"/>
                <w:color w:val="auto"/>
                <w:szCs w:val="21"/>
                <w:lang w:val="en-US" w:eastAsia="zh-CN"/>
              </w:rPr>
            </w:pPr>
          </w:p>
        </w:tc>
        <w:tc>
          <w:tcPr>
            <w:tcW w:w="1500" w:type="dxa"/>
            <w:vMerge w:val="continue"/>
            <w:noWrap w:val="0"/>
            <w:vAlign w:val="center"/>
          </w:tcPr>
          <w:p>
            <w:pPr>
              <w:adjustRightInd w:val="0"/>
              <w:snapToGrid w:val="0"/>
              <w:jc w:val="center"/>
              <w:rPr>
                <w:rFonts w:hint="eastAsia" w:ascii="Times New Roman" w:hAnsi="Times New Roman" w:eastAsia="宋体" w:cs="Times New Roman"/>
                <w:color w:val="auto"/>
                <w:szCs w:val="21"/>
                <w:lang w:val="en-US" w:eastAsia="zh-CN"/>
              </w:rPr>
            </w:pPr>
          </w:p>
        </w:tc>
        <w:tc>
          <w:tcPr>
            <w:tcW w:w="2264" w:type="dxa"/>
            <w:noWrap w:val="0"/>
            <w:vAlign w:val="center"/>
          </w:tcPr>
          <w:p>
            <w:pPr>
              <w:jc w:val="center"/>
              <w:rPr>
                <w:rFonts w:hint="eastAsia" w:ascii="Times New Roman" w:hAnsi="Times New Roman" w:eastAsia="宋体" w:cs="Times New Roman"/>
                <w:color w:val="auto"/>
                <w:szCs w:val="21"/>
                <w:lang w:val="en-US" w:eastAsia="zh-CN"/>
              </w:rPr>
            </w:pPr>
            <w:r>
              <w:rPr>
                <w:rFonts w:hint="default"/>
                <w:color w:val="000000"/>
                <w:sz w:val="21"/>
                <w:szCs w:val="21"/>
              </w:rPr>
              <w:t>运输动力起尘</w:t>
            </w:r>
            <w:r>
              <w:rPr>
                <w:rFonts w:hint="eastAsia"/>
                <w:sz w:val="21"/>
                <w:szCs w:val="21"/>
              </w:rPr>
              <w:t>采用</w:t>
            </w:r>
            <w:r>
              <w:rPr>
                <w:rFonts w:hint="eastAsia" w:eastAsia="宋体"/>
                <w:color w:val="000000"/>
                <w:kern w:val="0"/>
                <w:szCs w:val="21"/>
                <w:lang w:val="en-US" w:eastAsia="zh-CN" w:bidi="ar"/>
              </w:rPr>
              <w:t>加盖篷布、定期洒水、限制车速、设置洗车平台</w:t>
            </w:r>
          </w:p>
        </w:tc>
        <w:tc>
          <w:tcPr>
            <w:tcW w:w="1775" w:type="dxa"/>
            <w:vMerge w:val="continue"/>
            <w:noWrap w:val="0"/>
            <w:vAlign w:val="center"/>
          </w:tcPr>
          <w:p>
            <w:pPr>
              <w:adjustRightInd w:val="0"/>
              <w:snapToGrid w:val="0"/>
              <w:jc w:val="center"/>
              <w:rPr>
                <w:rFonts w:hint="eastAsia" w:ascii="Times New Roman" w:hAnsi="Times New Roman" w:eastAsia="宋体" w:cs="Times New Roman"/>
                <w:color w:val="auto"/>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34" w:type="dxa"/>
            <w:vMerge w:val="continue"/>
            <w:noWrap w:val="0"/>
            <w:vAlign w:val="center"/>
          </w:tcPr>
          <w:p>
            <w:pPr>
              <w:adjustRightInd w:val="0"/>
              <w:snapToGrid w:val="0"/>
              <w:jc w:val="center"/>
              <w:rPr>
                <w:rFonts w:hint="eastAsia" w:ascii="Times New Roman" w:hAnsi="Times New Roman" w:eastAsia="宋体" w:cs="Times New Roman"/>
                <w:color w:val="auto"/>
                <w:szCs w:val="21"/>
                <w:lang w:val="en-US" w:eastAsia="zh-CN"/>
              </w:rPr>
            </w:pPr>
          </w:p>
        </w:tc>
        <w:tc>
          <w:tcPr>
            <w:tcW w:w="1627" w:type="dxa"/>
            <w:vMerge w:val="continue"/>
            <w:noWrap w:val="0"/>
            <w:vAlign w:val="center"/>
          </w:tcPr>
          <w:p>
            <w:pPr>
              <w:adjustRightInd w:val="0"/>
              <w:snapToGrid w:val="0"/>
              <w:jc w:val="center"/>
              <w:rPr>
                <w:rFonts w:hint="eastAsia" w:ascii="Times New Roman" w:hAnsi="Times New Roman" w:eastAsia="宋体" w:cs="Times New Roman"/>
                <w:color w:val="auto"/>
                <w:szCs w:val="21"/>
                <w:lang w:val="en-US" w:eastAsia="zh-CN"/>
              </w:rPr>
            </w:pPr>
          </w:p>
        </w:tc>
        <w:tc>
          <w:tcPr>
            <w:tcW w:w="1500" w:type="dxa"/>
            <w:vMerge w:val="continue"/>
            <w:noWrap w:val="0"/>
            <w:vAlign w:val="center"/>
          </w:tcPr>
          <w:p>
            <w:pPr>
              <w:adjustRightInd w:val="0"/>
              <w:snapToGrid w:val="0"/>
              <w:jc w:val="center"/>
              <w:rPr>
                <w:rFonts w:hint="eastAsia" w:ascii="Times New Roman" w:hAnsi="Times New Roman" w:eastAsia="宋体" w:cs="Times New Roman"/>
                <w:color w:val="auto"/>
                <w:szCs w:val="21"/>
                <w:lang w:val="en-US" w:eastAsia="zh-CN"/>
              </w:rPr>
            </w:pPr>
          </w:p>
        </w:tc>
        <w:tc>
          <w:tcPr>
            <w:tcW w:w="2264" w:type="dxa"/>
            <w:noWrap w:val="0"/>
            <w:vAlign w:val="center"/>
          </w:tcPr>
          <w:p>
            <w:pPr>
              <w:jc w:val="center"/>
              <w:rPr>
                <w:rFonts w:hint="eastAsia" w:eastAsia="宋体"/>
                <w:color w:val="000000"/>
                <w:sz w:val="21"/>
                <w:szCs w:val="21"/>
                <w:lang w:eastAsia="zh-CN"/>
              </w:rPr>
            </w:pPr>
            <w:r>
              <w:rPr>
                <w:rFonts w:hint="eastAsia"/>
                <w:color w:val="000000" w:themeColor="text1"/>
                <w:sz w:val="21"/>
                <w:szCs w:val="21"/>
                <w:lang w:eastAsia="zh-CN"/>
                <w14:textFill>
                  <w14:solidFill>
                    <w14:schemeClr w14:val="tx1"/>
                  </w14:solidFill>
                </w14:textFill>
              </w:rPr>
              <w:t>混凝土生产车间建设全封闭式厂房，对混凝土生产区域进行全封闭，</w:t>
            </w:r>
            <w:r>
              <w:rPr>
                <w:rFonts w:hint="default"/>
                <w:color w:val="000000" w:themeColor="text1"/>
                <w:sz w:val="21"/>
                <w:szCs w:val="21"/>
                <w14:textFill>
                  <w14:solidFill>
                    <w14:schemeClr w14:val="tx1"/>
                  </w14:solidFill>
                </w14:textFill>
              </w:rPr>
              <w:t>筒库顶部自带收尘机除尘</w:t>
            </w:r>
            <w:r>
              <w:rPr>
                <w:rFonts w:hint="eastAsia"/>
                <w:color w:val="000000" w:themeColor="text1"/>
                <w:sz w:val="21"/>
                <w:szCs w:val="21"/>
                <w:lang w:eastAsia="zh-CN"/>
                <w14:textFill>
                  <w14:solidFill>
                    <w14:schemeClr w14:val="tx1"/>
                  </w14:solidFill>
                </w14:textFill>
              </w:rPr>
              <w:t>，</w:t>
            </w:r>
            <w:r>
              <w:rPr>
                <w:rFonts w:hint="default"/>
                <w:color w:val="000000" w:themeColor="text1"/>
                <w:sz w:val="21"/>
                <w:szCs w:val="21"/>
                <w14:textFill>
                  <w14:solidFill>
                    <w14:schemeClr w14:val="tx1"/>
                  </w14:solidFill>
                </w14:textFill>
              </w:rPr>
              <w:t>搅拌主机、配料机等设施设在封闭式车间内，并配备有高效布袋除尘器</w:t>
            </w:r>
          </w:p>
        </w:tc>
        <w:tc>
          <w:tcPr>
            <w:tcW w:w="1775" w:type="dxa"/>
            <w:vMerge w:val="continue"/>
            <w:noWrap w:val="0"/>
            <w:vAlign w:val="center"/>
          </w:tcPr>
          <w:p>
            <w:pPr>
              <w:adjustRightInd w:val="0"/>
              <w:snapToGrid w:val="0"/>
              <w:jc w:val="center"/>
              <w:rPr>
                <w:rFonts w:hint="eastAsia" w:ascii="Times New Roman" w:hAnsi="Times New Roman" w:eastAsia="宋体" w:cs="Times New Roman"/>
                <w:color w:val="auto"/>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634" w:type="dxa"/>
            <w:vMerge w:val="restar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地表水环境</w:t>
            </w:r>
          </w:p>
        </w:tc>
        <w:tc>
          <w:tcPr>
            <w:tcW w:w="1627"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生活污水</w:t>
            </w:r>
          </w:p>
        </w:tc>
        <w:tc>
          <w:tcPr>
            <w:tcW w:w="1500" w:type="dxa"/>
            <w:noWrap w:val="0"/>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CODcr、BOD</w:t>
            </w:r>
            <w:r>
              <w:rPr>
                <w:rFonts w:hint="eastAsia" w:ascii="Times New Roman" w:hAnsi="Times New Roman" w:eastAsia="宋体" w:cs="Times New Roman"/>
                <w:color w:val="auto"/>
                <w:szCs w:val="21"/>
                <w:vertAlign w:val="subscript"/>
                <w:lang w:val="en-US" w:eastAsia="zh-CN"/>
              </w:rPr>
              <w:t>5</w:t>
            </w:r>
            <w:r>
              <w:rPr>
                <w:rFonts w:hint="eastAsia" w:ascii="Times New Roman" w:hAnsi="Times New Roman" w:eastAsia="宋体" w:cs="Times New Roman"/>
                <w:color w:val="auto"/>
                <w:szCs w:val="21"/>
                <w:lang w:val="en-US" w:eastAsia="zh-CN"/>
              </w:rPr>
              <w:t>、NH</w:t>
            </w:r>
            <w:r>
              <w:rPr>
                <w:rFonts w:hint="eastAsia" w:ascii="Times New Roman" w:hAnsi="Times New Roman" w:eastAsia="宋体" w:cs="Times New Roman"/>
                <w:color w:val="auto"/>
                <w:szCs w:val="21"/>
                <w:vertAlign w:val="subscript"/>
                <w:lang w:val="en-US" w:eastAsia="zh-CN"/>
              </w:rPr>
              <w:t>3</w:t>
            </w:r>
            <w:r>
              <w:rPr>
                <w:rFonts w:hint="eastAsia" w:ascii="Times New Roman" w:hAnsi="Times New Roman" w:eastAsia="宋体" w:cs="Times New Roman"/>
                <w:color w:val="auto"/>
                <w:szCs w:val="21"/>
                <w:lang w:val="en-US" w:eastAsia="zh-CN"/>
              </w:rPr>
              <w:t>-N、SS</w:t>
            </w:r>
          </w:p>
        </w:tc>
        <w:tc>
          <w:tcPr>
            <w:tcW w:w="2264" w:type="dxa"/>
            <w:noWrap w:val="0"/>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化粪池处理后回用于</w:t>
            </w:r>
            <w:r>
              <w:rPr>
                <w:rFonts w:hint="eastAsia" w:cs="Times New Roman"/>
                <w:color w:val="auto"/>
                <w:szCs w:val="21"/>
                <w:lang w:eastAsia="zh-CN"/>
              </w:rPr>
              <w:t>农肥</w:t>
            </w:r>
            <w:r>
              <w:rPr>
                <w:rFonts w:hint="eastAsia" w:ascii="Times New Roman" w:hAnsi="Times New Roman" w:cs="Times New Roman"/>
                <w:color w:val="auto"/>
                <w:szCs w:val="21"/>
                <w:lang w:eastAsia="zh-CN"/>
              </w:rPr>
              <w:t>，不外排</w:t>
            </w:r>
          </w:p>
        </w:tc>
        <w:tc>
          <w:tcPr>
            <w:tcW w:w="1775" w:type="dxa"/>
            <w:noWrap w:val="0"/>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634"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627" w:type="dxa"/>
            <w:noWrap w:val="0"/>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洗砂废水</w:t>
            </w:r>
          </w:p>
        </w:tc>
        <w:tc>
          <w:tcPr>
            <w:tcW w:w="1500" w:type="dxa"/>
            <w:noWrap w:val="0"/>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SS</w:t>
            </w:r>
          </w:p>
        </w:tc>
        <w:tc>
          <w:tcPr>
            <w:tcW w:w="2264" w:type="dxa"/>
            <w:vMerge w:val="restart"/>
            <w:noWrap w:val="0"/>
            <w:vAlign w:val="center"/>
          </w:tcPr>
          <w:p>
            <w:pPr>
              <w:adjustRightInd w:val="0"/>
              <w:snapToGrid w:val="0"/>
              <w:jc w:val="center"/>
              <w:rPr>
                <w:rFonts w:hint="eastAsia" w:ascii="Times New Roman" w:hAnsi="Times New Roman" w:cs="Times New Roman"/>
                <w:color w:val="auto"/>
                <w:kern w:val="2"/>
                <w:sz w:val="21"/>
                <w:szCs w:val="21"/>
                <w:lang w:val="en-US" w:eastAsia="zh-CN" w:bidi="ar-SA"/>
              </w:rPr>
            </w:pPr>
            <w:r>
              <w:rPr>
                <w:rFonts w:hint="eastAsia" w:cs="Times New Roman"/>
                <w:color w:val="auto"/>
                <w:sz w:val="21"/>
                <w:szCs w:val="21"/>
                <w:highlight w:val="none"/>
                <w:lang w:val="en-US" w:eastAsia="zh-CN"/>
              </w:rPr>
              <w:t>建设导流沟，在厂区出入口设置一处洗车平台和一个沉淀池，洗车废水收集后再通过导流沟与生产区域废水混合进入一级沉淀池（500m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），再用泵送入沉淀罐，絮凝沉淀处理后用泵抽入二级沉淀池沉淀（500m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）沉淀池沉淀处理后的水再进入清水池（容积为1000m</w:t>
            </w:r>
            <w:r>
              <w:rPr>
                <w:rFonts w:hint="eastAsia" w:cs="Times New Roman"/>
                <w:color w:val="auto"/>
                <w:sz w:val="21"/>
                <w:szCs w:val="21"/>
                <w:highlight w:val="none"/>
                <w:vertAlign w:val="superscript"/>
                <w:lang w:val="en-US" w:eastAsia="zh-CN"/>
              </w:rPr>
              <w:t>3</w:t>
            </w:r>
            <w:r>
              <w:rPr>
                <w:rFonts w:hint="eastAsia" w:cs="Times New Roman"/>
                <w:color w:val="auto"/>
                <w:sz w:val="21"/>
                <w:szCs w:val="21"/>
                <w:highlight w:val="none"/>
                <w:lang w:val="en-US" w:eastAsia="zh-CN"/>
              </w:rPr>
              <w:t>）贮存</w:t>
            </w:r>
          </w:p>
        </w:tc>
        <w:tc>
          <w:tcPr>
            <w:tcW w:w="1775" w:type="dxa"/>
            <w:vMerge w:val="restart"/>
            <w:noWrap w:val="0"/>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不外排</w:t>
            </w:r>
          </w:p>
          <w:p>
            <w:pPr>
              <w:adjustRightInd w:val="0"/>
              <w:snapToGrid w:val="0"/>
              <w:jc w:val="center"/>
              <w:rPr>
                <w:rFonts w:hint="eastAsia" w:ascii="Times New Roman" w:hAnsi="Times New Roman" w:eastAsia="宋体" w:cs="Times New Roman"/>
                <w:color w:val="auto"/>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34"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627" w:type="dxa"/>
            <w:noWrap w:val="0"/>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eastAsia="宋体" w:cs="Times New Roman"/>
                <w:color w:val="auto"/>
                <w:szCs w:val="21"/>
                <w:lang w:val="en-US" w:eastAsia="zh-CN"/>
              </w:rPr>
              <w:t>运输车辆清洗水</w:t>
            </w:r>
          </w:p>
        </w:tc>
        <w:tc>
          <w:tcPr>
            <w:tcW w:w="1500" w:type="dxa"/>
            <w:noWrap w:val="0"/>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SS</w:t>
            </w:r>
          </w:p>
        </w:tc>
        <w:tc>
          <w:tcPr>
            <w:tcW w:w="2264" w:type="dxa"/>
            <w:vMerge w:val="continue"/>
            <w:noWrap w:val="0"/>
            <w:vAlign w:val="center"/>
          </w:tcPr>
          <w:p>
            <w:pPr>
              <w:adjustRightInd w:val="0"/>
              <w:snapToGrid w:val="0"/>
              <w:jc w:val="center"/>
              <w:rPr>
                <w:rFonts w:hint="eastAsia" w:ascii="Times New Roman" w:hAnsi="Times New Roman" w:cs="Times New Roman"/>
                <w:color w:val="auto"/>
                <w:kern w:val="2"/>
                <w:sz w:val="21"/>
                <w:szCs w:val="21"/>
                <w:lang w:val="en-US" w:eastAsia="zh-CN" w:bidi="ar-SA"/>
              </w:rPr>
            </w:pPr>
          </w:p>
        </w:tc>
        <w:tc>
          <w:tcPr>
            <w:tcW w:w="1775" w:type="dxa"/>
            <w:vMerge w:val="continue"/>
            <w:noWrap w:val="0"/>
            <w:vAlign w:val="center"/>
          </w:tcPr>
          <w:p>
            <w:pPr>
              <w:adjustRightInd w:val="0"/>
              <w:snapToGrid w:val="0"/>
              <w:jc w:val="center"/>
              <w:rPr>
                <w:rFonts w:hint="eastAsia" w:ascii="Times New Roman" w:hAnsi="Times New Roman" w:eastAsia="宋体" w:cs="Times New Roman"/>
                <w:color w:val="auto"/>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634"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627" w:type="dxa"/>
            <w:noWrap w:val="0"/>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eastAsia="宋体" w:cs="Times New Roman"/>
                <w:color w:val="auto"/>
                <w:szCs w:val="21"/>
                <w:lang w:val="en-US" w:eastAsia="zh-CN"/>
              </w:rPr>
              <w:t>地面冲洗水</w:t>
            </w:r>
          </w:p>
        </w:tc>
        <w:tc>
          <w:tcPr>
            <w:tcW w:w="1500" w:type="dxa"/>
            <w:noWrap w:val="0"/>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SS</w:t>
            </w:r>
          </w:p>
        </w:tc>
        <w:tc>
          <w:tcPr>
            <w:tcW w:w="2264" w:type="dxa"/>
            <w:vMerge w:val="continue"/>
            <w:noWrap w:val="0"/>
            <w:vAlign w:val="center"/>
          </w:tcPr>
          <w:p>
            <w:pPr>
              <w:adjustRightInd w:val="0"/>
              <w:snapToGrid w:val="0"/>
              <w:jc w:val="center"/>
              <w:rPr>
                <w:rFonts w:hint="eastAsia" w:ascii="Times New Roman" w:hAnsi="Times New Roman" w:cs="Times New Roman"/>
                <w:color w:val="auto"/>
                <w:kern w:val="2"/>
                <w:sz w:val="21"/>
                <w:szCs w:val="21"/>
                <w:lang w:val="en-US" w:eastAsia="zh-CN" w:bidi="ar-SA"/>
              </w:rPr>
            </w:pPr>
          </w:p>
        </w:tc>
        <w:tc>
          <w:tcPr>
            <w:tcW w:w="1775" w:type="dxa"/>
            <w:vMerge w:val="continue"/>
            <w:noWrap w:val="0"/>
            <w:vAlign w:val="center"/>
          </w:tcPr>
          <w:p>
            <w:pPr>
              <w:adjustRightInd w:val="0"/>
              <w:snapToGrid w:val="0"/>
              <w:jc w:val="center"/>
              <w:rPr>
                <w:rFonts w:hint="eastAsia" w:ascii="Times New Roman" w:hAnsi="Times New Roman" w:eastAsia="宋体" w:cs="Times New Roman"/>
                <w:color w:val="auto"/>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34"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627" w:type="dxa"/>
            <w:noWrap w:val="0"/>
            <w:vAlign w:val="center"/>
          </w:tcPr>
          <w:p>
            <w:pPr>
              <w:adjustRightInd w:val="0"/>
              <w:snapToGrid w:val="0"/>
              <w:jc w:val="center"/>
              <w:rPr>
                <w:rFonts w:hint="eastAsia" w:eastAsia="宋体" w:cs="Times New Roman"/>
                <w:color w:val="auto"/>
                <w:szCs w:val="21"/>
                <w:lang w:val="en-US" w:eastAsia="zh-CN"/>
              </w:rPr>
            </w:pPr>
            <w:r>
              <w:rPr>
                <w:rFonts w:hint="eastAsia" w:eastAsia="宋体" w:cs="Times New Roman"/>
                <w:color w:val="auto"/>
                <w:szCs w:val="21"/>
                <w:lang w:val="en-US" w:eastAsia="zh-CN"/>
              </w:rPr>
              <w:t>搅拌设备清洗水</w:t>
            </w:r>
          </w:p>
        </w:tc>
        <w:tc>
          <w:tcPr>
            <w:tcW w:w="1500" w:type="dxa"/>
            <w:noWrap w:val="0"/>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SS</w:t>
            </w:r>
          </w:p>
        </w:tc>
        <w:tc>
          <w:tcPr>
            <w:tcW w:w="2264" w:type="dxa"/>
            <w:vMerge w:val="restart"/>
            <w:noWrap w:val="0"/>
            <w:vAlign w:val="center"/>
          </w:tcPr>
          <w:p>
            <w:pPr>
              <w:adjustRightInd w:val="0"/>
              <w:snapToGrid w:val="0"/>
              <w:jc w:val="center"/>
              <w:rPr>
                <w:rFonts w:hint="eastAsia"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经过砂石分离机处理后再三级沉淀处理回用</w:t>
            </w:r>
          </w:p>
        </w:tc>
        <w:tc>
          <w:tcPr>
            <w:tcW w:w="1775" w:type="dxa"/>
            <w:vMerge w:val="continue"/>
            <w:noWrap w:val="0"/>
            <w:vAlign w:val="center"/>
          </w:tcPr>
          <w:p>
            <w:pPr>
              <w:adjustRightInd w:val="0"/>
              <w:snapToGrid w:val="0"/>
              <w:jc w:val="center"/>
              <w:rPr>
                <w:rFonts w:hint="eastAsia" w:ascii="Times New Roman" w:hAnsi="Times New Roman" w:eastAsia="宋体" w:cs="Times New Roman"/>
                <w:color w:val="auto"/>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34"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627" w:type="dxa"/>
            <w:noWrap w:val="0"/>
            <w:vAlign w:val="center"/>
          </w:tcPr>
          <w:p>
            <w:pPr>
              <w:adjustRightInd w:val="0"/>
              <w:snapToGrid w:val="0"/>
              <w:jc w:val="center"/>
              <w:rPr>
                <w:rFonts w:hint="eastAsia" w:eastAsia="宋体" w:cs="Times New Roman"/>
                <w:color w:val="auto"/>
                <w:szCs w:val="21"/>
                <w:lang w:val="en-US" w:eastAsia="zh-CN"/>
              </w:rPr>
            </w:pPr>
            <w:r>
              <w:rPr>
                <w:rFonts w:hint="eastAsia" w:eastAsia="宋体" w:cs="Times New Roman"/>
                <w:color w:val="auto"/>
                <w:szCs w:val="21"/>
                <w:lang w:val="en-US" w:eastAsia="zh-CN"/>
              </w:rPr>
              <w:t>清洗罐车</w:t>
            </w:r>
            <w:r>
              <w:rPr>
                <w:rFonts w:hint="eastAsia" w:ascii="Times New Roman" w:hAnsi="Times New Roman" w:eastAsia="宋体" w:cs="Times New Roman"/>
                <w:color w:val="auto"/>
                <w:szCs w:val="21"/>
                <w:lang w:val="en-US" w:eastAsia="zh-CN"/>
              </w:rPr>
              <w:t>废水</w:t>
            </w:r>
          </w:p>
        </w:tc>
        <w:tc>
          <w:tcPr>
            <w:tcW w:w="1500" w:type="dxa"/>
            <w:noWrap w:val="0"/>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SS</w:t>
            </w:r>
          </w:p>
        </w:tc>
        <w:tc>
          <w:tcPr>
            <w:tcW w:w="2264" w:type="dxa"/>
            <w:vMerge w:val="continue"/>
            <w:noWrap w:val="0"/>
            <w:vAlign w:val="center"/>
          </w:tcPr>
          <w:p>
            <w:pPr>
              <w:adjustRightInd w:val="0"/>
              <w:snapToGrid w:val="0"/>
              <w:jc w:val="center"/>
              <w:rPr>
                <w:rFonts w:hint="eastAsia" w:ascii="Times New Roman" w:hAnsi="Times New Roman" w:cs="Times New Roman"/>
                <w:color w:val="auto"/>
                <w:kern w:val="2"/>
                <w:sz w:val="21"/>
                <w:szCs w:val="21"/>
                <w:lang w:val="en-US" w:eastAsia="zh-CN" w:bidi="ar-SA"/>
              </w:rPr>
            </w:pPr>
          </w:p>
        </w:tc>
        <w:tc>
          <w:tcPr>
            <w:tcW w:w="1775" w:type="dxa"/>
            <w:vMerge w:val="continue"/>
            <w:noWrap w:val="0"/>
            <w:vAlign w:val="center"/>
          </w:tcPr>
          <w:p>
            <w:pPr>
              <w:adjustRightInd w:val="0"/>
              <w:snapToGrid w:val="0"/>
              <w:jc w:val="center"/>
              <w:rPr>
                <w:rFonts w:hint="eastAsia" w:ascii="Times New Roman" w:hAnsi="Times New Roman" w:eastAsia="宋体" w:cs="Times New Roman"/>
                <w:color w:val="auto"/>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634"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声环境</w:t>
            </w:r>
          </w:p>
        </w:tc>
        <w:tc>
          <w:tcPr>
            <w:tcW w:w="1627" w:type="dxa"/>
            <w:noWrap w:val="0"/>
            <w:vAlign w:val="center"/>
          </w:tcPr>
          <w:p>
            <w:pPr>
              <w:adjustRightInd w:val="0"/>
              <w:snapToGrid w:val="0"/>
              <w:jc w:val="center"/>
              <w:rPr>
                <w:rFonts w:hint="eastAsia" w:ascii="Times New Roman" w:hAnsi="Times New Roman" w:eastAsia="Arial" w:cs="Times New Roman"/>
                <w:color w:val="auto"/>
                <w:szCs w:val="21"/>
                <w:lang w:eastAsia="zh-CN"/>
              </w:rPr>
            </w:pPr>
            <w:r>
              <w:rPr>
                <w:rFonts w:hint="eastAsia" w:ascii="Times New Roman" w:hAnsi="Times New Roman" w:cs="Times New Roman"/>
                <w:color w:val="auto"/>
                <w:szCs w:val="21"/>
                <w:lang w:eastAsia="zh-CN"/>
              </w:rPr>
              <w:t>设备运行噪声及振动</w:t>
            </w:r>
          </w:p>
        </w:tc>
        <w:tc>
          <w:tcPr>
            <w:tcW w:w="1500" w:type="dxa"/>
            <w:noWrap w:val="0"/>
            <w:vAlign w:val="center"/>
          </w:tcPr>
          <w:p>
            <w:pPr>
              <w:adjustRightInd w:val="0"/>
              <w:snapToGrid w:val="0"/>
              <w:jc w:val="center"/>
              <w:rPr>
                <w:rFonts w:hint="default" w:ascii="Times New Roman" w:hAnsi="Times New Roman" w:cs="Times New Roman"/>
                <w:color w:val="auto"/>
                <w:szCs w:val="21"/>
              </w:rPr>
            </w:pPr>
            <w:r>
              <w:rPr>
                <w:rFonts w:ascii="Times New Roman" w:hAnsi="Times New Roman" w:cs="Times New Roman"/>
                <w:color w:val="auto"/>
                <w:sz w:val="21"/>
                <w:highlight w:val="none"/>
              </w:rPr>
              <w:t>等效连续A声级</w:t>
            </w:r>
          </w:p>
        </w:tc>
        <w:tc>
          <w:tcPr>
            <w:tcW w:w="2264"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合理布局，加强对设备的保养；空压机安装消声隔声设施</w:t>
            </w:r>
          </w:p>
        </w:tc>
        <w:tc>
          <w:tcPr>
            <w:tcW w:w="1775"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《工业企业厂界环境噪声排放标准》（GB12348-2008）</w:t>
            </w:r>
            <w:r>
              <w:rPr>
                <w:rFonts w:hint="eastAsia" w:ascii="Times New Roman" w:hAnsi="Times New Roman" w:cs="Times New Roman"/>
                <w:color w:val="auto"/>
                <w:szCs w:val="21"/>
                <w:lang w:val="en-US" w:eastAsia="zh-CN"/>
              </w:rPr>
              <w:t>2</w:t>
            </w:r>
            <w:r>
              <w:rPr>
                <w:rFonts w:hint="default" w:ascii="Times New Roman" w:hAnsi="Times New Roman" w:cs="Times New Roman"/>
                <w:color w:val="auto"/>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34" w:type="dxa"/>
            <w:vMerge w:val="restar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固体废物</w:t>
            </w:r>
          </w:p>
        </w:tc>
        <w:tc>
          <w:tcPr>
            <w:tcW w:w="1627" w:type="dxa"/>
            <w:noWrap w:val="0"/>
            <w:vAlign w:val="center"/>
          </w:tcPr>
          <w:p>
            <w:pPr>
              <w:pStyle w:val="20"/>
              <w:spacing w:before="68"/>
              <w:ind w:left="170" w:leftChars="0" w:right="163" w:rightChars="0"/>
              <w:jc w:val="center"/>
              <w:rPr>
                <w:rFonts w:hint="eastAsia" w:ascii="Times New Roman" w:hAnsi="Times New Roman" w:cs="Times New Roman"/>
                <w:color w:val="auto"/>
                <w:sz w:val="21"/>
                <w:szCs w:val="21"/>
                <w:lang w:eastAsia="zh-CN"/>
              </w:rPr>
            </w:pPr>
            <w:r>
              <w:rPr>
                <w:sz w:val="21"/>
              </w:rPr>
              <w:t>生活垃圾</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员工生活</w:t>
            </w:r>
          </w:p>
        </w:tc>
        <w:tc>
          <w:tcPr>
            <w:tcW w:w="2264" w:type="dxa"/>
            <w:noWrap w:val="0"/>
            <w:vAlign w:val="center"/>
          </w:tcPr>
          <w:p>
            <w:pPr>
              <w:pStyle w:val="20"/>
              <w:spacing w:before="68"/>
              <w:ind w:left="38" w:leftChars="0" w:right="31" w:rightChars="0"/>
              <w:jc w:val="center"/>
              <w:rPr>
                <w:rFonts w:hint="default" w:ascii="Times New Roman" w:hAnsi="Times New Roman" w:cs="Times New Roman"/>
                <w:color w:val="auto"/>
                <w:sz w:val="21"/>
                <w:szCs w:val="21"/>
                <w:lang w:eastAsia="zh-CN"/>
              </w:rPr>
            </w:pPr>
            <w:r>
              <w:rPr>
                <w:rFonts w:hint="eastAsia"/>
                <w:sz w:val="21"/>
                <w:lang w:eastAsia="zh-CN"/>
              </w:rPr>
              <w:t>建设单位收集</w:t>
            </w:r>
            <w:r>
              <w:rPr>
                <w:sz w:val="21"/>
              </w:rPr>
              <w:t>交环卫部门处理</w:t>
            </w:r>
          </w:p>
        </w:tc>
        <w:tc>
          <w:tcPr>
            <w:tcW w:w="1775" w:type="dxa"/>
            <w:noWrap w:val="0"/>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cs="Times New Roman"/>
                <w:color w:val="auto"/>
                <w:szCs w:val="21"/>
                <w:lang w:eastAsia="zh-CN"/>
              </w:rPr>
              <w:t>由环卫处置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34"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627" w:type="dxa"/>
            <w:vMerge w:val="restart"/>
            <w:noWrap w:val="0"/>
            <w:vAlign w:val="center"/>
          </w:tcPr>
          <w:p>
            <w:pPr>
              <w:pStyle w:val="20"/>
              <w:spacing w:before="72"/>
              <w:ind w:left="170" w:leftChars="0" w:right="163" w:right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一般固废</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sz w:val="21"/>
                <w:lang w:eastAsia="zh-CN"/>
              </w:rPr>
              <w:t>泥渣</w:t>
            </w:r>
          </w:p>
        </w:tc>
        <w:tc>
          <w:tcPr>
            <w:tcW w:w="2264" w:type="dxa"/>
            <w:noWrap w:val="0"/>
            <w:vAlign w:val="center"/>
          </w:tcPr>
          <w:p>
            <w:pPr>
              <w:pStyle w:val="20"/>
              <w:spacing w:before="72"/>
              <w:ind w:left="38" w:leftChars="0" w:right="31" w:rightChars="0"/>
              <w:jc w:val="center"/>
              <w:rPr>
                <w:rFonts w:hint="eastAsia" w:ascii="Times New Roman" w:hAnsi="Times New Roman" w:eastAsia="宋体" w:cs="Times New Roman"/>
                <w:color w:val="auto"/>
                <w:sz w:val="21"/>
                <w:szCs w:val="21"/>
                <w:lang w:eastAsia="zh-CN"/>
              </w:rPr>
            </w:pPr>
            <w:r>
              <w:rPr>
                <w:sz w:val="21"/>
              </w:rPr>
              <w:t>外运</w:t>
            </w:r>
            <w:r>
              <w:rPr>
                <w:rFonts w:hint="eastAsia"/>
                <w:sz w:val="21"/>
                <w:lang w:eastAsia="zh-CN"/>
              </w:rPr>
              <w:t>用作路基填料</w:t>
            </w:r>
          </w:p>
        </w:tc>
        <w:tc>
          <w:tcPr>
            <w:tcW w:w="1775"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 w:val="21"/>
                <w:szCs w:val="21"/>
              </w:rPr>
              <w:t>一般固体废物执行《</w:t>
            </w:r>
            <w:r>
              <w:rPr>
                <w:rFonts w:hint="eastAsia" w:ascii="Times New Roman" w:hAnsi="Times New Roman" w:eastAsia="宋体" w:cs="Times New Roman"/>
                <w:color w:val="auto"/>
                <w:sz w:val="21"/>
                <w:szCs w:val="21"/>
                <w:highlight w:val="none"/>
                <w:lang w:val="de-DE"/>
              </w:rPr>
              <w:t>一般工业固体废物贮存</w:t>
            </w:r>
            <w:r>
              <w:rPr>
                <w:rFonts w:hint="eastAsia" w:ascii="Times New Roman" w:hAnsi="Times New Roman" w:eastAsia="宋体" w:cs="Times New Roman"/>
                <w:color w:val="auto"/>
                <w:sz w:val="21"/>
                <w:szCs w:val="21"/>
                <w:highlight w:val="none"/>
                <w:lang w:val="de-DE" w:eastAsia="zh-CN"/>
              </w:rPr>
              <w:t>和填埋</w:t>
            </w:r>
            <w:r>
              <w:rPr>
                <w:rFonts w:hint="eastAsia" w:ascii="Times New Roman" w:hAnsi="Times New Roman" w:eastAsia="宋体" w:cs="Times New Roman"/>
                <w:color w:val="auto"/>
                <w:sz w:val="21"/>
                <w:szCs w:val="21"/>
                <w:highlight w:val="none"/>
                <w:lang w:val="de-DE"/>
              </w:rPr>
              <w:t>污染控制标准</w:t>
            </w:r>
            <w:r>
              <w:rPr>
                <w:rFonts w:hint="default" w:ascii="Times New Roman" w:hAnsi="Times New Roman" w:cs="Times New Roman"/>
                <w:color w:val="auto"/>
                <w:sz w:val="21"/>
                <w:szCs w:val="21"/>
              </w:rPr>
              <w:t>》</w:t>
            </w:r>
            <w:r>
              <w:rPr>
                <w:rFonts w:hint="default" w:ascii="Times New Roman" w:hAnsi="Times New Roman" w:cs="Times New Roman"/>
                <w:color w:val="auto"/>
                <w:szCs w:val="21"/>
              </w:rPr>
              <w:t>(GB18599-20</w:t>
            </w:r>
            <w:r>
              <w:rPr>
                <w:rFonts w:hint="eastAsia" w:cs="Times New Roman"/>
                <w:color w:val="auto"/>
                <w:szCs w:val="21"/>
                <w:lang w:val="en-US" w:eastAsia="zh-CN"/>
              </w:rPr>
              <w:t>20</w:t>
            </w:r>
            <w:r>
              <w:rPr>
                <w:rFonts w:hint="default" w:ascii="Times New Roman" w:hAnsi="Times New Roman"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34"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627" w:type="dxa"/>
            <w:vMerge w:val="continue"/>
            <w:noWrap w:val="0"/>
            <w:vAlign w:val="center"/>
          </w:tcPr>
          <w:p>
            <w:pPr>
              <w:pStyle w:val="20"/>
              <w:spacing w:before="72"/>
              <w:ind w:left="170" w:leftChars="0" w:right="163" w:rightChars="0"/>
              <w:jc w:val="center"/>
              <w:rPr>
                <w:rFonts w:hint="eastAsia" w:ascii="Times New Roman" w:hAnsi="Times New Roman" w:cs="Times New Roman"/>
                <w:color w:val="auto"/>
                <w:sz w:val="21"/>
                <w:szCs w:val="21"/>
                <w:lang w:eastAsia="zh-CN"/>
              </w:rPr>
            </w:pP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sz w:val="21"/>
                <w:lang w:eastAsia="zh-CN"/>
              </w:rPr>
            </w:pPr>
            <w:r>
              <w:rPr>
                <w:rFonts w:hint="eastAsia"/>
                <w:sz w:val="21"/>
                <w:lang w:eastAsia="zh-CN"/>
              </w:rPr>
              <w:t>除尘器收集的颗粒物</w:t>
            </w:r>
          </w:p>
        </w:tc>
        <w:tc>
          <w:tcPr>
            <w:tcW w:w="2264" w:type="dxa"/>
            <w:noWrap w:val="0"/>
            <w:vAlign w:val="center"/>
          </w:tcPr>
          <w:p>
            <w:pPr>
              <w:pStyle w:val="20"/>
              <w:spacing w:before="72"/>
              <w:ind w:left="38" w:leftChars="0" w:right="31" w:rightChars="0"/>
              <w:jc w:val="center"/>
              <w:rPr>
                <w:rFonts w:hint="eastAsia" w:eastAsia="宋体"/>
                <w:sz w:val="21"/>
                <w:lang w:eastAsia="zh-CN"/>
              </w:rPr>
            </w:pPr>
            <w:r>
              <w:rPr>
                <w:rFonts w:hint="eastAsia"/>
                <w:sz w:val="21"/>
                <w:lang w:eastAsia="zh-CN"/>
              </w:rPr>
              <w:t>回用于生产工序</w:t>
            </w:r>
          </w:p>
        </w:tc>
        <w:tc>
          <w:tcPr>
            <w:tcW w:w="1775" w:type="dxa"/>
            <w:noWrap w:val="0"/>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634"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627" w:type="dxa"/>
            <w:noWrap w:val="0"/>
            <w:vAlign w:val="center"/>
          </w:tcPr>
          <w:p>
            <w:pPr>
              <w:pStyle w:val="20"/>
              <w:spacing w:before="134"/>
              <w:ind w:left="170" w:leftChars="0" w:right="163"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危险固废</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sz w:val="21"/>
              </w:rPr>
              <w:t>废润滑油</w:t>
            </w:r>
          </w:p>
        </w:tc>
        <w:tc>
          <w:tcPr>
            <w:tcW w:w="2264" w:type="dxa"/>
            <w:noWrap w:val="0"/>
            <w:vAlign w:val="center"/>
          </w:tcPr>
          <w:p>
            <w:pPr>
              <w:pStyle w:val="20"/>
              <w:ind w:left="38" w:right="31"/>
              <w:jc w:val="center"/>
              <w:rPr>
                <w:rFonts w:hint="eastAsia" w:ascii="Times New Roman" w:hAnsi="Times New Roman" w:cs="Times New Roman"/>
                <w:color w:val="auto"/>
                <w:sz w:val="21"/>
                <w:szCs w:val="21"/>
                <w:highlight w:val="none"/>
                <w:lang w:eastAsia="zh-CN"/>
              </w:rPr>
            </w:pPr>
            <w:r>
              <w:rPr>
                <w:sz w:val="21"/>
              </w:rPr>
              <w:t>危废暂存间暂存，定期交由有资质公司处理</w:t>
            </w:r>
          </w:p>
        </w:tc>
        <w:tc>
          <w:tcPr>
            <w:tcW w:w="1775" w:type="dxa"/>
            <w:noWrap w:val="0"/>
            <w:vAlign w:val="center"/>
          </w:tcPr>
          <w:p>
            <w:pPr>
              <w:adjustRightInd w:val="0"/>
              <w:snapToGrid w:val="0"/>
              <w:jc w:val="center"/>
              <w:rPr>
                <w:rFonts w:hint="default" w:ascii="Times New Roman" w:hAnsi="Times New Roman" w:cs="Times New Roman"/>
                <w:color w:val="auto"/>
                <w:szCs w:val="21"/>
              </w:rPr>
            </w:pPr>
            <w:r>
              <w:rPr>
                <w:rFonts w:hint="eastAsia" w:ascii="宋体" w:hAnsi="宋体" w:cs="宋体"/>
              </w:rPr>
              <w:t>《危险废物贮存污染控制标准》（GB18597-2001）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34"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土壤及地下水</w:t>
            </w:r>
          </w:p>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污染防治措施</w:t>
            </w:r>
          </w:p>
        </w:tc>
        <w:tc>
          <w:tcPr>
            <w:tcW w:w="716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 w:val="21"/>
                <w:szCs w:val="21"/>
                <w:lang w:val="en-US" w:eastAsia="zh-CN"/>
              </w:rPr>
            </w:pPr>
            <w:r>
              <w:rPr>
                <w:rFonts w:hint="eastAsia"/>
                <w:color w:val="auto"/>
                <w:sz w:val="21"/>
                <w:szCs w:val="21"/>
              </w:rPr>
              <w:t>危险废物必须装入容器内</w:t>
            </w:r>
            <w:r>
              <w:rPr>
                <w:rFonts w:hint="eastAsia"/>
                <w:color w:val="auto"/>
                <w:sz w:val="21"/>
                <w:szCs w:val="21"/>
                <w:lang w:eastAsia="zh-CN"/>
              </w:rPr>
              <w:t>，</w:t>
            </w:r>
            <w:r>
              <w:rPr>
                <w:rFonts w:hint="eastAsia"/>
                <w:color w:val="auto"/>
                <w:sz w:val="21"/>
                <w:szCs w:val="21"/>
              </w:rPr>
              <w:t>按 《环境保护图形标识—固体废物贮存（处置）场》设置警示标志</w:t>
            </w:r>
            <w:r>
              <w:rPr>
                <w:rFonts w:hint="eastAsia"/>
                <w:color w:val="auto"/>
                <w:sz w:val="21"/>
                <w:szCs w:val="21"/>
                <w:lang w:eastAsia="zh-CN"/>
              </w:rPr>
              <w:t>，</w:t>
            </w:r>
            <w:r>
              <w:rPr>
                <w:rFonts w:hint="eastAsia"/>
                <w:color w:val="auto"/>
                <w:sz w:val="21"/>
                <w:szCs w:val="21"/>
              </w:rPr>
              <w:t>要求有必要的防风、防雨、防晒措施</w:t>
            </w:r>
            <w:r>
              <w:rPr>
                <w:rFonts w:hint="eastAsia"/>
                <w:color w:val="auto"/>
                <w:sz w:val="21"/>
                <w:szCs w:val="21"/>
                <w:lang w:eastAsia="zh-CN"/>
              </w:rPr>
              <w:t>，</w:t>
            </w:r>
            <w:r>
              <w:rPr>
                <w:rFonts w:hint="eastAsia"/>
                <w:color w:val="auto"/>
                <w:sz w:val="21"/>
                <w:szCs w:val="21"/>
              </w:rPr>
              <w:t>有耐腐蚀的硬化地面和基础防渗层，地面无裂隙</w:t>
            </w:r>
            <w:r>
              <w:rPr>
                <w:rFonts w:hint="eastAsia"/>
                <w:color w:val="auto"/>
                <w:sz w:val="21"/>
                <w:szCs w:val="21"/>
                <w:lang w:eastAsia="zh-CN"/>
              </w:rPr>
              <w:t>，</w:t>
            </w:r>
            <w:r>
              <w:rPr>
                <w:rFonts w:hint="eastAsia"/>
                <w:color w:val="auto"/>
                <w:sz w:val="21"/>
                <w:szCs w:val="21"/>
              </w:rPr>
              <w:t>配备通讯设备、照明设施、安全防护服装</w:t>
            </w:r>
            <w:r>
              <w:rPr>
                <w:rFonts w:hint="eastAsia"/>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34" w:type="dxa"/>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生态保护措施</w:t>
            </w:r>
          </w:p>
        </w:tc>
        <w:tc>
          <w:tcPr>
            <w:tcW w:w="7166" w:type="dxa"/>
            <w:gridSpan w:val="4"/>
            <w:noWrap w:val="0"/>
            <w:vAlign w:val="center"/>
          </w:tcPr>
          <w:p>
            <w:pPr>
              <w:bidi w:val="0"/>
              <w:jc w:val="center"/>
              <w:rPr>
                <w:rFonts w:hint="eastAsia" w:eastAsia="宋体"/>
                <w:color w:val="auto"/>
                <w:sz w:val="21"/>
                <w:szCs w:val="21"/>
                <w:lang w:val="en-US" w:eastAsia="zh-CN"/>
              </w:rPr>
            </w:pPr>
            <w:r>
              <w:rPr>
                <w:rFonts w:hint="eastAsia"/>
                <w:color w:val="auto"/>
                <w:sz w:val="21"/>
                <w:szCs w:val="21"/>
                <w:lang w:eastAsia="zh-CN"/>
              </w:rPr>
              <w:t>厂区进行绿化工作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634" w:type="dxa"/>
            <w:noWrap w:val="0"/>
            <w:vAlign w:val="center"/>
          </w:tcPr>
          <w:p>
            <w:pPr>
              <w:adjustRightInd w:val="0"/>
              <w:snapToGrid w:val="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环境风险</w:t>
            </w:r>
          </w:p>
          <w:p>
            <w:pPr>
              <w:adjustRightInd w:val="0"/>
              <w:snapToGrid w:val="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防范措施</w:t>
            </w:r>
          </w:p>
        </w:tc>
        <w:tc>
          <w:tcPr>
            <w:tcW w:w="7166" w:type="dxa"/>
            <w:gridSpan w:val="4"/>
            <w:noWrap w:val="0"/>
            <w:vAlign w:val="center"/>
          </w:tcPr>
          <w:p>
            <w:pPr>
              <w:pStyle w:val="8"/>
              <w:spacing w:line="360" w:lineRule="auto"/>
              <w:ind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634" w:type="dxa"/>
            <w:noWrap w:val="0"/>
            <w:vAlign w:val="center"/>
          </w:tcPr>
          <w:p>
            <w:pPr>
              <w:adjustRightInd w:val="0"/>
              <w:snapToGrid w:val="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其他环境</w:t>
            </w:r>
          </w:p>
          <w:p>
            <w:pPr>
              <w:adjustRightInd w:val="0"/>
              <w:snapToGrid w:val="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管理要求</w:t>
            </w:r>
          </w:p>
        </w:tc>
        <w:tc>
          <w:tcPr>
            <w:tcW w:w="716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申请排污登记，建立环境管理台账制度，设置专职人员进行台账的记录、整理、维护和管理，并对台账记录结果的真实性、准确性、完整性负责。根据《固定污染源排污许可分类管理名录30-其他非金属矿物制品制造3099”规定，本项目属于登记管理类，实行登记管理的排污单位，不需要申请取得排污许可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lang w:val="en-US" w:eastAsia="zh-CN"/>
              </w:rPr>
              <w:t>建设项目竣工后，建设单位应当如实查验、监测、记载建设项目环境保护设施的建设和调试情况，编制验收监测（调查）报告</w:t>
            </w:r>
            <w:r>
              <w:rPr>
                <w:rFonts w:hint="eastAsia" w:cs="Times New Roman"/>
                <w:color w:val="auto"/>
                <w:sz w:val="21"/>
                <w:szCs w:val="21"/>
                <w:lang w:val="en-US" w:eastAsia="zh-CN"/>
              </w:rPr>
              <w:t>。</w:t>
            </w:r>
          </w:p>
          <w:p>
            <w:pPr>
              <w:spacing w:line="360" w:lineRule="auto"/>
              <w:rPr>
                <w:b/>
                <w:bCs/>
                <w:sz w:val="21"/>
                <w:szCs w:val="21"/>
                <w:u w:val="none"/>
              </w:rPr>
            </w:pPr>
            <w:r>
              <w:rPr>
                <w:rFonts w:hint="eastAsia"/>
                <w:b/>
                <w:bCs/>
                <w:sz w:val="21"/>
                <w:szCs w:val="21"/>
                <w:u w:val="none"/>
              </w:rPr>
              <w:t>企业自主环保验收建议：</w:t>
            </w:r>
          </w:p>
          <w:p>
            <w:pPr>
              <w:spacing w:line="360" w:lineRule="auto"/>
              <w:ind w:firstLine="420" w:firstLineChars="200"/>
              <w:rPr>
                <w:sz w:val="21"/>
                <w:szCs w:val="21"/>
                <w:u w:val="none"/>
              </w:rPr>
            </w:pPr>
            <w:r>
              <w:rPr>
                <w:rFonts w:hint="eastAsia"/>
                <w:sz w:val="21"/>
                <w:szCs w:val="21"/>
                <w:u w:val="none"/>
              </w:rPr>
              <w:t>关于《建设项目竣工环保验收暂行办法》相关内容如下：</w:t>
            </w:r>
          </w:p>
          <w:p>
            <w:pPr>
              <w:spacing w:line="360" w:lineRule="auto"/>
              <w:ind w:firstLine="422" w:firstLineChars="200"/>
              <w:rPr>
                <w:rFonts w:ascii="新宋体" w:hAnsi="新宋体" w:eastAsia="新宋体" w:cs="新宋体"/>
                <w:b/>
                <w:sz w:val="21"/>
                <w:szCs w:val="21"/>
                <w:u w:val="none"/>
              </w:rPr>
            </w:pPr>
            <w:r>
              <w:rPr>
                <w:rFonts w:hint="eastAsia" w:ascii="新宋体" w:hAnsi="新宋体" w:eastAsia="新宋体" w:cs="新宋体"/>
                <w:b/>
                <w:sz w:val="21"/>
                <w:szCs w:val="21"/>
                <w:u w:val="none"/>
              </w:rPr>
              <w:t>1、</w:t>
            </w:r>
            <w:r>
              <w:rPr>
                <w:rFonts w:ascii="新宋体" w:hAnsi="新宋体" w:eastAsia="新宋体" w:cs="新宋体"/>
                <w:b/>
                <w:sz w:val="21"/>
                <w:szCs w:val="21"/>
                <w:u w:val="none"/>
              </w:rPr>
              <w:t>建设项目竣工环境保护验收的主要依据包括：</w:t>
            </w:r>
          </w:p>
          <w:p>
            <w:pPr>
              <w:spacing w:line="360" w:lineRule="auto"/>
              <w:ind w:firstLine="420" w:firstLineChars="200"/>
              <w:rPr>
                <w:sz w:val="21"/>
                <w:szCs w:val="21"/>
                <w:u w:val="none"/>
              </w:rPr>
            </w:pPr>
            <w:r>
              <w:rPr>
                <w:rFonts w:hint="eastAsia" w:ascii="新宋体" w:hAnsi="新宋体" w:eastAsia="新宋体" w:cs="新宋体"/>
                <w:sz w:val="21"/>
                <w:szCs w:val="21"/>
                <w:u w:val="none"/>
              </w:rPr>
              <w:t>①</w:t>
            </w:r>
            <w:r>
              <w:rPr>
                <w:rFonts w:ascii="新宋体" w:hAnsi="新宋体" w:eastAsia="新宋体" w:cs="新宋体"/>
                <w:sz w:val="21"/>
                <w:szCs w:val="21"/>
                <w:u w:val="none"/>
              </w:rPr>
              <w:t>建设项目环境保护相关法律、法规、规章、标准和规范性文件；</w:t>
            </w:r>
          </w:p>
          <w:p>
            <w:pPr>
              <w:spacing w:line="360" w:lineRule="auto"/>
              <w:ind w:firstLine="420" w:firstLineChars="200"/>
              <w:rPr>
                <w:sz w:val="21"/>
                <w:szCs w:val="21"/>
                <w:u w:val="none"/>
              </w:rPr>
            </w:pPr>
            <w:r>
              <w:rPr>
                <w:rFonts w:hint="eastAsia" w:ascii="新宋体" w:hAnsi="新宋体" w:eastAsia="新宋体" w:cs="新宋体"/>
                <w:sz w:val="21"/>
                <w:szCs w:val="21"/>
                <w:u w:val="none"/>
              </w:rPr>
              <w:t>②</w:t>
            </w:r>
            <w:r>
              <w:rPr>
                <w:rFonts w:ascii="新宋体" w:hAnsi="新宋体" w:eastAsia="新宋体" w:cs="新宋体"/>
                <w:sz w:val="21"/>
                <w:szCs w:val="21"/>
                <w:u w:val="none"/>
              </w:rPr>
              <w:t>建设项目竣工环境保护验收技术规范；</w:t>
            </w:r>
          </w:p>
          <w:p>
            <w:pPr>
              <w:spacing w:line="360" w:lineRule="auto"/>
              <w:ind w:firstLine="420" w:firstLineChars="200"/>
              <w:rPr>
                <w:sz w:val="21"/>
                <w:szCs w:val="21"/>
                <w:u w:val="none"/>
              </w:rPr>
            </w:pPr>
            <w:r>
              <w:rPr>
                <w:rFonts w:hint="eastAsia" w:ascii="新宋体" w:hAnsi="新宋体" w:eastAsia="新宋体" w:cs="新宋体"/>
                <w:sz w:val="21"/>
                <w:szCs w:val="21"/>
                <w:u w:val="none"/>
              </w:rPr>
              <w:t>③</w:t>
            </w:r>
            <w:r>
              <w:rPr>
                <w:rFonts w:ascii="新宋体" w:hAnsi="新宋体" w:eastAsia="新宋体" w:cs="新宋体"/>
                <w:sz w:val="21"/>
                <w:szCs w:val="21"/>
                <w:u w:val="none"/>
              </w:rPr>
              <w:t>建设项目环境影响报告书（表）及审批部门审批决定。</w:t>
            </w:r>
          </w:p>
          <w:p>
            <w:pPr>
              <w:spacing w:line="360" w:lineRule="auto"/>
              <w:ind w:firstLine="420" w:firstLineChars="200"/>
              <w:rPr>
                <w:sz w:val="21"/>
                <w:szCs w:val="21"/>
                <w:u w:val="none"/>
              </w:rPr>
            </w:pPr>
            <w:r>
              <w:rPr>
                <w:rFonts w:hint="eastAsia"/>
                <w:sz w:val="21"/>
                <w:szCs w:val="21"/>
                <w:u w:val="none"/>
              </w:rPr>
              <w:t>④</w:t>
            </w:r>
            <w:r>
              <w:rPr>
                <w:sz w:val="21"/>
                <w:szCs w:val="21"/>
                <w:u w:val="none"/>
              </w:rPr>
              <w:t>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验收报告分为验收监测（调查）报告、验收意见和其他需要说明的事项等三项内容。</w:t>
            </w:r>
          </w:p>
          <w:p>
            <w:pPr>
              <w:spacing w:line="360" w:lineRule="auto"/>
              <w:ind w:firstLine="422" w:firstLineChars="200"/>
              <w:rPr>
                <w:b/>
                <w:sz w:val="21"/>
                <w:szCs w:val="21"/>
                <w:u w:val="none"/>
              </w:rPr>
            </w:pPr>
            <w:r>
              <w:rPr>
                <w:rFonts w:hint="eastAsia"/>
                <w:b/>
                <w:sz w:val="21"/>
                <w:szCs w:val="21"/>
                <w:u w:val="none"/>
              </w:rPr>
              <w:t>2、验收的程序及内容</w:t>
            </w:r>
          </w:p>
          <w:p>
            <w:pPr>
              <w:spacing w:line="360" w:lineRule="auto"/>
              <w:ind w:firstLine="420" w:firstLineChars="200"/>
              <w:rPr>
                <w:sz w:val="21"/>
                <w:szCs w:val="21"/>
                <w:u w:val="none"/>
              </w:rPr>
            </w:pPr>
            <w:r>
              <w:rPr>
                <w:rFonts w:hint="eastAsia" w:ascii="新宋体" w:hAnsi="新宋体" w:eastAsia="新宋体" w:cs="新宋体"/>
                <w:sz w:val="21"/>
                <w:szCs w:val="21"/>
                <w:u w:val="none"/>
              </w:rPr>
              <w:t>①</w:t>
            </w:r>
            <w:r>
              <w:rPr>
                <w:rFonts w:ascii="新宋体" w:hAnsi="新宋体" w:eastAsia="新宋体" w:cs="新宋体"/>
                <w:sz w:val="21"/>
                <w:szCs w:val="21"/>
                <w:u w:val="none"/>
              </w:rPr>
              <w:t>建设项目竣工后，建设单位应当如实查验、监测、记载建设项目环境保护设施的建设和调试情况，编制验收监测（调查）报告。</w:t>
            </w:r>
          </w:p>
          <w:p>
            <w:pPr>
              <w:spacing w:line="360" w:lineRule="auto"/>
              <w:ind w:firstLine="420" w:firstLineChars="200"/>
              <w:rPr>
                <w:sz w:val="21"/>
                <w:szCs w:val="21"/>
                <w:u w:val="none"/>
              </w:rPr>
            </w:pPr>
            <w:r>
              <w:rPr>
                <w:rFonts w:ascii="新宋体" w:hAnsi="新宋体" w:eastAsia="新宋体" w:cs="新宋体"/>
                <w:sz w:val="21"/>
                <w:szCs w:val="21"/>
                <w:u w:val="none"/>
              </w:rPr>
              <w:t>以排放污染物为主的建设项目，参照《建设项目竣工环境保护验收技术指南 污染影响类》编制验收监测报告；主要对生态造成影响的建设项目，按照《建设项目竣工环境保护验收技术规范 生态影响类》编制验收调查报告；火力发电、石油炼制、水利水电、核与辐射等已发布行业验收技术规范的建设项目，按照该行业验收技术规范编制验收监测报告或者验收调查报告。</w:t>
            </w:r>
          </w:p>
          <w:p>
            <w:pPr>
              <w:spacing w:line="360" w:lineRule="auto"/>
              <w:ind w:firstLine="420" w:firstLineChars="200"/>
              <w:rPr>
                <w:rFonts w:ascii="新宋体" w:hAnsi="新宋体" w:eastAsia="新宋体" w:cs="新宋体"/>
                <w:sz w:val="21"/>
                <w:szCs w:val="21"/>
                <w:u w:val="none"/>
              </w:rPr>
            </w:pPr>
            <w:r>
              <w:rPr>
                <w:rFonts w:ascii="新宋体" w:hAnsi="新宋体" w:eastAsia="新宋体" w:cs="新宋体"/>
                <w:sz w:val="21"/>
                <w:szCs w:val="21"/>
                <w:u w:val="none"/>
              </w:rPr>
              <w:t>建设单位不具备编制验收监测（调查）报告能力的，可以委托有能力的技术机构编制。建设单位对受委托的技术机构编制的验收监测（调查）报告结论负责。建设单位与受委托的技术机构之间的权利义务关系，以及受委托的技术机构应当承担的责任，可以通过合同形式约定。</w:t>
            </w:r>
          </w:p>
          <w:p>
            <w:pPr>
              <w:spacing w:line="360" w:lineRule="auto"/>
              <w:ind w:firstLine="420" w:firstLineChars="200"/>
              <w:rPr>
                <w:sz w:val="21"/>
                <w:szCs w:val="21"/>
                <w:u w:val="none"/>
              </w:rPr>
            </w:pPr>
            <w:r>
              <w:rPr>
                <w:rFonts w:hint="eastAsia" w:ascii="宋体" w:hAnsi="宋体" w:cs="宋体"/>
                <w:sz w:val="21"/>
                <w:szCs w:val="21"/>
                <w:u w:val="none"/>
              </w:rPr>
              <w:t>②</w:t>
            </w:r>
            <w:r>
              <w:rPr>
                <w:rFonts w:ascii="新宋体" w:hAnsi="新宋体" w:eastAsia="新宋体" w:cs="新宋体"/>
                <w:sz w:val="21"/>
                <w:szCs w:val="21"/>
                <w:u w:val="none"/>
              </w:rPr>
              <w:t>需要对建设项目配套建设的环境保护设施进行调试的，建设单位应当确保调试期间污染物排放符合国家和地方有关污染物排放标准和排污许可等相关管理规定。环境保护设施未与主体工程同时建成的，或者应当取得排污许可证但未取得的，建设单位不得对该建设项目环境保护设施进行调试。调试期间，建设单位应当对环境保护设施运行情况和建设项目对环境的影响进行监测。验收监测应当在确保主体工程调试工况稳定、环境保护设施运行正常的情况下进行，并如实记录监测时的实际工况。国家和地方有关污染物排放标准或者行业验收技术规范对工况和生产负荷另有规定的，按其规定执行。建设单位开展验收监测活动，可根据自身条件和能力，利用自有人员、场所和设备自行监测；也可以委托其他有能力的监测机构开展监测。</w:t>
            </w:r>
          </w:p>
          <w:p>
            <w:pPr>
              <w:spacing w:line="360" w:lineRule="auto"/>
              <w:ind w:firstLine="420" w:firstLineChars="200"/>
              <w:rPr>
                <w:sz w:val="21"/>
                <w:szCs w:val="21"/>
                <w:u w:val="none"/>
              </w:rPr>
            </w:pPr>
            <w:r>
              <w:rPr>
                <w:rFonts w:hint="eastAsia" w:ascii="宋体" w:hAnsi="宋体" w:cs="宋体"/>
                <w:sz w:val="21"/>
                <w:szCs w:val="21"/>
                <w:u w:val="none"/>
              </w:rPr>
              <w:t>③</w:t>
            </w:r>
            <w:r>
              <w:rPr>
                <w:rFonts w:ascii="新宋体" w:hAnsi="新宋体" w:eastAsia="新宋体" w:cs="新宋体"/>
                <w:sz w:val="21"/>
                <w:szCs w:val="21"/>
                <w:u w:val="none"/>
              </w:rPr>
              <w:t>验收监测（调查）报告编制完成后，建设单位应当根据验收监测（调查）报告结论，逐一检查是否存在本办法第八条所列验收不合格的情形，提出验收意见。存在问题的，建设单位应当进行整改，整改完成后方可提出验收意见。验收意见包括工程建设基本情况、工程变动情况、环境保护设施落实情况、环境保护设施调试效果、工程建设对环境的影响、验收结论和后续要求等内容，验收结论应当明确该建设项目环境保护设施是否验收合格。建设项目配套建设的环境保护设施经验收合格后，其主体工程方可投入生产或者使用；未经验收或者验收不合格的，不得投入生产或者使用。</w:t>
            </w:r>
          </w:p>
          <w:p>
            <w:pPr>
              <w:spacing w:line="360" w:lineRule="auto"/>
              <w:ind w:firstLine="420" w:firstLineChars="200"/>
              <w:rPr>
                <w:sz w:val="21"/>
                <w:szCs w:val="21"/>
                <w:u w:val="none"/>
              </w:rPr>
            </w:pPr>
            <w:r>
              <w:rPr>
                <w:rFonts w:hint="eastAsia"/>
                <w:sz w:val="21"/>
                <w:szCs w:val="21"/>
                <w:u w:val="none"/>
              </w:rPr>
              <w:t>④</w:t>
            </w:r>
            <w:r>
              <w:rPr>
                <w:rFonts w:ascii="新宋体" w:hAnsi="新宋体" w:eastAsia="新宋体" w:cs="新宋体"/>
                <w:sz w:val="21"/>
                <w:szCs w:val="21"/>
                <w:u w:val="none"/>
              </w:rPr>
              <w:t>建设项目环境保护设施存在下列情形之一的，建设单位不得提出验收合格的意见：</w:t>
            </w:r>
          </w:p>
          <w:p>
            <w:pPr>
              <w:spacing w:line="360" w:lineRule="auto"/>
              <w:ind w:firstLine="420" w:firstLineChars="200"/>
              <w:rPr>
                <w:sz w:val="21"/>
                <w:szCs w:val="21"/>
                <w:u w:val="none"/>
              </w:rPr>
            </w:pPr>
            <w:r>
              <w:rPr>
                <w:rFonts w:ascii="新宋体" w:hAnsi="新宋体" w:eastAsia="新宋体" w:cs="新宋体"/>
                <w:sz w:val="21"/>
                <w:szCs w:val="21"/>
                <w:u w:val="none"/>
              </w:rPr>
              <w:t>（一）未按环境影响报告书（表）及其审批部门审批决定要求建成环境保护设施，或者环境保护设施不能与主体工程同时投产或者使用的；</w:t>
            </w:r>
          </w:p>
          <w:p>
            <w:pPr>
              <w:spacing w:line="360" w:lineRule="auto"/>
              <w:ind w:firstLine="420" w:firstLineChars="200"/>
              <w:rPr>
                <w:sz w:val="21"/>
                <w:szCs w:val="21"/>
                <w:u w:val="none"/>
              </w:rPr>
            </w:pPr>
            <w:r>
              <w:rPr>
                <w:rFonts w:ascii="新宋体" w:hAnsi="新宋体" w:eastAsia="新宋体" w:cs="新宋体"/>
                <w:sz w:val="21"/>
                <w:szCs w:val="21"/>
                <w:u w:val="none"/>
              </w:rPr>
              <w:t>（二）污染物排放不符合国家和地方相关标准、环境影响报告书（表）及其审批部门审批决定或者重点污染物排放总量控制指标要求的；</w:t>
            </w:r>
          </w:p>
          <w:p>
            <w:pPr>
              <w:spacing w:line="360" w:lineRule="auto"/>
              <w:ind w:firstLine="420" w:firstLineChars="200"/>
              <w:rPr>
                <w:sz w:val="21"/>
                <w:szCs w:val="21"/>
                <w:u w:val="none"/>
              </w:rPr>
            </w:pPr>
            <w:r>
              <w:rPr>
                <w:rFonts w:ascii="新宋体" w:hAnsi="新宋体" w:eastAsia="新宋体" w:cs="新宋体"/>
                <w:sz w:val="21"/>
                <w:szCs w:val="21"/>
                <w:u w:val="none"/>
              </w:rPr>
              <w:t>（三）环境影响报告书（表）经批准后，该建设项目的性质、规模、地点、采用的生产工艺或者防治污染、防止生态破坏的措施发生重大变动，建设单位未重新报批环境影响报告书（表）或者环境影响报告书（表）未经批准的；</w:t>
            </w:r>
          </w:p>
          <w:p>
            <w:pPr>
              <w:spacing w:line="360" w:lineRule="auto"/>
              <w:ind w:firstLine="420" w:firstLineChars="200"/>
              <w:rPr>
                <w:sz w:val="21"/>
                <w:szCs w:val="21"/>
                <w:u w:val="none"/>
              </w:rPr>
            </w:pPr>
            <w:r>
              <w:rPr>
                <w:rFonts w:ascii="新宋体" w:hAnsi="新宋体" w:eastAsia="新宋体" w:cs="新宋体"/>
                <w:sz w:val="21"/>
                <w:szCs w:val="21"/>
                <w:u w:val="none"/>
              </w:rPr>
              <w:t>（四）建设过程中造成重大环境污染未治理完成，或者造成重大生态破坏未恢复的；</w:t>
            </w:r>
          </w:p>
          <w:p>
            <w:pPr>
              <w:spacing w:line="360" w:lineRule="auto"/>
              <w:ind w:firstLine="420" w:firstLineChars="200"/>
              <w:rPr>
                <w:sz w:val="21"/>
                <w:szCs w:val="21"/>
                <w:u w:val="none"/>
              </w:rPr>
            </w:pPr>
            <w:r>
              <w:rPr>
                <w:rFonts w:ascii="新宋体" w:hAnsi="新宋体" w:eastAsia="新宋体" w:cs="新宋体"/>
                <w:sz w:val="21"/>
                <w:szCs w:val="21"/>
                <w:u w:val="none"/>
              </w:rPr>
              <w:t>（五）纳入排污许可管理的建设项目，无证排污或者不按证排污的；</w:t>
            </w:r>
          </w:p>
          <w:p>
            <w:pPr>
              <w:spacing w:line="360" w:lineRule="auto"/>
              <w:ind w:firstLine="420" w:firstLineChars="200"/>
              <w:rPr>
                <w:sz w:val="21"/>
                <w:szCs w:val="21"/>
                <w:u w:val="none"/>
              </w:rPr>
            </w:pPr>
            <w:r>
              <w:rPr>
                <w:rFonts w:ascii="新宋体" w:hAnsi="新宋体" w:eastAsia="新宋体" w:cs="新宋体"/>
                <w:sz w:val="21"/>
                <w:szCs w:val="21"/>
                <w:u w:val="none"/>
              </w:rPr>
              <w:t>（六）分期建设、分期投入生产或者使用依法应当分期验收的建设项目，其分期建设、分期投入生产或者使用的环境保护设施防治环境污染和生态破坏的能力不能满足其相应主体工程需要的；</w:t>
            </w:r>
          </w:p>
          <w:p>
            <w:pPr>
              <w:spacing w:line="360" w:lineRule="auto"/>
              <w:ind w:firstLine="420" w:firstLineChars="200"/>
              <w:rPr>
                <w:sz w:val="21"/>
                <w:szCs w:val="21"/>
                <w:u w:val="none"/>
              </w:rPr>
            </w:pPr>
            <w:r>
              <w:rPr>
                <w:rFonts w:ascii="新宋体" w:hAnsi="新宋体" w:eastAsia="新宋体" w:cs="新宋体"/>
                <w:sz w:val="21"/>
                <w:szCs w:val="21"/>
                <w:u w:val="none"/>
              </w:rPr>
              <w:t>（七）建设单位因该建设项目违反国家和地方环境保护法律法规受到处罚，被责令改正，尚未改正完成的；</w:t>
            </w:r>
          </w:p>
          <w:p>
            <w:pPr>
              <w:spacing w:line="360" w:lineRule="auto"/>
              <w:ind w:firstLine="420" w:firstLineChars="200"/>
              <w:rPr>
                <w:sz w:val="21"/>
                <w:szCs w:val="21"/>
                <w:u w:val="none"/>
              </w:rPr>
            </w:pPr>
            <w:r>
              <w:rPr>
                <w:rFonts w:ascii="新宋体" w:hAnsi="新宋体" w:eastAsia="新宋体" w:cs="新宋体"/>
                <w:sz w:val="21"/>
                <w:szCs w:val="21"/>
                <w:u w:val="none"/>
              </w:rPr>
              <w:t>（八）验收报告的基础资料数据明显不实，内容存在重大缺项、遗漏，或者验收结论不明确、不合理的；</w:t>
            </w:r>
          </w:p>
          <w:p>
            <w:pPr>
              <w:spacing w:line="360" w:lineRule="auto"/>
              <w:ind w:firstLine="420" w:firstLineChars="200"/>
              <w:rPr>
                <w:sz w:val="21"/>
                <w:szCs w:val="21"/>
                <w:u w:val="none"/>
              </w:rPr>
            </w:pPr>
            <w:r>
              <w:rPr>
                <w:rFonts w:ascii="新宋体" w:hAnsi="新宋体" w:eastAsia="新宋体" w:cs="新宋体"/>
                <w:sz w:val="21"/>
                <w:szCs w:val="21"/>
                <w:u w:val="none"/>
              </w:rPr>
              <w:t>（九）其他环境保护法律法规规章等规定不得通过环境保护验收的。</w:t>
            </w:r>
          </w:p>
          <w:p>
            <w:pPr>
              <w:spacing w:line="360" w:lineRule="auto"/>
              <w:ind w:firstLine="420" w:firstLineChars="200"/>
              <w:rPr>
                <w:sz w:val="21"/>
                <w:szCs w:val="21"/>
                <w:u w:val="none"/>
              </w:rPr>
            </w:pPr>
            <w:r>
              <w:rPr>
                <w:rFonts w:hint="eastAsia" w:ascii="宋体" w:hAnsi="宋体" w:cs="宋体"/>
                <w:sz w:val="21"/>
                <w:szCs w:val="21"/>
                <w:u w:val="none"/>
              </w:rPr>
              <w:t>⑤</w:t>
            </w:r>
            <w:r>
              <w:rPr>
                <w:rFonts w:ascii="新宋体" w:hAnsi="新宋体" w:eastAsia="新宋体" w:cs="新宋体"/>
                <w:sz w:val="21"/>
                <w:szCs w:val="21"/>
                <w:u w:val="none"/>
              </w:rPr>
              <w:t>为提高验收的有效性，在提出验收意见的过程中，建设单位可以组织成立验收工作组，采取现场检查、资料查阅、召开验收会议等方式，协助开展验收工作。验收工作组可以由设计单位、施工单位、环境影响报告书（表）编制机构、验收监测（调查）报告编制机构等单位代表以及专业技术专家等组成，代表范围和人数自定。</w:t>
            </w:r>
          </w:p>
          <w:p>
            <w:pPr>
              <w:spacing w:line="360" w:lineRule="auto"/>
              <w:ind w:firstLine="420" w:firstLineChars="200"/>
              <w:rPr>
                <w:sz w:val="21"/>
                <w:szCs w:val="21"/>
                <w:u w:val="none"/>
              </w:rPr>
            </w:pPr>
            <w:r>
              <w:rPr>
                <w:rFonts w:hint="eastAsia" w:ascii="宋体" w:hAnsi="宋体" w:cs="宋体"/>
                <w:sz w:val="21"/>
                <w:szCs w:val="21"/>
                <w:u w:val="none"/>
              </w:rPr>
              <w:t>⑥</w:t>
            </w:r>
            <w:r>
              <w:rPr>
                <w:rFonts w:ascii="新宋体" w:hAnsi="新宋体" w:eastAsia="新宋体" w:cs="新宋体"/>
                <w:sz w:val="21"/>
                <w:szCs w:val="21"/>
                <w:u w:val="none"/>
              </w:rPr>
              <w:t>建设单位在</w:t>
            </w:r>
            <w:r>
              <w:rPr>
                <w:rFonts w:ascii="Courier New" w:hAnsi="Courier New" w:eastAsia="Courier New" w:cs="Courier New"/>
                <w:sz w:val="21"/>
                <w:szCs w:val="21"/>
                <w:u w:val="none"/>
              </w:rPr>
              <w:t>“</w:t>
            </w:r>
            <w:r>
              <w:rPr>
                <w:rFonts w:ascii="新宋体" w:hAnsi="新宋体" w:eastAsia="新宋体" w:cs="新宋体"/>
                <w:sz w:val="21"/>
                <w:szCs w:val="21"/>
                <w:u w:val="none"/>
              </w:rPr>
              <w:t>其他需要说明的事项</w:t>
            </w:r>
            <w:r>
              <w:rPr>
                <w:rFonts w:ascii="Courier New" w:hAnsi="Courier New" w:eastAsia="Courier New" w:cs="Courier New"/>
                <w:sz w:val="21"/>
                <w:szCs w:val="21"/>
                <w:u w:val="none"/>
              </w:rPr>
              <w:t>”</w:t>
            </w:r>
            <w:r>
              <w:rPr>
                <w:rFonts w:ascii="新宋体" w:hAnsi="新宋体" w:eastAsia="新宋体" w:cs="新宋体"/>
                <w:sz w:val="21"/>
                <w:szCs w:val="21"/>
                <w:u w:val="none"/>
              </w:rPr>
              <w:t>中应当如实记载环境保护设施设计、施工和验收过程简况、环境影响报告书（表）及其审批部门审批决定中提出的除环境保护设施外的其他环境保护对策措施的实施情况，以及整改工作情况等。相关地方政府或者政府部门承诺负责实施与项目建设配套的防护距离内居民搬迁、功能置换、栖息地保护等环境保护对策措施的，</w:t>
            </w:r>
          </w:p>
          <w:p>
            <w:pPr>
              <w:spacing w:line="360" w:lineRule="auto"/>
              <w:ind w:firstLine="420" w:firstLineChars="200"/>
              <w:rPr>
                <w:sz w:val="21"/>
                <w:szCs w:val="21"/>
                <w:u w:val="none"/>
              </w:rPr>
            </w:pPr>
            <w:r>
              <w:rPr>
                <w:rFonts w:ascii="新宋体" w:hAnsi="新宋体" w:eastAsia="新宋体" w:cs="新宋体"/>
                <w:sz w:val="21"/>
                <w:szCs w:val="21"/>
                <w:u w:val="none"/>
              </w:rPr>
              <w:t>建设单位应当积极配合地方政府或部门在所承诺的时限内完成，并在</w:t>
            </w:r>
            <w:r>
              <w:rPr>
                <w:rFonts w:ascii="Courier New" w:hAnsi="Courier New" w:eastAsia="Courier New" w:cs="Courier New"/>
                <w:sz w:val="21"/>
                <w:szCs w:val="21"/>
                <w:u w:val="none"/>
              </w:rPr>
              <w:t>“</w:t>
            </w:r>
            <w:r>
              <w:rPr>
                <w:rFonts w:ascii="新宋体" w:hAnsi="新宋体" w:eastAsia="新宋体" w:cs="新宋体"/>
                <w:sz w:val="21"/>
                <w:szCs w:val="21"/>
                <w:u w:val="none"/>
              </w:rPr>
              <w:t>其他需要说明的事项</w:t>
            </w:r>
            <w:r>
              <w:rPr>
                <w:rFonts w:ascii="Courier New" w:hAnsi="Courier New" w:eastAsia="Courier New" w:cs="Courier New"/>
                <w:sz w:val="21"/>
                <w:szCs w:val="21"/>
                <w:u w:val="none"/>
              </w:rPr>
              <w:t>”</w:t>
            </w:r>
            <w:r>
              <w:rPr>
                <w:rFonts w:ascii="新宋体" w:hAnsi="新宋体" w:eastAsia="新宋体" w:cs="新宋体"/>
                <w:sz w:val="21"/>
                <w:szCs w:val="21"/>
                <w:u w:val="none"/>
              </w:rPr>
              <w:t>中如实记载前述环境保护对策措施的实施情况。</w:t>
            </w:r>
          </w:p>
          <w:p>
            <w:pPr>
              <w:spacing w:line="360" w:lineRule="auto"/>
              <w:ind w:firstLine="420" w:firstLineChars="200"/>
              <w:rPr>
                <w:sz w:val="21"/>
                <w:szCs w:val="21"/>
                <w:u w:val="none"/>
              </w:rPr>
            </w:pPr>
            <w:r>
              <w:rPr>
                <w:rFonts w:hint="eastAsia" w:ascii="宋体" w:hAnsi="宋体" w:cs="宋体"/>
                <w:sz w:val="21"/>
                <w:szCs w:val="21"/>
                <w:u w:val="none"/>
              </w:rPr>
              <w:t>⑦</w:t>
            </w:r>
            <w:r>
              <w:rPr>
                <w:rFonts w:ascii="新宋体" w:hAnsi="新宋体" w:eastAsia="新宋体" w:cs="新宋体"/>
                <w:sz w:val="21"/>
                <w:szCs w:val="21"/>
                <w:u w:val="none"/>
              </w:rPr>
              <w:t>除按照国家需要保密的情形外，建设单位应当通过其网站或其他便于公众知晓的方式，向社会公开下列信息：</w:t>
            </w:r>
          </w:p>
          <w:p>
            <w:pPr>
              <w:spacing w:line="360" w:lineRule="auto"/>
              <w:ind w:firstLine="420" w:firstLineChars="200"/>
              <w:rPr>
                <w:rFonts w:ascii="新宋体" w:hAnsi="新宋体" w:eastAsia="新宋体" w:cs="新宋体"/>
                <w:sz w:val="21"/>
                <w:szCs w:val="21"/>
                <w:u w:val="none"/>
              </w:rPr>
            </w:pPr>
            <w:r>
              <w:rPr>
                <w:rFonts w:ascii="新宋体" w:hAnsi="新宋体" w:eastAsia="新宋体" w:cs="新宋体"/>
                <w:sz w:val="21"/>
                <w:szCs w:val="21"/>
                <w:u w:val="none"/>
              </w:rPr>
              <w:t>（一）建设项目配套建设的环境保护设施竣工后，公开竣工日期；</w:t>
            </w:r>
          </w:p>
          <w:p>
            <w:pPr>
              <w:spacing w:line="360" w:lineRule="auto"/>
              <w:ind w:firstLine="420" w:firstLineChars="200"/>
              <w:rPr>
                <w:sz w:val="21"/>
                <w:szCs w:val="21"/>
                <w:u w:val="none"/>
              </w:rPr>
            </w:pPr>
            <w:r>
              <w:rPr>
                <w:rFonts w:ascii="新宋体" w:hAnsi="新宋体" w:eastAsia="新宋体" w:cs="新宋体"/>
                <w:sz w:val="21"/>
                <w:szCs w:val="21"/>
                <w:u w:val="none"/>
              </w:rPr>
              <w:t>（二）对建设项目配套建设的环境保护设施进行调试前，公开调试的起止日期；</w:t>
            </w:r>
          </w:p>
          <w:p>
            <w:pPr>
              <w:spacing w:line="360" w:lineRule="auto"/>
              <w:ind w:firstLine="420" w:firstLineChars="200"/>
              <w:rPr>
                <w:rFonts w:hint="default" w:ascii="Times New Roman" w:hAnsi="Times New Roman" w:eastAsia="新宋体" w:cs="Times New Roman"/>
                <w:sz w:val="21"/>
                <w:szCs w:val="21"/>
                <w:u w:val="none"/>
              </w:rPr>
            </w:pPr>
            <w:r>
              <w:rPr>
                <w:rFonts w:ascii="新宋体" w:hAnsi="新宋体" w:eastAsia="新宋体" w:cs="新宋体"/>
                <w:sz w:val="21"/>
                <w:szCs w:val="21"/>
                <w:u w:val="none"/>
              </w:rPr>
              <w:t>（三）验收</w:t>
            </w:r>
            <w:r>
              <w:rPr>
                <w:rFonts w:hint="default" w:ascii="Times New Roman" w:hAnsi="Times New Roman" w:eastAsia="新宋体" w:cs="Times New Roman"/>
                <w:sz w:val="21"/>
                <w:szCs w:val="21"/>
                <w:u w:val="none"/>
              </w:rPr>
              <w:t>报告编制完成后</w:t>
            </w:r>
            <w:r>
              <w:rPr>
                <w:rFonts w:hint="default" w:ascii="Times New Roman" w:hAnsi="Times New Roman" w:eastAsia="Courier New" w:cs="Times New Roman"/>
                <w:sz w:val="21"/>
                <w:szCs w:val="21"/>
                <w:u w:val="none"/>
              </w:rPr>
              <w:t>5</w:t>
            </w:r>
            <w:r>
              <w:rPr>
                <w:rFonts w:hint="default" w:ascii="Times New Roman" w:hAnsi="Times New Roman" w:eastAsia="新宋体" w:cs="Times New Roman"/>
                <w:sz w:val="21"/>
                <w:szCs w:val="21"/>
                <w:u w:val="none"/>
              </w:rPr>
              <w:t>个工作日内，公开验收报告，公示的期限不得少于</w:t>
            </w:r>
            <w:r>
              <w:rPr>
                <w:rFonts w:hint="default" w:ascii="Times New Roman" w:hAnsi="Times New Roman" w:eastAsia="Courier New" w:cs="Times New Roman"/>
                <w:sz w:val="21"/>
                <w:szCs w:val="21"/>
                <w:u w:val="none"/>
              </w:rPr>
              <w:t>20</w:t>
            </w:r>
            <w:r>
              <w:rPr>
                <w:rFonts w:hint="default" w:ascii="Times New Roman" w:hAnsi="Times New Roman" w:eastAsia="新宋体" w:cs="Times New Roman"/>
                <w:sz w:val="21"/>
                <w:szCs w:val="21"/>
                <w:u w:val="none"/>
              </w:rPr>
              <w:t>个工作日。建设单位公开上述信息的同时，应当向所在地县级以上环境保护主管部门报送相关信息，并接受监督检查。</w:t>
            </w:r>
          </w:p>
          <w:p>
            <w:pPr>
              <w:spacing w:line="360" w:lineRule="auto"/>
              <w:ind w:firstLine="420" w:firstLineChars="200"/>
              <w:rPr>
                <w:rFonts w:hint="default" w:ascii="Times New Roman" w:hAnsi="Times New Roman" w:cs="Times New Roman"/>
                <w:sz w:val="21"/>
                <w:szCs w:val="21"/>
                <w:u w:val="none"/>
              </w:rPr>
            </w:pPr>
            <w:r>
              <w:rPr>
                <w:rFonts w:hint="default" w:ascii="Times New Roman" w:hAnsi="Times New Roman" w:cs="Times New Roman"/>
                <w:sz w:val="21"/>
                <w:szCs w:val="21"/>
                <w:u w:val="none"/>
              </w:rPr>
              <w:t>⑧</w:t>
            </w:r>
            <w:r>
              <w:rPr>
                <w:rFonts w:hint="default" w:ascii="Times New Roman" w:hAnsi="Times New Roman" w:eastAsia="新宋体" w:cs="Times New Roman"/>
                <w:sz w:val="21"/>
                <w:szCs w:val="21"/>
                <w:u w:val="none"/>
              </w:rPr>
              <w:t>除需要取得排污许可证的水和大气污染防治设施外，其他环境保护设施的验收期限一般不超过</w:t>
            </w:r>
            <w:r>
              <w:rPr>
                <w:rFonts w:hint="default" w:ascii="Times New Roman" w:hAnsi="Times New Roman" w:eastAsia="Courier New" w:cs="Times New Roman"/>
                <w:sz w:val="21"/>
                <w:szCs w:val="21"/>
                <w:u w:val="none"/>
              </w:rPr>
              <w:t>3</w:t>
            </w:r>
            <w:r>
              <w:rPr>
                <w:rFonts w:hint="default" w:ascii="Times New Roman" w:hAnsi="Times New Roman" w:eastAsia="新宋体" w:cs="Times New Roman"/>
                <w:sz w:val="21"/>
                <w:szCs w:val="21"/>
                <w:u w:val="none"/>
              </w:rPr>
              <w:t>个月；需要对该类环境保护设施进行调试或者整改的，验收期限可以适当延期，但最长不超过</w:t>
            </w:r>
            <w:r>
              <w:rPr>
                <w:rFonts w:hint="default" w:ascii="Times New Roman" w:hAnsi="Times New Roman" w:eastAsia="Courier New" w:cs="Times New Roman"/>
                <w:sz w:val="21"/>
                <w:szCs w:val="21"/>
                <w:u w:val="none"/>
              </w:rPr>
              <w:t xml:space="preserve">12 </w:t>
            </w:r>
            <w:r>
              <w:rPr>
                <w:rFonts w:hint="default" w:ascii="Times New Roman" w:hAnsi="Times New Roman" w:eastAsia="新宋体" w:cs="Times New Roman"/>
                <w:sz w:val="21"/>
                <w:szCs w:val="21"/>
                <w:u w:val="none"/>
              </w:rPr>
              <w:t>个月。验收期限是指自建设项目环境保护设施竣工之日起至建设单位向社会公开验收报告之日止的时间。</w:t>
            </w:r>
          </w:p>
          <w:p>
            <w:pPr>
              <w:spacing w:line="360" w:lineRule="auto"/>
              <w:ind w:firstLine="420" w:firstLineChars="200"/>
              <w:rPr>
                <w:kern w:val="0"/>
                <w:sz w:val="21"/>
                <w:szCs w:val="21"/>
                <w:u w:val="none"/>
              </w:rPr>
            </w:pPr>
            <w:r>
              <w:rPr>
                <w:rFonts w:hint="default" w:ascii="Times New Roman" w:hAnsi="Times New Roman" w:cs="Times New Roman"/>
                <w:sz w:val="21"/>
                <w:szCs w:val="21"/>
                <w:u w:val="none"/>
              </w:rPr>
              <w:t>⑨</w:t>
            </w:r>
            <w:r>
              <w:rPr>
                <w:rFonts w:hint="default" w:ascii="Times New Roman" w:hAnsi="Times New Roman" w:eastAsia="新宋体" w:cs="Times New Roman"/>
                <w:kern w:val="0"/>
                <w:sz w:val="21"/>
                <w:szCs w:val="21"/>
                <w:u w:val="none"/>
              </w:rPr>
              <w:t>验收报告公示期满后</w:t>
            </w:r>
            <w:r>
              <w:rPr>
                <w:rFonts w:hint="default" w:ascii="Times New Roman" w:hAnsi="Times New Roman" w:eastAsia="新宋体" w:cs="Times New Roman"/>
                <w:kern w:val="0"/>
                <w:sz w:val="21"/>
                <w:szCs w:val="21"/>
                <w:u w:val="none"/>
                <w:lang w:val="en-US" w:eastAsia="zh-CN"/>
              </w:rPr>
              <w:t>5</w:t>
            </w:r>
            <w:r>
              <w:rPr>
                <w:rFonts w:hint="default" w:ascii="Times New Roman" w:hAnsi="Times New Roman" w:eastAsia="新宋体" w:cs="Times New Roman"/>
                <w:kern w:val="0"/>
                <w:sz w:val="21"/>
                <w:szCs w:val="21"/>
                <w:u w:val="none"/>
              </w:rPr>
              <w:t>个工作日内，建设单位应当登录全国建设项目竣工环境保护验收信息平</w:t>
            </w:r>
            <w:r>
              <w:rPr>
                <w:rFonts w:ascii="新宋体" w:hAnsi="新宋体" w:eastAsia="新宋体" w:cs="新宋体"/>
                <w:kern w:val="0"/>
                <w:sz w:val="21"/>
                <w:szCs w:val="21"/>
                <w:u w:val="none"/>
              </w:rPr>
              <w:t>台，填报建设项目基本信息、环境保护设施验收情况等相关信息，环境保护主管部门对上述信息予以公开。建设单位应当将验收报告以及其他档案资料存档备查。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color w:val="auto"/>
                <w:sz w:val="21"/>
                <w:szCs w:val="21"/>
                <w:u w:val="none"/>
                <w:lang w:val="en-US" w:eastAsia="zh-CN"/>
              </w:rPr>
            </w:pPr>
            <w:r>
              <w:rPr>
                <w:rFonts w:hint="eastAsia"/>
                <w:sz w:val="21"/>
                <w:szCs w:val="21"/>
                <w:u w:val="none"/>
              </w:rPr>
              <w:t>⑩</w:t>
            </w:r>
            <w:r>
              <w:rPr>
                <w:rFonts w:ascii="新宋体" w:hAnsi="新宋体" w:eastAsia="新宋体" w:cs="新宋体"/>
                <w:sz w:val="21"/>
                <w:szCs w:val="21"/>
                <w:u w:val="none"/>
              </w:rPr>
              <w:t>纳入排污许可管理的建设项目，排污单位应当在项目产生实际污染物排放之前，按照国家排污许可有关管理规定要求，申请排污许可证，不得无证排污或不按证排污。建设项目验收报告中与污染物排放相关的主要内容应当纳入该项目验收完成当年排污许可证执行年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color w:val="auto"/>
                <w:sz w:val="21"/>
                <w:szCs w:val="21"/>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color w:val="auto"/>
                <w:sz w:val="21"/>
                <w:szCs w:val="21"/>
                <w:lang w:val="en-US" w:eastAsia="zh-CN"/>
              </w:rPr>
            </w:pPr>
          </w:p>
        </w:tc>
      </w:tr>
    </w:tbl>
    <w:p>
      <w:pPr>
        <w:pStyle w:val="13"/>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cs="Times New Roman"/>
          <w:snapToGrid w:val="0"/>
          <w:color w:val="auto"/>
          <w:highlight w:val="none"/>
        </w:rPr>
        <w:br w:type="page"/>
      </w:r>
      <w:r>
        <w:rPr>
          <w:rFonts w:hint="default" w:ascii="Times New Roman" w:hAnsi="Times New Roman" w:eastAsia="黑体" w:cs="Times New Roman"/>
          <w:snapToGrid w:val="0"/>
          <w:color w:val="auto"/>
          <w:sz w:val="30"/>
          <w:szCs w:val="30"/>
          <w:highlight w:val="none"/>
        </w:rPr>
        <w:t>六、结论</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jc w:val="both"/>
              <w:textAlignment w:val="auto"/>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通过对该项目的工程分析、环境影响分析，在采取本报告提出的污染控制措施的基础上，本项目对环境的影响较小。本项目在拟建地的建设和实施从环境保护的角度分析是可行的。建设单位应严格按照本报告提出的要求，切实落实相应的污染防治对策，严格执行“三同时”制度，在各环境风险防范措施落实到位的情况下，将可大大降低本项目的环境风险，最大程度减少对环境可能造成的危害</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并加强环保设施管理和维护，确保环保设施的正常高效运行，减缓拟建项目建设对环境带来的不利影响，使工程建设与环境保护协调发展</w:t>
            </w:r>
            <w:r>
              <w:rPr>
                <w:rFonts w:hint="eastAsia" w:ascii="Times New Roman" w:hAnsi="Times New Roman" w:eastAsia="宋体" w:cs="Times New Roman"/>
                <w:color w:val="auto"/>
                <w:sz w:val="24"/>
                <w:highlight w:val="none"/>
                <w:lang w:eastAsia="zh-CN"/>
              </w:rPr>
              <w:t>。</w:t>
            </w:r>
          </w:p>
        </w:tc>
      </w:tr>
    </w:tbl>
    <w:p>
      <w:pPr>
        <w:rPr>
          <w:rFonts w:hint="default" w:ascii="Times New Roman" w:hAnsi="Times New Roman" w:cs="Times New Roman"/>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textAlignment w:val="auto"/>
        <w:outlineLvl w:val="0"/>
        <w:rPr>
          <w:rFonts w:hint="default" w:ascii="Times New Roman" w:hAnsi="Times New Roman" w:eastAsia="黑体" w:cs="Times New Roman"/>
          <w:snapToGrid w:val="0"/>
          <w:color w:val="auto"/>
          <w:sz w:val="32"/>
          <w:szCs w:val="32"/>
          <w:highlight w:val="none"/>
        </w:rPr>
      </w:pPr>
      <w:r>
        <w:rPr>
          <w:rFonts w:hint="default" w:ascii="Times New Roman" w:hAnsi="Times New Roman" w:eastAsia="黑体" w:cs="Times New Roman"/>
          <w:snapToGrid w:val="0"/>
          <w:color w:val="auto"/>
          <w:sz w:val="32"/>
          <w:szCs w:val="32"/>
          <w:highlight w:val="none"/>
        </w:rPr>
        <w:t>附表</w:t>
      </w: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288" w:lineRule="auto"/>
        <w:jc w:val="center"/>
        <w:textAlignment w:val="auto"/>
        <w:outlineLvl w:val="0"/>
        <w:rPr>
          <w:rFonts w:hint="default" w:ascii="Times New Roman" w:hAnsi="Times New Roman" w:eastAsia="方正小标宋_GBK" w:cs="Times New Roman"/>
          <w:snapToGrid w:val="0"/>
          <w:color w:val="auto"/>
          <w:sz w:val="38"/>
          <w:szCs w:val="38"/>
          <w:highlight w:val="none"/>
        </w:rPr>
      </w:pPr>
      <w:r>
        <w:rPr>
          <w:rFonts w:hint="default" w:ascii="Times New Roman" w:hAnsi="Times New Roman" w:eastAsia="方正小标宋_GBK" w:cs="Times New Roman"/>
          <w:snapToGrid w:val="0"/>
          <w:color w:val="auto"/>
          <w:sz w:val="38"/>
          <w:szCs w:val="38"/>
          <w:highlight w:val="none"/>
        </w:rPr>
        <w:t>建设项目污染物排放量汇总表</w:t>
      </w:r>
    </w:p>
    <w:tbl>
      <w:tblPr>
        <w:tblStyle w:val="15"/>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22"/>
              <w:spacing w:beforeLines="0" w:afterLines="0" w:line="240" w:lineRule="auto"/>
              <w:jc w:val="right"/>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项目</w:t>
            </w:r>
          </w:p>
          <w:p>
            <w:pPr>
              <w:pStyle w:val="22"/>
              <w:spacing w:beforeLines="0" w:afterLines="0" w:line="240" w:lineRule="auto"/>
              <w:jc w:val="left"/>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分类</w:t>
            </w:r>
          </w:p>
        </w:tc>
        <w:tc>
          <w:tcPr>
            <w:tcW w:w="1417" w:type="dxa"/>
            <w:noWrap w:val="0"/>
            <w:tcMar>
              <w:left w:w="28" w:type="dxa"/>
              <w:right w:w="28" w:type="dxa"/>
            </w:tcMar>
            <w:vAlign w:val="center"/>
          </w:tcPr>
          <w:p>
            <w:pPr>
              <w:pStyle w:val="22"/>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污染物名称</w:t>
            </w:r>
          </w:p>
        </w:tc>
        <w:tc>
          <w:tcPr>
            <w:tcW w:w="1701" w:type="dxa"/>
            <w:noWrap w:val="0"/>
            <w:tcMar>
              <w:left w:w="28" w:type="dxa"/>
              <w:right w:w="28" w:type="dxa"/>
            </w:tcMar>
            <w:vAlign w:val="center"/>
          </w:tcPr>
          <w:p>
            <w:pPr>
              <w:pStyle w:val="22"/>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现有工程</w:t>
            </w:r>
          </w:p>
          <w:p>
            <w:pPr>
              <w:pStyle w:val="22"/>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排放量（固体废物产生量）</w:t>
            </w:r>
            <w:r>
              <w:rPr>
                <w:rFonts w:hint="default" w:ascii="Times New Roman" w:hAnsi="Times New Roman" w:eastAsia="黑体" w:cs="Times New Roman"/>
                <w:snapToGrid w:val="0"/>
                <w:color w:val="auto"/>
                <w:spacing w:val="-6"/>
                <w:kern w:val="21"/>
                <w:szCs w:val="21"/>
                <w:highlight w:val="none"/>
              </w:rPr>
              <w:fldChar w:fldCharType="begin"/>
            </w:r>
            <w:r>
              <w:rPr>
                <w:rFonts w:hint="default" w:ascii="Times New Roman" w:hAnsi="Times New Roman" w:eastAsia="黑体" w:cs="Times New Roman"/>
                <w:snapToGrid w:val="0"/>
                <w:color w:val="auto"/>
                <w:spacing w:val="-6"/>
                <w:kern w:val="21"/>
                <w:szCs w:val="21"/>
                <w:highlight w:val="none"/>
              </w:rPr>
              <w:instrText xml:space="preserve"> = 1 \* GB3 \* MERGEFORMAT </w:instrText>
            </w:r>
            <w:r>
              <w:rPr>
                <w:rFonts w:hint="default" w:ascii="Times New Roman" w:hAnsi="Times New Roman" w:eastAsia="黑体" w:cs="Times New Roman"/>
                <w:snapToGrid w:val="0"/>
                <w:color w:val="auto"/>
                <w:spacing w:val="-6"/>
                <w:kern w:val="21"/>
                <w:szCs w:val="21"/>
                <w:highlight w:val="none"/>
              </w:rPr>
              <w:fldChar w:fldCharType="separate"/>
            </w:r>
            <w:r>
              <w:rPr>
                <w:rFonts w:hint="default" w:ascii="Times New Roman" w:hAnsi="Times New Roman" w:eastAsia="黑体" w:cs="Times New Roman"/>
                <w:color w:val="auto"/>
                <w:kern w:val="2"/>
                <w:szCs w:val="21"/>
                <w:highlight w:val="none"/>
              </w:rPr>
              <w:t>①</w:t>
            </w:r>
            <w:r>
              <w:rPr>
                <w:rFonts w:hint="default" w:ascii="Times New Roman" w:hAnsi="Times New Roman" w:eastAsia="黑体" w:cs="Times New Roman"/>
                <w:snapToGrid w:val="0"/>
                <w:color w:val="auto"/>
                <w:spacing w:val="-6"/>
                <w:kern w:val="21"/>
                <w:szCs w:val="21"/>
                <w:highlight w:val="none"/>
              </w:rPr>
              <w:fldChar w:fldCharType="end"/>
            </w:r>
          </w:p>
        </w:tc>
        <w:tc>
          <w:tcPr>
            <w:tcW w:w="1276" w:type="dxa"/>
            <w:noWrap w:val="0"/>
            <w:tcMar>
              <w:left w:w="28" w:type="dxa"/>
              <w:right w:w="28" w:type="dxa"/>
            </w:tcMar>
            <w:vAlign w:val="center"/>
          </w:tcPr>
          <w:p>
            <w:pPr>
              <w:pStyle w:val="22"/>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现有工程</w:t>
            </w:r>
          </w:p>
          <w:p>
            <w:pPr>
              <w:pStyle w:val="22"/>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许可排放量</w:t>
            </w:r>
          </w:p>
          <w:p>
            <w:pPr>
              <w:pStyle w:val="22"/>
              <w:spacing w:beforeLines="0" w:afterLines="0"/>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fldChar w:fldCharType="begin"/>
            </w:r>
            <w:r>
              <w:rPr>
                <w:rFonts w:hint="default" w:ascii="Times New Roman" w:hAnsi="Times New Roman" w:eastAsia="黑体" w:cs="Times New Roman"/>
                <w:snapToGrid w:val="0"/>
                <w:color w:val="auto"/>
                <w:spacing w:val="-6"/>
                <w:kern w:val="21"/>
                <w:szCs w:val="21"/>
                <w:highlight w:val="none"/>
              </w:rPr>
              <w:instrText xml:space="preserve"> = 2 \* GB3 \* MERGEFORMAT </w:instrText>
            </w:r>
            <w:r>
              <w:rPr>
                <w:rFonts w:hint="default" w:ascii="Times New Roman" w:hAnsi="Times New Roman" w:eastAsia="黑体" w:cs="Times New Roman"/>
                <w:snapToGrid w:val="0"/>
                <w:color w:val="auto"/>
                <w:spacing w:val="-6"/>
                <w:kern w:val="21"/>
                <w:szCs w:val="21"/>
                <w:highlight w:val="none"/>
              </w:rPr>
              <w:fldChar w:fldCharType="separate"/>
            </w:r>
            <w:r>
              <w:rPr>
                <w:rFonts w:hint="default" w:ascii="Times New Roman" w:hAnsi="Times New Roman" w:eastAsia="黑体" w:cs="Times New Roman"/>
                <w:snapToGrid w:val="0"/>
                <w:color w:val="auto"/>
                <w:spacing w:val="-6"/>
                <w:kern w:val="21"/>
                <w:szCs w:val="21"/>
                <w:highlight w:val="none"/>
              </w:rPr>
              <w:t>②</w:t>
            </w:r>
            <w:r>
              <w:rPr>
                <w:rFonts w:hint="default" w:ascii="Times New Roman" w:hAnsi="Times New Roman" w:eastAsia="黑体" w:cs="Times New Roman"/>
                <w:snapToGrid w:val="0"/>
                <w:color w:val="auto"/>
                <w:spacing w:val="-6"/>
                <w:kern w:val="21"/>
                <w:szCs w:val="21"/>
                <w:highlight w:val="none"/>
              </w:rPr>
              <w:fldChar w:fldCharType="end"/>
            </w:r>
          </w:p>
        </w:tc>
        <w:tc>
          <w:tcPr>
            <w:tcW w:w="1701" w:type="dxa"/>
            <w:noWrap w:val="0"/>
            <w:tcMar>
              <w:left w:w="28" w:type="dxa"/>
              <w:right w:w="28" w:type="dxa"/>
            </w:tcMar>
            <w:vAlign w:val="center"/>
          </w:tcPr>
          <w:p>
            <w:pPr>
              <w:pStyle w:val="22"/>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在建工程</w:t>
            </w:r>
          </w:p>
          <w:p>
            <w:pPr>
              <w:pStyle w:val="22"/>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排放量（固体废物产生量）</w:t>
            </w:r>
            <w:r>
              <w:rPr>
                <w:rFonts w:hint="default" w:ascii="Times New Roman" w:hAnsi="Times New Roman" w:eastAsia="黑体" w:cs="Times New Roman"/>
                <w:snapToGrid w:val="0"/>
                <w:color w:val="auto"/>
                <w:spacing w:val="-6"/>
                <w:kern w:val="21"/>
                <w:szCs w:val="21"/>
                <w:highlight w:val="none"/>
              </w:rPr>
              <w:fldChar w:fldCharType="begin"/>
            </w:r>
            <w:r>
              <w:rPr>
                <w:rFonts w:hint="default" w:ascii="Times New Roman" w:hAnsi="Times New Roman" w:eastAsia="黑体" w:cs="Times New Roman"/>
                <w:snapToGrid w:val="0"/>
                <w:color w:val="auto"/>
                <w:spacing w:val="-6"/>
                <w:kern w:val="21"/>
                <w:szCs w:val="21"/>
                <w:highlight w:val="none"/>
              </w:rPr>
              <w:instrText xml:space="preserve"> = 3 \* GB3 \* MERGEFORMAT </w:instrText>
            </w:r>
            <w:r>
              <w:rPr>
                <w:rFonts w:hint="default" w:ascii="Times New Roman" w:hAnsi="Times New Roman" w:eastAsia="黑体" w:cs="Times New Roman"/>
                <w:snapToGrid w:val="0"/>
                <w:color w:val="auto"/>
                <w:spacing w:val="-6"/>
                <w:kern w:val="21"/>
                <w:szCs w:val="21"/>
                <w:highlight w:val="none"/>
              </w:rPr>
              <w:fldChar w:fldCharType="separate"/>
            </w:r>
            <w:r>
              <w:rPr>
                <w:rFonts w:hint="default" w:ascii="Times New Roman" w:hAnsi="Times New Roman" w:eastAsia="黑体" w:cs="Times New Roman"/>
                <w:color w:val="auto"/>
                <w:kern w:val="2"/>
                <w:szCs w:val="21"/>
                <w:highlight w:val="none"/>
              </w:rPr>
              <w:t>③</w:t>
            </w:r>
            <w:r>
              <w:rPr>
                <w:rFonts w:hint="default" w:ascii="Times New Roman" w:hAnsi="Times New Roman" w:eastAsia="黑体" w:cs="Times New Roman"/>
                <w:snapToGrid w:val="0"/>
                <w:color w:val="auto"/>
                <w:spacing w:val="-6"/>
                <w:kern w:val="21"/>
                <w:szCs w:val="21"/>
                <w:highlight w:val="none"/>
              </w:rPr>
              <w:fldChar w:fldCharType="end"/>
            </w:r>
          </w:p>
        </w:tc>
        <w:tc>
          <w:tcPr>
            <w:tcW w:w="1559" w:type="dxa"/>
            <w:noWrap w:val="0"/>
            <w:tcMar>
              <w:left w:w="28" w:type="dxa"/>
              <w:right w:w="28" w:type="dxa"/>
            </w:tcMar>
            <w:vAlign w:val="center"/>
          </w:tcPr>
          <w:p>
            <w:pPr>
              <w:pStyle w:val="22"/>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本项目</w:t>
            </w:r>
          </w:p>
          <w:p>
            <w:pPr>
              <w:pStyle w:val="22"/>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排放量（固体废物产生量）</w:t>
            </w:r>
            <w:r>
              <w:rPr>
                <w:rFonts w:hint="default" w:ascii="Times New Roman" w:hAnsi="Times New Roman" w:eastAsia="黑体" w:cs="Times New Roman"/>
                <w:snapToGrid w:val="0"/>
                <w:color w:val="auto"/>
                <w:spacing w:val="-6"/>
                <w:kern w:val="21"/>
                <w:szCs w:val="21"/>
                <w:highlight w:val="none"/>
              </w:rPr>
              <w:fldChar w:fldCharType="begin"/>
            </w:r>
            <w:r>
              <w:rPr>
                <w:rFonts w:hint="default" w:ascii="Times New Roman" w:hAnsi="Times New Roman" w:eastAsia="黑体" w:cs="Times New Roman"/>
                <w:snapToGrid w:val="0"/>
                <w:color w:val="auto"/>
                <w:spacing w:val="-6"/>
                <w:kern w:val="21"/>
                <w:szCs w:val="21"/>
                <w:highlight w:val="none"/>
              </w:rPr>
              <w:instrText xml:space="preserve"> = 4 \* GB3 \* MERGEFORMAT </w:instrText>
            </w:r>
            <w:r>
              <w:rPr>
                <w:rFonts w:hint="default" w:ascii="Times New Roman" w:hAnsi="Times New Roman" w:eastAsia="黑体" w:cs="Times New Roman"/>
                <w:snapToGrid w:val="0"/>
                <w:color w:val="auto"/>
                <w:spacing w:val="-6"/>
                <w:kern w:val="21"/>
                <w:szCs w:val="21"/>
                <w:highlight w:val="none"/>
              </w:rPr>
              <w:fldChar w:fldCharType="separate"/>
            </w:r>
            <w:r>
              <w:rPr>
                <w:rFonts w:hint="default" w:ascii="Times New Roman" w:hAnsi="Times New Roman" w:eastAsia="黑体" w:cs="Times New Roman"/>
                <w:color w:val="auto"/>
                <w:kern w:val="2"/>
                <w:szCs w:val="21"/>
                <w:highlight w:val="none"/>
              </w:rPr>
              <w:t>④</w:t>
            </w:r>
            <w:r>
              <w:rPr>
                <w:rFonts w:hint="default" w:ascii="Times New Roman" w:hAnsi="Times New Roman" w:eastAsia="黑体" w:cs="Times New Roman"/>
                <w:snapToGrid w:val="0"/>
                <w:color w:val="auto"/>
                <w:spacing w:val="-6"/>
                <w:kern w:val="21"/>
                <w:szCs w:val="21"/>
                <w:highlight w:val="none"/>
              </w:rPr>
              <w:fldChar w:fldCharType="end"/>
            </w:r>
          </w:p>
        </w:tc>
        <w:tc>
          <w:tcPr>
            <w:tcW w:w="1761" w:type="dxa"/>
            <w:noWrap w:val="0"/>
            <w:tcMar>
              <w:left w:w="28" w:type="dxa"/>
              <w:right w:w="28" w:type="dxa"/>
            </w:tcMar>
            <w:vAlign w:val="center"/>
          </w:tcPr>
          <w:p>
            <w:pPr>
              <w:pStyle w:val="22"/>
              <w:spacing w:beforeLines="0" w:afterLines="0" w:line="240" w:lineRule="auto"/>
              <w:rPr>
                <w:rFonts w:hint="default" w:ascii="Times New Roman" w:hAnsi="Times New Roman" w:eastAsia="黑体" w:cs="Times New Roman"/>
                <w:snapToGrid w:val="0"/>
                <w:color w:val="auto"/>
                <w:spacing w:val="-16"/>
                <w:kern w:val="21"/>
                <w:szCs w:val="21"/>
                <w:highlight w:val="none"/>
              </w:rPr>
            </w:pPr>
            <w:r>
              <w:rPr>
                <w:rFonts w:hint="default" w:ascii="Times New Roman" w:hAnsi="Times New Roman" w:eastAsia="黑体" w:cs="Times New Roman"/>
                <w:snapToGrid w:val="0"/>
                <w:color w:val="auto"/>
                <w:spacing w:val="-16"/>
                <w:kern w:val="21"/>
                <w:szCs w:val="21"/>
                <w:highlight w:val="none"/>
              </w:rPr>
              <w:t>以新带老削减量</w:t>
            </w:r>
          </w:p>
          <w:p>
            <w:pPr>
              <w:pStyle w:val="22"/>
              <w:spacing w:beforeLines="0" w:afterLines="0" w:line="240" w:lineRule="auto"/>
              <w:rPr>
                <w:rFonts w:hint="default" w:ascii="Times New Roman" w:hAnsi="Times New Roman" w:eastAsia="黑体" w:cs="Times New Roman"/>
                <w:snapToGrid w:val="0"/>
                <w:color w:val="auto"/>
                <w:spacing w:val="-16"/>
                <w:kern w:val="21"/>
                <w:szCs w:val="21"/>
                <w:highlight w:val="none"/>
              </w:rPr>
            </w:pPr>
            <w:r>
              <w:rPr>
                <w:rFonts w:hint="default" w:ascii="Times New Roman" w:hAnsi="Times New Roman" w:eastAsia="黑体" w:cs="Times New Roman"/>
                <w:snapToGrid w:val="0"/>
                <w:color w:val="auto"/>
                <w:spacing w:val="-16"/>
                <w:kern w:val="21"/>
                <w:szCs w:val="21"/>
                <w:highlight w:val="none"/>
              </w:rPr>
              <w:t>（新建项目不填）</w:t>
            </w:r>
            <w:r>
              <w:rPr>
                <w:rFonts w:hint="default" w:ascii="Times New Roman" w:hAnsi="Times New Roman" w:eastAsia="黑体" w:cs="Times New Roman"/>
                <w:snapToGrid w:val="0"/>
                <w:color w:val="auto"/>
                <w:spacing w:val="-16"/>
                <w:kern w:val="21"/>
                <w:szCs w:val="21"/>
                <w:highlight w:val="none"/>
              </w:rPr>
              <w:fldChar w:fldCharType="begin"/>
            </w:r>
            <w:r>
              <w:rPr>
                <w:rFonts w:hint="default" w:ascii="Times New Roman" w:hAnsi="Times New Roman" w:eastAsia="黑体" w:cs="Times New Roman"/>
                <w:snapToGrid w:val="0"/>
                <w:color w:val="auto"/>
                <w:spacing w:val="-16"/>
                <w:kern w:val="21"/>
                <w:szCs w:val="21"/>
                <w:highlight w:val="none"/>
              </w:rPr>
              <w:instrText xml:space="preserve"> = 5 \* GB3 \* MERGEFORMAT </w:instrText>
            </w:r>
            <w:r>
              <w:rPr>
                <w:rFonts w:hint="default" w:ascii="Times New Roman" w:hAnsi="Times New Roman" w:eastAsia="黑体" w:cs="Times New Roman"/>
                <w:snapToGrid w:val="0"/>
                <w:color w:val="auto"/>
                <w:spacing w:val="-16"/>
                <w:kern w:val="21"/>
                <w:szCs w:val="21"/>
                <w:highlight w:val="none"/>
              </w:rPr>
              <w:fldChar w:fldCharType="separate"/>
            </w:r>
            <w:r>
              <w:rPr>
                <w:rFonts w:hint="default" w:ascii="Times New Roman" w:hAnsi="Times New Roman" w:eastAsia="黑体" w:cs="Times New Roman"/>
                <w:color w:val="auto"/>
                <w:kern w:val="2"/>
                <w:szCs w:val="21"/>
                <w:highlight w:val="none"/>
              </w:rPr>
              <w:t>⑤</w:t>
            </w:r>
            <w:r>
              <w:rPr>
                <w:rFonts w:hint="default" w:ascii="Times New Roman" w:hAnsi="Times New Roman" w:eastAsia="黑体" w:cs="Times New Roman"/>
                <w:snapToGrid w:val="0"/>
                <w:color w:val="auto"/>
                <w:spacing w:val="-16"/>
                <w:kern w:val="21"/>
                <w:szCs w:val="21"/>
                <w:highlight w:val="none"/>
              </w:rPr>
              <w:fldChar w:fldCharType="end"/>
            </w:r>
          </w:p>
        </w:tc>
        <w:tc>
          <w:tcPr>
            <w:tcW w:w="1959" w:type="dxa"/>
            <w:noWrap w:val="0"/>
            <w:tcMar>
              <w:left w:w="28" w:type="dxa"/>
              <w:right w:w="28" w:type="dxa"/>
            </w:tcMar>
            <w:vAlign w:val="center"/>
          </w:tcPr>
          <w:p>
            <w:pPr>
              <w:pStyle w:val="22"/>
              <w:spacing w:beforeLines="0" w:afterLines="0" w:line="240" w:lineRule="auto"/>
              <w:rPr>
                <w:rFonts w:hint="default" w:ascii="Times New Roman" w:hAnsi="Times New Roman" w:eastAsia="黑体" w:cs="Times New Roman"/>
                <w:snapToGrid w:val="0"/>
                <w:color w:val="auto"/>
                <w:spacing w:val="-16"/>
                <w:kern w:val="21"/>
                <w:szCs w:val="21"/>
                <w:highlight w:val="none"/>
              </w:rPr>
            </w:pPr>
            <w:r>
              <w:rPr>
                <w:rFonts w:hint="default" w:ascii="Times New Roman" w:hAnsi="Times New Roman" w:eastAsia="黑体" w:cs="Times New Roman"/>
                <w:snapToGrid w:val="0"/>
                <w:color w:val="auto"/>
                <w:spacing w:val="-16"/>
                <w:kern w:val="21"/>
                <w:szCs w:val="21"/>
                <w:highlight w:val="none"/>
              </w:rPr>
              <w:t>本项目建成后</w:t>
            </w:r>
          </w:p>
          <w:p>
            <w:pPr>
              <w:pStyle w:val="22"/>
              <w:spacing w:beforeLines="0" w:afterLines="0" w:line="240" w:lineRule="auto"/>
              <w:rPr>
                <w:rFonts w:hint="default" w:ascii="Times New Roman" w:hAnsi="Times New Roman" w:eastAsia="黑体" w:cs="Times New Roman"/>
                <w:snapToGrid w:val="0"/>
                <w:color w:val="auto"/>
                <w:spacing w:val="-16"/>
                <w:kern w:val="21"/>
                <w:szCs w:val="21"/>
                <w:highlight w:val="none"/>
              </w:rPr>
            </w:pPr>
            <w:r>
              <w:rPr>
                <w:rFonts w:hint="default" w:ascii="Times New Roman" w:hAnsi="Times New Roman" w:eastAsia="黑体" w:cs="Times New Roman"/>
                <w:snapToGrid w:val="0"/>
                <w:color w:val="auto"/>
                <w:spacing w:val="-16"/>
                <w:kern w:val="21"/>
                <w:szCs w:val="21"/>
                <w:highlight w:val="none"/>
              </w:rPr>
              <w:t>全厂排放量（固体废物产生量）</w:t>
            </w:r>
            <w:r>
              <w:rPr>
                <w:rFonts w:hint="default" w:ascii="Times New Roman" w:hAnsi="Times New Roman" w:eastAsia="黑体" w:cs="Times New Roman"/>
                <w:snapToGrid w:val="0"/>
                <w:color w:val="auto"/>
                <w:spacing w:val="-16"/>
                <w:kern w:val="21"/>
                <w:szCs w:val="21"/>
                <w:highlight w:val="none"/>
              </w:rPr>
              <w:fldChar w:fldCharType="begin"/>
            </w:r>
            <w:r>
              <w:rPr>
                <w:rFonts w:hint="default" w:ascii="Times New Roman" w:hAnsi="Times New Roman" w:eastAsia="黑体" w:cs="Times New Roman"/>
                <w:snapToGrid w:val="0"/>
                <w:color w:val="auto"/>
                <w:spacing w:val="-16"/>
                <w:kern w:val="21"/>
                <w:szCs w:val="21"/>
                <w:highlight w:val="none"/>
              </w:rPr>
              <w:instrText xml:space="preserve"> = 6 \* GB3 \* MERGEFORMAT </w:instrText>
            </w:r>
            <w:r>
              <w:rPr>
                <w:rFonts w:hint="default" w:ascii="Times New Roman" w:hAnsi="Times New Roman" w:eastAsia="黑体" w:cs="Times New Roman"/>
                <w:snapToGrid w:val="0"/>
                <w:color w:val="auto"/>
                <w:spacing w:val="-16"/>
                <w:kern w:val="21"/>
                <w:szCs w:val="21"/>
                <w:highlight w:val="none"/>
              </w:rPr>
              <w:fldChar w:fldCharType="separate"/>
            </w:r>
            <w:r>
              <w:rPr>
                <w:rFonts w:hint="default" w:ascii="Times New Roman" w:hAnsi="Times New Roman" w:eastAsia="黑体" w:cs="Times New Roman"/>
                <w:color w:val="auto"/>
                <w:kern w:val="2"/>
                <w:szCs w:val="21"/>
                <w:highlight w:val="none"/>
              </w:rPr>
              <w:t>⑥</w:t>
            </w:r>
            <w:r>
              <w:rPr>
                <w:rFonts w:hint="default" w:ascii="Times New Roman" w:hAnsi="Times New Roman" w:eastAsia="黑体" w:cs="Times New Roman"/>
                <w:snapToGrid w:val="0"/>
                <w:color w:val="auto"/>
                <w:spacing w:val="-16"/>
                <w:kern w:val="21"/>
                <w:szCs w:val="21"/>
                <w:highlight w:val="none"/>
              </w:rPr>
              <w:fldChar w:fldCharType="end"/>
            </w:r>
          </w:p>
        </w:tc>
        <w:tc>
          <w:tcPr>
            <w:tcW w:w="826" w:type="dxa"/>
            <w:noWrap w:val="0"/>
            <w:tcMar>
              <w:left w:w="28" w:type="dxa"/>
              <w:right w:w="28" w:type="dxa"/>
            </w:tcMar>
            <w:vAlign w:val="center"/>
          </w:tcPr>
          <w:p>
            <w:pPr>
              <w:pStyle w:val="22"/>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变化量</w:t>
            </w:r>
          </w:p>
          <w:p>
            <w:pPr>
              <w:pStyle w:val="22"/>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fldChar w:fldCharType="begin"/>
            </w:r>
            <w:r>
              <w:rPr>
                <w:rFonts w:hint="default" w:ascii="Times New Roman" w:hAnsi="Times New Roman" w:eastAsia="黑体" w:cs="Times New Roman"/>
                <w:snapToGrid w:val="0"/>
                <w:color w:val="auto"/>
                <w:spacing w:val="-6"/>
                <w:kern w:val="21"/>
                <w:szCs w:val="21"/>
                <w:highlight w:val="none"/>
              </w:rPr>
              <w:instrText xml:space="preserve"> = 7 \* GB3 \* MERGEFORMAT </w:instrText>
            </w:r>
            <w:r>
              <w:rPr>
                <w:rFonts w:hint="default" w:ascii="Times New Roman" w:hAnsi="Times New Roman" w:eastAsia="黑体" w:cs="Times New Roman"/>
                <w:snapToGrid w:val="0"/>
                <w:color w:val="auto"/>
                <w:spacing w:val="-6"/>
                <w:kern w:val="21"/>
                <w:szCs w:val="21"/>
                <w:highlight w:val="none"/>
              </w:rPr>
              <w:fldChar w:fldCharType="separate"/>
            </w:r>
            <w:r>
              <w:rPr>
                <w:rFonts w:hint="default" w:ascii="Times New Roman" w:hAnsi="Times New Roman" w:eastAsia="黑体" w:cs="Times New Roman"/>
                <w:color w:val="auto"/>
                <w:kern w:val="2"/>
                <w:szCs w:val="21"/>
                <w:highlight w:val="none"/>
              </w:rPr>
              <w:t>⑦</w:t>
            </w:r>
            <w:r>
              <w:rPr>
                <w:rFonts w:hint="default" w:ascii="Times New Roman" w:hAnsi="Times New Roman" w:eastAsia="黑体" w:cs="Times New Roman"/>
                <w:snapToGrid w:val="0"/>
                <w:color w:val="auto"/>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pPr>
              <w:pStyle w:val="22"/>
              <w:spacing w:beforeLines="0" w:afterLines="0" w:line="240" w:lineRule="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废气</w:t>
            </w:r>
          </w:p>
        </w:tc>
        <w:tc>
          <w:tcPr>
            <w:tcW w:w="1417" w:type="dxa"/>
            <w:noWrap w:val="0"/>
            <w:vAlign w:val="center"/>
          </w:tcPr>
          <w:p>
            <w:pPr>
              <w:pStyle w:val="22"/>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颗粒物</w:t>
            </w:r>
          </w:p>
        </w:tc>
        <w:tc>
          <w:tcPr>
            <w:tcW w:w="1701" w:type="dxa"/>
            <w:noWrap w:val="0"/>
            <w:vAlign w:val="center"/>
          </w:tcPr>
          <w:p>
            <w:pPr>
              <w:spacing w:beforeLines="0" w:afterLines="0" w:line="240" w:lineRule="auto"/>
              <w:jc w:val="center"/>
              <w:rPr>
                <w:rFonts w:hint="eastAsia" w:ascii="Times New Roman" w:hAnsi="Times New Roman" w:eastAsia="宋体" w:cs="Times New Roman"/>
                <w:snapToGrid w:val="0"/>
                <w:color w:val="auto"/>
                <w:kern w:val="21"/>
                <w:szCs w:val="21"/>
                <w:highlight w:val="none"/>
                <w:lang w:val="en-US" w:eastAsia="zh-CN"/>
              </w:rPr>
            </w:pPr>
            <w:r>
              <w:rPr>
                <w:rFonts w:hint="eastAsia" w:ascii="Times New Roman" w:hAnsi="Times New Roman" w:eastAsia="宋体" w:cs="Times New Roman"/>
                <w:snapToGrid w:val="0"/>
                <w:color w:val="auto"/>
                <w:kern w:val="21"/>
                <w:szCs w:val="21"/>
                <w:highlight w:val="none"/>
                <w:lang w:val="en-US" w:eastAsia="zh-CN"/>
              </w:rPr>
              <w:t>/</w:t>
            </w:r>
          </w:p>
        </w:tc>
        <w:tc>
          <w:tcPr>
            <w:tcW w:w="1276"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c>
          <w:tcPr>
            <w:tcW w:w="1701"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c>
          <w:tcPr>
            <w:tcW w:w="1559" w:type="dxa"/>
            <w:noWrap w:val="0"/>
            <w:vAlign w:val="center"/>
          </w:tcPr>
          <w:p>
            <w:pPr>
              <w:pStyle w:val="22"/>
              <w:spacing w:beforeLines="0" w:afterLines="0" w:line="240" w:lineRule="auto"/>
              <w:rPr>
                <w:rFonts w:hint="default" w:ascii="Times New Roman" w:hAnsi="Times New Roman" w:eastAsia="宋体" w:cs="Times New Roman"/>
                <w:snapToGrid w:val="0"/>
                <w:color w:val="auto"/>
                <w:kern w:val="21"/>
                <w:szCs w:val="21"/>
                <w:highlight w:val="none"/>
                <w:lang w:val="en-US" w:eastAsia="zh-CN"/>
              </w:rPr>
            </w:pPr>
            <w:r>
              <w:rPr>
                <w:rFonts w:hint="eastAsia" w:ascii="Times New Roman" w:cs="Times New Roman"/>
                <w:snapToGrid w:val="0"/>
                <w:color w:val="auto"/>
                <w:kern w:val="21"/>
                <w:szCs w:val="21"/>
                <w:highlight w:val="none"/>
                <w:lang w:val="en-US" w:eastAsia="zh-CN"/>
              </w:rPr>
              <w:t>0.339</w:t>
            </w:r>
            <w:r>
              <w:rPr>
                <w:rFonts w:hint="eastAsia" w:ascii="Times New Roman" w:hAnsi="Times New Roman" w:eastAsia="宋体" w:cs="Times New Roman"/>
                <w:snapToGrid w:val="0"/>
                <w:color w:val="auto"/>
                <w:kern w:val="21"/>
                <w:szCs w:val="21"/>
                <w:highlight w:val="none"/>
                <w:lang w:val="en-US" w:eastAsia="zh-CN"/>
              </w:rPr>
              <w:t>t/a</w:t>
            </w:r>
          </w:p>
        </w:tc>
        <w:tc>
          <w:tcPr>
            <w:tcW w:w="1761"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c>
          <w:tcPr>
            <w:tcW w:w="1959" w:type="dxa"/>
            <w:noWrap w:val="0"/>
            <w:vAlign w:val="center"/>
          </w:tcPr>
          <w:p>
            <w:pPr>
              <w:pStyle w:val="22"/>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Cs w:val="21"/>
                <w:highlight w:val="none"/>
                <w:lang w:val="en-US" w:eastAsia="zh-CN"/>
              </w:rPr>
              <w:t>0.339</w:t>
            </w:r>
            <w:r>
              <w:rPr>
                <w:rFonts w:hint="eastAsia" w:ascii="Times New Roman" w:hAnsi="Times New Roman" w:eastAsia="宋体" w:cs="Times New Roman"/>
                <w:snapToGrid w:val="0"/>
                <w:color w:val="auto"/>
                <w:kern w:val="21"/>
                <w:szCs w:val="21"/>
                <w:highlight w:val="none"/>
                <w:lang w:val="en-US" w:eastAsia="zh-CN"/>
              </w:rPr>
              <w:t>t/a</w:t>
            </w:r>
          </w:p>
        </w:tc>
        <w:tc>
          <w:tcPr>
            <w:tcW w:w="826" w:type="dxa"/>
            <w:noWrap w:val="0"/>
            <w:vAlign w:val="center"/>
          </w:tcPr>
          <w:p>
            <w:pPr>
              <w:pStyle w:val="22"/>
              <w:spacing w:beforeLines="0" w:afterLines="0" w:line="240" w:lineRule="auto"/>
              <w:rPr>
                <w:rFonts w:hint="eastAsia" w:ascii="Times New Roman" w:hAnsi="Times New Roman" w:eastAsia="宋体" w:cs="Times New Roman"/>
                <w:snapToGrid w:val="0"/>
                <w:color w:val="auto"/>
                <w:kern w:val="21"/>
                <w:szCs w:val="21"/>
                <w:highlight w:val="none"/>
                <w:lang w:val="en-US" w:eastAsia="zh-CN"/>
              </w:rPr>
            </w:pPr>
            <w:r>
              <w:rPr>
                <w:rFonts w:hint="eastAsia" w:ascii="Times New Roman" w:hAnsi="Times New Roman" w:eastAsia="宋体" w:cs="Times New Roman"/>
                <w:snapToGrid w:val="0"/>
                <w:color w:val="auto"/>
                <w:kern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22"/>
              <w:spacing w:beforeLines="0" w:afterLines="0" w:line="240" w:lineRule="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废水</w:t>
            </w:r>
          </w:p>
        </w:tc>
        <w:tc>
          <w:tcPr>
            <w:tcW w:w="1417" w:type="dxa"/>
            <w:noWrap w:val="0"/>
            <w:vAlign w:val="center"/>
          </w:tcPr>
          <w:p>
            <w:pPr>
              <w:spacing w:beforeLines="0" w:afterLines="0" w:line="240" w:lineRule="auto"/>
              <w:jc w:val="center"/>
              <w:rPr>
                <w:rFonts w:hint="default" w:ascii="Times New Roman" w:hAnsi="Times New Roman" w:eastAsia="宋体" w:cs="Times New Roman"/>
                <w:snapToGrid w:val="0"/>
                <w:color w:val="auto"/>
                <w:kern w:val="21"/>
                <w:szCs w:val="21"/>
                <w:highlight w:val="none"/>
                <w:lang w:val="en-US" w:eastAsia="zh-CN"/>
              </w:rPr>
            </w:pPr>
            <w:r>
              <w:rPr>
                <w:rFonts w:hint="eastAsia" w:cs="Times New Roman"/>
                <w:snapToGrid w:val="0"/>
                <w:color w:val="auto"/>
                <w:kern w:val="21"/>
                <w:szCs w:val="21"/>
                <w:highlight w:val="none"/>
                <w:lang w:val="en-US" w:eastAsia="zh-CN"/>
              </w:rPr>
              <w:t>/</w:t>
            </w:r>
          </w:p>
        </w:tc>
        <w:tc>
          <w:tcPr>
            <w:tcW w:w="1701"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c>
          <w:tcPr>
            <w:tcW w:w="1276"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c>
          <w:tcPr>
            <w:tcW w:w="1701"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c>
          <w:tcPr>
            <w:tcW w:w="1559"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lang w:val="en-US"/>
              </w:rPr>
            </w:pPr>
            <w:r>
              <w:rPr>
                <w:rFonts w:hint="eastAsia" w:ascii="Times New Roman" w:hAnsi="Times New Roman" w:eastAsia="宋体" w:cs="Times New Roman"/>
                <w:snapToGrid w:val="0"/>
                <w:color w:val="auto"/>
                <w:kern w:val="21"/>
                <w:szCs w:val="21"/>
                <w:highlight w:val="none"/>
                <w:lang w:val="en-US" w:eastAsia="zh-CN"/>
              </w:rPr>
              <w:t>/</w:t>
            </w:r>
          </w:p>
        </w:tc>
        <w:tc>
          <w:tcPr>
            <w:tcW w:w="1761"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c>
          <w:tcPr>
            <w:tcW w:w="1959"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lang w:val="en-US"/>
              </w:rPr>
            </w:pPr>
            <w:r>
              <w:rPr>
                <w:rFonts w:hint="eastAsia" w:ascii="Times New Roman" w:hAnsi="Times New Roman" w:eastAsia="宋体" w:cs="Times New Roman"/>
                <w:snapToGrid w:val="0"/>
                <w:color w:val="auto"/>
                <w:kern w:val="21"/>
                <w:szCs w:val="21"/>
                <w:highlight w:val="none"/>
                <w:lang w:val="en-US" w:eastAsia="zh-CN"/>
              </w:rPr>
              <w:t>/</w:t>
            </w:r>
          </w:p>
        </w:tc>
        <w:tc>
          <w:tcPr>
            <w:tcW w:w="826"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22"/>
              <w:spacing w:beforeLines="0" w:afterLines="0" w:line="240" w:lineRule="auto"/>
              <w:rPr>
                <w:rFonts w:hint="default" w:ascii="Times New Roman" w:hAnsi="Times New Roman" w:cs="Times New Roman"/>
                <w:snapToGrid w:val="0"/>
                <w:color w:val="auto"/>
                <w:kern w:val="21"/>
                <w:szCs w:val="21"/>
                <w:highlight w:val="none"/>
              </w:rPr>
            </w:pPr>
          </w:p>
        </w:tc>
        <w:tc>
          <w:tcPr>
            <w:tcW w:w="1417" w:type="dxa"/>
            <w:noWrap w:val="0"/>
            <w:vAlign w:val="center"/>
          </w:tcPr>
          <w:p>
            <w:pPr>
              <w:spacing w:beforeLines="0" w:afterLines="0" w:line="240" w:lineRule="auto"/>
              <w:jc w:val="center"/>
              <w:rPr>
                <w:rFonts w:hint="default" w:ascii="Times New Roman" w:hAnsi="Times New Roman" w:cs="Times New Roman"/>
                <w:snapToGrid w:val="0"/>
                <w:color w:val="auto"/>
                <w:kern w:val="21"/>
                <w:sz w:val="21"/>
                <w:szCs w:val="21"/>
                <w:highlight w:val="none"/>
                <w:lang w:val="en-US" w:eastAsia="zh-CN" w:bidi="ar-SA"/>
              </w:rPr>
            </w:pPr>
            <w:r>
              <w:rPr>
                <w:rFonts w:hint="eastAsia" w:cs="Times New Roman"/>
                <w:snapToGrid w:val="0"/>
                <w:color w:val="auto"/>
                <w:kern w:val="21"/>
                <w:sz w:val="21"/>
                <w:szCs w:val="21"/>
                <w:highlight w:val="none"/>
                <w:lang w:val="en-US" w:eastAsia="zh-CN" w:bidi="ar-SA"/>
              </w:rPr>
              <w:t>/</w:t>
            </w:r>
          </w:p>
        </w:tc>
        <w:tc>
          <w:tcPr>
            <w:tcW w:w="1701" w:type="dxa"/>
            <w:noWrap w:val="0"/>
            <w:vAlign w:val="center"/>
          </w:tcPr>
          <w:p>
            <w:pPr>
              <w:spacing w:beforeLines="0" w:afterLines="0" w:line="240" w:lineRule="auto"/>
              <w:jc w:val="center"/>
              <w:rPr>
                <w:rFonts w:hint="eastAsia" w:ascii="Times New Roman" w:hAnsi="Times New Roman" w:cs="Times New Roman"/>
                <w:snapToGrid w:val="0"/>
                <w:color w:val="auto"/>
                <w:kern w:val="21"/>
                <w:sz w:val="21"/>
                <w:szCs w:val="21"/>
                <w:highlight w:val="none"/>
                <w:lang w:val="en-US" w:eastAsia="zh-CN" w:bidi="ar-SA"/>
              </w:rPr>
            </w:pPr>
            <w:r>
              <w:rPr>
                <w:rFonts w:hint="eastAsia" w:ascii="Times New Roman" w:hAnsi="Times New Roman" w:eastAsia="宋体" w:cs="Times New Roman"/>
                <w:snapToGrid w:val="0"/>
                <w:color w:val="auto"/>
                <w:kern w:val="21"/>
                <w:szCs w:val="21"/>
                <w:highlight w:val="none"/>
                <w:lang w:val="en-US" w:eastAsia="zh-CN"/>
              </w:rPr>
              <w:t>/</w:t>
            </w:r>
          </w:p>
        </w:tc>
        <w:tc>
          <w:tcPr>
            <w:tcW w:w="1276" w:type="dxa"/>
            <w:noWrap w:val="0"/>
            <w:vAlign w:val="center"/>
          </w:tcPr>
          <w:p>
            <w:pPr>
              <w:spacing w:beforeLines="0" w:afterLines="0" w:line="240" w:lineRule="auto"/>
              <w:jc w:val="center"/>
              <w:rPr>
                <w:rFonts w:hint="eastAsia" w:ascii="Times New Roman" w:hAnsi="Times New Roman" w:cs="Times New Roman"/>
                <w:snapToGrid w:val="0"/>
                <w:color w:val="auto"/>
                <w:kern w:val="21"/>
                <w:sz w:val="21"/>
                <w:szCs w:val="21"/>
                <w:highlight w:val="none"/>
                <w:lang w:val="en-US" w:eastAsia="zh-CN" w:bidi="ar-SA"/>
              </w:rPr>
            </w:pPr>
            <w:r>
              <w:rPr>
                <w:rFonts w:hint="eastAsia" w:ascii="Times New Roman" w:hAnsi="Times New Roman" w:eastAsia="宋体" w:cs="Times New Roman"/>
                <w:snapToGrid w:val="0"/>
                <w:color w:val="auto"/>
                <w:kern w:val="21"/>
                <w:szCs w:val="21"/>
                <w:highlight w:val="none"/>
                <w:lang w:val="en-US" w:eastAsia="zh-CN"/>
              </w:rPr>
              <w:t>/</w:t>
            </w:r>
          </w:p>
        </w:tc>
        <w:tc>
          <w:tcPr>
            <w:tcW w:w="1701" w:type="dxa"/>
            <w:noWrap w:val="0"/>
            <w:vAlign w:val="center"/>
          </w:tcPr>
          <w:p>
            <w:pPr>
              <w:spacing w:beforeLines="0" w:afterLines="0" w:line="240" w:lineRule="auto"/>
              <w:jc w:val="center"/>
              <w:rPr>
                <w:rFonts w:hint="eastAsia" w:ascii="Times New Roman" w:hAnsi="Times New Roman" w:cs="Times New Roman"/>
                <w:snapToGrid w:val="0"/>
                <w:color w:val="auto"/>
                <w:kern w:val="21"/>
                <w:sz w:val="21"/>
                <w:szCs w:val="21"/>
                <w:highlight w:val="none"/>
                <w:lang w:val="en-US" w:eastAsia="zh-CN" w:bidi="ar-SA"/>
              </w:rPr>
            </w:pPr>
            <w:r>
              <w:rPr>
                <w:rFonts w:hint="eastAsia" w:ascii="Times New Roman" w:hAnsi="Times New Roman" w:eastAsia="宋体" w:cs="Times New Roman"/>
                <w:snapToGrid w:val="0"/>
                <w:color w:val="auto"/>
                <w:kern w:val="21"/>
                <w:szCs w:val="21"/>
                <w:highlight w:val="none"/>
                <w:lang w:val="en-US" w:eastAsia="zh-CN"/>
              </w:rPr>
              <w:t>/</w:t>
            </w:r>
          </w:p>
        </w:tc>
        <w:tc>
          <w:tcPr>
            <w:tcW w:w="1559" w:type="dxa"/>
            <w:noWrap w:val="0"/>
            <w:vAlign w:val="center"/>
          </w:tcPr>
          <w:p>
            <w:pPr>
              <w:spacing w:beforeLines="0" w:afterLines="0" w:line="240" w:lineRule="auto"/>
              <w:jc w:val="center"/>
              <w:rPr>
                <w:rFonts w:hint="eastAsia" w:ascii="Times New Roman" w:hAnsi="Times New Roman" w:cs="Times New Roman"/>
                <w:snapToGrid w:val="0"/>
                <w:color w:val="auto"/>
                <w:kern w:val="21"/>
                <w:sz w:val="21"/>
                <w:szCs w:val="21"/>
                <w:highlight w:val="none"/>
                <w:lang w:val="en-US" w:eastAsia="zh-CN" w:bidi="ar-SA"/>
              </w:rPr>
            </w:pPr>
            <w:r>
              <w:rPr>
                <w:rFonts w:hint="eastAsia" w:ascii="Times New Roman" w:hAnsi="Times New Roman" w:eastAsia="宋体" w:cs="Times New Roman"/>
                <w:snapToGrid w:val="0"/>
                <w:color w:val="auto"/>
                <w:kern w:val="21"/>
                <w:szCs w:val="21"/>
                <w:highlight w:val="none"/>
                <w:lang w:val="en-US" w:eastAsia="zh-CN"/>
              </w:rPr>
              <w:t>/</w:t>
            </w:r>
          </w:p>
        </w:tc>
        <w:tc>
          <w:tcPr>
            <w:tcW w:w="1761" w:type="dxa"/>
            <w:noWrap w:val="0"/>
            <w:vAlign w:val="center"/>
          </w:tcPr>
          <w:p>
            <w:pPr>
              <w:spacing w:beforeLines="0" w:afterLines="0" w:line="240" w:lineRule="auto"/>
              <w:jc w:val="center"/>
              <w:rPr>
                <w:rFonts w:hint="eastAsia" w:ascii="Times New Roman" w:hAnsi="Times New Roman" w:cs="Times New Roman"/>
                <w:snapToGrid w:val="0"/>
                <w:color w:val="auto"/>
                <w:kern w:val="21"/>
                <w:sz w:val="21"/>
                <w:szCs w:val="21"/>
                <w:highlight w:val="none"/>
                <w:lang w:val="en-US" w:eastAsia="zh-CN" w:bidi="ar-SA"/>
              </w:rPr>
            </w:pPr>
            <w:r>
              <w:rPr>
                <w:rFonts w:hint="eastAsia" w:ascii="Times New Roman" w:hAnsi="Times New Roman" w:eastAsia="宋体" w:cs="Times New Roman"/>
                <w:snapToGrid w:val="0"/>
                <w:color w:val="auto"/>
                <w:kern w:val="21"/>
                <w:szCs w:val="21"/>
                <w:highlight w:val="none"/>
                <w:lang w:val="en-US" w:eastAsia="zh-CN"/>
              </w:rPr>
              <w:t>/</w:t>
            </w:r>
          </w:p>
        </w:tc>
        <w:tc>
          <w:tcPr>
            <w:tcW w:w="1959" w:type="dxa"/>
            <w:noWrap w:val="0"/>
            <w:vAlign w:val="center"/>
          </w:tcPr>
          <w:p>
            <w:pPr>
              <w:spacing w:beforeLines="0" w:afterLines="0" w:line="240" w:lineRule="auto"/>
              <w:jc w:val="center"/>
              <w:rPr>
                <w:rFonts w:hint="eastAsia" w:ascii="Times New Roman" w:hAnsi="Times New Roman" w:cs="Times New Roman"/>
                <w:snapToGrid w:val="0"/>
                <w:color w:val="auto"/>
                <w:kern w:val="21"/>
                <w:sz w:val="21"/>
                <w:szCs w:val="21"/>
                <w:highlight w:val="none"/>
                <w:lang w:val="en-US" w:eastAsia="zh-CN" w:bidi="ar-SA"/>
              </w:rPr>
            </w:pPr>
            <w:r>
              <w:rPr>
                <w:rFonts w:hint="eastAsia" w:ascii="Times New Roman" w:hAnsi="Times New Roman" w:eastAsia="宋体" w:cs="Times New Roman"/>
                <w:snapToGrid w:val="0"/>
                <w:color w:val="auto"/>
                <w:kern w:val="21"/>
                <w:szCs w:val="21"/>
                <w:highlight w:val="none"/>
                <w:lang w:val="en-US" w:eastAsia="zh-CN"/>
              </w:rPr>
              <w:t>/</w:t>
            </w:r>
          </w:p>
        </w:tc>
        <w:tc>
          <w:tcPr>
            <w:tcW w:w="826" w:type="dxa"/>
            <w:noWrap w:val="0"/>
            <w:vAlign w:val="center"/>
          </w:tcPr>
          <w:p>
            <w:pPr>
              <w:spacing w:beforeLines="0" w:afterLines="0" w:line="240" w:lineRule="auto"/>
              <w:jc w:val="center"/>
              <w:rPr>
                <w:rFonts w:hint="eastAsia" w:ascii="Times New Roman" w:hAnsi="Times New Roman" w:cs="Times New Roman"/>
                <w:snapToGrid w:val="0"/>
                <w:color w:val="auto"/>
                <w:kern w:val="21"/>
                <w:sz w:val="21"/>
                <w:szCs w:val="21"/>
                <w:highlight w:val="none"/>
                <w:lang w:val="en-US" w:eastAsia="zh-CN" w:bidi="ar-SA"/>
              </w:rPr>
            </w:pPr>
            <w:r>
              <w:rPr>
                <w:rFonts w:hint="eastAsia" w:ascii="Times New Roman" w:hAnsi="Times New Roman" w:eastAsia="宋体" w:cs="Times New Roman"/>
                <w:snapToGrid w:val="0"/>
                <w:color w:val="auto"/>
                <w:kern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22"/>
              <w:spacing w:beforeLines="0" w:afterLines="0" w:line="240" w:lineRule="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一般工业</w:t>
            </w:r>
          </w:p>
          <w:p>
            <w:pPr>
              <w:pStyle w:val="22"/>
              <w:spacing w:beforeLines="0" w:afterLines="0" w:line="240" w:lineRule="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固体废物</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 xml:space="preserve">泥渣 </w:t>
            </w:r>
          </w:p>
        </w:tc>
        <w:tc>
          <w:tcPr>
            <w:tcW w:w="1701"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c>
          <w:tcPr>
            <w:tcW w:w="1276"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c>
          <w:tcPr>
            <w:tcW w:w="1701"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eastAsia="Times New Roman" w:cs="Times New Roman"/>
                <w:color w:val="auto"/>
                <w:kern w:val="2"/>
                <w:sz w:val="21"/>
                <w:szCs w:val="21"/>
                <w:highlight w:val="none"/>
                <w:lang w:val="en-US" w:eastAsia="zh-CN" w:bidi="ar-SA"/>
              </w:rPr>
              <w:t>41.32</w:t>
            </w:r>
            <w:r>
              <w:rPr>
                <w:rFonts w:hint="default" w:ascii="Times New Roman" w:hAnsi="Times New Roman" w:eastAsia="Times New Roman" w:cs="Times New Roman"/>
                <w:color w:val="auto"/>
                <w:kern w:val="2"/>
                <w:sz w:val="21"/>
                <w:szCs w:val="21"/>
                <w:highlight w:val="none"/>
                <w:lang w:val="en-US" w:eastAsia="zh-CN" w:bidi="ar-SA"/>
              </w:rPr>
              <w:t>t/a</w:t>
            </w:r>
          </w:p>
        </w:tc>
        <w:tc>
          <w:tcPr>
            <w:tcW w:w="1761"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c>
          <w:tcPr>
            <w:tcW w:w="19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Times New Roman" w:cs="Times New Roman"/>
                <w:color w:val="auto"/>
                <w:kern w:val="2"/>
                <w:sz w:val="21"/>
                <w:szCs w:val="21"/>
                <w:highlight w:val="none"/>
                <w:lang w:val="en-US" w:eastAsia="zh-CN" w:bidi="ar-SA"/>
              </w:rPr>
            </w:pPr>
            <w:r>
              <w:rPr>
                <w:rFonts w:hint="eastAsia" w:eastAsia="Times New Roman" w:cs="Times New Roman"/>
                <w:color w:val="auto"/>
                <w:kern w:val="2"/>
                <w:sz w:val="21"/>
                <w:szCs w:val="21"/>
                <w:highlight w:val="none"/>
                <w:lang w:val="en-US" w:eastAsia="zh-CN" w:bidi="ar-SA"/>
              </w:rPr>
              <w:t>41.32</w:t>
            </w:r>
            <w:r>
              <w:rPr>
                <w:rFonts w:hint="default" w:ascii="Times New Roman" w:hAnsi="Times New Roman" w:eastAsia="Times New Roman" w:cs="Times New Roman"/>
                <w:color w:val="auto"/>
                <w:kern w:val="2"/>
                <w:sz w:val="21"/>
                <w:szCs w:val="21"/>
                <w:highlight w:val="none"/>
                <w:lang w:val="en-US" w:eastAsia="zh-CN" w:bidi="ar-SA"/>
              </w:rPr>
              <w:t>t/a</w:t>
            </w:r>
          </w:p>
        </w:tc>
        <w:tc>
          <w:tcPr>
            <w:tcW w:w="826"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22"/>
              <w:spacing w:beforeLines="0" w:afterLines="0" w:line="240" w:lineRule="auto"/>
              <w:rPr>
                <w:rFonts w:hint="default" w:ascii="Times New Roman" w:hAnsi="Times New Roman" w:cs="Times New Roman"/>
                <w:snapToGrid w:val="0"/>
                <w:color w:val="auto"/>
                <w:kern w:val="21"/>
                <w:szCs w:val="21"/>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除尘器收集的颗粒物</w:t>
            </w:r>
          </w:p>
        </w:tc>
        <w:tc>
          <w:tcPr>
            <w:tcW w:w="1701"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c>
          <w:tcPr>
            <w:tcW w:w="1276"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c>
          <w:tcPr>
            <w:tcW w:w="1701"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137.02</w:t>
            </w:r>
            <w:r>
              <w:rPr>
                <w:rFonts w:hint="default" w:ascii="Times New Roman" w:hAnsi="Times New Roman" w:eastAsia="宋体" w:cs="Times New Roman"/>
                <w:color w:val="auto"/>
                <w:kern w:val="2"/>
                <w:sz w:val="21"/>
                <w:szCs w:val="21"/>
                <w:highlight w:val="none"/>
                <w:lang w:val="en-US" w:eastAsia="zh-CN" w:bidi="ar-SA"/>
              </w:rPr>
              <w:t>t/a</w:t>
            </w:r>
          </w:p>
        </w:tc>
        <w:tc>
          <w:tcPr>
            <w:tcW w:w="1761"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c>
          <w:tcPr>
            <w:tcW w:w="19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c>
          <w:tcPr>
            <w:tcW w:w="826"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pPr>
              <w:pStyle w:val="22"/>
              <w:spacing w:beforeLines="0" w:afterLines="0" w:line="240" w:lineRule="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危险废物</w:t>
            </w:r>
          </w:p>
        </w:tc>
        <w:tc>
          <w:tcPr>
            <w:tcW w:w="1417" w:type="dxa"/>
            <w:noWrap w:val="0"/>
            <w:vAlign w:val="center"/>
          </w:tcPr>
          <w:p>
            <w:pPr>
              <w:spacing w:beforeLines="0" w:afterLines="0"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废润滑油</w:t>
            </w:r>
          </w:p>
        </w:tc>
        <w:tc>
          <w:tcPr>
            <w:tcW w:w="1701"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c>
          <w:tcPr>
            <w:tcW w:w="1276"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c>
          <w:tcPr>
            <w:tcW w:w="1701"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c>
          <w:tcPr>
            <w:tcW w:w="1559" w:type="dxa"/>
            <w:noWrap w:val="0"/>
            <w:vAlign w:val="center"/>
          </w:tcPr>
          <w:p>
            <w:pPr>
              <w:spacing w:beforeLines="0" w:afterLines="0" w:line="240" w:lineRule="auto"/>
              <w:jc w:val="center"/>
              <w:rPr>
                <w:rFonts w:hint="default" w:ascii="Times New Roman" w:hAnsi="Times New Roman" w:eastAsia="Times New Roman" w:cs="Times New Roman"/>
                <w:color w:val="auto"/>
                <w:kern w:val="2"/>
                <w:sz w:val="21"/>
                <w:szCs w:val="21"/>
                <w:highlight w:val="none"/>
                <w:lang w:val="en-US" w:eastAsia="zh-CN" w:bidi="ar-SA"/>
              </w:rPr>
            </w:pPr>
            <w:r>
              <w:rPr>
                <w:rFonts w:hint="eastAsia" w:cs="Times New Roman"/>
                <w:snapToGrid w:val="0"/>
                <w:color w:val="auto"/>
                <w:kern w:val="21"/>
                <w:szCs w:val="21"/>
                <w:highlight w:val="none"/>
                <w:lang w:val="en-US" w:eastAsia="zh-CN"/>
              </w:rPr>
              <w:t>0.2t/a</w:t>
            </w:r>
          </w:p>
        </w:tc>
        <w:tc>
          <w:tcPr>
            <w:tcW w:w="1761"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c>
          <w:tcPr>
            <w:tcW w:w="1959"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cs="Times New Roman"/>
                <w:snapToGrid w:val="0"/>
                <w:color w:val="auto"/>
                <w:kern w:val="21"/>
                <w:szCs w:val="21"/>
                <w:highlight w:val="none"/>
                <w:lang w:val="en-US" w:eastAsia="zh-CN"/>
              </w:rPr>
              <w:t>0.2t/a</w:t>
            </w:r>
          </w:p>
        </w:tc>
        <w:tc>
          <w:tcPr>
            <w:tcW w:w="826" w:type="dxa"/>
            <w:noWrap w:val="0"/>
            <w:vAlign w:val="center"/>
          </w:tcPr>
          <w:p>
            <w:pPr>
              <w:spacing w:beforeLines="0" w:afterLines="0" w:line="240" w:lineRule="auto"/>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snapToGrid w:val="0"/>
                <w:color w:val="auto"/>
                <w:kern w:val="21"/>
                <w:szCs w:val="21"/>
                <w:highlight w:val="none"/>
                <w:lang w:val="en-US" w:eastAsia="zh-CN"/>
              </w:rPr>
              <w:t>/</w:t>
            </w:r>
          </w:p>
        </w:tc>
      </w:tr>
    </w:tbl>
    <w:p>
      <w:pPr>
        <w:pStyle w:val="22"/>
        <w:spacing w:before="192" w:beforeLines="80" w:after="24"/>
        <w:jc w:val="left"/>
        <w:rPr>
          <w:rFonts w:hint="default"/>
          <w:color w:val="auto"/>
          <w:highlight w:val="none"/>
        </w:rPr>
      </w:pPr>
      <w:r>
        <w:rPr>
          <w:rFonts w:hint="default" w:ascii="Times New Roman" w:hAnsi="Times New Roman" w:cs="Times New Roman"/>
          <w:snapToGrid w:val="0"/>
          <w:color w:val="auto"/>
          <w:kern w:val="21"/>
          <w:szCs w:val="21"/>
          <w:highlight w:val="none"/>
        </w:rPr>
        <w:t>注：</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3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③</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4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④</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5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⑤</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7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⑦</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p>
    <w:p/>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9"/>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8</w:t>
                          </w:r>
                          <w:r>
                            <w:rPr>
                              <w:rFonts w:hint="default" w:ascii="Times New Roman" w:hAnsi="Times New Roman" w:cs="Times New Roman"/>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pPr>
                      <w:pStyle w:val="9"/>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8</w:t>
                    </w:r>
                    <w:r>
                      <w:rPr>
                        <w:rFonts w:hint="default" w:ascii="Times New Roman" w:hAnsi="Times New Roman" w:cs="Times New Roman"/>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5A6FD"/>
    <w:multiLevelType w:val="singleLevel"/>
    <w:tmpl w:val="ABF5A6FD"/>
    <w:lvl w:ilvl="0" w:tentative="0">
      <w:start w:val="1"/>
      <w:numFmt w:val="decimal"/>
      <w:suff w:val="nothing"/>
      <w:lvlText w:val="（%1）"/>
      <w:lvlJc w:val="left"/>
      <w:pPr>
        <w:ind w:left="-60"/>
      </w:pPr>
    </w:lvl>
  </w:abstractNum>
  <w:abstractNum w:abstractNumId="1">
    <w:nsid w:val="DB44623A"/>
    <w:multiLevelType w:val="singleLevel"/>
    <w:tmpl w:val="DB44623A"/>
    <w:lvl w:ilvl="0" w:tentative="0">
      <w:start w:val="1"/>
      <w:numFmt w:val="decimal"/>
      <w:suff w:val="nothing"/>
      <w:lvlText w:val="%1、"/>
      <w:lvlJc w:val="left"/>
    </w:lvl>
  </w:abstractNum>
  <w:abstractNum w:abstractNumId="2">
    <w:nsid w:val="0482F2BD"/>
    <w:multiLevelType w:val="singleLevel"/>
    <w:tmpl w:val="0482F2BD"/>
    <w:lvl w:ilvl="0" w:tentative="0">
      <w:start w:val="60"/>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43482"/>
    <w:rsid w:val="05543482"/>
    <w:rsid w:val="055E327F"/>
    <w:rsid w:val="05E709CB"/>
    <w:rsid w:val="0810623E"/>
    <w:rsid w:val="086E568E"/>
    <w:rsid w:val="0907104E"/>
    <w:rsid w:val="0F5735A2"/>
    <w:rsid w:val="109F4409"/>
    <w:rsid w:val="11DB71E8"/>
    <w:rsid w:val="13DB2B84"/>
    <w:rsid w:val="14592278"/>
    <w:rsid w:val="14845EDB"/>
    <w:rsid w:val="163176BE"/>
    <w:rsid w:val="19982808"/>
    <w:rsid w:val="1B1200BD"/>
    <w:rsid w:val="208C5A2B"/>
    <w:rsid w:val="23457061"/>
    <w:rsid w:val="240868E8"/>
    <w:rsid w:val="243F614A"/>
    <w:rsid w:val="2A98712D"/>
    <w:rsid w:val="2BB741D2"/>
    <w:rsid w:val="2C8E005E"/>
    <w:rsid w:val="2FB90362"/>
    <w:rsid w:val="31733050"/>
    <w:rsid w:val="33931823"/>
    <w:rsid w:val="3429087F"/>
    <w:rsid w:val="35C87C03"/>
    <w:rsid w:val="35D90151"/>
    <w:rsid w:val="372C7CDF"/>
    <w:rsid w:val="3CF56B3F"/>
    <w:rsid w:val="405974A8"/>
    <w:rsid w:val="424F0EE9"/>
    <w:rsid w:val="42F35866"/>
    <w:rsid w:val="43631E34"/>
    <w:rsid w:val="4585692C"/>
    <w:rsid w:val="47E31166"/>
    <w:rsid w:val="4AC76301"/>
    <w:rsid w:val="4CD34008"/>
    <w:rsid w:val="4EE54914"/>
    <w:rsid w:val="637F36C6"/>
    <w:rsid w:val="64AC1B3D"/>
    <w:rsid w:val="661A31DB"/>
    <w:rsid w:val="6B216DF6"/>
    <w:rsid w:val="6D562D0D"/>
    <w:rsid w:val="73892AA3"/>
    <w:rsid w:val="73D63E4E"/>
    <w:rsid w:val="7A7A19C3"/>
    <w:rsid w:val="7BDE2536"/>
    <w:rsid w:val="7CC5778E"/>
    <w:rsid w:val="7DB71DF2"/>
    <w:rsid w:val="7F104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widowControl w:val="0"/>
      <w:spacing w:before="260" w:after="260" w:line="415" w:lineRule="auto"/>
      <w:jc w:val="both"/>
      <w:outlineLvl w:val="2"/>
    </w:pPr>
    <w:rPr>
      <w:rFonts w:ascii="Times New Roman" w:hAnsi="Times New Roman" w:eastAsia="黑体" w:cs="Times New Roman"/>
      <w:b/>
      <w:kern w:val="2"/>
      <w:sz w:val="28"/>
      <w:szCs w:val="32"/>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5">
    <w:name w:val="caption"/>
    <w:basedOn w:val="1"/>
    <w:next w:val="1"/>
    <w:qFormat/>
    <w:uiPriority w:val="0"/>
    <w:pPr>
      <w:spacing w:before="6" w:after="6" w:line="0" w:lineRule="atLeast"/>
    </w:pPr>
    <w:rPr>
      <w:rFonts w:hint="eastAsia" w:ascii="Arial" w:hAnsi="Arial" w:cs="黑体"/>
      <w:kern w:val="24"/>
      <w:sz w:val="24"/>
    </w:rPr>
  </w:style>
  <w:style w:type="paragraph" w:styleId="6">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7">
    <w:name w:val="Plain Text"/>
    <w:basedOn w:val="1"/>
    <w:qFormat/>
    <w:uiPriority w:val="99"/>
    <w:rPr>
      <w:rFonts w:ascii="宋体" w:hAnsi="Courier New" w:cs="Courier New"/>
    </w:rPr>
  </w:style>
  <w:style w:type="paragraph" w:styleId="8">
    <w:name w:val="Body Text Indent 2"/>
    <w:basedOn w:val="1"/>
    <w:qFormat/>
    <w:uiPriority w:val="0"/>
    <w:pPr>
      <w:spacing w:line="360" w:lineRule="auto"/>
      <w:ind w:firstLine="480" w:firstLineChars="200"/>
    </w:pPr>
    <w:rPr>
      <w:sz w:val="24"/>
    </w:rPr>
  </w:style>
  <w:style w:type="paragraph" w:styleId="9">
    <w:name w:val="footer"/>
    <w:basedOn w:val="1"/>
    <w:qFormat/>
    <w:uiPriority w:val="99"/>
    <w:pPr>
      <w:tabs>
        <w:tab w:val="center" w:pos="4153"/>
        <w:tab w:val="right" w:pos="8306"/>
      </w:tabs>
      <w:snapToGrid w:val="0"/>
      <w:jc w:val="left"/>
    </w:pPr>
    <w:rPr>
      <w:kern w:val="0"/>
      <w:sz w:val="18"/>
      <w:szCs w:val="20"/>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w:basedOn w:val="1"/>
    <w:qFormat/>
    <w:uiPriority w:val="0"/>
    <w:pPr>
      <w:ind w:left="200" w:hanging="200" w:hangingChars="200"/>
      <w:jc w:val="center"/>
    </w:p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4">
    <w:name w:val="Body Text First Indent 2"/>
    <w:basedOn w:val="1"/>
    <w:next w:val="1"/>
    <w:qFormat/>
    <w:uiPriority w:val="0"/>
    <w:pPr>
      <w:ind w:firstLine="420" w:firstLineChars="200"/>
    </w:pPr>
  </w:style>
  <w:style w:type="table" w:styleId="16">
    <w:name w:val="Table Grid"/>
    <w:basedOn w:val="15"/>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annotation reference"/>
    <w:semiHidden/>
    <w:qFormat/>
    <w:uiPriority w:val="0"/>
    <w:rPr>
      <w:sz w:val="21"/>
    </w:rPr>
  </w:style>
  <w:style w:type="paragraph" w:customStyle="1" w:styleId="20">
    <w:name w:val="Table Paragraph"/>
    <w:basedOn w:val="1"/>
    <w:qFormat/>
    <w:uiPriority w:val="1"/>
    <w:pPr>
      <w:jc w:val="left"/>
    </w:pPr>
    <w:rPr>
      <w:rFonts w:ascii="Calibri" w:hAnsi="Calibri"/>
      <w:kern w:val="0"/>
      <w:sz w:val="22"/>
      <w:lang w:eastAsia="en-US"/>
    </w:rPr>
  </w:style>
  <w:style w:type="paragraph" w:customStyle="1" w:styleId="21">
    <w:name w:val="表格内容"/>
    <w:basedOn w:val="22"/>
    <w:next w:val="1"/>
    <w:qFormat/>
    <w:uiPriority w:val="0"/>
    <w:pPr>
      <w:spacing w:before="0" w:beforeAutospacing="0" w:after="0" w:afterAutospacing="0"/>
      <w:ind w:left="0"/>
      <w:jc w:val="center"/>
    </w:pPr>
    <w:rPr>
      <w:rFonts w:ascii="Times New Roman" w:hAnsi="Times New Roman" w:cs="宋体"/>
      <w:spacing w:val="0"/>
      <w:szCs w:val="20"/>
    </w:rPr>
  </w:style>
  <w:style w:type="paragraph" w:customStyle="1" w:styleId="22">
    <w:name w:val="表格"/>
    <w:basedOn w:val="11"/>
    <w:next w:val="1"/>
    <w:qFormat/>
    <w:uiPriority w:val="0"/>
    <w:pPr>
      <w:adjustRightInd w:val="0"/>
      <w:snapToGrid w:val="0"/>
      <w:spacing w:beforeLines="10" w:afterLines="10" w:line="259" w:lineRule="auto"/>
      <w:jc w:val="center"/>
    </w:pPr>
    <w:rPr>
      <w:rFonts w:ascii="宋体"/>
      <w:kern w:val="0"/>
      <w:szCs w:val="20"/>
    </w:rPr>
  </w:style>
  <w:style w:type="paragraph" w:customStyle="1" w:styleId="23">
    <w:name w:val="报告表  段"/>
    <w:basedOn w:val="1"/>
    <w:qFormat/>
    <w:uiPriority w:val="0"/>
    <w:pPr>
      <w:adjustRightInd w:val="0"/>
      <w:spacing w:line="360" w:lineRule="auto"/>
      <w:ind w:firstLine="505"/>
      <w:textAlignment w:val="baseline"/>
    </w:pPr>
    <w:rPr>
      <w:rFonts w:ascii="宋体"/>
      <w:kern w:val="0"/>
      <w:sz w:val="24"/>
      <w:szCs w:val="20"/>
    </w:rPr>
  </w:style>
  <w:style w:type="paragraph" w:customStyle="1" w:styleId="24">
    <w:name w:val="表头字体宋"/>
    <w:basedOn w:val="1"/>
    <w:qFormat/>
    <w:uiPriority w:val="0"/>
    <w:pPr>
      <w:widowControl/>
      <w:spacing w:line="360" w:lineRule="auto"/>
      <w:jc w:val="center"/>
    </w:pPr>
    <w:rPr>
      <w:rFonts w:cs="宋体"/>
      <w:b/>
      <w:bCs/>
      <w:spacing w:val="11"/>
      <w:kern w:val="0"/>
      <w:szCs w:val="20"/>
    </w:rPr>
  </w:style>
  <w:style w:type="paragraph" w:customStyle="1" w:styleId="25">
    <w:name w:val="表文字"/>
    <w:basedOn w:val="1"/>
    <w:qFormat/>
    <w:uiPriority w:val="0"/>
    <w:pPr>
      <w:overflowPunct w:val="0"/>
      <w:spacing w:line="240" w:lineRule="atLeast"/>
      <w:jc w:val="center"/>
      <w:textAlignment w:val="baseline"/>
    </w:pPr>
    <w:rPr>
      <w:szCs w:val="20"/>
    </w:rPr>
  </w:style>
  <w:style w:type="paragraph" w:customStyle="1" w:styleId="26">
    <w:name w:val="表格文字"/>
    <w:basedOn w:val="7"/>
    <w:qFormat/>
    <w:uiPriority w:val="99"/>
    <w:rPr>
      <w:sz w:val="24"/>
    </w:rPr>
  </w:style>
  <w:style w:type="paragraph" w:customStyle="1" w:styleId="27">
    <w:name w:val="卓龙正文"/>
    <w:basedOn w:val="1"/>
    <w:qFormat/>
    <w:uiPriority w:val="99"/>
    <w:pPr>
      <w:spacing w:line="360" w:lineRule="auto"/>
      <w:ind w:firstLine="200" w:firstLineChars="200"/>
    </w:pPr>
    <w:rPr>
      <w:sz w:val="24"/>
      <w:szCs w:val="24"/>
    </w:rPr>
  </w:style>
  <w:style w:type="paragraph" w:customStyle="1" w:styleId="28">
    <w:name w:val="卓龙标题"/>
    <w:basedOn w:val="1"/>
    <w:qFormat/>
    <w:uiPriority w:val="0"/>
    <w:pPr>
      <w:outlineLvl w:val="0"/>
    </w:pPr>
    <w:rPr>
      <w:b/>
      <w:bCs/>
      <w:sz w:val="28"/>
      <w:szCs w:val="28"/>
    </w:rPr>
  </w:style>
  <w:style w:type="paragraph" w:styleId="29">
    <w:name w:val="List Paragraph"/>
    <w:basedOn w:val="1"/>
    <w:qFormat/>
    <w:uiPriority w:val="1"/>
    <w:pPr>
      <w:spacing w:before="139"/>
      <w:ind w:left="1670" w:hanging="527"/>
    </w:pPr>
    <w:rPr>
      <w:rFonts w:ascii="宋体" w:hAnsi="宋体" w:eastAsia="宋体" w:cs="宋体"/>
      <w:u w:val="single" w:color="000000"/>
      <w:lang w:val="zh-CN" w:eastAsia="zh-CN" w:bidi="zh-CN"/>
    </w:rPr>
  </w:style>
  <w:style w:type="paragraph" w:customStyle="1" w:styleId="30">
    <w:name w:val="7表格文字"/>
    <w:basedOn w:val="1"/>
    <w:qFormat/>
    <w:uiPriority w:val="0"/>
    <w:pPr>
      <w:widowControl w:val="0"/>
      <w:spacing w:line="240" w:lineRule="auto"/>
      <w:ind w:firstLine="0" w:firstLineChars="0"/>
      <w:jc w:val="center"/>
    </w:pPr>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wmf"/><Relationship Id="rId13" Type="http://schemas.openxmlformats.org/officeDocument/2006/relationships/oleObject" Target="embeddings/oleObject1.bin"/><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2021-06-03T09:23:00Z</dcterms:created>
  <dc:creator>Administrator</dc:creator>
  <cp:lastModifiedBy>Administrator</cp:lastModifiedBy>
  <cp:lastPrinted>2021-09-03T07:39:23Z</cp:lastPrinted>
  <dcterms:modified xsi:type="dcterms:W3CDTF">2021-09-03T07:41:06Z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F3203991CDFA4DA9978EDC48F42A6665</vt:lpwstr>
  </property>
</Properties>
</file>