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1000" w:lineRule="exact"/>
        <w:ind w:left="0" w:leftChars="0" w:firstLine="0" w:firstLineChars="0"/>
        <w:jc w:val="center"/>
        <w:textAlignment w:val="auto"/>
        <w:rPr>
          <w:rFonts w:hint="eastAsia" w:ascii="仿宋" w:hAnsi="仿宋" w:eastAsia="仿宋" w:cs="仿宋"/>
          <w:b/>
          <w:bCs/>
          <w:sz w:val="72"/>
          <w:szCs w:val="72"/>
        </w:rPr>
      </w:pPr>
      <w:bookmarkStart w:id="0" w:name="_Hlk8504611"/>
      <w:r>
        <w:rPr>
          <w:rFonts w:hint="eastAsia" w:ascii="仿宋" w:hAnsi="仿宋" w:eastAsia="仿宋" w:cs="仿宋"/>
          <w:b/>
          <w:bCs/>
          <w:sz w:val="72"/>
          <w:szCs w:val="72"/>
        </w:rPr>
        <w:t>澧县高新技术产业开发区</w:t>
      </w:r>
    </w:p>
    <w:p>
      <w:pPr>
        <w:keepNext w:val="0"/>
        <w:keepLines w:val="0"/>
        <w:pageBreakBefore w:val="0"/>
        <w:widowControl w:val="0"/>
        <w:kinsoku/>
        <w:wordWrap/>
        <w:overflowPunct/>
        <w:topLinePunct w:val="0"/>
        <w:autoSpaceDE/>
        <w:autoSpaceDN/>
        <w:bidi w:val="0"/>
        <w:adjustRightInd/>
        <w:snapToGrid w:val="0"/>
        <w:spacing w:line="1000" w:lineRule="exact"/>
        <w:ind w:left="0" w:leftChars="0" w:firstLine="0" w:firstLineChars="0"/>
        <w:jc w:val="center"/>
        <w:textAlignment w:val="auto"/>
        <w:rPr>
          <w:rFonts w:hint="eastAsia" w:ascii="仿宋" w:hAnsi="仿宋" w:eastAsia="仿宋" w:cs="仿宋"/>
          <w:b/>
          <w:bCs/>
          <w:sz w:val="72"/>
          <w:szCs w:val="72"/>
        </w:rPr>
      </w:pPr>
      <w:r>
        <w:rPr>
          <w:rFonts w:hint="eastAsia" w:ascii="仿宋" w:hAnsi="仿宋" w:eastAsia="仿宋" w:cs="仿宋"/>
          <w:b/>
          <w:bCs/>
          <w:sz w:val="72"/>
          <w:szCs w:val="72"/>
          <w:lang w:val="en-US" w:eastAsia="zh-CN"/>
        </w:rPr>
        <w:t>生态环境管理</w:t>
      </w:r>
      <w:r>
        <w:rPr>
          <w:rFonts w:hint="eastAsia" w:ascii="仿宋" w:hAnsi="仿宋" w:eastAsia="仿宋" w:cs="仿宋"/>
          <w:b/>
          <w:bCs/>
          <w:sz w:val="72"/>
          <w:szCs w:val="72"/>
        </w:rPr>
        <w:t>202</w:t>
      </w:r>
      <w:r>
        <w:rPr>
          <w:rFonts w:hint="eastAsia" w:ascii="仿宋" w:hAnsi="仿宋" w:eastAsia="仿宋" w:cs="仿宋"/>
          <w:b/>
          <w:bCs/>
          <w:sz w:val="72"/>
          <w:szCs w:val="72"/>
          <w:lang w:val="en-US" w:eastAsia="zh-CN"/>
        </w:rPr>
        <w:t>2</w:t>
      </w:r>
      <w:r>
        <w:rPr>
          <w:rFonts w:hint="eastAsia" w:ascii="仿宋" w:hAnsi="仿宋" w:eastAsia="仿宋" w:cs="仿宋"/>
          <w:b/>
          <w:bCs/>
          <w:sz w:val="72"/>
          <w:szCs w:val="72"/>
        </w:rPr>
        <w:t>年度</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sz w:val="52"/>
          <w:szCs w:val="5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1160" w:lineRule="exact"/>
        <w:ind w:left="0" w:leftChars="0" w:firstLine="0" w:firstLineChars="0"/>
        <w:jc w:val="center"/>
        <w:textAlignment w:val="auto"/>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自</w:t>
      </w:r>
    </w:p>
    <w:p>
      <w:pPr>
        <w:keepNext w:val="0"/>
        <w:keepLines w:val="0"/>
        <w:pageBreakBefore w:val="0"/>
        <w:widowControl w:val="0"/>
        <w:kinsoku/>
        <w:wordWrap/>
        <w:overflowPunct/>
        <w:topLinePunct w:val="0"/>
        <w:autoSpaceDE/>
        <w:autoSpaceDN/>
        <w:bidi w:val="0"/>
        <w:adjustRightInd/>
        <w:snapToGrid w:val="0"/>
        <w:spacing w:line="1160" w:lineRule="exact"/>
        <w:ind w:left="0" w:leftChars="0" w:firstLine="0" w:firstLineChars="0"/>
        <w:jc w:val="center"/>
        <w:textAlignment w:val="auto"/>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评</w:t>
      </w:r>
    </w:p>
    <w:p>
      <w:pPr>
        <w:keepNext w:val="0"/>
        <w:keepLines w:val="0"/>
        <w:pageBreakBefore w:val="0"/>
        <w:widowControl w:val="0"/>
        <w:kinsoku/>
        <w:wordWrap/>
        <w:overflowPunct/>
        <w:topLinePunct w:val="0"/>
        <w:autoSpaceDE/>
        <w:autoSpaceDN/>
        <w:bidi w:val="0"/>
        <w:adjustRightInd/>
        <w:snapToGrid w:val="0"/>
        <w:spacing w:line="1160" w:lineRule="exact"/>
        <w:ind w:left="0" w:leftChars="0" w:firstLine="0" w:firstLineChars="0"/>
        <w:jc w:val="center"/>
        <w:textAlignment w:val="auto"/>
        <w:rPr>
          <w:rFonts w:hint="eastAsia" w:ascii="仿宋" w:hAnsi="仿宋" w:eastAsia="仿宋" w:cs="仿宋"/>
          <w:b/>
          <w:bCs/>
          <w:sz w:val="72"/>
          <w:szCs w:val="72"/>
          <w:lang w:val="en-US" w:eastAsia="zh-CN"/>
        </w:rPr>
      </w:pPr>
      <w:r>
        <w:rPr>
          <w:rFonts w:hint="eastAsia" w:ascii="仿宋" w:hAnsi="仿宋" w:eastAsia="仿宋" w:cs="仿宋"/>
          <w:b/>
          <w:bCs/>
          <w:sz w:val="72"/>
          <w:szCs w:val="72"/>
          <w:lang w:val="en-US" w:eastAsia="zh-CN"/>
        </w:rPr>
        <w:t>估</w:t>
      </w:r>
    </w:p>
    <w:p>
      <w:pPr>
        <w:keepNext w:val="0"/>
        <w:keepLines w:val="0"/>
        <w:pageBreakBefore w:val="0"/>
        <w:widowControl w:val="0"/>
        <w:kinsoku/>
        <w:wordWrap/>
        <w:overflowPunct/>
        <w:topLinePunct w:val="0"/>
        <w:autoSpaceDE/>
        <w:autoSpaceDN/>
        <w:bidi w:val="0"/>
        <w:adjustRightInd/>
        <w:snapToGrid w:val="0"/>
        <w:spacing w:line="1160" w:lineRule="exact"/>
        <w:ind w:left="0" w:leftChars="0" w:firstLine="0" w:firstLineChars="0"/>
        <w:jc w:val="center"/>
        <w:textAlignment w:val="auto"/>
        <w:rPr>
          <w:rFonts w:hint="eastAsia" w:ascii="仿宋" w:hAnsi="仿宋" w:eastAsia="仿宋" w:cs="仿宋"/>
          <w:b/>
          <w:bCs/>
          <w:sz w:val="72"/>
          <w:szCs w:val="72"/>
        </w:rPr>
      </w:pPr>
      <w:r>
        <w:rPr>
          <w:rFonts w:hint="eastAsia" w:ascii="仿宋" w:hAnsi="仿宋" w:eastAsia="仿宋" w:cs="仿宋"/>
          <w:b/>
          <w:bCs/>
          <w:sz w:val="72"/>
          <w:szCs w:val="72"/>
        </w:rPr>
        <w:t>报</w:t>
      </w:r>
    </w:p>
    <w:p>
      <w:pPr>
        <w:keepNext w:val="0"/>
        <w:keepLines w:val="0"/>
        <w:pageBreakBefore w:val="0"/>
        <w:widowControl w:val="0"/>
        <w:kinsoku/>
        <w:wordWrap/>
        <w:overflowPunct/>
        <w:topLinePunct w:val="0"/>
        <w:autoSpaceDE/>
        <w:autoSpaceDN/>
        <w:bidi w:val="0"/>
        <w:adjustRightInd/>
        <w:snapToGrid w:val="0"/>
        <w:spacing w:line="1160" w:lineRule="exact"/>
        <w:ind w:left="0" w:leftChars="0" w:firstLine="0" w:firstLineChars="0"/>
        <w:jc w:val="center"/>
        <w:textAlignment w:val="auto"/>
        <w:rPr>
          <w:rFonts w:hint="eastAsia" w:ascii="仿宋" w:hAnsi="仿宋" w:eastAsia="仿宋" w:cs="仿宋"/>
          <w:b/>
          <w:bCs/>
          <w:sz w:val="52"/>
          <w:szCs w:val="52"/>
        </w:rPr>
      </w:pPr>
      <w:r>
        <w:rPr>
          <w:rFonts w:hint="eastAsia" w:ascii="仿宋" w:hAnsi="仿宋" w:eastAsia="仿宋" w:cs="仿宋"/>
          <w:b/>
          <w:bCs/>
          <w:sz w:val="72"/>
          <w:szCs w:val="72"/>
        </w:rPr>
        <w:t>告</w:t>
      </w:r>
    </w:p>
    <w:p>
      <w:pPr>
        <w:pStyle w:val="37"/>
        <w:ind w:right="1044" w:rightChars="373" w:firstLine="602"/>
        <w:jc w:val="center"/>
        <w:rPr>
          <w:rFonts w:hint="eastAsia" w:ascii="仿宋" w:hAnsi="仿宋" w:eastAsia="仿宋" w:cs="仿宋"/>
          <w:b/>
          <w:bCs/>
          <w:color w:val="000000" w:themeColor="text1"/>
          <w:sz w:val="30"/>
          <w:szCs w:val="30"/>
          <w14:textFill>
            <w14:solidFill>
              <w14:schemeClr w14:val="tx1"/>
            </w14:solidFill>
          </w14:textFill>
        </w:rPr>
      </w:pPr>
    </w:p>
    <w:p>
      <w:pPr>
        <w:pStyle w:val="37"/>
        <w:ind w:right="1044" w:rightChars="373" w:firstLine="602"/>
        <w:jc w:val="center"/>
        <w:rPr>
          <w:b/>
          <w:bCs/>
          <w:color w:val="000000" w:themeColor="text1"/>
          <w:sz w:val="30"/>
          <w:szCs w:val="30"/>
          <w14:textFill>
            <w14:solidFill>
              <w14:schemeClr w14:val="tx1"/>
            </w14:solidFill>
          </w14:textFill>
        </w:rPr>
      </w:pPr>
    </w:p>
    <w:p>
      <w:pPr>
        <w:pStyle w:val="37"/>
        <w:ind w:right="1044" w:rightChars="373" w:firstLine="602"/>
        <w:jc w:val="center"/>
        <w:rPr>
          <w:b/>
          <w:bCs/>
          <w:color w:val="000000" w:themeColor="text1"/>
          <w:sz w:val="30"/>
          <w:szCs w:val="30"/>
          <w14:textFill>
            <w14:solidFill>
              <w14:schemeClr w14:val="tx1"/>
            </w14:solidFill>
          </w14:textFill>
        </w:rPr>
      </w:pPr>
    </w:p>
    <w:p>
      <w:pPr>
        <w:bidi w:val="0"/>
        <w:ind w:left="0" w:leftChars="0" w:firstLine="0" w:firstLineChars="0"/>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编制单位：</w:t>
      </w:r>
      <w:r>
        <w:rPr>
          <w:rFonts w:hint="eastAsia" w:ascii="仿宋" w:hAnsi="仿宋" w:eastAsia="仿宋" w:cs="仿宋"/>
          <w:b/>
          <w:bCs/>
          <w:sz w:val="36"/>
          <w:szCs w:val="36"/>
        </w:rPr>
        <w:t>澧县高新技术产业开发区</w:t>
      </w:r>
      <w:r>
        <w:rPr>
          <w:rFonts w:hint="eastAsia" w:ascii="仿宋" w:hAnsi="仿宋" w:eastAsia="仿宋" w:cs="仿宋"/>
          <w:b/>
          <w:bCs/>
          <w:sz w:val="36"/>
          <w:szCs w:val="36"/>
          <w:lang w:val="en-US" w:eastAsia="zh-CN"/>
        </w:rPr>
        <w:t>管理委员会</w:t>
      </w:r>
    </w:p>
    <w:p>
      <w:pPr>
        <w:bidi w:val="0"/>
        <w:ind w:left="0" w:leftChars="0"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3</w:t>
      </w:r>
      <w:r>
        <w:rPr>
          <w:rFonts w:hint="eastAsia" w:ascii="仿宋" w:hAnsi="仿宋" w:eastAsia="仿宋" w:cs="仿宋"/>
          <w:b/>
          <w:bCs/>
          <w:sz w:val="36"/>
          <w:szCs w:val="36"/>
        </w:rPr>
        <w:t>年</w:t>
      </w:r>
      <w:r>
        <w:rPr>
          <w:rFonts w:hint="eastAsia" w:ascii="仿宋" w:hAnsi="仿宋" w:eastAsia="仿宋" w:cs="仿宋"/>
          <w:b/>
          <w:bCs/>
          <w:sz w:val="36"/>
          <w:szCs w:val="36"/>
          <w:lang w:val="en-US" w:eastAsia="zh-CN"/>
        </w:rPr>
        <w:t>2</w:t>
      </w:r>
      <w:r>
        <w:rPr>
          <w:rFonts w:hint="eastAsia" w:ascii="仿宋" w:hAnsi="仿宋" w:eastAsia="仿宋" w:cs="仿宋"/>
          <w:b/>
          <w:bCs/>
          <w:sz w:val="36"/>
          <w:szCs w:val="36"/>
        </w:rPr>
        <w:t>月</w:t>
      </w:r>
    </w:p>
    <w:p>
      <w:pPr>
        <w:spacing w:line="360" w:lineRule="auto"/>
        <w:ind w:firstLine="992"/>
        <w:jc w:val="center"/>
        <w:rPr>
          <w:rFonts w:hint="eastAsia" w:ascii="方正小标宋简体" w:hAnsi="方正小标宋简体" w:eastAsia="方正小标宋简体" w:cs="方正小标宋简体"/>
          <w:b w:val="0"/>
          <w:bCs w:val="0"/>
          <w:spacing w:val="28"/>
          <w:sz w:val="44"/>
          <w:szCs w:val="44"/>
        </w:rPr>
        <w:sectPr>
          <w:footerReference r:id="rId5" w:type="default"/>
          <w:pgSz w:w="11906" w:h="16838"/>
          <w:pgMar w:top="2098" w:right="1531" w:bottom="1134" w:left="1587" w:header="851" w:footer="992" w:gutter="0"/>
          <w:pgNumType w:fmt="numberInDash"/>
          <w:cols w:space="720" w:num="1"/>
          <w:docGrid w:type="lines" w:linePitch="312" w:charSpace="0"/>
        </w:sectPr>
      </w:pPr>
    </w:p>
    <w:p>
      <w:pPr>
        <w:spacing w:line="360" w:lineRule="auto"/>
        <w:ind w:firstLine="992"/>
        <w:jc w:val="center"/>
        <w:rPr>
          <w:rFonts w:hint="eastAsia" w:ascii="微软雅黑" w:hAnsi="微软雅黑" w:eastAsia="微软雅黑" w:cs="微软雅黑"/>
          <w:b w:val="0"/>
          <w:bCs w:val="0"/>
          <w:spacing w:val="28"/>
          <w:sz w:val="44"/>
          <w:szCs w:val="44"/>
        </w:rPr>
      </w:pPr>
      <w:r>
        <w:rPr>
          <w:rFonts w:hint="eastAsia" w:ascii="微软雅黑" w:hAnsi="微软雅黑" w:eastAsia="微软雅黑" w:cs="微软雅黑"/>
          <w:b w:val="0"/>
          <w:bCs w:val="0"/>
          <w:spacing w:val="28"/>
          <w:sz w:val="44"/>
          <w:szCs w:val="44"/>
        </w:rPr>
        <w:t>澧县高新技术产业开发区</w:t>
      </w:r>
    </w:p>
    <w:p>
      <w:pPr>
        <w:spacing w:line="360" w:lineRule="auto"/>
        <w:ind w:firstLine="992"/>
        <w:jc w:val="center"/>
        <w:rPr>
          <w:rFonts w:hint="eastAsia" w:ascii="微软雅黑" w:hAnsi="微软雅黑" w:eastAsia="微软雅黑" w:cs="微软雅黑"/>
          <w:b w:val="0"/>
          <w:bCs w:val="0"/>
          <w:spacing w:val="28"/>
          <w:sz w:val="44"/>
          <w:szCs w:val="44"/>
        </w:rPr>
      </w:pPr>
      <w:r>
        <w:rPr>
          <w:rFonts w:hint="eastAsia" w:ascii="微软雅黑" w:hAnsi="微软雅黑" w:eastAsia="微软雅黑" w:cs="微软雅黑"/>
          <w:b w:val="0"/>
          <w:bCs w:val="0"/>
          <w:spacing w:val="28"/>
          <w:sz w:val="44"/>
          <w:szCs w:val="44"/>
        </w:rPr>
        <w:t>生态环境管理2022年度自评估报告</w:t>
      </w:r>
    </w:p>
    <w:p>
      <w:pPr>
        <w:ind w:firstLine="832"/>
        <w:jc w:val="left"/>
        <w:rPr>
          <w:rFonts w:ascii="仿宋_GB2312" w:hAnsi="仿宋_GB2312" w:eastAsia="仿宋_GB2312" w:cs="仿宋_GB2312"/>
          <w:spacing w:val="28"/>
          <w:sz w:val="36"/>
          <w:szCs w:val="36"/>
        </w:rPr>
      </w:pPr>
    </w:p>
    <w:p>
      <w:pPr>
        <w:spacing w:line="600" w:lineRule="exact"/>
        <w:ind w:firstLine="640"/>
        <w:outlineLvl w:val="0"/>
        <w:rPr>
          <w:rFonts w:ascii="黑体" w:hAnsi="黑体" w:eastAsia="黑体" w:cs="黑体"/>
          <w:sz w:val="32"/>
          <w:szCs w:val="32"/>
        </w:rPr>
      </w:pPr>
      <w:r>
        <w:rPr>
          <w:rFonts w:hint="eastAsia" w:ascii="黑体" w:hAnsi="黑体" w:eastAsia="黑体" w:cs="黑体"/>
          <w:sz w:val="32"/>
          <w:szCs w:val="32"/>
        </w:rPr>
        <w:t>一、园区概况</w:t>
      </w:r>
    </w:p>
    <w:p>
      <w:pPr>
        <w:pStyle w:val="13"/>
        <w:snapToGrid w:val="0"/>
        <w:spacing w:after="0"/>
        <w:ind w:left="0" w:leftChars="0" w:firstLine="640"/>
        <w:rPr>
          <w:rFonts w:hint="default" w:ascii="Times New Roman" w:hAnsi="Times New Roman" w:eastAsia="仿宋" w:cs="Times New Roman"/>
          <w:szCs w:val="32"/>
          <w:lang w:eastAsia="zh-CN"/>
        </w:rPr>
      </w:pPr>
      <w:r>
        <w:rPr>
          <w:rFonts w:hint="default" w:ascii="Times New Roman" w:hAnsi="Times New Roman" w:eastAsia="仿宋" w:cs="Times New Roman"/>
          <w:szCs w:val="32"/>
          <w:u w:val="single"/>
        </w:rPr>
        <w:t>澧县高新技术产业开发区</w:t>
      </w:r>
      <w:r>
        <w:rPr>
          <w:rFonts w:hint="default" w:ascii="Times New Roman" w:hAnsi="Times New Roman" w:eastAsia="仿宋" w:cs="Times New Roman"/>
          <w:szCs w:val="32"/>
        </w:rPr>
        <w:t>位于</w:t>
      </w:r>
      <w:r>
        <w:rPr>
          <w:rFonts w:hint="default" w:ascii="Times New Roman" w:hAnsi="Times New Roman" w:eastAsia="仿宋" w:cs="Times New Roman"/>
          <w:szCs w:val="32"/>
          <w:u w:val="single" w:color="000000"/>
        </w:rPr>
        <w:t>常德</w:t>
      </w:r>
      <w:r>
        <w:rPr>
          <w:rFonts w:hint="default" w:ascii="Times New Roman" w:hAnsi="Times New Roman" w:eastAsia="仿宋" w:cs="Times New Roman"/>
          <w:szCs w:val="32"/>
        </w:rPr>
        <w:t>市</w:t>
      </w:r>
      <w:r>
        <w:rPr>
          <w:rFonts w:hint="default" w:ascii="Times New Roman" w:hAnsi="Times New Roman" w:eastAsia="仿宋" w:cs="Times New Roman"/>
          <w:szCs w:val="32"/>
          <w:u w:val="single" w:color="000000"/>
        </w:rPr>
        <w:t>澧</w:t>
      </w:r>
      <w:r>
        <w:rPr>
          <w:rFonts w:hint="default" w:ascii="Times New Roman" w:hAnsi="Times New Roman" w:eastAsia="仿宋" w:cs="Times New Roman"/>
          <w:szCs w:val="32"/>
        </w:rPr>
        <w:t>县，园区代码</w:t>
      </w:r>
      <w:r>
        <w:rPr>
          <w:rFonts w:hint="default" w:ascii="Times New Roman" w:hAnsi="Times New Roman" w:eastAsia="仿宋" w:cs="Times New Roman"/>
          <w:szCs w:val="32"/>
          <w:u w:val="single"/>
        </w:rPr>
        <w:t xml:space="preserve"> 4307232305</w:t>
      </w:r>
      <w:r>
        <w:rPr>
          <w:rFonts w:hint="default" w:ascii="Times New Roman" w:hAnsi="Times New Roman" w:eastAsia="仿宋" w:cs="Times New Roman"/>
          <w:szCs w:val="32"/>
        </w:rPr>
        <w:t>，园区级别为</w:t>
      </w:r>
      <w:r>
        <w:rPr>
          <w:rFonts w:hint="default" w:ascii="Times New Roman" w:hAnsi="Times New Roman" w:eastAsia="仿宋" w:cs="Times New Roman"/>
          <w:szCs w:val="32"/>
          <w:u w:val="single" w:color="000000"/>
        </w:rPr>
        <w:t>省</w:t>
      </w:r>
      <w:r>
        <w:rPr>
          <w:rFonts w:hint="default" w:ascii="Times New Roman" w:hAnsi="Times New Roman" w:eastAsia="仿宋" w:cs="Times New Roman"/>
          <w:szCs w:val="32"/>
        </w:rPr>
        <w:t>级工业园区，主导产业</w:t>
      </w:r>
      <w:r>
        <w:rPr>
          <w:rFonts w:hint="default" w:ascii="Times New Roman" w:hAnsi="Times New Roman" w:eastAsia="仿宋" w:cs="Times New Roman"/>
          <w:szCs w:val="32"/>
          <w:u w:val="single" w:color="000000"/>
        </w:rPr>
        <w:t>西区：以食品加工、医疗器械、轻纺等产业为主，医药、农副食品加工、非金属矿制品，适当配套发展纸制品包装和现代化服务等辅助产业。东区：以物流、服装生产和电子机械为主，辅以发展食品加工工业；（湘环评〔2013〕112号、湘发改函〔2013〕202号、六部委公告2018年第4号）</w:t>
      </w:r>
      <w:r>
        <w:rPr>
          <w:rFonts w:hint="default" w:ascii="Times New Roman" w:hAnsi="Times New Roman" w:eastAsia="仿宋" w:cs="Times New Roman"/>
          <w:szCs w:val="32"/>
        </w:rPr>
        <w:t>核准范围面积</w:t>
      </w:r>
      <w:r>
        <w:rPr>
          <w:rFonts w:hint="default" w:ascii="Times New Roman" w:hAnsi="Times New Roman" w:eastAsia="仿宋" w:cs="Times New Roman"/>
          <w:szCs w:val="32"/>
          <w:u w:val="single" w:color="000000"/>
        </w:rPr>
        <w:t>7.43</w:t>
      </w:r>
      <w:r>
        <w:rPr>
          <w:rFonts w:hint="default" w:ascii="Times New Roman" w:hAnsi="Times New Roman" w:eastAsia="仿宋" w:cs="Times New Roman"/>
          <w:szCs w:val="32"/>
        </w:rPr>
        <w:t>km</w:t>
      </w:r>
      <w:r>
        <w:rPr>
          <w:rFonts w:hint="default" w:ascii="Times New Roman" w:hAnsi="Times New Roman" w:eastAsia="仿宋" w:cs="Times New Roman"/>
          <w:szCs w:val="32"/>
          <w:vertAlign w:val="superscript"/>
        </w:rPr>
        <w:t>2</w:t>
      </w:r>
      <w:r>
        <w:rPr>
          <w:rFonts w:hint="default" w:ascii="Times New Roman" w:hAnsi="Times New Roman" w:eastAsia="仿宋" w:cs="Times New Roman"/>
          <w:szCs w:val="32"/>
        </w:rPr>
        <w:t>，园区规划环评批复（含调扩区、跟踪评价）情况</w:t>
      </w:r>
      <w:r>
        <w:rPr>
          <w:rFonts w:hint="default" w:ascii="Times New Roman" w:hAnsi="Times New Roman" w:eastAsia="仿宋" w:cs="Times New Roman"/>
          <w:szCs w:val="32"/>
          <w:u w:val="single"/>
        </w:rPr>
        <w:t>2003年3月经省人民政府批准为省级开发区，2013年调区扩区，核准面积为7.81km</w:t>
      </w:r>
      <w:r>
        <w:rPr>
          <w:rFonts w:hint="default" w:ascii="Times New Roman" w:hAnsi="Times New Roman" w:eastAsia="仿宋" w:cs="Times New Roman"/>
          <w:szCs w:val="32"/>
          <w:u w:val="single"/>
          <w:vertAlign w:val="superscript"/>
        </w:rPr>
        <w:t>2</w:t>
      </w:r>
      <w:r>
        <w:rPr>
          <w:rFonts w:hint="default" w:ascii="Times New Roman" w:hAnsi="Times New Roman" w:eastAsia="仿宋" w:cs="Times New Roman"/>
          <w:szCs w:val="32"/>
        </w:rPr>
        <w:t>，批复文号</w:t>
      </w:r>
      <w:r>
        <w:rPr>
          <w:rFonts w:hint="default" w:ascii="Times New Roman" w:hAnsi="Times New Roman" w:eastAsia="仿宋" w:cs="Times New Roman"/>
          <w:szCs w:val="32"/>
          <w:u w:val="single"/>
        </w:rPr>
        <w:t>湘环评（2013）112号</w:t>
      </w:r>
      <w:r>
        <w:rPr>
          <w:rFonts w:hint="default" w:ascii="Times New Roman" w:hAnsi="Times New Roman" w:eastAsia="仿宋" w:cs="Times New Roman"/>
          <w:szCs w:val="32"/>
        </w:rPr>
        <w:t>。澧县高新技术产业开发区管理委员会于2022年</w:t>
      </w:r>
      <w:r>
        <w:rPr>
          <w:rFonts w:hint="default" w:ascii="Times New Roman" w:hAnsi="Times New Roman" w:eastAsia="仿宋" w:cs="Times New Roman"/>
          <w:szCs w:val="32"/>
          <w:lang w:val="en-US" w:eastAsia="zh-CN"/>
        </w:rPr>
        <w:t>8</w:t>
      </w:r>
      <w:r>
        <w:rPr>
          <w:rFonts w:hint="default" w:ascii="Times New Roman" w:hAnsi="Times New Roman" w:eastAsia="仿宋" w:cs="Times New Roman"/>
          <w:szCs w:val="32"/>
        </w:rPr>
        <w:t>月委托湖南景玺环保科技有限公司对澧县高新区2013年以来规划实施产生的环境影响进行跟踪评价</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rPr>
        <w:t>2022年11月11日召开了跟踪评价专家评审会</w:t>
      </w:r>
      <w:r>
        <w:rPr>
          <w:rFonts w:hint="default" w:ascii="Times New Roman" w:hAnsi="Times New Roman" w:eastAsia="仿宋" w:cs="Times New Roman"/>
          <w:szCs w:val="32"/>
          <w:lang w:eastAsia="zh-CN"/>
        </w:rPr>
        <w:t>。</w:t>
      </w:r>
    </w:p>
    <w:p>
      <w:pPr>
        <w:pStyle w:val="13"/>
        <w:snapToGrid w:val="0"/>
        <w:spacing w:after="0"/>
        <w:ind w:left="0" w:leftChars="0" w:firstLine="640"/>
        <w:rPr>
          <w:rFonts w:hint="default" w:ascii="Times New Roman" w:hAnsi="Times New Roman" w:eastAsia="仿宋" w:cs="Times New Roman"/>
          <w:szCs w:val="32"/>
          <w:u w:val="single"/>
        </w:rPr>
      </w:pPr>
      <w:r>
        <w:rPr>
          <w:rFonts w:hint="default" w:ascii="Times New Roman" w:hAnsi="Times New Roman" w:eastAsia="仿宋" w:cs="Times New Roman"/>
          <w:szCs w:val="32"/>
        </w:rPr>
        <w:t>园区经济发展概况：</w:t>
      </w:r>
      <w:r>
        <w:rPr>
          <w:rFonts w:hint="default" w:ascii="Times New Roman" w:hAnsi="Times New Roman" w:eastAsia="仿宋" w:cs="Times New Roman"/>
          <w:szCs w:val="32"/>
          <w:u w:val="single"/>
        </w:rPr>
        <w:t>2022年园区实现工业产值173.65亿元，同比增长15.38%；实业工业税收2.21亿元，同比增长66.39%；实行增加值39.11亿元，同比增长11.1%。</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截止到年底，园区已入园企业数量</w:t>
      </w:r>
      <w:r>
        <w:rPr>
          <w:rFonts w:hint="default" w:ascii="Times New Roman" w:hAnsi="Times New Roman" w:eastAsia="仿宋" w:cs="Times New Roman"/>
          <w:szCs w:val="32"/>
          <w:u w:val="single" w:color="000000"/>
        </w:rPr>
        <w:t xml:space="preserve"> 74 </w:t>
      </w:r>
      <w:r>
        <w:rPr>
          <w:rFonts w:hint="default" w:ascii="Times New Roman" w:hAnsi="Times New Roman" w:eastAsia="仿宋" w:cs="Times New Roman"/>
          <w:szCs w:val="32"/>
        </w:rPr>
        <w:t>个，其中，上一年度末已入园企业数量</w:t>
      </w:r>
      <w:r>
        <w:rPr>
          <w:rFonts w:hint="default" w:ascii="Times New Roman" w:hAnsi="Times New Roman" w:eastAsia="仿宋" w:cs="Times New Roman"/>
          <w:szCs w:val="32"/>
          <w:u w:val="single"/>
        </w:rPr>
        <w:t xml:space="preserve"> 68 </w:t>
      </w:r>
      <w:r>
        <w:rPr>
          <w:rFonts w:hint="default" w:ascii="Times New Roman" w:hAnsi="Times New Roman" w:eastAsia="仿宋" w:cs="Times New Roman"/>
          <w:szCs w:val="32"/>
        </w:rPr>
        <w:t>个，本年度内新入园企业数量</w:t>
      </w:r>
      <w:r>
        <w:rPr>
          <w:rFonts w:hint="default" w:ascii="Times New Roman" w:hAnsi="Times New Roman" w:eastAsia="仿宋" w:cs="Times New Roman"/>
          <w:szCs w:val="32"/>
          <w:u w:val="single"/>
        </w:rPr>
        <w:t>10</w:t>
      </w:r>
      <w:r>
        <w:rPr>
          <w:rFonts w:hint="default" w:ascii="Times New Roman" w:hAnsi="Times New Roman" w:eastAsia="仿宋" w:cs="Times New Roman"/>
          <w:szCs w:val="32"/>
        </w:rPr>
        <w:t>个，本年度清退企业数量</w:t>
      </w:r>
      <w:r>
        <w:rPr>
          <w:rFonts w:hint="default" w:ascii="Times New Roman" w:hAnsi="Times New Roman" w:eastAsia="仿宋" w:cs="Times New Roman"/>
          <w:szCs w:val="32"/>
          <w:u w:val="single"/>
        </w:rPr>
        <w:t xml:space="preserve"> 4 </w:t>
      </w:r>
      <w:r>
        <w:rPr>
          <w:rFonts w:hint="default" w:ascii="Times New Roman" w:hAnsi="Times New Roman" w:eastAsia="仿宋" w:cs="Times New Roman"/>
          <w:szCs w:val="32"/>
        </w:rPr>
        <w:t>个。园区内已完成环评批复手续企业数量</w:t>
      </w:r>
      <w:r>
        <w:rPr>
          <w:rFonts w:hint="default" w:ascii="Times New Roman" w:hAnsi="Times New Roman" w:eastAsia="仿宋" w:cs="Times New Roman"/>
          <w:szCs w:val="32"/>
          <w:u w:val="single" w:color="000000"/>
        </w:rPr>
        <w:t xml:space="preserve"> </w:t>
      </w:r>
      <w:r>
        <w:rPr>
          <w:rFonts w:hint="default" w:ascii="Times New Roman" w:hAnsi="Times New Roman" w:eastAsia="仿宋" w:cs="Times New Roman"/>
          <w:szCs w:val="32"/>
          <w:u w:val="single" w:color="000000"/>
          <w:lang w:val="en-US" w:eastAsia="zh-CN"/>
        </w:rPr>
        <w:t>74</w:t>
      </w:r>
      <w:r>
        <w:rPr>
          <w:rFonts w:hint="default" w:ascii="Times New Roman" w:hAnsi="Times New Roman" w:eastAsia="仿宋" w:cs="Times New Roman"/>
          <w:szCs w:val="32"/>
        </w:rPr>
        <w:t>个</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lang w:val="en-US" w:eastAsia="zh-CN"/>
        </w:rPr>
        <w:t>含</w:t>
      </w:r>
      <w:r>
        <w:rPr>
          <w:rFonts w:hint="default" w:ascii="Times New Roman" w:hAnsi="Times New Roman" w:eastAsia="仿宋" w:cs="Times New Roman"/>
          <w:szCs w:val="32"/>
        </w:rPr>
        <w:t>环评豁免企业13</w:t>
      </w:r>
      <w:r>
        <w:rPr>
          <w:rFonts w:hint="default" w:ascii="Times New Roman" w:hAnsi="Times New Roman" w:eastAsia="仿宋" w:cs="Times New Roman"/>
          <w:szCs w:val="32"/>
          <w:u w:val="single"/>
        </w:rPr>
        <w:t>个</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rPr>
        <w:t>，本年度新增项目环评批复</w:t>
      </w:r>
      <w:r>
        <w:rPr>
          <w:rFonts w:hint="default" w:ascii="Times New Roman" w:hAnsi="Times New Roman" w:eastAsia="仿宋" w:cs="Times New Roman"/>
          <w:szCs w:val="32"/>
          <w:u w:val="single"/>
          <w:lang w:val="en-US" w:eastAsia="zh-CN"/>
        </w:rPr>
        <w:t>10</w:t>
      </w:r>
      <w:r>
        <w:rPr>
          <w:rFonts w:hint="default" w:ascii="Times New Roman" w:hAnsi="Times New Roman" w:eastAsia="仿宋" w:cs="Times New Roman"/>
          <w:szCs w:val="32"/>
          <w:u w:val="single"/>
        </w:rPr>
        <w:t xml:space="preserve"> </w:t>
      </w:r>
      <w:r>
        <w:rPr>
          <w:rFonts w:hint="default" w:ascii="Times New Roman" w:hAnsi="Times New Roman" w:eastAsia="仿宋" w:cs="Times New Roman"/>
          <w:szCs w:val="32"/>
        </w:rPr>
        <w:t>个。园区内已完成环保竣工验收手续企业数量</w:t>
      </w:r>
      <w:r>
        <w:rPr>
          <w:rFonts w:hint="default" w:ascii="Times New Roman" w:hAnsi="Times New Roman" w:eastAsia="仿宋" w:cs="Times New Roman"/>
          <w:szCs w:val="32"/>
          <w:u w:val="single" w:color="000000"/>
        </w:rPr>
        <w:t xml:space="preserve"> 61</w:t>
      </w:r>
      <w:r>
        <w:rPr>
          <w:rFonts w:hint="default" w:ascii="Times New Roman" w:hAnsi="Times New Roman" w:eastAsia="仿宋" w:cs="Times New Roman"/>
          <w:szCs w:val="32"/>
        </w:rPr>
        <w:t>个（含无需验收企业</w:t>
      </w:r>
      <w:r>
        <w:rPr>
          <w:rFonts w:hint="default" w:ascii="Times New Roman" w:hAnsi="Times New Roman" w:eastAsia="仿宋" w:cs="Times New Roman"/>
          <w:szCs w:val="32"/>
          <w:u w:val="single"/>
        </w:rPr>
        <w:t>2</w:t>
      </w:r>
      <w:r>
        <w:rPr>
          <w:rFonts w:hint="default" w:ascii="Times New Roman" w:hAnsi="Times New Roman" w:eastAsia="仿宋" w:cs="Times New Roman"/>
          <w:szCs w:val="32"/>
          <w:u w:val="single"/>
          <w:lang w:val="en-US" w:eastAsia="zh-CN"/>
        </w:rPr>
        <w:t>1</w:t>
      </w:r>
      <w:r>
        <w:rPr>
          <w:rFonts w:hint="default" w:ascii="Times New Roman" w:hAnsi="Times New Roman" w:eastAsia="仿宋" w:cs="Times New Roman"/>
          <w:szCs w:val="32"/>
          <w:u w:val="single"/>
        </w:rPr>
        <w:t>个</w:t>
      </w:r>
      <w:r>
        <w:rPr>
          <w:rFonts w:hint="default" w:ascii="Times New Roman" w:hAnsi="Times New Roman" w:eastAsia="仿宋" w:cs="Times New Roman"/>
          <w:szCs w:val="32"/>
        </w:rPr>
        <w:t>），本年度新增环保竣工验收企业数量</w:t>
      </w:r>
      <w:r>
        <w:rPr>
          <w:rFonts w:hint="default" w:ascii="Times New Roman" w:hAnsi="Times New Roman" w:eastAsia="仿宋" w:cs="Times New Roman"/>
          <w:szCs w:val="32"/>
          <w:u w:val="single" w:color="000000"/>
        </w:rPr>
        <w:t xml:space="preserve"> </w:t>
      </w:r>
      <w:r>
        <w:rPr>
          <w:rFonts w:hint="default" w:ascii="Times New Roman" w:hAnsi="Times New Roman" w:eastAsia="仿宋" w:cs="Times New Roman"/>
          <w:szCs w:val="32"/>
          <w:u w:val="single"/>
        </w:rPr>
        <w:t>9</w:t>
      </w:r>
      <w:r>
        <w:rPr>
          <w:rFonts w:hint="default" w:ascii="Times New Roman" w:hAnsi="Times New Roman" w:eastAsia="仿宋" w:cs="Times New Roman"/>
          <w:szCs w:val="32"/>
        </w:rPr>
        <w:t>个，未完成验收的有</w:t>
      </w:r>
      <w:r>
        <w:rPr>
          <w:rFonts w:hint="default" w:ascii="Times New Roman" w:hAnsi="Times New Roman" w:eastAsia="仿宋" w:cs="Times New Roman"/>
          <w:szCs w:val="32"/>
          <w:u w:val="single"/>
        </w:rPr>
        <w:t>13</w:t>
      </w:r>
      <w:r>
        <w:rPr>
          <w:rFonts w:hint="default" w:ascii="Times New Roman" w:hAnsi="Times New Roman" w:eastAsia="仿宋" w:cs="Times New Roman"/>
          <w:szCs w:val="32"/>
          <w:u w:val="none"/>
        </w:rPr>
        <w:t>个，</w:t>
      </w:r>
      <w:r>
        <w:rPr>
          <w:rFonts w:hint="default" w:ascii="Times New Roman" w:hAnsi="Times New Roman" w:eastAsia="仿宋" w:cs="Times New Roman"/>
          <w:szCs w:val="32"/>
          <w:u w:val="none"/>
          <w:lang w:val="en-US" w:eastAsia="zh-CN"/>
        </w:rPr>
        <w:t>均为</w:t>
      </w:r>
      <w:r>
        <w:rPr>
          <w:rFonts w:hint="default" w:ascii="Times New Roman" w:hAnsi="Times New Roman" w:eastAsia="仿宋" w:cs="Times New Roman"/>
          <w:szCs w:val="32"/>
          <w:u w:val="none"/>
        </w:rPr>
        <w:t>未建成和未投产</w:t>
      </w:r>
      <w:r>
        <w:rPr>
          <w:rFonts w:hint="default" w:ascii="Times New Roman" w:hAnsi="Times New Roman" w:eastAsia="仿宋" w:cs="Times New Roman"/>
          <w:szCs w:val="32"/>
          <w:u w:val="none"/>
          <w:lang w:val="en-US" w:eastAsia="zh-CN"/>
        </w:rPr>
        <w:t>企业</w:t>
      </w:r>
      <w:r>
        <w:rPr>
          <w:rFonts w:hint="default" w:ascii="Times New Roman" w:hAnsi="Times New Roman" w:eastAsia="仿宋" w:cs="Times New Roman"/>
          <w:szCs w:val="32"/>
        </w:rPr>
        <w:t>。园区内已完成应急预案备案手续企业数量</w:t>
      </w:r>
      <w:r>
        <w:rPr>
          <w:rFonts w:hint="default" w:ascii="Times New Roman" w:hAnsi="Times New Roman" w:eastAsia="仿宋" w:cs="Times New Roman"/>
          <w:szCs w:val="32"/>
          <w:u w:val="single" w:color="000000"/>
        </w:rPr>
        <w:t>1</w:t>
      </w:r>
      <w:r>
        <w:rPr>
          <w:rFonts w:hint="default" w:ascii="Times New Roman" w:hAnsi="Times New Roman" w:eastAsia="仿宋" w:cs="Times New Roman"/>
          <w:szCs w:val="32"/>
          <w:u w:val="single" w:color="000000"/>
          <w:lang w:val="en-US" w:eastAsia="zh-CN"/>
        </w:rPr>
        <w:t>8</w:t>
      </w:r>
      <w:r>
        <w:rPr>
          <w:rFonts w:hint="default" w:ascii="Times New Roman" w:hAnsi="Times New Roman" w:eastAsia="仿宋" w:cs="Times New Roman"/>
          <w:szCs w:val="32"/>
        </w:rPr>
        <w:t>个，未完成应急预案备案的企业有</w:t>
      </w:r>
      <w:r>
        <w:rPr>
          <w:rFonts w:hint="default" w:ascii="Times New Roman" w:hAnsi="Times New Roman" w:eastAsia="仿宋" w:cs="Times New Roman"/>
          <w:szCs w:val="32"/>
          <w:u w:val="single"/>
        </w:rPr>
        <w:t xml:space="preserve"> 0</w:t>
      </w:r>
      <w:r>
        <w:rPr>
          <w:rFonts w:hint="default" w:ascii="Times New Roman" w:hAnsi="Times New Roman" w:eastAsia="仿宋" w:cs="Times New Roman"/>
          <w:szCs w:val="32"/>
        </w:rPr>
        <w:t>个。园区内已取得排污许可证企业数量</w:t>
      </w:r>
      <w:r>
        <w:rPr>
          <w:rFonts w:hint="default" w:ascii="Times New Roman" w:hAnsi="Times New Roman" w:eastAsia="仿宋" w:cs="Times New Roman"/>
          <w:szCs w:val="32"/>
          <w:u w:val="single" w:color="000000"/>
        </w:rPr>
        <w:t xml:space="preserve"> 5</w:t>
      </w:r>
      <w:r>
        <w:rPr>
          <w:rFonts w:hint="default" w:ascii="Times New Roman" w:hAnsi="Times New Roman" w:eastAsia="仿宋" w:cs="Times New Roman"/>
          <w:szCs w:val="32"/>
          <w:u w:val="single" w:color="000000"/>
          <w:lang w:val="en-US" w:eastAsia="zh-CN"/>
        </w:rPr>
        <w:t>7</w:t>
      </w:r>
      <w:r>
        <w:rPr>
          <w:rFonts w:hint="default" w:ascii="Times New Roman" w:hAnsi="Times New Roman" w:eastAsia="仿宋" w:cs="Times New Roman"/>
          <w:szCs w:val="32"/>
        </w:rPr>
        <w:t>个，未取得排污许可证企业1</w:t>
      </w:r>
      <w:r>
        <w:rPr>
          <w:rFonts w:hint="default" w:ascii="Times New Roman" w:hAnsi="Times New Roman" w:eastAsia="仿宋" w:cs="Times New Roman"/>
          <w:szCs w:val="32"/>
          <w:lang w:val="en-US" w:eastAsia="zh-CN"/>
        </w:rPr>
        <w:t>7</w:t>
      </w:r>
      <w:r>
        <w:rPr>
          <w:rFonts w:hint="default" w:ascii="Times New Roman" w:hAnsi="Times New Roman" w:eastAsia="仿宋" w:cs="Times New Roman"/>
          <w:szCs w:val="32"/>
          <w:u w:val="single"/>
        </w:rPr>
        <w:t>个（其中无需排污许可企业1个</w:t>
      </w:r>
      <w:r>
        <w:rPr>
          <w:rFonts w:hint="default" w:ascii="Times New Roman" w:hAnsi="Times New Roman" w:eastAsia="仿宋" w:cs="Times New Roman"/>
          <w:szCs w:val="32"/>
          <w:u w:val="single"/>
          <w:lang w:eastAsia="zh-CN"/>
        </w:rPr>
        <w:t>，</w:t>
      </w:r>
      <w:r>
        <w:rPr>
          <w:rFonts w:hint="default" w:ascii="Times New Roman" w:hAnsi="Times New Roman" w:eastAsia="仿宋" w:cs="Times New Roman"/>
          <w:szCs w:val="32"/>
          <w:u w:val="single"/>
          <w:lang w:val="en-US" w:eastAsia="zh-CN"/>
        </w:rPr>
        <w:t>3家为已停产企业，</w:t>
      </w:r>
      <w:r>
        <w:rPr>
          <w:rFonts w:hint="default" w:ascii="Times New Roman" w:hAnsi="Times New Roman" w:eastAsia="仿宋" w:cs="Times New Roman"/>
          <w:szCs w:val="32"/>
          <w:u w:val="single"/>
        </w:rPr>
        <w:t>其余1</w:t>
      </w:r>
      <w:r>
        <w:rPr>
          <w:rFonts w:hint="default" w:ascii="Times New Roman" w:hAnsi="Times New Roman" w:eastAsia="仿宋" w:cs="Times New Roman"/>
          <w:szCs w:val="32"/>
          <w:u w:val="single"/>
          <w:lang w:val="en-US" w:eastAsia="zh-CN"/>
        </w:rPr>
        <w:t>3</w:t>
      </w:r>
      <w:r>
        <w:rPr>
          <w:rFonts w:hint="default" w:ascii="Times New Roman" w:hAnsi="Times New Roman" w:eastAsia="仿宋" w:cs="Times New Roman"/>
          <w:szCs w:val="32"/>
          <w:u w:val="single"/>
        </w:rPr>
        <w:t>家均为未建成和未投产企业）</w:t>
      </w:r>
      <w:r>
        <w:rPr>
          <w:rFonts w:hint="default" w:ascii="Times New Roman" w:hAnsi="Times New Roman" w:eastAsia="仿宋" w:cs="Times New Roman"/>
          <w:szCs w:val="32"/>
        </w:rPr>
        <w:t>。</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园区主要污染物总量控制指标：化学需氧量</w:t>
      </w:r>
      <w:r>
        <w:rPr>
          <w:rFonts w:hint="default" w:ascii="Times New Roman" w:hAnsi="Times New Roman" w:eastAsia="仿宋" w:cs="Times New Roman"/>
          <w:szCs w:val="32"/>
          <w:u w:val="single" w:color="000000"/>
        </w:rPr>
        <w:t>1242.83</w:t>
      </w:r>
      <w:r>
        <w:rPr>
          <w:rFonts w:hint="default" w:ascii="Times New Roman" w:hAnsi="Times New Roman" w:eastAsia="仿宋" w:cs="Times New Roman"/>
          <w:szCs w:val="32"/>
        </w:rPr>
        <w:t>t/a，氨氮</w:t>
      </w:r>
      <w:r>
        <w:rPr>
          <w:rFonts w:hint="default" w:ascii="Times New Roman" w:hAnsi="Times New Roman" w:eastAsia="仿宋" w:cs="Times New Roman"/>
          <w:szCs w:val="32"/>
          <w:u w:val="single" w:color="000000"/>
        </w:rPr>
        <w:t xml:space="preserve">144.65 </w:t>
      </w:r>
      <w:r>
        <w:rPr>
          <w:rFonts w:hint="default" w:ascii="Times New Roman" w:hAnsi="Times New Roman" w:eastAsia="仿宋" w:cs="Times New Roman"/>
          <w:szCs w:val="32"/>
        </w:rPr>
        <w:t>t/a，二氧化硫</w:t>
      </w:r>
      <w:r>
        <w:rPr>
          <w:rFonts w:hint="default" w:ascii="Times New Roman" w:hAnsi="Times New Roman" w:eastAsia="仿宋" w:cs="Times New Roman"/>
          <w:szCs w:val="32"/>
          <w:u w:val="single" w:color="000000"/>
        </w:rPr>
        <w:t>652.97</w:t>
      </w:r>
      <w:r>
        <w:rPr>
          <w:rFonts w:hint="default" w:ascii="Times New Roman" w:hAnsi="Times New Roman" w:eastAsia="仿宋" w:cs="Times New Roman"/>
          <w:szCs w:val="32"/>
        </w:rPr>
        <w:t>t/a，氮氧化物</w:t>
      </w:r>
      <w:r>
        <w:rPr>
          <w:rFonts w:hint="default" w:ascii="Times New Roman" w:hAnsi="Times New Roman" w:eastAsia="仿宋" w:cs="Times New Roman"/>
          <w:szCs w:val="32"/>
          <w:u w:val="single" w:color="000000"/>
        </w:rPr>
        <w:t>1109.32</w:t>
      </w:r>
      <w:r>
        <w:rPr>
          <w:rFonts w:hint="default" w:ascii="Times New Roman" w:hAnsi="Times New Roman" w:eastAsia="仿宋" w:cs="Times New Roman"/>
          <w:szCs w:val="32"/>
        </w:rPr>
        <w:t>t/a，VOCs</w:t>
      </w:r>
      <w:r>
        <w:rPr>
          <w:rFonts w:hint="default" w:ascii="Times New Roman" w:hAnsi="Times New Roman" w:eastAsia="仿宋" w:cs="Times New Roman"/>
          <w:szCs w:val="32"/>
          <w:u w:val="single" w:color="000000"/>
        </w:rPr>
        <w:t xml:space="preserve"> / </w:t>
      </w:r>
      <w:r>
        <w:rPr>
          <w:rFonts w:hint="default" w:ascii="Times New Roman" w:hAnsi="Times New Roman" w:eastAsia="仿宋" w:cs="Times New Roman"/>
          <w:szCs w:val="32"/>
        </w:rPr>
        <w:t>t/a，其他</w:t>
      </w:r>
      <w:r>
        <w:rPr>
          <w:rFonts w:hint="default" w:ascii="Times New Roman" w:hAnsi="Times New Roman" w:eastAsia="仿宋" w:cs="Times New Roman"/>
          <w:szCs w:val="32"/>
          <w:u w:val="single" w:color="000000"/>
        </w:rPr>
        <w:t xml:space="preserve">  /  </w:t>
      </w:r>
      <w:r>
        <w:rPr>
          <w:rFonts w:hint="default" w:ascii="Times New Roman" w:hAnsi="Times New Roman" w:eastAsia="仿宋" w:cs="Times New Roman"/>
          <w:szCs w:val="32"/>
        </w:rPr>
        <w:t>t/a。</w:t>
      </w:r>
    </w:p>
    <w:p>
      <w:pPr>
        <w:spacing w:line="600" w:lineRule="exact"/>
        <w:ind w:firstLine="640"/>
        <w:outlineLvl w:val="0"/>
        <w:rPr>
          <w:rFonts w:ascii="黑体" w:hAnsi="黑体" w:eastAsia="黑体" w:cs="黑体"/>
          <w:sz w:val="32"/>
          <w:szCs w:val="32"/>
        </w:rPr>
      </w:pPr>
      <w:r>
        <w:rPr>
          <w:rFonts w:hint="eastAsia" w:ascii="黑体" w:hAnsi="黑体" w:eastAsia="黑体" w:cs="黑体"/>
          <w:sz w:val="32"/>
          <w:szCs w:val="32"/>
        </w:rPr>
        <w:t>二、环境管理情况</w:t>
      </w:r>
    </w:p>
    <w:p>
      <w:pPr>
        <w:pStyle w:val="13"/>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（一）规划环评批复要求落实情况</w:t>
      </w:r>
    </w:p>
    <w:p>
      <w:pPr>
        <w:pStyle w:val="13"/>
        <w:snapToGrid w:val="0"/>
        <w:spacing w:after="0"/>
        <w:ind w:left="0" w:leftChars="0" w:firstLine="640"/>
        <w:rPr>
          <w:rFonts w:ascii="Times New Roman" w:hAnsi="仿宋_GB2312" w:eastAsia="仿宋" w:cs="仿宋_GB2312"/>
          <w:szCs w:val="32"/>
        </w:rPr>
      </w:pPr>
      <w:r>
        <w:rPr>
          <w:rFonts w:hint="eastAsia" w:ascii="Times New Roman" w:hAnsi="仿宋_GB2312" w:eastAsia="仿宋" w:cs="仿宋_GB2312"/>
          <w:szCs w:val="32"/>
        </w:rPr>
        <w:t>2013年，澧县高新技术产业开发区管理委员会委托长沙环境保护职业技术学院编制了《湖南澧县经济开发区新区环境影响报告书》，该评价于2013年5月获得了湖南省环境保护厅的批复，批复文号为湘环评【</w:t>
      </w:r>
      <w:r>
        <w:rPr>
          <w:rFonts w:ascii="Times New Roman" w:hAnsi="仿宋_GB2312" w:eastAsia="仿宋" w:cs="仿宋_GB2312"/>
          <w:szCs w:val="32"/>
        </w:rPr>
        <w:t>2013】112号</w:t>
      </w:r>
      <w:r>
        <w:rPr>
          <w:rFonts w:hint="eastAsia" w:ascii="Times New Roman" w:hAnsi="仿宋_GB2312" w:eastAsia="仿宋" w:cs="仿宋_GB2312"/>
          <w:szCs w:val="32"/>
        </w:rPr>
        <w:t>，分规划布局、产业定位、废水治理、废气治理等九个方面进行了批复，具体批复内容概要及落实情况见表</w:t>
      </w:r>
      <w:r>
        <w:rPr>
          <w:rFonts w:ascii="Times New Roman" w:hAnsi="仿宋_GB2312" w:eastAsia="仿宋" w:cs="仿宋_GB2312"/>
          <w:szCs w:val="32"/>
        </w:rPr>
        <w:t>1</w:t>
      </w:r>
      <w:r>
        <w:rPr>
          <w:rFonts w:hint="eastAsia" w:ascii="Times New Roman" w:hAnsi="仿宋_GB2312" w:eastAsia="仿宋" w:cs="仿宋_GB2312"/>
          <w:szCs w:val="32"/>
        </w:rPr>
        <w:t>。</w:t>
      </w:r>
    </w:p>
    <w:p>
      <w:pPr>
        <w:pStyle w:val="13"/>
        <w:tabs>
          <w:tab w:val="left" w:pos="369"/>
        </w:tabs>
        <w:snapToGrid w:val="0"/>
        <w:spacing w:after="0"/>
        <w:ind w:left="0" w:leftChars="0" w:firstLine="640"/>
        <w:rPr>
          <w:rFonts w:ascii="仿宋_GB2312" w:hAnsi="仿宋_GB2312" w:eastAsia="仿宋_GB2312" w:cs="仿宋_GB2312"/>
          <w:szCs w:val="32"/>
        </w:rPr>
      </w:pPr>
    </w:p>
    <w:p>
      <w:pPr>
        <w:pStyle w:val="13"/>
        <w:tabs>
          <w:tab w:val="left" w:pos="369"/>
        </w:tabs>
        <w:snapToGrid w:val="0"/>
        <w:spacing w:after="0"/>
        <w:ind w:left="0" w:leftChars="0" w:firstLine="0" w:firstLineChars="0"/>
        <w:rPr>
          <w:rFonts w:ascii="仿宋_GB2312" w:hAnsi="仿宋_GB2312" w:eastAsia="仿宋_GB2312" w:cs="仿宋_GB2312"/>
          <w:szCs w:val="32"/>
        </w:rPr>
        <w:sectPr>
          <w:footerReference r:id="rId6" w:type="default"/>
          <w:pgSz w:w="11906" w:h="16838"/>
          <w:pgMar w:top="2098" w:right="1531" w:bottom="1134" w:left="1587" w:header="851" w:footer="992" w:gutter="0"/>
          <w:pgNumType w:fmt="numberInDash"/>
          <w:cols w:space="720" w:num="1"/>
          <w:docGrid w:type="lines" w:linePitch="312" w:charSpace="0"/>
        </w:sectPr>
      </w:pPr>
    </w:p>
    <w:p>
      <w:pPr>
        <w:pStyle w:val="13"/>
        <w:tabs>
          <w:tab w:val="left" w:pos="369"/>
        </w:tabs>
        <w:snapToGrid w:val="0"/>
        <w:spacing w:after="0"/>
        <w:ind w:left="0" w:leftChars="0" w:firstLine="720"/>
        <w:jc w:val="center"/>
        <w:rPr>
          <w:rFonts w:ascii="仿宋_GB2312" w:hAnsi="仿宋_GB2312" w:eastAsia="仿宋_GB2312" w:cs="仿宋_GB2312"/>
          <w:szCs w:val="32"/>
        </w:rPr>
      </w:pPr>
      <w:r>
        <w:rPr>
          <w:rFonts w:hint="eastAsia" w:ascii="方正小标宋简体" w:hAnsi="方正小标宋简体" w:eastAsia="方正小标宋简体" w:cs="方正小标宋简体"/>
          <w:color w:val="000000"/>
          <w:kern w:val="0"/>
          <w:sz w:val="36"/>
          <w:szCs w:val="36"/>
        </w:rPr>
        <w:t>表</w:t>
      </w:r>
      <w:r>
        <w:rPr>
          <w:rFonts w:ascii="方正小标宋简体" w:hAnsi="方正小标宋简体" w:eastAsia="方正小标宋简体" w:cs="方正小标宋简体"/>
          <w:color w:val="000000"/>
          <w:kern w:val="0"/>
          <w:sz w:val="36"/>
          <w:szCs w:val="36"/>
        </w:rPr>
        <w:t>1</w:t>
      </w:r>
      <w:r>
        <w:rPr>
          <w:rFonts w:hint="eastAsia" w:ascii="方正小标宋简体" w:hAnsi="方正小标宋简体" w:eastAsia="方正小标宋简体" w:cs="方正小标宋简体"/>
          <w:color w:val="000000"/>
          <w:kern w:val="0"/>
          <w:sz w:val="36"/>
          <w:szCs w:val="36"/>
        </w:rPr>
        <w:t>园区规划环评批复要求落实情况</w:t>
      </w:r>
    </w:p>
    <w:tbl>
      <w:tblPr>
        <w:tblStyle w:val="14"/>
        <w:tblW w:w="5000" w:type="pct"/>
        <w:tblInd w:w="0" w:type="dxa"/>
        <w:tblLayout w:type="autofit"/>
        <w:tblCellMar>
          <w:top w:w="0" w:type="dxa"/>
          <w:left w:w="0" w:type="dxa"/>
          <w:bottom w:w="0" w:type="dxa"/>
          <w:right w:w="0" w:type="dxa"/>
        </w:tblCellMar>
      </w:tblPr>
      <w:tblGrid>
        <w:gridCol w:w="818"/>
        <w:gridCol w:w="1726"/>
        <w:gridCol w:w="5550"/>
        <w:gridCol w:w="4254"/>
        <w:gridCol w:w="1288"/>
      </w:tblGrid>
      <w:tr>
        <w:tblPrEx>
          <w:tblCellMar>
            <w:top w:w="0" w:type="dxa"/>
            <w:left w:w="0" w:type="dxa"/>
            <w:bottom w:w="0" w:type="dxa"/>
            <w:right w:w="0" w:type="dxa"/>
          </w:tblCellMar>
        </w:tblPrEx>
        <w:trPr>
          <w:trHeight w:val="5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序号</w:t>
            </w:r>
          </w:p>
        </w:tc>
        <w:tc>
          <w:tcPr>
            <w:tcW w:w="2668" w:type="pct"/>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环评批复要求</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落实情况</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落实结果</w:t>
            </w:r>
          </w:p>
        </w:tc>
      </w:tr>
      <w:tr>
        <w:tblPrEx>
          <w:tblCellMar>
            <w:top w:w="0" w:type="dxa"/>
            <w:left w:w="0" w:type="dxa"/>
            <w:bottom w:w="0" w:type="dxa"/>
            <w:right w:w="0" w:type="dxa"/>
          </w:tblCellMar>
        </w:tblPrEx>
        <w:trPr>
          <w:trHeight w:val="342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633"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规划布局</w:t>
            </w:r>
          </w:p>
        </w:tc>
        <w:tc>
          <w:tcPr>
            <w:tcW w:w="2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进一步优化规划布局，经开区内各功能区相对集中布置，严格按照功能区划进行有序开发建设，处理好经开区内部各功能组团及集中区与周边农业、商住等各功能组团的关系，充分利用自然地形和绿化隔离带使各功能区隔离，控制在规划道路两侧新建对噪声敏感的建筑物，对经开区内工业区与区外周边安置区之间建设缓冲隔离带，确保功能区划明确、产业相对集中、生态环境优良。按报告书要求，在园区东部与津市接壤区域依托现有绿地设置生态林地，将新区东北澹水岸边的生态绿地组团向南延伸至汇洪通道与澧水交汇处，确保澧水绿化带宽度控制在60-100米，减轻对下风向津市城区及津市森林公园的不利影响。经开区选址、土地征用及农田占用调整等经国土部门同意后，方可进行建设。</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1、园区用地范围在控制用地范围内，未超出红线，用地类型有所调整，但在批复用地类型比例及面积内，不存在超范围和占用批复外类型用地情况，工业与周边生活、配套服务各功能分区较明确。</w:t>
            </w:r>
          </w:p>
          <w:p>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2、开发区建设符合原规划及《常德市津澧新城总体规划（2016-2030）》、《澧县城区西片控制性详细规划（2019.06）》等相关规划，国土、环保、水利等各项手续材料齐全，不存在违规建设和侵占农田等保护区域问题。</w:t>
            </w:r>
          </w:p>
          <w:p>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3、东部新区建设为标准化厂房出租形式，涉及废气排放的企业少，且均已实现能源清洁化，落实了污染治理和达标排放工作，未对下风向津市城区及津市森林公园造成不利影响。</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tblPrEx>
          <w:tblCellMar>
            <w:top w:w="0" w:type="dxa"/>
            <w:left w:w="0" w:type="dxa"/>
            <w:bottom w:w="0" w:type="dxa"/>
            <w:right w:w="0" w:type="dxa"/>
          </w:tblCellMar>
        </w:tblPrEx>
        <w:trPr>
          <w:trHeight w:val="44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633"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产业定位</w:t>
            </w:r>
          </w:p>
        </w:tc>
        <w:tc>
          <w:tcPr>
            <w:tcW w:w="2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严格执行经开区入园企业准入制度，入园项目选址必须符合经开区总体发展规划、用地规划、环保规划及主导产业定位要求，不得引进国家明令淘汰和禁止发展的能耗物耗高、环境污染严重、不符合产业政策的建设项目，经开区禁止引入三类工业及排放重金属企业入园，限制耗水量及排水量大的企业进入，从排水条件、区位条件综合考虑，新区主要发展一类工业，禁止引进水型污染企业和气型污染企业，严格控制食品加工产业规模。管委会和地方环保行政主管部门必须按照报告书提出的</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经开区新区和老区准入与限制行业类型一览表</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做好各片区内项目的招商把关，在入园项目前期和建设期，必须严格执行建设项目环境影响评价和</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三同时</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管理制度，推行清洁生产工艺，确保排污浓度、总量满足达标排放和总量控制要求；加强对规划区内企业的环境监管，对已入园项目按报告书提出的建议进行清理整治，确保经开区内建设项目总体满足地方环保管理要求。</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规划环评审批后，本园区没有引入国家明令淘汰和禁止发展的能耗物耗高、环境污染严重、不符合产业政策、经开区总体发展规划、用地规划、环保规划及主导产业定位的建设项目，东区主要发展一类工业，没有引进水型污染企业和大型气型污染企业，入园企业均符合园区产业定位，严格按照园区总体规划及各部门具体要求办理相关手续。</w:t>
            </w:r>
          </w:p>
          <w:p>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招商过程中严格按照国家法律法规、</w:t>
            </w:r>
            <w:r>
              <w:rPr>
                <w:rFonts w:hint="eastAsia" w:ascii="仿宋" w:hAnsi="仿宋" w:eastAsia="仿宋" w:cs="仿宋"/>
                <w:szCs w:val="28"/>
                <w:lang w:eastAsia="zh-CN"/>
              </w:rPr>
              <w:t>“</w:t>
            </w:r>
            <w:r>
              <w:rPr>
                <w:rFonts w:hint="default" w:ascii="Times New Roman" w:hAnsi="Times New Roman" w:eastAsia="仿宋" w:cs="Times New Roman"/>
                <w:szCs w:val="28"/>
              </w:rPr>
              <w:t>三线一单</w:t>
            </w:r>
            <w:r>
              <w:rPr>
                <w:rFonts w:hint="eastAsia" w:ascii="仿宋" w:hAnsi="仿宋" w:eastAsia="仿宋" w:cs="仿宋"/>
                <w:szCs w:val="28"/>
                <w:lang w:eastAsia="zh-CN"/>
              </w:rPr>
              <w:t>”</w:t>
            </w:r>
            <w:r>
              <w:rPr>
                <w:rFonts w:hint="default" w:ascii="Times New Roman" w:hAnsi="Times New Roman" w:eastAsia="仿宋" w:cs="Times New Roman"/>
                <w:szCs w:val="28"/>
              </w:rPr>
              <w:t>、规划相关要求引进项目，推动环评工作早期介入、全过程参与，从源头避免落后产能的项目上马，目前园区已经没有了落后产能的企业，杜绝了</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先污染后治理、边治理边破坏</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，切实实行在发展中落实保护，在保护中促进发展。</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tblPrEx>
          <w:tblCellMar>
            <w:top w:w="0" w:type="dxa"/>
            <w:left w:w="0" w:type="dxa"/>
            <w:bottom w:w="0" w:type="dxa"/>
            <w:right w:w="0" w:type="dxa"/>
          </w:tblCellMar>
        </w:tblPrEx>
        <w:trPr>
          <w:trHeight w:val="42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3</w:t>
            </w:r>
          </w:p>
        </w:tc>
        <w:tc>
          <w:tcPr>
            <w:tcW w:w="633"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废水治理</w:t>
            </w:r>
          </w:p>
        </w:tc>
        <w:tc>
          <w:tcPr>
            <w:tcW w:w="2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经开区水污染控制措施。对老区限制水型污染企业入园，新区禁止引进水型污染企业。经开区排水应全面实施雨污分流，做好区域相应排水管网、污水处理厂等基础设施建设，按排水分区，老区生产废水、生活污水经预处理达到澧县污水处理厂进水水质要求后经管网进入污水处理厂深度处理，按报告书要求加快澧县县城污水处理厂二期工程建设，并对全厂进行提标改造，确保出水水质提升至《城镇污水处理厂污染物排放标准》(GB18918-2002)一级A标准；新区单独设置污水处理厂，污水处理厂工程应另行环境影响评价，污水处理厂尾水应严格按《城镇污水处理厂污染物排放标准》(GB18918-2002）一级A标准控制。在新区污水处理厂建成且与区域排水管网对接运营完成前，该片区不得引进涉及生产废水排放的企业。澧县人民政府应按照报告书要求做好澹水流域综合整治，并加快栗河引水工程第三期工程建设进度，确保澹水水质改善。</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园区水污染控制措施已得到落实。园区雨水管网覆盖率100%。西园区（老区）涉生产废水企业各自建立工业废水处理设施，运行良好，生活与经过处理达标的废水接入澧县市政污水管网并排入澧县生活污水处理厂进行处理。污水处理工艺为改良性氧化沟，在线监测达标率100%。</w:t>
            </w:r>
          </w:p>
          <w:p>
            <w:pPr>
              <w:snapToGrid w:val="0"/>
              <w:spacing w:line="240" w:lineRule="auto"/>
              <w:ind w:firstLine="0" w:firstLineChars="0"/>
              <w:jc w:val="left"/>
              <w:rPr>
                <w:rFonts w:hint="default" w:ascii="Times New Roman" w:hAnsi="Times New Roman" w:eastAsia="仿宋" w:cs="Times New Roman"/>
                <w:szCs w:val="28"/>
              </w:rPr>
            </w:pPr>
            <w:r>
              <w:rPr>
                <w:rFonts w:hint="default" w:ascii="Times New Roman" w:hAnsi="Times New Roman" w:eastAsia="仿宋" w:cs="Times New Roman"/>
                <w:szCs w:val="28"/>
              </w:rPr>
              <w:t>东园区（新区）暂无涉生产废水企业</w:t>
            </w:r>
            <w:r>
              <w:rPr>
                <w:rFonts w:hint="default" w:ascii="Times New Roman" w:hAnsi="Times New Roman" w:eastAsia="仿宋" w:cs="Times New Roman"/>
                <w:szCs w:val="28"/>
                <w:lang w:val="en-US" w:eastAsia="zh-CN"/>
              </w:rPr>
              <w:t>投产</w:t>
            </w:r>
            <w:r>
              <w:rPr>
                <w:rFonts w:hint="default" w:ascii="Times New Roman" w:hAnsi="Times New Roman" w:eastAsia="仿宋" w:cs="Times New Roman"/>
                <w:szCs w:val="28"/>
              </w:rPr>
              <w:t>，东园区创业园建设了集中污水处理设施（澧县创新创业园生活污水处理站），东园区企业生活污水经自建污水处理站处理达标后排入澹水，设计处理规模200m</w:t>
            </w:r>
            <w:r>
              <w:rPr>
                <w:rFonts w:hint="default" w:ascii="Times New Roman" w:hAnsi="Times New Roman" w:eastAsia="宋体" w:cs="Times New Roman"/>
                <w:szCs w:val="28"/>
              </w:rPr>
              <w:t>³</w:t>
            </w:r>
            <w:r>
              <w:rPr>
                <w:rFonts w:hint="default" w:ascii="Times New Roman" w:hAnsi="Times New Roman" w:eastAsia="仿宋" w:cs="Times New Roman"/>
                <w:szCs w:val="28"/>
              </w:rPr>
              <w:t>/d，实际处理规模100m</w:t>
            </w:r>
            <w:r>
              <w:rPr>
                <w:rFonts w:hint="default" w:ascii="Times New Roman" w:hAnsi="Times New Roman" w:eastAsia="宋体" w:cs="Times New Roman"/>
                <w:szCs w:val="28"/>
              </w:rPr>
              <w:t>³</w:t>
            </w:r>
            <w:r>
              <w:rPr>
                <w:rFonts w:hint="default" w:ascii="Times New Roman" w:hAnsi="Times New Roman" w:eastAsia="仿宋" w:cs="Times New Roman"/>
                <w:szCs w:val="28"/>
              </w:rPr>
              <w:t>/d，污水处理工艺为A/O，在线监测达标率100%，园区雨水管网覆盖率100%。目前东区</w:t>
            </w:r>
            <w:r>
              <w:rPr>
                <w:rFonts w:hint="default" w:ascii="Times New Roman" w:hAnsi="Times New Roman" w:eastAsia="仿宋" w:cs="Times New Roman"/>
                <w:szCs w:val="28"/>
                <w:lang w:eastAsia="zh-CN"/>
              </w:rPr>
              <w:t>新区</w:t>
            </w:r>
            <w:r>
              <w:rPr>
                <w:rFonts w:hint="default" w:ascii="Times New Roman" w:hAnsi="Times New Roman" w:eastAsia="仿宋" w:cs="Times New Roman"/>
                <w:szCs w:val="28"/>
              </w:rPr>
              <w:t>污水处理厂</w:t>
            </w:r>
            <w:r>
              <w:rPr>
                <w:rFonts w:hint="default" w:ascii="Times New Roman" w:hAnsi="Times New Roman" w:eastAsia="仿宋" w:cs="Times New Roman"/>
                <w:szCs w:val="28"/>
                <w:lang w:eastAsia="zh-CN"/>
              </w:rPr>
              <w:t>一期设计处理规模</w:t>
            </w:r>
            <w:r>
              <w:rPr>
                <w:rFonts w:hint="default" w:ascii="Times New Roman" w:hAnsi="Times New Roman" w:eastAsia="仿宋" w:cs="Times New Roman"/>
                <w:szCs w:val="28"/>
                <w:lang w:val="en-US" w:eastAsia="zh-CN"/>
              </w:rPr>
              <w:t>6万</w:t>
            </w:r>
            <w:r>
              <w:rPr>
                <w:rFonts w:hint="default" w:ascii="Times New Roman" w:hAnsi="Times New Roman" w:eastAsia="仿宋" w:cs="Times New Roman"/>
                <w:szCs w:val="28"/>
                <w:lang w:eastAsia="zh-CN"/>
              </w:rPr>
              <w:t>m³/d，项目</w:t>
            </w:r>
            <w:r>
              <w:rPr>
                <w:rFonts w:hint="default" w:ascii="Times New Roman" w:hAnsi="Times New Roman" w:eastAsia="仿宋" w:cs="Times New Roman"/>
                <w:szCs w:val="28"/>
                <w:lang w:val="en-US" w:eastAsia="zh-CN"/>
              </w:rPr>
              <w:t>3万</w:t>
            </w:r>
            <w:r>
              <w:rPr>
                <w:rFonts w:hint="default" w:ascii="Times New Roman" w:hAnsi="Times New Roman" w:eastAsia="仿宋" w:cs="Times New Roman"/>
                <w:szCs w:val="28"/>
                <w:lang w:eastAsia="zh-CN"/>
              </w:rPr>
              <w:t>m³/d</w:t>
            </w:r>
            <w:r>
              <w:rPr>
                <w:rFonts w:hint="default" w:ascii="Times New Roman" w:hAnsi="Times New Roman" w:eastAsia="仿宋" w:cs="Times New Roman"/>
                <w:szCs w:val="28"/>
                <w:lang w:val="en-US" w:eastAsia="zh-CN"/>
              </w:rPr>
              <w:t>处理设施及部分配套管网</w:t>
            </w:r>
            <w:r>
              <w:rPr>
                <w:rFonts w:hint="default" w:ascii="Times New Roman" w:hAnsi="Times New Roman" w:eastAsia="仿宋" w:cs="Times New Roman"/>
                <w:szCs w:val="28"/>
              </w:rPr>
              <w:t>已建成，</w:t>
            </w:r>
            <w:r>
              <w:rPr>
                <w:rFonts w:hint="default" w:ascii="Times New Roman" w:hAnsi="Times New Roman" w:eastAsia="仿宋" w:cs="Times New Roman"/>
                <w:szCs w:val="28"/>
                <w:lang w:val="en-US" w:eastAsia="zh-CN"/>
              </w:rPr>
              <w:t>尚未正式投入使用</w:t>
            </w:r>
            <w:r>
              <w:rPr>
                <w:rFonts w:hint="default" w:ascii="Times New Roman" w:hAnsi="Times New Roman" w:eastAsia="仿宋" w:cs="Times New Roman"/>
                <w:szCs w:val="28"/>
              </w:rPr>
              <w:t>。雨水由管网收集后通过北部的东洲泵站进入澹水。</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tblPrEx>
          <w:tblCellMar>
            <w:top w:w="0" w:type="dxa"/>
            <w:left w:w="0" w:type="dxa"/>
            <w:bottom w:w="0" w:type="dxa"/>
            <w:right w:w="0" w:type="dxa"/>
          </w:tblCellMar>
        </w:tblPrEx>
        <w:trPr>
          <w:trHeight w:val="29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4</w:t>
            </w:r>
          </w:p>
        </w:tc>
        <w:tc>
          <w:tcPr>
            <w:tcW w:w="633"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废气治理</w:t>
            </w:r>
          </w:p>
        </w:tc>
        <w:tc>
          <w:tcPr>
            <w:tcW w:w="2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按报告书要求做好经开区大气污染控制措施。管委会应积极推广清洁能源，逐步改善能源结构。经开区内严格控制4吨/时以下燃煤锅炉建设，不得使用中、高硫原煤，凡4吨/时以下锅炉必须燃用清洁能源。建立经开区清洁生产管理考核机制，对各企业工艺废气产出的生产节点，应配置废气收集与处理净化装置，确保达标排放；加强生产工艺研究与技术改进，采取有效措施，减少入园企业工艺废气的无组织排放；入园企业各生产装置排放的废气须经处理达到相应的行业排放标准及《大气污染物综合排放标准》中二级标准要求。</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园区大气污染防控措施已得到落实。西园区内</w:t>
            </w:r>
            <w:r>
              <w:rPr>
                <w:rFonts w:hint="eastAsia" w:ascii="Times New Roman" w:hAnsi="Times New Roman" w:eastAsia="仿宋" w:cs="Times New Roman"/>
                <w:szCs w:val="28"/>
                <w:lang w:val="en-US" w:eastAsia="zh-CN"/>
              </w:rPr>
              <w:t>仅</w:t>
            </w:r>
            <w:r>
              <w:rPr>
                <w:rFonts w:hint="default" w:ascii="Times New Roman" w:hAnsi="Times New Roman" w:eastAsia="仿宋" w:cs="Times New Roman"/>
                <w:szCs w:val="28"/>
              </w:rPr>
              <w:t>湖南萌恒服装辅料有限公司保留一台36t燃煤锅炉，</w:t>
            </w:r>
            <w:r>
              <w:rPr>
                <w:rFonts w:hint="eastAsia" w:ascii="Times New Roman" w:hAnsi="Times New Roman" w:eastAsia="仿宋" w:cs="Times New Roman"/>
                <w:szCs w:val="28"/>
                <w:lang w:val="en-US" w:eastAsia="zh-CN"/>
              </w:rPr>
              <w:t>采用低硫煤燃烧，配套脱硫设施。其余</w:t>
            </w:r>
            <w:r>
              <w:rPr>
                <w:rFonts w:hint="default" w:ascii="Times New Roman" w:hAnsi="Times New Roman" w:eastAsia="仿宋" w:cs="Times New Roman"/>
                <w:szCs w:val="28"/>
              </w:rPr>
              <w:t>锅炉已完成清洁能源改造，全部为燃气锅炉；东园区企业燃料均使用生物质颗粒、天然气等清洁能源天然气，未使用高污染燃料。</w:t>
            </w:r>
          </w:p>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内企业均按照其环评要求对废气开展治理，近年来尤其关注相关企业VOCs的治理与排放，所有相关企业均已按要求采用废气治理设施，确保各企业废气经处理可达到相应的行业排放标准及《大气污染物综合排放标准》（GB16297-1996）中的二级标准进行排放。并鼓励企业加强技术改造和清洁生产，降低大气污染物产生量。</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tblPrEx>
          <w:tblCellMar>
            <w:top w:w="0" w:type="dxa"/>
            <w:left w:w="0" w:type="dxa"/>
            <w:bottom w:w="0" w:type="dxa"/>
            <w:right w:w="0"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5</w:t>
            </w:r>
          </w:p>
        </w:tc>
        <w:tc>
          <w:tcPr>
            <w:tcW w:w="633"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固废处置</w:t>
            </w:r>
          </w:p>
        </w:tc>
        <w:tc>
          <w:tcPr>
            <w:tcW w:w="2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做好经开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严防二次污染。</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内固体废弃物分类与收集、处置到位。园区内所有生活垃圾以企业为单位集中收集后交由澧县环卫部门进行处置；工业固体废弃物由企业分类委托处置，其中危险废物交由有资质单位处置，一般固体废弃物送有能力处置的单位回收利用或处置；鼓励企业加强与第三方固废收治企业合作，加强对其工业固废的资源化利用。目前为止，未发生固废引起的二次污染。</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tblPrEx>
          <w:tblCellMar>
            <w:top w:w="0" w:type="dxa"/>
            <w:left w:w="0" w:type="dxa"/>
            <w:bottom w:w="0" w:type="dxa"/>
            <w:right w:w="0" w:type="dxa"/>
          </w:tblCellMar>
        </w:tblPrEx>
        <w:trPr>
          <w:trHeight w:val="309"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6</w:t>
            </w:r>
          </w:p>
        </w:tc>
        <w:tc>
          <w:tcPr>
            <w:tcW w:w="633"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环境风险防范</w:t>
            </w:r>
          </w:p>
        </w:tc>
        <w:tc>
          <w:tcPr>
            <w:tcW w:w="2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经开区要建立专职环境监督管理机构，建立健全环境风险事故防范措施和应急预案，严防环境风险事故发生。</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园区管委会协同常德市生态环境局澧县分局建立的环保站负责园区管家监督管理。目前，澧县高新技术产业开发区已设立风险防控环境应急指挥平台，总指挥为李论。</w:t>
            </w:r>
          </w:p>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修编的《2021年度湖南澧县高新区突发环境事件应急预案》于2021年12月10日在常德市生态环境局澧县分局完成备案，备案号：4307232021022G，同日在在常德市生态环境保护综合行政执法支队处完成备案，备案号：430723-2021-034-G，于2021年12月20日在湖南省环境保护厅环境监察局处完成备案。</w:t>
            </w:r>
          </w:p>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并于2022年11月18日下午高新区东园区澧县广和包装有限公司开展了突发环境事件应急演练。园区管委会环境管理能力正逐步提升。</w:t>
            </w:r>
          </w:p>
          <w:p>
            <w:pPr>
              <w:snapToGrid w:val="0"/>
              <w:spacing w:line="240" w:lineRule="auto"/>
              <w:ind w:firstLine="0" w:firstLineChars="0"/>
              <w:jc w:val="center"/>
              <w:rPr>
                <w:rFonts w:hint="default" w:ascii="Times New Roman" w:hAnsi="Times New Roman" w:eastAsia="仿宋" w:cs="Times New Roman"/>
              </w:rPr>
            </w:pPr>
            <w:r>
              <w:rPr>
                <w:rFonts w:hint="default" w:ascii="Times New Roman" w:hAnsi="Times New Roman" w:eastAsia="仿宋" w:cs="Times New Roman"/>
                <w:szCs w:val="28"/>
              </w:rPr>
              <w:t>园区按照应急预案相关要求于2022年配备的应急物资和设备。</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tblPrEx>
          <w:tblCellMar>
            <w:top w:w="0" w:type="dxa"/>
            <w:left w:w="0" w:type="dxa"/>
            <w:bottom w:w="0" w:type="dxa"/>
            <w:right w:w="0" w:type="dxa"/>
          </w:tblCellMar>
        </w:tblPrEx>
        <w:trPr>
          <w:trHeight w:val="126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7</w:t>
            </w:r>
          </w:p>
        </w:tc>
        <w:tc>
          <w:tcPr>
            <w:tcW w:w="633"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移民安置</w:t>
            </w:r>
          </w:p>
        </w:tc>
        <w:tc>
          <w:tcPr>
            <w:tcW w:w="2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按经开区开发规划统筹制定拆迁安置方案，妥善落实移民生产生活安置措施，防止移民再次安置和次生环境问题。</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园区建设过程中对移民安置问题进行妥善处理，没有发生移民安置纠纷及次生环境问题。</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tblPrEx>
          <w:tblCellMar>
            <w:top w:w="0" w:type="dxa"/>
            <w:left w:w="0" w:type="dxa"/>
            <w:bottom w:w="0" w:type="dxa"/>
            <w:right w:w="0" w:type="dxa"/>
          </w:tblCellMar>
        </w:tblPrEx>
        <w:trPr>
          <w:trHeight w:val="166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8</w:t>
            </w:r>
          </w:p>
        </w:tc>
        <w:tc>
          <w:tcPr>
            <w:tcW w:w="633"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生态修复与建设</w:t>
            </w:r>
          </w:p>
        </w:tc>
        <w:tc>
          <w:tcPr>
            <w:tcW w:w="2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做好建设期的生态保护和水土保持工作。集中区建设过程中，应按照景观设计和功能分隔要求保留一定的自然山体绿地和水面，防止人为破坏；对土石方开挖、堆存及回填要实施围挡、护坡等措施，裸露地及时恢复植被，防止水土流失。</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建设期生态环境保护及水土保持工作圆满完成，没有发生开发建设导致环境污染和水土流失情况。已完成环保与水土保持区域评估。在常德市及澧县大气污染防治攻坚战等多项举措要求下，将继续对新建企业建设过程中扬尘等大气污染提出严格防控要求并加强监督监管。</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r>
        <w:tblPrEx>
          <w:tblCellMar>
            <w:top w:w="0" w:type="dxa"/>
            <w:left w:w="0" w:type="dxa"/>
            <w:bottom w:w="0" w:type="dxa"/>
            <w:right w:w="0" w:type="dxa"/>
          </w:tblCellMar>
        </w:tblPrEx>
        <w:trPr>
          <w:trHeight w:val="166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9</w:t>
            </w:r>
          </w:p>
        </w:tc>
        <w:tc>
          <w:tcPr>
            <w:tcW w:w="633"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总量控制</w:t>
            </w:r>
          </w:p>
        </w:tc>
        <w:tc>
          <w:tcPr>
            <w:tcW w:w="2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污染物总量控制：C</w:t>
            </w:r>
            <w:r>
              <w:rPr>
                <w:rFonts w:hint="eastAsia" w:ascii="Times New Roman" w:hAnsi="Times New Roman" w:eastAsia="仿宋" w:cs="Times New Roman"/>
                <w:szCs w:val="28"/>
                <w:lang w:val="en-US" w:eastAsia="zh-CN"/>
              </w:rPr>
              <w:t>O</w:t>
            </w:r>
            <w:r>
              <w:rPr>
                <w:rFonts w:hint="default" w:ascii="Times New Roman" w:hAnsi="Times New Roman" w:eastAsia="仿宋" w:cs="Times New Roman"/>
                <w:szCs w:val="28"/>
              </w:rPr>
              <w:t>D≤1242.83吨/年，氨氮≤144.65吨/年，二氧化硫≤652.97吨/年，二氧化氮≤1109.32吨/年。总量指标纳入当地环保部门污染物总量控制管理，由常德市环保局进行调配。</w:t>
            </w:r>
          </w:p>
        </w:tc>
        <w:tc>
          <w:tcPr>
            <w:tcW w:w="1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据统计，园区内企业污染物排放总量未超出其批复总量。</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落实</w:t>
            </w:r>
          </w:p>
        </w:tc>
      </w:tr>
    </w:tbl>
    <w:p>
      <w:pPr>
        <w:pStyle w:val="13"/>
        <w:snapToGrid w:val="0"/>
        <w:spacing w:after="0"/>
        <w:ind w:left="0" w:leftChars="0" w:firstLine="640"/>
        <w:rPr>
          <w:rFonts w:ascii="仿宋_GB2312" w:hAnsi="仿宋_GB2312" w:eastAsia="仿宋_GB2312" w:cs="仿宋_GB2312"/>
          <w:szCs w:val="32"/>
        </w:rPr>
        <w:sectPr>
          <w:pgSz w:w="16838" w:h="11906" w:orient="landscape"/>
          <w:pgMar w:top="1531" w:right="1134" w:bottom="1588" w:left="2098" w:header="851" w:footer="992" w:gutter="0"/>
          <w:pgNumType w:fmt="numberInDash"/>
          <w:cols w:space="720" w:num="1"/>
          <w:docGrid w:type="lines" w:linePitch="312" w:charSpace="0"/>
        </w:sectPr>
      </w:pPr>
    </w:p>
    <w:p>
      <w:pPr>
        <w:pStyle w:val="13"/>
        <w:snapToGrid w:val="0"/>
        <w:spacing w:after="0"/>
        <w:ind w:left="0" w:leftChars="0" w:firstLine="640"/>
        <w:rPr>
          <w:rFonts w:ascii="宋体" w:hAnsi="宋体" w:cs="宋体"/>
          <w:szCs w:val="32"/>
        </w:rPr>
      </w:pPr>
      <w:r>
        <w:rPr>
          <w:rFonts w:hint="eastAsia" w:ascii="方正小标宋简体" w:hAnsi="方正小标宋简体" w:eastAsia="方正小标宋简体" w:cs="方正小标宋简体"/>
          <w:color w:val="000000"/>
          <w:kern w:val="0"/>
          <w:szCs w:val="32"/>
        </w:rPr>
        <w:t>表2园区规划环评要求的年度自行监测计划的落实情况</w:t>
      </w:r>
    </w:p>
    <w:tbl>
      <w:tblPr>
        <w:tblStyle w:val="14"/>
        <w:tblW w:w="5000" w:type="pct"/>
        <w:tblInd w:w="0" w:type="dxa"/>
        <w:tblLayout w:type="autofit"/>
        <w:tblCellMar>
          <w:top w:w="0" w:type="dxa"/>
          <w:left w:w="0" w:type="dxa"/>
          <w:bottom w:w="0" w:type="dxa"/>
          <w:right w:w="0" w:type="dxa"/>
        </w:tblCellMar>
      </w:tblPr>
      <w:tblGrid>
        <w:gridCol w:w="397"/>
        <w:gridCol w:w="1867"/>
        <w:gridCol w:w="1478"/>
        <w:gridCol w:w="2530"/>
        <w:gridCol w:w="1210"/>
        <w:gridCol w:w="1449"/>
      </w:tblGrid>
      <w:tr>
        <w:tblPrEx>
          <w:tblCellMar>
            <w:top w:w="0" w:type="dxa"/>
            <w:left w:w="0" w:type="dxa"/>
            <w:bottom w:w="0" w:type="dxa"/>
            <w:right w:w="0" w:type="dxa"/>
          </w:tblCellMar>
        </w:tblPrEx>
        <w:trPr>
          <w:trHeight w:val="9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序号</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监测管理内容</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监测频次</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监测点</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监测落实情况</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监测结果</w:t>
            </w:r>
          </w:p>
        </w:tc>
      </w:tr>
      <w:tr>
        <w:tblPrEx>
          <w:tblCellMar>
            <w:top w:w="0" w:type="dxa"/>
            <w:left w:w="0" w:type="dxa"/>
            <w:bottom w:w="0" w:type="dxa"/>
            <w:right w:w="0" w:type="dxa"/>
          </w:tblCellMar>
        </w:tblPrEx>
        <w:trPr>
          <w:trHeight w:val="16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环境空气质量监测</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每年监测</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2022年2月16日~2022年2月22日和2022年8月8日~2022年8月14日，在东西园区东北及西南边界各布置1个监测点（共4个）监测因子为总挥发性有机物、总悬浮颗粒物</w:t>
            </w:r>
            <w:r>
              <w:rPr>
                <w:rFonts w:hint="default" w:ascii="Times New Roman" w:hAnsi="Times New Roman" w:eastAsia="仿宋" w:cs="Times New Roman"/>
                <w:szCs w:val="28"/>
                <w:lang w:val="en-US" w:eastAsia="zh-CN"/>
              </w:rPr>
              <w:t>等</w:t>
            </w:r>
            <w:r>
              <w:rPr>
                <w:rFonts w:hint="default" w:ascii="Times New Roman" w:hAnsi="Times New Roman" w:eastAsia="仿宋" w:cs="Times New Roman"/>
                <w:szCs w:val="28"/>
              </w:rPr>
              <w:t>，每次每个点连续监测7天，共两期监测。</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已落实</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合格</w:t>
            </w:r>
          </w:p>
        </w:tc>
      </w:tr>
      <w:tr>
        <w:tblPrEx>
          <w:tblCellMar>
            <w:top w:w="0" w:type="dxa"/>
            <w:left w:w="0" w:type="dxa"/>
            <w:bottom w:w="0" w:type="dxa"/>
            <w:right w:w="0" w:type="dxa"/>
          </w:tblCellMar>
        </w:tblPrEx>
        <w:trPr>
          <w:trHeight w:val="16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澹水、澧水地表水环境监测及地下水环境检测</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地表水：枯期一次；</w:t>
            </w:r>
          </w:p>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地下水：每年一次</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地表水：新区老区各布置3个监测断面，新区监测因子为pH、COD、BOD</w:t>
            </w:r>
            <w:r>
              <w:rPr>
                <w:rFonts w:hint="default" w:ascii="Times New Roman" w:hAnsi="Times New Roman" w:eastAsia="仿宋" w:cs="Times New Roman"/>
                <w:szCs w:val="28"/>
                <w:vertAlign w:val="subscript"/>
              </w:rPr>
              <w:t>5</w:t>
            </w:r>
            <w:r>
              <w:rPr>
                <w:rFonts w:hint="default" w:ascii="Times New Roman" w:hAnsi="Times New Roman" w:eastAsia="仿宋" w:cs="Times New Roman"/>
                <w:szCs w:val="28"/>
              </w:rPr>
              <w:t>、氨氮、石油类、铅、镉、六价铬、粪大肠菌群等，每次测3天。</w:t>
            </w:r>
          </w:p>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地下水：根据规划环评要球，新区老区各布置2个地下水监测井，共计4个点位。根据《地下水质量标准》，常规监测因子共38项。</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已落实</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合格</w:t>
            </w:r>
          </w:p>
        </w:tc>
      </w:tr>
      <w:tr>
        <w:tblPrEx>
          <w:tblCellMar>
            <w:top w:w="0" w:type="dxa"/>
            <w:left w:w="0" w:type="dxa"/>
            <w:bottom w:w="0" w:type="dxa"/>
            <w:right w:w="0" w:type="dxa"/>
          </w:tblCellMar>
        </w:tblPrEx>
        <w:trPr>
          <w:trHeight w:val="162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3</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环境噪声和交通噪声监测</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每年1-2次</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新老园区共设置7个监测点，监测项目为连续等效A声级，连续监测2天</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已落实</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合格</w:t>
            </w:r>
          </w:p>
        </w:tc>
      </w:tr>
      <w:tr>
        <w:tblPrEx>
          <w:tblCellMar>
            <w:top w:w="0" w:type="dxa"/>
            <w:left w:w="0" w:type="dxa"/>
            <w:bottom w:w="0" w:type="dxa"/>
            <w:right w:w="0" w:type="dxa"/>
          </w:tblCellMar>
        </w:tblPrEx>
        <w:trPr>
          <w:trHeight w:val="9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4</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污染源监测</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园区各企业根据实际情况按要求进行</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园区内各企业</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已落实</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合格</w:t>
            </w:r>
          </w:p>
        </w:tc>
      </w:tr>
      <w:tr>
        <w:tblPrEx>
          <w:tblCellMar>
            <w:top w:w="0" w:type="dxa"/>
            <w:left w:w="0" w:type="dxa"/>
            <w:bottom w:w="0" w:type="dxa"/>
            <w:right w:w="0" w:type="dxa"/>
          </w:tblCellMar>
        </w:tblPrEx>
        <w:trPr>
          <w:trHeight w:val="1011"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5</w:t>
            </w:r>
          </w:p>
        </w:tc>
        <w:tc>
          <w:tcPr>
            <w:tcW w:w="10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工业固废物取样监测</w:t>
            </w:r>
          </w:p>
        </w:tc>
        <w:tc>
          <w:tcPr>
            <w:tcW w:w="8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园区各企业根据实际情况按要求进行</w:t>
            </w:r>
          </w:p>
        </w:tc>
        <w:tc>
          <w:tcPr>
            <w:tcW w:w="1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园区内各企业</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已落实</w:t>
            </w:r>
          </w:p>
        </w:tc>
        <w:tc>
          <w:tcPr>
            <w:tcW w:w="8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合格</w:t>
            </w:r>
          </w:p>
        </w:tc>
      </w:tr>
    </w:tbl>
    <w:p>
      <w:pPr>
        <w:snapToGrid w:val="0"/>
        <w:ind w:firstLine="640"/>
        <w:rPr>
          <w:rFonts w:ascii="Times New Roman" w:hAnsi="仿宋_GB2312" w:eastAsia="仿宋" w:cs="仿宋_GB2312"/>
          <w:sz w:val="32"/>
          <w:szCs w:val="32"/>
        </w:rPr>
      </w:pPr>
      <w:r>
        <w:rPr>
          <w:rFonts w:hint="eastAsia" w:ascii="Times New Roman" w:hAnsi="仿宋_GB2312" w:eastAsia="仿宋" w:cs="仿宋_GB2312"/>
          <w:sz w:val="32"/>
          <w:szCs w:val="32"/>
        </w:rPr>
        <w:t>目前园区对东西两个区的周边环境质量情况开展跟踪监测，监测频次及主要监测因子，按照园区规划环境影响报告书及相关要求确定各落实规划环评要求的年度自行监测计划。</w:t>
      </w:r>
    </w:p>
    <w:p>
      <w:pPr>
        <w:snapToGrid w:val="0"/>
        <w:ind w:firstLine="643"/>
        <w:rPr>
          <w:rFonts w:ascii="Times New Roman" w:hAnsi="仿宋_GB2312" w:eastAsia="仿宋" w:cs="仿宋_GB2312"/>
          <w:sz w:val="32"/>
          <w:szCs w:val="32"/>
        </w:rPr>
      </w:pPr>
      <w:r>
        <w:rPr>
          <w:rFonts w:hint="eastAsia" w:ascii="Times New Roman" w:hAnsi="仿宋_GB2312" w:eastAsia="仿宋" w:cs="仿宋_GB2312"/>
          <w:b/>
          <w:sz w:val="32"/>
          <w:szCs w:val="32"/>
        </w:rPr>
        <w:t>环境空气：</w:t>
      </w:r>
      <w:r>
        <w:rPr>
          <w:rFonts w:hint="eastAsia" w:ascii="Times New Roman" w:hAnsi="仿宋_GB2312" w:eastAsia="仿宋" w:cs="仿宋_GB2312"/>
          <w:sz w:val="32"/>
          <w:szCs w:val="32"/>
        </w:rPr>
        <w:t>园区建有一座小微空气监测站：澧县创新创业园空气质量自动监测站，位于澧县高新区创新创业园内，监测因子为</w:t>
      </w:r>
      <w:r>
        <w:rPr>
          <w:rFonts w:ascii="Times New Roman" w:hAnsi="仿宋_GB2312" w:eastAsia="仿宋" w:cs="仿宋_GB2312"/>
          <w:sz w:val="32"/>
          <w:szCs w:val="32"/>
        </w:rPr>
        <w:t>PM</w:t>
      </w:r>
      <w:r>
        <w:rPr>
          <w:rFonts w:ascii="Times New Roman" w:hAnsi="仿宋_GB2312" w:eastAsia="仿宋" w:cs="仿宋_GB2312"/>
          <w:sz w:val="32"/>
          <w:szCs w:val="32"/>
          <w:vertAlign w:val="subscript"/>
        </w:rPr>
        <w:t>2.5</w:t>
      </w:r>
      <w:r>
        <w:rPr>
          <w:rFonts w:hint="eastAsia" w:ascii="Times New Roman" w:hAnsi="仿宋_GB2312" w:eastAsia="仿宋" w:cs="仿宋_GB2312"/>
          <w:sz w:val="32"/>
          <w:szCs w:val="32"/>
        </w:rPr>
        <w:t>、</w:t>
      </w:r>
      <w:r>
        <w:rPr>
          <w:rFonts w:ascii="Times New Roman" w:hAnsi="仿宋_GB2312" w:eastAsia="仿宋" w:cs="仿宋_GB2312"/>
          <w:sz w:val="32"/>
          <w:szCs w:val="32"/>
        </w:rPr>
        <w:t>PM</w:t>
      </w:r>
      <w:r>
        <w:rPr>
          <w:rFonts w:ascii="Times New Roman" w:hAnsi="仿宋_GB2312" w:eastAsia="仿宋" w:cs="仿宋_GB2312"/>
          <w:sz w:val="32"/>
          <w:szCs w:val="32"/>
          <w:vertAlign w:val="subscript"/>
        </w:rPr>
        <w:t>10</w:t>
      </w:r>
      <w:r>
        <w:rPr>
          <w:rFonts w:hint="eastAsia" w:ascii="Times New Roman" w:hAnsi="仿宋_GB2312" w:eastAsia="仿宋" w:cs="仿宋_GB2312"/>
          <w:sz w:val="32"/>
          <w:szCs w:val="32"/>
        </w:rPr>
        <w:t>、</w:t>
      </w:r>
      <w:r>
        <w:rPr>
          <w:rFonts w:ascii="Times New Roman" w:hAnsi="仿宋_GB2312" w:eastAsia="仿宋" w:cs="仿宋_GB2312"/>
          <w:sz w:val="32"/>
          <w:szCs w:val="32"/>
        </w:rPr>
        <w:t>SO</w:t>
      </w:r>
      <w:r>
        <w:rPr>
          <w:rFonts w:ascii="Times New Roman" w:hAnsi="仿宋_GB2312" w:eastAsia="仿宋" w:cs="仿宋_GB2312"/>
          <w:sz w:val="32"/>
          <w:szCs w:val="32"/>
          <w:vertAlign w:val="subscript"/>
        </w:rPr>
        <w:t>2</w:t>
      </w:r>
      <w:r>
        <w:rPr>
          <w:rFonts w:hint="eastAsia" w:ascii="Times New Roman" w:hAnsi="仿宋_GB2312" w:eastAsia="仿宋" w:cs="仿宋_GB2312"/>
          <w:sz w:val="32"/>
          <w:szCs w:val="32"/>
        </w:rPr>
        <w:t>、</w:t>
      </w:r>
      <w:r>
        <w:rPr>
          <w:rFonts w:ascii="Times New Roman" w:hAnsi="仿宋_GB2312" w:eastAsia="仿宋" w:cs="仿宋_GB2312"/>
          <w:sz w:val="32"/>
          <w:szCs w:val="32"/>
        </w:rPr>
        <w:t>NO</w:t>
      </w:r>
      <w:r>
        <w:rPr>
          <w:rFonts w:ascii="Times New Roman" w:hAnsi="仿宋_GB2312" w:eastAsia="仿宋" w:cs="仿宋_GB2312"/>
          <w:sz w:val="32"/>
          <w:szCs w:val="32"/>
          <w:vertAlign w:val="subscript"/>
        </w:rPr>
        <w:t>2</w:t>
      </w:r>
      <w:r>
        <w:rPr>
          <w:rFonts w:hint="eastAsia" w:ascii="Times New Roman" w:hAnsi="仿宋_GB2312" w:eastAsia="仿宋" w:cs="仿宋_GB2312"/>
          <w:sz w:val="32"/>
          <w:szCs w:val="32"/>
        </w:rPr>
        <w:t>、</w:t>
      </w:r>
      <w:r>
        <w:rPr>
          <w:rFonts w:ascii="Times New Roman" w:hAnsi="仿宋_GB2312" w:eastAsia="仿宋" w:cs="仿宋_GB2312"/>
          <w:sz w:val="32"/>
          <w:szCs w:val="32"/>
        </w:rPr>
        <w:t>CO</w:t>
      </w:r>
      <w:r>
        <w:rPr>
          <w:rFonts w:hint="eastAsia" w:ascii="Times New Roman" w:hAnsi="仿宋_GB2312" w:eastAsia="仿宋" w:cs="仿宋_GB2312"/>
          <w:sz w:val="32"/>
          <w:szCs w:val="32"/>
        </w:rPr>
        <w:t>、</w:t>
      </w:r>
      <w:r>
        <w:rPr>
          <w:rFonts w:ascii="Times New Roman" w:hAnsi="仿宋_GB2312" w:eastAsia="仿宋" w:cs="仿宋_GB2312"/>
          <w:sz w:val="32"/>
          <w:szCs w:val="32"/>
        </w:rPr>
        <w:t>O</w:t>
      </w:r>
      <w:r>
        <w:rPr>
          <w:rFonts w:ascii="Times New Roman" w:hAnsi="仿宋_GB2312" w:eastAsia="仿宋" w:cs="仿宋_GB2312"/>
          <w:sz w:val="32"/>
          <w:szCs w:val="32"/>
          <w:vertAlign w:val="subscript"/>
        </w:rPr>
        <w:t>3</w:t>
      </w:r>
      <w:r>
        <w:rPr>
          <w:rFonts w:hint="eastAsia" w:ascii="Times New Roman" w:hAnsi="仿宋_GB2312" w:eastAsia="仿宋" w:cs="仿宋_GB2312"/>
          <w:sz w:val="32"/>
          <w:szCs w:val="32"/>
        </w:rPr>
        <w:t>，监测结果自评为良好。园区空气监测站目前数据采集、传输已完成，目前已与环保部门监控平台稳定联网。</w:t>
      </w:r>
    </w:p>
    <w:p>
      <w:pPr>
        <w:snapToGrid w:val="0"/>
        <w:ind w:firstLine="640"/>
        <w:rPr>
          <w:rFonts w:ascii="Times New Roman" w:hAnsi="仿宋_GB2312" w:eastAsia="仿宋" w:cs="仿宋_GB2312"/>
          <w:sz w:val="32"/>
          <w:szCs w:val="32"/>
        </w:rPr>
      </w:pPr>
      <w:r>
        <w:rPr>
          <w:rFonts w:hint="eastAsia" w:ascii="Times New Roman" w:hAnsi="仿宋_GB2312" w:eastAsia="仿宋" w:cs="仿宋_GB2312"/>
          <w:sz w:val="32"/>
          <w:szCs w:val="32"/>
        </w:rPr>
        <w:t>日常监测：2022年2月16日~2022年2月22日和2022年8月8日~2022年8月14日，在东西园区东北及西南边界各布置1个监测点（共4个）监测因子为总挥发性有机物、总悬浮颗粒物，每次每个点连续监测7天，共两期监测。</w:t>
      </w:r>
    </w:p>
    <w:p>
      <w:pPr>
        <w:snapToGrid w:val="0"/>
        <w:ind w:firstLine="643"/>
        <w:rPr>
          <w:rFonts w:ascii="Times New Roman" w:hAnsi="仿宋_GB2312" w:eastAsia="仿宋" w:cs="仿宋_GB2312"/>
          <w:bCs/>
          <w:sz w:val="32"/>
          <w:szCs w:val="32"/>
          <w:highlight w:val="none"/>
        </w:rPr>
      </w:pPr>
      <w:r>
        <w:rPr>
          <w:rFonts w:hint="eastAsia" w:ascii="Times New Roman" w:hAnsi="仿宋_GB2312" w:eastAsia="仿宋" w:cs="仿宋_GB2312"/>
          <w:b/>
          <w:sz w:val="32"/>
          <w:szCs w:val="32"/>
        </w:rPr>
        <w:t>地表水环境：</w:t>
      </w:r>
    </w:p>
    <w:p>
      <w:pPr>
        <w:snapToGrid w:val="0"/>
        <w:ind w:firstLine="640"/>
        <w:rPr>
          <w:rFonts w:ascii="Times New Roman" w:hAnsi="仿宋_GB2312" w:eastAsia="仿宋" w:cs="仿宋_GB2312"/>
          <w:sz w:val="32"/>
          <w:szCs w:val="32"/>
        </w:rPr>
      </w:pPr>
      <w:r>
        <w:rPr>
          <w:rFonts w:hint="eastAsia" w:ascii="Times New Roman" w:hAnsi="仿宋_GB2312" w:eastAsia="仿宋" w:cs="仿宋_GB2312"/>
          <w:sz w:val="32"/>
          <w:szCs w:val="32"/>
        </w:rPr>
        <w:t>日常监测：</w:t>
      </w:r>
      <w:r>
        <w:rPr>
          <w:rFonts w:hint="eastAsia" w:ascii="Times New Roman" w:hAnsi="仿宋_GB2312" w:eastAsia="仿宋" w:cs="仿宋_GB2312"/>
          <w:bCs/>
          <w:sz w:val="32"/>
          <w:szCs w:val="32"/>
          <w:highlight w:val="none"/>
          <w:lang w:val="en-US" w:eastAsia="zh-CN"/>
        </w:rPr>
        <w:t>常德市生态环境局澧县监测站在</w:t>
      </w:r>
      <w:r>
        <w:rPr>
          <w:rFonts w:hint="eastAsia" w:ascii="Times New Roman" w:hAnsi="仿宋_GB2312" w:eastAsia="仿宋" w:cs="仿宋_GB2312"/>
          <w:bCs/>
          <w:sz w:val="32"/>
          <w:szCs w:val="32"/>
          <w:highlight w:val="none"/>
        </w:rPr>
        <w:t>澧县澹水</w:t>
      </w:r>
      <w:r>
        <w:rPr>
          <w:rFonts w:hint="eastAsia" w:ascii="Times New Roman" w:hAnsi="仿宋_GB2312" w:eastAsia="仿宋" w:cs="仿宋_GB2312"/>
          <w:bCs/>
          <w:sz w:val="32"/>
          <w:szCs w:val="32"/>
          <w:highlight w:val="none"/>
          <w:lang w:eastAsia="zh-CN"/>
        </w:rPr>
        <w:t>、</w:t>
      </w:r>
      <w:r>
        <w:rPr>
          <w:rFonts w:hint="eastAsia" w:ascii="Times New Roman" w:hAnsi="仿宋_GB2312" w:eastAsia="仿宋" w:cs="仿宋_GB2312"/>
          <w:bCs/>
          <w:sz w:val="32"/>
          <w:szCs w:val="32"/>
          <w:highlight w:val="none"/>
          <w:lang w:val="en-US" w:eastAsia="zh-CN"/>
        </w:rPr>
        <w:t>澧水等设置有常规监测断面</w:t>
      </w:r>
      <w:r>
        <w:rPr>
          <w:rFonts w:hint="eastAsia" w:ascii="Times New Roman" w:hAnsi="仿宋_GB2312" w:eastAsia="仿宋" w:cs="仿宋_GB2312"/>
          <w:bCs/>
          <w:sz w:val="32"/>
          <w:szCs w:val="32"/>
          <w:highlight w:val="none"/>
        </w:rPr>
        <w:t>。</w:t>
      </w:r>
      <w:r>
        <w:rPr>
          <w:rFonts w:hint="eastAsia" w:ascii="Times New Roman" w:hAnsi="仿宋_GB2312" w:eastAsia="仿宋" w:cs="仿宋_GB2312"/>
          <w:bCs/>
          <w:sz w:val="32"/>
          <w:szCs w:val="32"/>
          <w:highlight w:val="none"/>
          <w:lang w:val="en-US" w:eastAsia="zh-CN"/>
        </w:rPr>
        <w:t>园区在</w:t>
      </w:r>
      <w:r>
        <w:rPr>
          <w:rFonts w:hint="eastAsia" w:ascii="Times New Roman" w:hAnsi="仿宋_GB2312" w:eastAsia="仿宋" w:cs="仿宋_GB2312"/>
          <w:sz w:val="32"/>
          <w:szCs w:val="32"/>
        </w:rPr>
        <w:t>新区老区各布置3个监测断面，新区监测因子为PH、COD、BOD</w:t>
      </w:r>
      <w:r>
        <w:rPr>
          <w:rFonts w:hint="eastAsia" w:ascii="Times New Roman" w:hAnsi="仿宋_GB2312" w:eastAsia="仿宋" w:cs="仿宋_GB2312"/>
          <w:sz w:val="32"/>
          <w:szCs w:val="32"/>
          <w:vertAlign w:val="subscript"/>
        </w:rPr>
        <w:t>5</w:t>
      </w:r>
      <w:r>
        <w:rPr>
          <w:rFonts w:hint="eastAsia" w:ascii="Times New Roman" w:hAnsi="仿宋_GB2312" w:eastAsia="仿宋" w:cs="仿宋_GB2312"/>
          <w:sz w:val="32"/>
          <w:szCs w:val="32"/>
        </w:rPr>
        <w:t>、氨氮、石油类、铅、镉、粪大肠菌群等，每次测3天。</w:t>
      </w:r>
    </w:p>
    <w:p>
      <w:pPr>
        <w:snapToGrid w:val="0"/>
        <w:ind w:firstLine="643"/>
        <w:rPr>
          <w:rFonts w:ascii="Times New Roman" w:hAnsi="仿宋_GB2312" w:eastAsia="仿宋" w:cs="仿宋_GB2312"/>
          <w:sz w:val="32"/>
          <w:szCs w:val="32"/>
        </w:rPr>
      </w:pPr>
      <w:r>
        <w:rPr>
          <w:rFonts w:ascii="Times New Roman" w:hAnsi="仿宋_GB2312" w:eastAsia="仿宋" w:cs="仿宋_GB2312"/>
          <w:b/>
          <w:sz w:val="32"/>
          <w:szCs w:val="32"/>
        </w:rPr>
        <w:t>地下水监测</w:t>
      </w:r>
      <w:r>
        <w:rPr>
          <w:rFonts w:ascii="Times New Roman" w:hAnsi="仿宋_GB2312" w:eastAsia="仿宋" w:cs="仿宋_GB2312"/>
          <w:sz w:val="32"/>
          <w:szCs w:val="32"/>
        </w:rPr>
        <w:t>：根据规划环评要球，新区老区各布置2个地下水监测井，共计4个点位。根据《地下水质量标准》，常规监测因子共38项。</w:t>
      </w:r>
    </w:p>
    <w:p>
      <w:pPr>
        <w:snapToGrid w:val="0"/>
        <w:ind w:firstLine="643"/>
        <w:rPr>
          <w:rFonts w:ascii="Times New Roman" w:hAnsi="仿宋_GB2312" w:eastAsia="仿宋" w:cs="仿宋_GB2312"/>
          <w:sz w:val="32"/>
          <w:szCs w:val="32"/>
        </w:rPr>
      </w:pPr>
      <w:r>
        <w:rPr>
          <w:rFonts w:ascii="Times New Roman" w:hAnsi="仿宋_GB2312" w:eastAsia="仿宋" w:cs="仿宋_GB2312"/>
          <w:b/>
          <w:sz w:val="32"/>
          <w:szCs w:val="32"/>
        </w:rPr>
        <w:t>土壤监测</w:t>
      </w:r>
      <w:r>
        <w:rPr>
          <w:rFonts w:ascii="Times New Roman" w:hAnsi="仿宋_GB2312" w:eastAsia="仿宋" w:cs="仿宋_GB2312"/>
          <w:sz w:val="32"/>
          <w:szCs w:val="32"/>
        </w:rPr>
        <w:t>：根据土壤防治最新要求，在园区范围内及范围外共设置4个监测点，监测点监测项目共45项。</w:t>
      </w:r>
    </w:p>
    <w:p>
      <w:pPr>
        <w:snapToGrid w:val="0"/>
        <w:ind w:firstLine="643"/>
        <w:rPr>
          <w:rFonts w:ascii="Times New Roman" w:hAnsi="仿宋_GB2312" w:eastAsia="仿宋" w:cs="仿宋_GB2312"/>
          <w:sz w:val="32"/>
          <w:szCs w:val="32"/>
        </w:rPr>
      </w:pPr>
      <w:r>
        <w:rPr>
          <w:rFonts w:ascii="Times New Roman" w:hAnsi="仿宋_GB2312" w:eastAsia="仿宋" w:cs="仿宋_GB2312"/>
          <w:b/>
          <w:sz w:val="32"/>
          <w:szCs w:val="32"/>
        </w:rPr>
        <w:t>噪声监测</w:t>
      </w:r>
      <w:r>
        <w:rPr>
          <w:rFonts w:ascii="Times New Roman" w:hAnsi="仿宋_GB2312" w:eastAsia="仿宋" w:cs="仿宋_GB2312"/>
          <w:sz w:val="32"/>
          <w:szCs w:val="32"/>
        </w:rPr>
        <w:t>：新老园区</w:t>
      </w:r>
      <w:r>
        <w:rPr>
          <w:rFonts w:hint="eastAsia" w:ascii="Times New Roman" w:hAnsi="仿宋_GB2312" w:eastAsia="仿宋" w:cs="仿宋_GB2312"/>
          <w:sz w:val="32"/>
          <w:szCs w:val="32"/>
        </w:rPr>
        <w:t>共</w:t>
      </w:r>
      <w:r>
        <w:rPr>
          <w:rFonts w:ascii="Times New Roman" w:hAnsi="仿宋_GB2312" w:eastAsia="仿宋" w:cs="仿宋_GB2312"/>
          <w:sz w:val="32"/>
          <w:szCs w:val="32"/>
        </w:rPr>
        <w:t>设置</w:t>
      </w:r>
      <w:r>
        <w:rPr>
          <w:rFonts w:hint="eastAsia" w:ascii="Times New Roman" w:hAnsi="仿宋_GB2312" w:eastAsia="仿宋" w:cs="仿宋_GB2312"/>
          <w:sz w:val="32"/>
          <w:szCs w:val="32"/>
        </w:rPr>
        <w:t>7</w:t>
      </w:r>
      <w:r>
        <w:rPr>
          <w:rFonts w:ascii="Times New Roman" w:hAnsi="仿宋_GB2312" w:eastAsia="仿宋" w:cs="仿宋_GB2312"/>
          <w:sz w:val="32"/>
          <w:szCs w:val="32"/>
        </w:rPr>
        <w:t>个监测点，监测项目为连续等效A声级，连续监测2天。</w:t>
      </w:r>
    </w:p>
    <w:p>
      <w:pPr>
        <w:snapToGrid w:val="0"/>
        <w:ind w:firstLine="643"/>
      </w:pPr>
      <w:r>
        <w:rPr>
          <w:rFonts w:hint="eastAsia" w:ascii="Times New Roman" w:hAnsi="仿宋_GB2312" w:eastAsia="仿宋" w:cs="仿宋_GB2312"/>
          <w:b/>
          <w:sz w:val="32"/>
          <w:szCs w:val="32"/>
        </w:rPr>
        <w:t>污染源及工业固废物：</w:t>
      </w:r>
      <w:r>
        <w:rPr>
          <w:rFonts w:hint="eastAsia" w:ascii="Times New Roman" w:hAnsi="仿宋_GB2312" w:eastAsia="仿宋" w:cs="仿宋_GB2312"/>
          <w:sz w:val="32"/>
          <w:szCs w:val="32"/>
        </w:rPr>
        <w:t>园区内涉气涉水及产生工业固废企业均已针对相关污染源进行自行监测，相关监测报告存档于园区</w:t>
      </w:r>
      <w:r>
        <w:rPr>
          <w:rFonts w:hint="eastAsia" w:ascii="Times New Roman" w:hAnsi="仿宋_GB2312" w:eastAsia="仿宋" w:cs="仿宋_GB2312"/>
          <w:sz w:val="32"/>
          <w:szCs w:val="32"/>
          <w:lang w:eastAsia="zh-CN"/>
        </w:rPr>
        <w:t>“</w:t>
      </w:r>
      <w:r>
        <w:rPr>
          <w:rFonts w:hint="eastAsia" w:ascii="Times New Roman" w:hAnsi="仿宋_GB2312" w:eastAsia="仿宋" w:cs="仿宋_GB2312"/>
          <w:sz w:val="32"/>
          <w:szCs w:val="32"/>
        </w:rPr>
        <w:t>一企一档</w:t>
      </w:r>
      <w:r>
        <w:rPr>
          <w:rFonts w:hint="eastAsia" w:ascii="Times New Roman" w:hAnsi="仿宋_GB2312" w:eastAsia="仿宋" w:cs="仿宋_GB2312"/>
          <w:sz w:val="32"/>
          <w:szCs w:val="32"/>
          <w:lang w:eastAsia="zh-CN"/>
        </w:rPr>
        <w:t>”</w:t>
      </w:r>
      <w:r>
        <w:rPr>
          <w:rFonts w:hint="eastAsia" w:ascii="Times New Roman" w:hAnsi="仿宋_GB2312" w:eastAsia="仿宋" w:cs="仿宋_GB2312"/>
          <w:sz w:val="32"/>
          <w:szCs w:val="32"/>
        </w:rPr>
        <w:t>相关企业档案。</w:t>
      </w:r>
    </w:p>
    <w:p>
      <w:pPr>
        <w:pStyle w:val="13"/>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（二）</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三线一单</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落地应用情况</w:t>
      </w:r>
    </w:p>
    <w:p>
      <w:pPr>
        <w:snapToGrid w:val="0"/>
        <w:ind w:firstLine="643"/>
        <w:rPr>
          <w:rFonts w:hint="default" w:ascii="Times New Roman" w:hAnsi="仿宋_GB2312" w:eastAsia="仿宋" w:cs="仿宋_GB2312"/>
          <w:sz w:val="32"/>
          <w:szCs w:val="32"/>
          <w:lang w:val="en-US" w:eastAsia="zh-CN"/>
        </w:rPr>
      </w:pPr>
      <w:r>
        <w:rPr>
          <w:rFonts w:hint="default" w:ascii="Times New Roman" w:hAnsi="仿宋_GB2312" w:eastAsia="仿宋" w:cs="仿宋_GB2312"/>
          <w:sz w:val="32"/>
          <w:szCs w:val="32"/>
          <w:lang w:val="en-US" w:eastAsia="zh-CN"/>
        </w:rPr>
        <w:t>根据《湖南省人民政府关于实施</w:t>
      </w:r>
      <w:r>
        <w:rPr>
          <w:rFonts w:hint="eastAsia" w:ascii="Times New Roman" w:hAnsi="仿宋_GB2312" w:eastAsia="仿宋" w:cs="仿宋_GB2312"/>
          <w:sz w:val="32"/>
          <w:szCs w:val="32"/>
          <w:lang w:val="en-US" w:eastAsia="zh-CN"/>
        </w:rPr>
        <w:t>“</w:t>
      </w:r>
      <w:r>
        <w:rPr>
          <w:rFonts w:hint="default" w:ascii="Times New Roman" w:hAnsi="仿宋_GB2312" w:eastAsia="仿宋" w:cs="仿宋_GB2312"/>
          <w:sz w:val="32"/>
          <w:szCs w:val="32"/>
          <w:lang w:val="en-US" w:eastAsia="zh-CN"/>
        </w:rPr>
        <w:t>三线一单</w:t>
      </w:r>
      <w:r>
        <w:rPr>
          <w:rFonts w:hint="eastAsia" w:ascii="Times New Roman" w:hAnsi="仿宋_GB2312" w:eastAsia="仿宋" w:cs="仿宋_GB2312"/>
          <w:sz w:val="32"/>
          <w:szCs w:val="32"/>
          <w:lang w:val="en-US" w:eastAsia="zh-CN"/>
        </w:rPr>
        <w:t>”</w:t>
      </w:r>
      <w:r>
        <w:rPr>
          <w:rFonts w:hint="default" w:ascii="Times New Roman" w:hAnsi="仿宋_GB2312" w:eastAsia="仿宋" w:cs="仿宋_GB2312"/>
          <w:sz w:val="32"/>
          <w:szCs w:val="32"/>
          <w:lang w:val="en-US" w:eastAsia="zh-CN"/>
        </w:rPr>
        <w:t>生态环境分区管控的意见》、《湖南省</w:t>
      </w:r>
      <w:r>
        <w:rPr>
          <w:rFonts w:hint="eastAsia" w:ascii="Times New Roman" w:hAnsi="仿宋_GB2312" w:eastAsia="仿宋" w:cs="仿宋_GB2312"/>
          <w:sz w:val="32"/>
          <w:szCs w:val="32"/>
          <w:lang w:val="en-US" w:eastAsia="zh-CN"/>
        </w:rPr>
        <w:t>“</w:t>
      </w:r>
      <w:r>
        <w:rPr>
          <w:rFonts w:hint="default" w:ascii="Times New Roman" w:hAnsi="仿宋_GB2312" w:eastAsia="仿宋" w:cs="仿宋_GB2312"/>
          <w:sz w:val="32"/>
          <w:szCs w:val="32"/>
          <w:lang w:val="en-US" w:eastAsia="zh-CN"/>
        </w:rPr>
        <w:t>三线一单</w:t>
      </w:r>
      <w:r>
        <w:rPr>
          <w:rFonts w:hint="eastAsia" w:ascii="Times New Roman" w:hAnsi="仿宋_GB2312" w:eastAsia="仿宋" w:cs="仿宋_GB2312"/>
          <w:sz w:val="32"/>
          <w:szCs w:val="32"/>
          <w:lang w:val="en-US" w:eastAsia="zh-CN"/>
        </w:rPr>
        <w:t>”</w:t>
      </w:r>
      <w:r>
        <w:rPr>
          <w:rFonts w:hint="default" w:ascii="Times New Roman" w:hAnsi="仿宋_GB2312" w:eastAsia="仿宋" w:cs="仿宋_GB2312"/>
          <w:sz w:val="32"/>
          <w:szCs w:val="32"/>
          <w:lang w:val="en-US" w:eastAsia="zh-CN"/>
        </w:rPr>
        <w:t>生态环境总体管控要求既省级以上产业园区生态环境准入清单》等相关文件，明确了</w:t>
      </w:r>
      <w:r>
        <w:rPr>
          <w:rFonts w:hint="eastAsia" w:ascii="Times New Roman" w:hAnsi="仿宋_GB2312" w:eastAsia="仿宋" w:cs="仿宋_GB2312"/>
          <w:sz w:val="32"/>
          <w:szCs w:val="32"/>
          <w:lang w:val="en-US" w:eastAsia="zh-CN"/>
        </w:rPr>
        <w:t>湖南澧县高新技术产业开发区“</w:t>
      </w:r>
      <w:r>
        <w:rPr>
          <w:rFonts w:hint="default" w:ascii="Times New Roman" w:hAnsi="仿宋_GB2312" w:eastAsia="仿宋" w:cs="仿宋_GB2312"/>
          <w:sz w:val="32"/>
          <w:szCs w:val="32"/>
          <w:lang w:val="en-US" w:eastAsia="zh-CN"/>
        </w:rPr>
        <w:t>三线一单</w:t>
      </w:r>
      <w:r>
        <w:rPr>
          <w:rFonts w:hint="eastAsia" w:ascii="Times New Roman" w:hAnsi="仿宋_GB2312" w:eastAsia="仿宋" w:cs="仿宋_GB2312"/>
          <w:sz w:val="32"/>
          <w:szCs w:val="32"/>
          <w:lang w:val="en-US" w:eastAsia="zh-CN"/>
        </w:rPr>
        <w:t>”</w:t>
      </w:r>
      <w:r>
        <w:rPr>
          <w:rFonts w:hint="default" w:ascii="Times New Roman" w:hAnsi="仿宋_GB2312" w:eastAsia="仿宋" w:cs="仿宋_GB2312"/>
          <w:sz w:val="32"/>
          <w:szCs w:val="32"/>
          <w:lang w:val="en-US" w:eastAsia="zh-CN"/>
        </w:rPr>
        <w:t>生态环境管控要求，见下表2</w:t>
      </w:r>
      <w:r>
        <w:rPr>
          <w:rFonts w:hint="eastAsia" w:ascii="Times New Roman" w:hAnsi="仿宋_GB2312" w:eastAsia="仿宋" w:cs="仿宋_GB2312"/>
          <w:sz w:val="32"/>
          <w:szCs w:val="32"/>
          <w:lang w:val="en-US" w:eastAsia="zh-CN"/>
        </w:rPr>
        <w:t>.1-2</w:t>
      </w:r>
      <w:r>
        <w:rPr>
          <w:rFonts w:hint="default" w:ascii="Times New Roman" w:hAnsi="仿宋_GB2312" w:eastAsia="仿宋" w:cs="仿宋_GB2312"/>
          <w:sz w:val="32"/>
          <w:szCs w:val="32"/>
          <w:lang w:val="en-US" w:eastAsia="zh-CN"/>
        </w:rPr>
        <w:t>。</w:t>
      </w:r>
    </w:p>
    <w:p>
      <w:pPr>
        <w:rPr>
          <w:rFonts w:hint="default" w:ascii="Times New Roman" w:hAnsi="Times New Roman" w:eastAsia="仿宋" w:cs="Times New Roman"/>
          <w:b/>
          <w:color w:val="00B0F0"/>
          <w:sz w:val="24"/>
          <w:szCs w:val="24"/>
          <w:lang w:val="en-US" w:eastAsia="zh-CN" w:bidi="ar-SA"/>
        </w:rPr>
        <w:sectPr>
          <w:pgSz w:w="11905" w:h="16838"/>
          <w:pgMar w:top="1417" w:right="1417" w:bottom="1417" w:left="158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pPr>
        <w:widowControl w:val="0"/>
        <w:spacing w:line="336" w:lineRule="auto"/>
        <w:jc w:val="center"/>
        <w:rPr>
          <w:rFonts w:hint="eastAsia" w:ascii="Times New Roman" w:hAnsi="Times New Roman" w:eastAsia="仿宋" w:cs="Times New Roman"/>
          <w:b/>
          <w:color w:val="auto"/>
          <w:kern w:val="2"/>
          <w:sz w:val="24"/>
          <w:szCs w:val="24"/>
          <w:lang w:val="en-US" w:eastAsia="zh-CN" w:bidi="ar-SA"/>
        </w:rPr>
      </w:pPr>
      <w:r>
        <w:rPr>
          <w:rFonts w:ascii="Times New Roman" w:hAnsi="Times New Roman" w:eastAsia="黑体" w:cs="宋体"/>
          <w:kern w:val="2"/>
          <w:sz w:val="24"/>
          <w:szCs w:val="24"/>
          <w:lang w:val="en-US" w:eastAsia="zh-CN" w:bidi="ar-SA"/>
        </w:rPr>
        <w:drawing>
          <wp:anchor distT="0" distB="0" distL="114300" distR="114300" simplePos="0" relativeHeight="251660288" behindDoc="0" locked="0" layoutInCell="1" allowOverlap="1">
            <wp:simplePos x="0" y="0"/>
            <wp:positionH relativeFrom="column">
              <wp:posOffset>-114300</wp:posOffset>
            </wp:positionH>
            <wp:positionV relativeFrom="paragraph">
              <wp:posOffset>299720</wp:posOffset>
            </wp:positionV>
            <wp:extent cx="9090660" cy="2651760"/>
            <wp:effectExtent l="0" t="0" r="762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9090660" cy="2651760"/>
                    </a:xfrm>
                    <a:prstGeom prst="rect">
                      <a:avLst/>
                    </a:prstGeom>
                    <a:noFill/>
                    <a:ln>
                      <a:noFill/>
                    </a:ln>
                  </pic:spPr>
                </pic:pic>
              </a:graphicData>
            </a:graphic>
          </wp:anchor>
        </w:drawing>
      </w:r>
      <w:r>
        <w:rPr>
          <w:rFonts w:hint="default" w:ascii="Times New Roman" w:hAnsi="Times New Roman" w:eastAsia="仿宋" w:cs="Times New Roman"/>
          <w:b/>
          <w:color w:val="auto"/>
          <w:kern w:val="2"/>
          <w:sz w:val="24"/>
          <w:szCs w:val="24"/>
          <w:lang w:val="en-US" w:eastAsia="zh-CN" w:bidi="ar-SA"/>
        </w:rPr>
        <w:t>表2</w:t>
      </w:r>
      <w:r>
        <w:rPr>
          <w:rFonts w:hint="eastAsia" w:ascii="Times New Roman" w:hAnsi="Times New Roman" w:eastAsia="仿宋" w:cs="Times New Roman"/>
          <w:b/>
          <w:color w:val="auto"/>
          <w:kern w:val="2"/>
          <w:sz w:val="24"/>
          <w:szCs w:val="24"/>
          <w:lang w:val="en-US" w:eastAsia="zh-CN" w:bidi="ar-SA"/>
        </w:rPr>
        <w:t>.1-1</w:t>
      </w:r>
      <w:r>
        <w:rPr>
          <w:rFonts w:hint="default" w:ascii="Times New Roman" w:hAnsi="Times New Roman" w:eastAsia="仿宋" w:cs="Times New Roman"/>
          <w:b/>
          <w:color w:val="auto"/>
          <w:kern w:val="2"/>
          <w:sz w:val="24"/>
          <w:szCs w:val="24"/>
          <w:lang w:val="en-US" w:eastAsia="zh-CN" w:bidi="ar-SA"/>
        </w:rPr>
        <w:t xml:space="preserve"> </w:t>
      </w:r>
      <w:r>
        <w:rPr>
          <w:rFonts w:hint="eastAsia" w:ascii="Times New Roman" w:hAnsi="Times New Roman" w:eastAsia="仿宋" w:cs="Times New Roman"/>
          <w:b/>
          <w:color w:val="auto"/>
          <w:kern w:val="2"/>
          <w:sz w:val="24"/>
          <w:szCs w:val="24"/>
          <w:lang w:val="en-US" w:eastAsia="zh-CN" w:bidi="ar-SA"/>
        </w:rPr>
        <w:t>湖南澧县高新技术产业开发区“</w:t>
      </w:r>
      <w:r>
        <w:rPr>
          <w:rFonts w:hint="default" w:ascii="Times New Roman" w:hAnsi="Times New Roman" w:eastAsia="仿宋" w:cs="Times New Roman"/>
          <w:b/>
          <w:color w:val="auto"/>
          <w:kern w:val="2"/>
          <w:sz w:val="24"/>
          <w:szCs w:val="24"/>
          <w:lang w:val="en-US" w:eastAsia="zh-CN" w:bidi="ar-SA"/>
        </w:rPr>
        <w:t>三线一单</w:t>
      </w:r>
      <w:r>
        <w:rPr>
          <w:rFonts w:hint="eastAsia" w:ascii="Times New Roman" w:hAnsi="Times New Roman" w:eastAsia="仿宋" w:cs="Times New Roman"/>
          <w:b/>
          <w:color w:val="auto"/>
          <w:kern w:val="2"/>
          <w:sz w:val="24"/>
          <w:szCs w:val="24"/>
          <w:lang w:val="en-US" w:eastAsia="zh-CN" w:bidi="ar-SA"/>
        </w:rPr>
        <w:t>”</w:t>
      </w:r>
      <w:r>
        <w:rPr>
          <w:rFonts w:hint="default" w:ascii="Times New Roman" w:hAnsi="Times New Roman" w:eastAsia="仿宋" w:cs="Times New Roman"/>
          <w:b/>
          <w:color w:val="auto"/>
          <w:kern w:val="2"/>
          <w:sz w:val="24"/>
          <w:szCs w:val="24"/>
          <w:lang w:val="en-US" w:eastAsia="zh-CN" w:bidi="ar-SA"/>
        </w:rPr>
        <w:t>生态环境</w:t>
      </w:r>
      <w:r>
        <w:rPr>
          <w:rFonts w:hint="eastAsia" w:ascii="Times New Roman" w:hAnsi="Times New Roman" w:eastAsia="仿宋" w:cs="Times New Roman"/>
          <w:b/>
          <w:color w:val="auto"/>
          <w:kern w:val="2"/>
          <w:sz w:val="24"/>
          <w:szCs w:val="24"/>
          <w:lang w:val="en-US" w:eastAsia="zh-CN" w:bidi="ar-SA"/>
        </w:rPr>
        <w:t>准入清单</w:t>
      </w:r>
    </w:p>
    <w:p>
      <w:pPr>
        <w:widowControl/>
        <w:spacing w:line="240" w:lineRule="auto"/>
        <w:ind w:firstLine="0" w:firstLineChars="0"/>
        <w:jc w:val="center"/>
        <w:rPr>
          <w:rFonts w:hint="default" w:ascii="Times New Roman" w:hAnsi="Times New Roman" w:eastAsia="仿宋" w:cs="Times New Roman"/>
          <w:b/>
          <w:color w:val="auto"/>
          <w:kern w:val="2"/>
          <w:sz w:val="24"/>
          <w:szCs w:val="24"/>
          <w:lang w:val="en-US" w:eastAsia="zh-CN" w:bidi="ar-SA"/>
        </w:rPr>
      </w:pPr>
      <w:r>
        <w:rPr>
          <w:rFonts w:hint="default" w:ascii="Times New Roman" w:hAnsi="Times New Roman" w:eastAsia="仿宋" w:cs="Times New Roman"/>
          <w:b/>
          <w:color w:val="auto"/>
          <w:kern w:val="2"/>
          <w:sz w:val="24"/>
          <w:szCs w:val="24"/>
          <w:lang w:val="en-US" w:eastAsia="zh-CN" w:bidi="ar-SA"/>
        </w:rPr>
        <w:t>表2</w:t>
      </w:r>
      <w:r>
        <w:rPr>
          <w:rFonts w:hint="eastAsia" w:ascii="Times New Roman" w:hAnsi="Times New Roman" w:eastAsia="仿宋" w:cs="Times New Roman"/>
          <w:b/>
          <w:color w:val="auto"/>
          <w:kern w:val="2"/>
          <w:sz w:val="24"/>
          <w:szCs w:val="24"/>
          <w:lang w:val="en-US" w:eastAsia="zh-CN" w:bidi="ar-SA"/>
        </w:rPr>
        <w:t>.1-2</w:t>
      </w:r>
      <w:r>
        <w:rPr>
          <w:rFonts w:hint="default" w:ascii="Times New Roman" w:hAnsi="Times New Roman" w:eastAsia="仿宋" w:cs="Times New Roman"/>
          <w:b/>
          <w:color w:val="auto"/>
          <w:kern w:val="2"/>
          <w:sz w:val="24"/>
          <w:szCs w:val="24"/>
          <w:lang w:val="en-US" w:eastAsia="zh-CN" w:bidi="ar-SA"/>
        </w:rPr>
        <w:t xml:space="preserve">  </w:t>
      </w:r>
      <w:r>
        <w:rPr>
          <w:rFonts w:hint="eastAsia" w:ascii="Times New Roman" w:hAnsi="Times New Roman" w:eastAsia="仿宋" w:cs="Times New Roman"/>
          <w:b/>
          <w:color w:val="auto"/>
          <w:kern w:val="2"/>
          <w:sz w:val="24"/>
          <w:szCs w:val="24"/>
          <w:lang w:val="en-US" w:eastAsia="zh-CN" w:bidi="ar-SA"/>
        </w:rPr>
        <w:t>湖南澧县高新技术产业开发区“</w:t>
      </w:r>
      <w:r>
        <w:rPr>
          <w:rFonts w:hint="default" w:ascii="Times New Roman" w:hAnsi="Times New Roman" w:eastAsia="仿宋" w:cs="Times New Roman"/>
          <w:b/>
          <w:color w:val="auto"/>
          <w:kern w:val="2"/>
          <w:sz w:val="24"/>
          <w:szCs w:val="24"/>
          <w:lang w:val="en-US" w:eastAsia="zh-CN" w:bidi="ar-SA"/>
        </w:rPr>
        <w:t>三线一单</w:t>
      </w:r>
      <w:r>
        <w:rPr>
          <w:rFonts w:hint="eastAsia" w:ascii="Times New Roman" w:hAnsi="Times New Roman" w:eastAsia="仿宋" w:cs="Times New Roman"/>
          <w:b/>
          <w:color w:val="auto"/>
          <w:kern w:val="2"/>
          <w:sz w:val="24"/>
          <w:szCs w:val="24"/>
          <w:lang w:val="en-US" w:eastAsia="zh-CN" w:bidi="ar-SA"/>
        </w:rPr>
        <w:t>”</w:t>
      </w:r>
      <w:r>
        <w:rPr>
          <w:rFonts w:hint="default" w:ascii="Times New Roman" w:hAnsi="Times New Roman" w:eastAsia="仿宋" w:cs="Times New Roman"/>
          <w:b/>
          <w:color w:val="auto"/>
          <w:kern w:val="2"/>
          <w:sz w:val="24"/>
          <w:szCs w:val="24"/>
          <w:lang w:val="en-US" w:eastAsia="zh-CN" w:bidi="ar-SA"/>
        </w:rPr>
        <w:t>生态环境管控要求及符合性分析</w:t>
      </w:r>
    </w:p>
    <w:tbl>
      <w:tblPr>
        <w:tblStyle w:val="14"/>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5989"/>
        <w:gridCol w:w="6072"/>
        <w:gridCol w:w="9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管控类型</w:t>
            </w: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管控要求</w:t>
            </w:r>
          </w:p>
        </w:tc>
        <w:tc>
          <w:tcPr>
            <w:tcW w:w="21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实际情况</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b w:val="0"/>
                <w:bCs/>
                <w:color w:val="auto"/>
                <w:kern w:val="0"/>
                <w:sz w:val="21"/>
                <w:szCs w:val="21"/>
                <w:highlight w:val="none"/>
                <w:u w:val="none"/>
                <w:lang w:val="en-US" w:eastAsia="zh-CN" w:bidi="ar-SA"/>
              </w:rPr>
            </w:pPr>
            <w:r>
              <w:rPr>
                <w:rFonts w:hint="default" w:ascii="Times New Roman" w:hAnsi="Times New Roman" w:eastAsia="仿宋" w:cs="Times New Roman"/>
                <w:b w:val="0"/>
                <w:bCs/>
                <w:color w:val="auto"/>
                <w:kern w:val="0"/>
                <w:sz w:val="21"/>
                <w:szCs w:val="21"/>
                <w:highlight w:val="none"/>
                <w:u w:val="none"/>
                <w:lang w:val="en-US" w:eastAsia="zh-CN" w:bidi="ar-SA"/>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空间布局约束</w:t>
            </w:r>
          </w:p>
        </w:tc>
        <w:tc>
          <w:tcPr>
            <w:tcW w:w="2169"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 xml:space="preserve">（1）高新区禁止引入三类工业及排放重金属企业入园，限制耗水量及排水量大的企业进入，从排水条件、区位条件综合考虑，东区主要发展一类工业，禁止引进水型污染企业和气型污染企业，严格控制食品加工产业规模。西区限制水型污染企业入园。 </w:t>
            </w:r>
          </w:p>
        </w:tc>
        <w:tc>
          <w:tcPr>
            <w:tcW w:w="21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本园区未引入三类工业入园。目前西区有一家企业涉及重金属废水排放：湖南运达机电科技股份有限公司于2011年投产建成，环保手续齐全。该公司生产鼓式制动器、盘式制动器有电泳、磷化工艺，磷化清洗废水中含有总锌，废水经自建污水处理站（混凝气浮法）处理后排入澧县污水处理厂。</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西区涉及排水量较大的企业有湖南萌恒服装辅料有限公司（部分用地位于核准范围外），湖南重庆啤酒国人有限公司。根据2020年6月由湖南省环境保护科学研究院编制的《澧县高新技术产业开发区依托澧县污水处理厂评估报告》的结论，开发区污水依托澧县污水处理厂处理，从水量上看目前能满足，但余量较小；从水质角度看，目前澧县污水处理厂能够接纳澧县高新技术产业开发区排放的生产废水和生活废水，处理效果良好。因此这一家涉重废水排放企业及两家企业水型污染企业废水能够得到有效地收集和处理。</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东区主要发展的为一类工业，未引进水型企业和气型污染企业。</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基本</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（2）在东区东部与津市接壤区域依托现有绿地设置生态林地，将其东北澹水岸边的生态绿地组团向南延伸至汇洪通道与澧水交汇处。</w:t>
            </w:r>
          </w:p>
        </w:tc>
        <w:tc>
          <w:tcPr>
            <w:tcW w:w="21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东部新区建设为标准化厂房出租形式，涉及废气排放的企业少，且均已实现能源清洁化，落实了污染治理和达标排放工作，未对下风向津市城区及津市森林公园造成不利影响；目前已将生态林地列入津澧新城总体规划中。在澧县高新区新一轮规划调扩区过程中，与原规划环评相比,将南面距澧水150-200m范围内的用地调出高新区用地范围，同时原规划环评中东园区东侧（距离津市城区1.0km范围内）的工业用地调整为非工业用地，增大工业生产区与津市的距离。控制东园区开发进度，待与津市接壤的1公里范围的园区用地纳入开发计划，园区将按照跟踪</w:t>
            </w:r>
            <w:r>
              <w:rPr>
                <w:rFonts w:hint="eastAsia" w:ascii="Times New Roman" w:hAnsi="Times New Roman" w:eastAsia="仿宋" w:cs="Times New Roman"/>
                <w:color w:val="auto"/>
                <w:kern w:val="2"/>
                <w:sz w:val="21"/>
                <w:szCs w:val="21"/>
                <w:highlight w:val="none"/>
                <w:u w:val="none"/>
                <w:lang w:val="en-US" w:eastAsia="zh-CN" w:bidi="ar-SA"/>
              </w:rPr>
              <w:t>环评</w:t>
            </w:r>
            <w:r>
              <w:rPr>
                <w:rFonts w:hint="default" w:ascii="Times New Roman" w:hAnsi="Times New Roman" w:eastAsia="仿宋" w:cs="Times New Roman"/>
                <w:color w:val="auto"/>
                <w:kern w:val="2"/>
                <w:sz w:val="21"/>
                <w:szCs w:val="21"/>
                <w:highlight w:val="none"/>
                <w:u w:val="none"/>
                <w:lang w:val="en-US" w:eastAsia="zh-CN" w:bidi="ar-SA"/>
              </w:rPr>
              <w:t>、调控扩区环评要求完善相关生态防护建设。</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污染物排放管控</w:t>
            </w: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废水：高新区排水应全面实施雨污分流，做好区域相应排水管网、污水处理厂等基础设施建设。</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1）西区生产废水、生活污水经预处理达到澧县污水处理厂进水水质要求后经管网进入污水处理厂深度处理后排入澹水；雨水排放分别通过白米机埠、群星机埠2个机埠排入回水渠中，最终经过乔家河自动电排进入澧水。</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2）东区单独设置污水处理厂，园区污废水经处理达标后排入澹水；加快推进东区污水处理厂管网建设，在污水处理厂建成且与区域排水管网对接运营完成前，该片区不得引进涉及生产废水排放的企业；雨水由管网收集后通过北部的东洲泵站进入澹水。</w:t>
            </w:r>
          </w:p>
        </w:tc>
        <w:tc>
          <w:tcPr>
            <w:tcW w:w="21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2"/>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园区水污染控制措施已得到落实。</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2"/>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（1）园区排水实施雨污分流，市政道路修建过程中截污和排污管网同步开发建设。</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2"/>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2）西区（老区）涉生产废水企业各自建立废水处理设施，运行良好，生活污水与经过处理达标的废水接入澧县市政污水管网并排入澧县污水处理厂进行处理，尾水排放至澹水。西区雨水管网覆盖率100%，雨水排放分别通过白米机埠、群星机埠2个机埠排入回水渠中，最终经过乔家河自动电排进入澧水。</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（3）</w:t>
            </w:r>
            <w:r>
              <w:rPr>
                <w:rFonts w:hint="default" w:ascii="Times New Roman" w:hAnsi="Times New Roman" w:eastAsia="仿宋" w:cs="Times New Roman"/>
                <w:bCs/>
                <w:color w:val="auto"/>
                <w:kern w:val="0"/>
                <w:sz w:val="21"/>
                <w:szCs w:val="24"/>
                <w:highlight w:val="none"/>
                <w:lang w:val="en-US" w:eastAsia="zh-CN" w:bidi="ar-SA"/>
              </w:rPr>
              <w:t>东区企业主要集中分布在创新创业园标准化厂房区域，企业排放污水量较小，主要为生活污水及少量成分类似于生活污水的地面清洁废水，不含第一类污染物。企业废水经市政污水管网汇至澧县创新创业园生活污水处理站进行处理，</w:t>
            </w:r>
            <w:r>
              <w:rPr>
                <w:rFonts w:hint="default" w:ascii="Times New Roman" w:hAnsi="Times New Roman" w:eastAsia="仿宋" w:cs="Times New Roman"/>
                <w:color w:val="auto"/>
                <w:kern w:val="0"/>
                <w:sz w:val="21"/>
                <w:szCs w:val="22"/>
                <w:highlight w:val="none"/>
                <w:u w:val="none"/>
                <w:lang w:val="en-US" w:eastAsia="zh-CN" w:bidi="ar-SA"/>
              </w:rPr>
              <w:t>尾水</w:t>
            </w:r>
            <w:r>
              <w:rPr>
                <w:rFonts w:hint="default" w:ascii="Times New Roman" w:hAnsi="Times New Roman" w:eastAsia="仿宋" w:cs="Times New Roman"/>
                <w:bCs/>
                <w:color w:val="auto"/>
                <w:kern w:val="0"/>
                <w:sz w:val="21"/>
                <w:szCs w:val="24"/>
                <w:highlight w:val="none"/>
                <w:lang w:val="en-US" w:eastAsia="zh-CN" w:bidi="ar-SA"/>
              </w:rPr>
              <w:t>排放至污水处理站北侧沟渠入澧水。目前澧县东部新区污水处理厂已建成，正在试运行阶段，正式投入运行后，东区污水经市政污水管网汇至澧县东部新区污水处理厂进行处理，尾水通过专管排入澹水。东区</w:t>
            </w:r>
            <w:r>
              <w:rPr>
                <w:rFonts w:hint="default" w:ascii="Times New Roman" w:hAnsi="Times New Roman" w:eastAsia="仿宋" w:cs="Times New Roman"/>
                <w:color w:val="auto"/>
                <w:kern w:val="2"/>
                <w:sz w:val="21"/>
                <w:szCs w:val="21"/>
                <w:highlight w:val="none"/>
                <w:u w:val="none"/>
                <w:lang w:val="en-US" w:eastAsia="zh-CN" w:bidi="ar-SA"/>
              </w:rPr>
              <w:t>雨水管网覆盖率100%，雨水自流至雨水管网汇集到周边的沟渠中，最后通过北部的东洲泵站进入澹水。</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p>
        </w:tc>
        <w:tc>
          <w:tcPr>
            <w:tcW w:w="2169" w:type="pct"/>
            <w:tcBorders>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0"/>
                <w:sz w:val="21"/>
                <w:szCs w:val="21"/>
                <w:highlight w:val="none"/>
                <w:u w:val="none"/>
                <w:lang w:val="en-US" w:eastAsia="zh-CN"/>
              </w:rPr>
            </w:pPr>
            <w:r>
              <w:rPr>
                <w:rFonts w:hint="default" w:ascii="Times New Roman" w:hAnsi="Times New Roman" w:eastAsia="仿宋" w:cs="Times New Roman"/>
                <w:color w:val="auto"/>
                <w:kern w:val="0"/>
                <w:sz w:val="21"/>
                <w:szCs w:val="21"/>
                <w:highlight w:val="none"/>
                <w:u w:val="none"/>
                <w:lang w:val="en-US" w:eastAsia="zh-CN"/>
              </w:rPr>
              <w:t>（1）对各企业工艺废气产出的生产节点，应配置废气收集与处理净化装置，确保达标排放；加强生产工艺研究与技术改进，采取有效措施，减少入园企业工艺废气的无组织排放；入园企业各生产装置排放的废气须达标排放。</w:t>
            </w:r>
          </w:p>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0"/>
                <w:sz w:val="21"/>
                <w:szCs w:val="21"/>
                <w:highlight w:val="none"/>
                <w:u w:val="none"/>
                <w:lang w:val="en-US" w:eastAsia="zh-CN"/>
              </w:rPr>
            </w:pPr>
            <w:r>
              <w:rPr>
                <w:rFonts w:hint="default" w:ascii="Times New Roman" w:hAnsi="Times New Roman" w:eastAsia="仿宋" w:cs="Times New Roman"/>
                <w:color w:val="auto"/>
                <w:kern w:val="0"/>
                <w:sz w:val="21"/>
                <w:szCs w:val="21"/>
                <w:highlight w:val="none"/>
                <w:u w:val="none"/>
                <w:lang w:val="en-US" w:eastAsia="zh-CN"/>
              </w:rPr>
              <w:t>（2）强化源头管控和末端治理，加快推进有机化工、工业涂装等行业企业VOCs治理，确保达标排放。</w:t>
            </w:r>
          </w:p>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0"/>
                <w:sz w:val="21"/>
                <w:szCs w:val="21"/>
                <w:highlight w:val="none"/>
                <w:u w:val="none"/>
                <w:lang w:val="en-US" w:eastAsia="zh-CN"/>
              </w:rPr>
            </w:pPr>
            <w:r>
              <w:rPr>
                <w:rFonts w:hint="default" w:ascii="Times New Roman" w:hAnsi="Times New Roman" w:eastAsia="仿宋" w:cs="Times New Roman"/>
                <w:color w:val="auto"/>
                <w:kern w:val="0"/>
                <w:sz w:val="21"/>
                <w:szCs w:val="21"/>
                <w:highlight w:val="none"/>
                <w:u w:val="none"/>
                <w:lang w:val="en-US" w:eastAsia="zh-CN"/>
              </w:rPr>
              <w:t>（3）园区内发酵酒精等行业及涉锅炉大气污染物排放应满足《湖南省生态环境厅关于执行污染物特别排放限值（第一批）的公告》中的要求。</w:t>
            </w:r>
          </w:p>
        </w:tc>
        <w:tc>
          <w:tcPr>
            <w:tcW w:w="2199" w:type="pct"/>
            <w:tcBorders>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rPr>
              <w:t>园区大气污染防控措施已得到落实。</w:t>
            </w:r>
          </w:p>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0"/>
                <w:sz w:val="21"/>
                <w:szCs w:val="21"/>
                <w:highlight w:val="none"/>
              </w:rPr>
            </w:pPr>
            <w:r>
              <w:rPr>
                <w:rFonts w:hint="default" w:ascii="Times New Roman" w:hAnsi="Times New Roman" w:eastAsia="仿宋" w:cs="Times New Roman"/>
                <w:color w:val="auto"/>
                <w:kern w:val="0"/>
                <w:sz w:val="21"/>
                <w:szCs w:val="21"/>
                <w:highlight w:val="none"/>
                <w:lang w:eastAsia="zh-CN"/>
              </w:rPr>
              <w:t>（</w:t>
            </w:r>
            <w:r>
              <w:rPr>
                <w:rFonts w:hint="default" w:ascii="Times New Roman" w:hAnsi="Times New Roman" w:eastAsia="仿宋" w:cs="Times New Roman"/>
                <w:color w:val="auto"/>
                <w:kern w:val="0"/>
                <w:sz w:val="21"/>
                <w:szCs w:val="21"/>
                <w:highlight w:val="none"/>
                <w:lang w:val="en-US" w:eastAsia="zh-CN"/>
              </w:rPr>
              <w:t>1</w:t>
            </w:r>
            <w:r>
              <w:rPr>
                <w:rFonts w:hint="default" w:ascii="Times New Roman" w:hAnsi="Times New Roman" w:eastAsia="仿宋" w:cs="Times New Roman"/>
                <w:color w:val="auto"/>
                <w:kern w:val="0"/>
                <w:sz w:val="21"/>
                <w:szCs w:val="21"/>
                <w:highlight w:val="none"/>
                <w:lang w:eastAsia="zh-CN"/>
              </w:rPr>
              <w:t>）</w:t>
            </w:r>
            <w:r>
              <w:rPr>
                <w:rFonts w:hint="default" w:ascii="Times New Roman" w:hAnsi="Times New Roman" w:eastAsia="仿宋" w:cs="Times New Roman"/>
                <w:color w:val="auto"/>
                <w:kern w:val="0"/>
                <w:sz w:val="21"/>
                <w:szCs w:val="21"/>
                <w:highlight w:val="none"/>
              </w:rPr>
              <w:t>园区内企业均按照其环评要求对废气开展</w:t>
            </w:r>
            <w:r>
              <w:rPr>
                <w:rFonts w:hint="default" w:ascii="Times New Roman" w:hAnsi="Times New Roman" w:eastAsia="仿宋" w:cs="Times New Roman"/>
                <w:color w:val="auto"/>
                <w:kern w:val="0"/>
                <w:sz w:val="21"/>
                <w:szCs w:val="21"/>
                <w:highlight w:val="none"/>
                <w:lang w:val="en-US" w:eastAsia="zh-CN"/>
              </w:rPr>
              <w:t>污染防治</w:t>
            </w:r>
            <w:r>
              <w:rPr>
                <w:rFonts w:hint="default" w:ascii="Times New Roman" w:hAnsi="Times New Roman" w:eastAsia="仿宋" w:cs="Times New Roman"/>
                <w:color w:val="auto"/>
                <w:kern w:val="0"/>
                <w:sz w:val="21"/>
                <w:szCs w:val="21"/>
                <w:highlight w:val="none"/>
              </w:rPr>
              <w:t>，近年来尤其关注相关企业VOCs的治理与排放，所有相关企业均已按要求采用废气治理设施，确保各企业废气经处理可达到相应的行业排放标准及《大气污染物综合排放标准》（GB16297-1996）中的二级标准进行排放。并鼓励企业加强技术改造和清洁生产，降低大气污染物产生量。</w:t>
            </w:r>
          </w:p>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0"/>
                <w:sz w:val="21"/>
                <w:szCs w:val="21"/>
                <w:highlight w:val="none"/>
                <w:lang w:eastAsia="zh-CN"/>
              </w:rPr>
            </w:pPr>
            <w:r>
              <w:rPr>
                <w:rFonts w:hint="default" w:ascii="Times New Roman" w:hAnsi="Times New Roman" w:eastAsia="仿宋" w:cs="Times New Roman"/>
                <w:color w:val="auto"/>
                <w:kern w:val="0"/>
                <w:sz w:val="21"/>
                <w:szCs w:val="21"/>
                <w:highlight w:val="none"/>
                <w:lang w:eastAsia="zh-CN"/>
              </w:rPr>
              <w:t>（</w:t>
            </w:r>
            <w:r>
              <w:rPr>
                <w:rFonts w:hint="default" w:ascii="Times New Roman" w:hAnsi="Times New Roman" w:eastAsia="仿宋" w:cs="Times New Roman"/>
                <w:color w:val="auto"/>
                <w:kern w:val="0"/>
                <w:sz w:val="21"/>
                <w:szCs w:val="21"/>
                <w:highlight w:val="none"/>
                <w:lang w:val="en-US" w:eastAsia="zh-CN"/>
              </w:rPr>
              <w:t>2</w:t>
            </w:r>
            <w:r>
              <w:rPr>
                <w:rFonts w:hint="default" w:ascii="Times New Roman" w:hAnsi="Times New Roman" w:eastAsia="仿宋" w:cs="Times New Roman"/>
                <w:color w:val="auto"/>
                <w:kern w:val="0"/>
                <w:sz w:val="21"/>
                <w:szCs w:val="21"/>
                <w:highlight w:val="none"/>
                <w:lang w:eastAsia="zh-CN"/>
              </w:rPr>
              <w:t>）对区内涉及VOCs排放的企业强化了源头管控个末端治理，确保达标排放。</w:t>
            </w:r>
          </w:p>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0"/>
                <w:sz w:val="24"/>
                <w:szCs w:val="20"/>
                <w:highlight w:val="none"/>
                <w:lang w:val="en-US" w:eastAsia="zh-CN"/>
              </w:rPr>
            </w:pPr>
            <w:r>
              <w:rPr>
                <w:rFonts w:hint="default" w:ascii="Times New Roman" w:hAnsi="Times New Roman" w:eastAsia="仿宋" w:cs="Times New Roman"/>
                <w:color w:val="auto"/>
                <w:kern w:val="0"/>
                <w:sz w:val="21"/>
                <w:szCs w:val="21"/>
                <w:highlight w:val="none"/>
                <w:lang w:eastAsia="zh-CN"/>
              </w:rPr>
              <w:t>（</w:t>
            </w:r>
            <w:r>
              <w:rPr>
                <w:rFonts w:hint="default" w:ascii="Times New Roman" w:hAnsi="Times New Roman" w:eastAsia="仿宋" w:cs="Times New Roman"/>
                <w:color w:val="auto"/>
                <w:kern w:val="0"/>
                <w:sz w:val="21"/>
                <w:szCs w:val="21"/>
                <w:highlight w:val="none"/>
                <w:lang w:val="en-US" w:eastAsia="zh-CN"/>
              </w:rPr>
              <w:t>3</w:t>
            </w:r>
            <w:r>
              <w:rPr>
                <w:rFonts w:hint="default" w:ascii="Times New Roman" w:hAnsi="Times New Roman" w:eastAsia="仿宋" w:cs="Times New Roman"/>
                <w:color w:val="auto"/>
                <w:kern w:val="0"/>
                <w:sz w:val="21"/>
                <w:szCs w:val="21"/>
                <w:highlight w:val="none"/>
                <w:lang w:eastAsia="zh-CN"/>
              </w:rPr>
              <w:t>）</w:t>
            </w:r>
            <w:r>
              <w:rPr>
                <w:rFonts w:hint="default" w:ascii="Times New Roman" w:hAnsi="Times New Roman" w:eastAsia="仿宋" w:cs="Times New Roman"/>
                <w:color w:val="auto"/>
                <w:kern w:val="0"/>
                <w:sz w:val="21"/>
                <w:szCs w:val="21"/>
                <w:highlight w:val="none"/>
              </w:rPr>
              <w:t>园区内的湖南重庆啤酒国人有限责任公司及涉锅炉大气污染物排放</w:t>
            </w:r>
            <w:r>
              <w:rPr>
                <w:rFonts w:hint="default" w:ascii="Times New Roman" w:hAnsi="Times New Roman" w:eastAsia="仿宋" w:cs="Times New Roman"/>
                <w:color w:val="auto"/>
                <w:kern w:val="0"/>
                <w:sz w:val="21"/>
                <w:szCs w:val="21"/>
                <w:highlight w:val="none"/>
                <w:lang w:val="en-US" w:eastAsia="zh-CN"/>
              </w:rPr>
              <w:t>的企业</w:t>
            </w:r>
            <w:r>
              <w:rPr>
                <w:rFonts w:hint="default" w:ascii="Times New Roman" w:hAnsi="Times New Roman" w:eastAsia="仿宋" w:cs="Times New Roman"/>
                <w:color w:val="auto"/>
                <w:kern w:val="0"/>
                <w:sz w:val="21"/>
                <w:szCs w:val="21"/>
                <w:highlight w:val="none"/>
              </w:rPr>
              <w:t>满足《湖南省生态环境厅关于执行污染物特别排放限值（第一批）的公告》中的要求</w:t>
            </w:r>
            <w:r>
              <w:rPr>
                <w:rFonts w:hint="default" w:ascii="Times New Roman" w:hAnsi="Times New Roman" w:eastAsia="仿宋" w:cs="Times New Roman"/>
                <w:color w:val="auto"/>
                <w:kern w:val="0"/>
                <w:sz w:val="21"/>
                <w:szCs w:val="21"/>
                <w:highlight w:val="none"/>
                <w:lang w:val="en-US" w:eastAsia="zh-CN"/>
              </w:rPr>
              <w:t>。</w:t>
            </w:r>
          </w:p>
        </w:tc>
        <w:tc>
          <w:tcPr>
            <w:tcW w:w="332" w:type="pct"/>
            <w:tcBorders>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center"/>
              <w:rPr>
                <w:rFonts w:hint="default" w:ascii="Times New Roman" w:hAnsi="Times New Roman" w:eastAsia="仿宋" w:cs="Times New Roman"/>
                <w:color w:val="auto"/>
                <w:kern w:val="0"/>
                <w:sz w:val="21"/>
                <w:szCs w:val="21"/>
                <w:highlight w:val="none"/>
                <w:u w:val="none"/>
                <w:lang w:val="en-US" w:eastAsia="zh-CN"/>
              </w:rPr>
            </w:pPr>
            <w:r>
              <w:rPr>
                <w:rFonts w:hint="default" w:ascii="Times New Roman" w:hAnsi="Times New Roman" w:eastAsia="仿宋" w:cs="Times New Roman"/>
                <w:color w:val="auto"/>
                <w:kern w:val="2"/>
                <w:sz w:val="21"/>
                <w:szCs w:val="21"/>
                <w:highlight w:val="none"/>
                <w:u w:val="non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p>
        </w:tc>
        <w:tc>
          <w:tcPr>
            <w:tcW w:w="2169" w:type="pct"/>
            <w:tcBorders>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0"/>
                <w:sz w:val="21"/>
                <w:szCs w:val="21"/>
                <w:highlight w:val="none"/>
                <w:u w:val="none"/>
                <w:lang w:val="en-US" w:eastAsia="zh-CN"/>
              </w:rPr>
            </w:pPr>
            <w:r>
              <w:rPr>
                <w:rFonts w:hint="default" w:ascii="Times New Roman" w:hAnsi="Times New Roman" w:eastAsia="仿宋" w:cs="Times New Roman"/>
                <w:color w:val="auto"/>
                <w:kern w:val="0"/>
                <w:sz w:val="21"/>
                <w:szCs w:val="21"/>
                <w:highlight w:val="none"/>
                <w:u w:val="none"/>
                <w:lang w:val="en-US" w:eastAsia="zh-CN"/>
              </w:rPr>
              <w:t>固体废弃物：做好高新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严防二次污染。</w:t>
            </w:r>
          </w:p>
        </w:tc>
        <w:tc>
          <w:tcPr>
            <w:tcW w:w="2199" w:type="pct"/>
            <w:tcBorders>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2"/>
                <w:sz w:val="21"/>
                <w:szCs w:val="21"/>
                <w:highlight w:val="none"/>
                <w:u w:val="none"/>
              </w:rPr>
            </w:pPr>
            <w:r>
              <w:rPr>
                <w:rFonts w:hint="default" w:ascii="Times New Roman" w:hAnsi="Times New Roman" w:eastAsia="仿宋" w:cs="Times New Roman"/>
                <w:color w:val="auto"/>
                <w:kern w:val="2"/>
                <w:sz w:val="21"/>
                <w:szCs w:val="21"/>
                <w:highlight w:val="none"/>
                <w:u w:val="none"/>
                <w:lang w:eastAsia="zh-CN"/>
              </w:rPr>
              <w:t>（</w:t>
            </w:r>
            <w:r>
              <w:rPr>
                <w:rFonts w:hint="default" w:ascii="Times New Roman" w:hAnsi="Times New Roman" w:eastAsia="仿宋" w:cs="Times New Roman"/>
                <w:color w:val="auto"/>
                <w:kern w:val="2"/>
                <w:sz w:val="21"/>
                <w:szCs w:val="21"/>
                <w:highlight w:val="none"/>
                <w:u w:val="none"/>
              </w:rPr>
              <w:t>1）</w:t>
            </w:r>
            <w:r>
              <w:rPr>
                <w:rFonts w:hint="default" w:ascii="Times New Roman" w:hAnsi="Times New Roman" w:eastAsia="仿宋" w:cs="Times New Roman"/>
                <w:color w:val="auto"/>
                <w:kern w:val="2"/>
                <w:sz w:val="21"/>
                <w:szCs w:val="21"/>
                <w:highlight w:val="none"/>
                <w:u w:val="none"/>
                <w:lang w:val="en-US" w:eastAsia="zh-CN"/>
              </w:rPr>
              <w:t>园区</w:t>
            </w:r>
            <w:r>
              <w:rPr>
                <w:rFonts w:hint="default" w:ascii="Times New Roman" w:hAnsi="Times New Roman" w:eastAsia="仿宋" w:cs="Times New Roman"/>
                <w:color w:val="auto"/>
                <w:kern w:val="2"/>
                <w:sz w:val="21"/>
                <w:szCs w:val="21"/>
                <w:highlight w:val="none"/>
                <w:u w:val="none"/>
              </w:rPr>
              <w:t>内已做好工业固体废物和生活垃圾的分类收集、转运、综合利用和无害化处理。</w:t>
            </w:r>
          </w:p>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2"/>
                <w:sz w:val="21"/>
                <w:szCs w:val="21"/>
                <w:highlight w:val="none"/>
                <w:u w:val="none"/>
              </w:rPr>
            </w:pPr>
            <w:r>
              <w:rPr>
                <w:rFonts w:hint="default" w:ascii="Times New Roman" w:hAnsi="Times New Roman" w:eastAsia="仿宋" w:cs="Times New Roman"/>
                <w:color w:val="auto"/>
                <w:kern w:val="2"/>
                <w:sz w:val="21"/>
                <w:szCs w:val="21"/>
                <w:highlight w:val="none"/>
                <w:u w:val="none"/>
                <w:lang w:eastAsia="zh-CN"/>
              </w:rPr>
              <w:t>（</w:t>
            </w:r>
            <w:r>
              <w:rPr>
                <w:rFonts w:hint="default" w:ascii="Times New Roman" w:hAnsi="Times New Roman" w:eastAsia="仿宋" w:cs="Times New Roman"/>
                <w:color w:val="auto"/>
                <w:kern w:val="2"/>
                <w:sz w:val="21"/>
                <w:szCs w:val="21"/>
                <w:highlight w:val="none"/>
                <w:u w:val="none"/>
              </w:rPr>
              <w:t>2）园区推行清洁生产，减少固废产生量，鼓励固废的综合利用。</w:t>
            </w:r>
          </w:p>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left"/>
              <w:rPr>
                <w:rFonts w:hint="default" w:ascii="Times New Roman" w:hAnsi="Times New Roman" w:eastAsia="仿宋" w:cs="Times New Roman"/>
                <w:color w:val="auto"/>
                <w:kern w:val="0"/>
                <w:sz w:val="21"/>
                <w:szCs w:val="21"/>
                <w:highlight w:val="none"/>
                <w:u w:val="none"/>
                <w:lang w:val="en-US" w:eastAsia="zh-CN"/>
              </w:rPr>
            </w:pPr>
            <w:r>
              <w:rPr>
                <w:rFonts w:hint="default" w:ascii="Times New Roman" w:hAnsi="Times New Roman" w:eastAsia="仿宋" w:cs="Times New Roman"/>
                <w:color w:val="auto"/>
                <w:kern w:val="2"/>
                <w:sz w:val="21"/>
                <w:szCs w:val="21"/>
                <w:highlight w:val="none"/>
                <w:u w:val="none"/>
                <w:lang w:eastAsia="zh-CN"/>
              </w:rPr>
              <w:t>（</w:t>
            </w:r>
            <w:r>
              <w:rPr>
                <w:rFonts w:hint="default" w:ascii="Times New Roman" w:hAnsi="Times New Roman" w:eastAsia="仿宋" w:cs="Times New Roman"/>
                <w:color w:val="auto"/>
                <w:kern w:val="2"/>
                <w:sz w:val="21"/>
                <w:szCs w:val="21"/>
                <w:highlight w:val="none"/>
                <w:u w:val="none"/>
              </w:rPr>
              <w:t>3）企业对产生的固体废物特别是危险废物已按照国家有关规定利用或妥善处置</w:t>
            </w:r>
            <w:r>
              <w:rPr>
                <w:rFonts w:hint="default" w:ascii="Times New Roman" w:hAnsi="Times New Roman" w:eastAsia="仿宋" w:cs="Times New Roman"/>
                <w:color w:val="auto"/>
                <w:kern w:val="2"/>
                <w:sz w:val="21"/>
                <w:szCs w:val="21"/>
                <w:highlight w:val="none"/>
                <w:u w:val="none"/>
                <w:lang w:eastAsia="zh-CN"/>
              </w:rPr>
              <w:t>。</w:t>
            </w:r>
          </w:p>
        </w:tc>
        <w:tc>
          <w:tcPr>
            <w:tcW w:w="332" w:type="pct"/>
            <w:tcBorders>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80" w:lineRule="exact"/>
              <w:ind w:right="0" w:rightChars="0" w:firstLine="0" w:firstLineChars="0"/>
              <w:jc w:val="center"/>
              <w:rPr>
                <w:rFonts w:hint="default" w:ascii="Times New Roman" w:hAnsi="Times New Roman" w:eastAsia="仿宋" w:cs="Times New Roman"/>
                <w:color w:val="auto"/>
                <w:kern w:val="0"/>
                <w:sz w:val="21"/>
                <w:szCs w:val="21"/>
                <w:highlight w:val="none"/>
                <w:u w:val="none"/>
                <w:lang w:val="en-US" w:eastAsia="zh-CN"/>
              </w:rPr>
            </w:pPr>
            <w:r>
              <w:rPr>
                <w:rFonts w:hint="default" w:ascii="Times New Roman" w:hAnsi="Times New Roman" w:eastAsia="仿宋" w:cs="Times New Roman"/>
                <w:color w:val="auto"/>
                <w:kern w:val="2"/>
                <w:sz w:val="21"/>
                <w:szCs w:val="21"/>
                <w:highlight w:val="none"/>
                <w:u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环境风险防控</w:t>
            </w:r>
          </w:p>
        </w:tc>
        <w:tc>
          <w:tcPr>
            <w:tcW w:w="2169" w:type="pct"/>
            <w:tcBorders>
              <w:tl2br w:val="nil"/>
              <w:tr2bl w:val="nil"/>
            </w:tcBorders>
            <w:noWrap w:val="0"/>
            <w:vAlign w:val="center"/>
          </w:tcPr>
          <w:p>
            <w:pPr>
              <w:keepNext w:val="0"/>
              <w:keepLines w:val="0"/>
              <w:pageBreakBefore w:val="0"/>
              <w:widowControl/>
              <w:numPr>
                <w:ilvl w:val="0"/>
                <w:numId w:val="0"/>
              </w:numPr>
              <w:tabs>
                <w:tab w:val="left" w:pos="1021"/>
              </w:tabs>
              <w:kinsoku/>
              <w:wordWrap/>
              <w:overflowPunct/>
              <w:topLinePunct w:val="0"/>
              <w:autoSpaceDE/>
              <w:autoSpaceDN/>
              <w:bidi w:val="0"/>
              <w:adjustRightInd/>
              <w:snapToGrid/>
              <w:spacing w:before="0" w:after="0" w:line="280" w:lineRule="exact"/>
              <w:ind w:right="0" w:rightChars="0" w:firstLine="0" w:firstLineChars="0"/>
              <w:jc w:val="left"/>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高新区应建立健全环境风险防控体系，落实《澧县经济开发区突发环境事件应急预案》提出的各项环境风险防范措施，严防环境风险事故发生。</w:t>
            </w:r>
          </w:p>
        </w:tc>
        <w:tc>
          <w:tcPr>
            <w:tcW w:w="21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right="0" w:rightChars="0" w:firstLine="0" w:firstLineChars="0"/>
              <w:jc w:val="left"/>
              <w:rPr>
                <w:rFonts w:hint="default" w:ascii="Times New Roman" w:hAnsi="Times New Roman" w:eastAsia="仿宋" w:cs="Times New Roman"/>
                <w:color w:val="auto"/>
                <w:kern w:val="2"/>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园区管委会协同常德市生态环境局澧县分局建立的环保站负责园区管家监督管理。目前，澧县高新技术产业开发区已设立风险防控环境应急指挥平台，总指挥为李论。</w:t>
            </w:r>
          </w:p>
          <w:p>
            <w:pPr>
              <w:keepNext w:val="0"/>
              <w:keepLines w:val="0"/>
              <w:pageBreakBefore w:val="0"/>
              <w:widowControl/>
              <w:kinsoku/>
              <w:wordWrap/>
              <w:overflowPunct/>
              <w:topLinePunct w:val="0"/>
              <w:autoSpaceDE/>
              <w:autoSpaceDN/>
              <w:bidi w:val="0"/>
              <w:adjustRightInd/>
              <w:snapToGrid/>
              <w:spacing w:before="0" w:after="0" w:line="280" w:lineRule="exact"/>
              <w:ind w:right="0" w:rightChars="0" w:firstLine="0" w:firstLineChars="0"/>
              <w:jc w:val="left"/>
              <w:rPr>
                <w:rFonts w:hint="default" w:ascii="Times New Roman" w:hAnsi="Times New Roman" w:eastAsia="仿宋" w:cs="Times New Roman"/>
                <w:color w:val="auto"/>
                <w:kern w:val="2"/>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园区修编的《澧县高新技术产业开发区突发环境事件应急预案（2021年修编）》于2021年12月6日在常德市生态环境局完成备案，备案号：4307232021022G，同日在在常德市生态环境保护综合行政执法支队处完成备案，备案号：430723-2021-034-G，于2021年12月20日在湖南省环境保护厅环境监察局处完成备案。</w:t>
            </w:r>
          </w:p>
          <w:p>
            <w:pPr>
              <w:keepNext w:val="0"/>
              <w:keepLines w:val="0"/>
              <w:pageBreakBefore w:val="0"/>
              <w:widowControl/>
              <w:kinsoku/>
              <w:wordWrap/>
              <w:overflowPunct/>
              <w:topLinePunct w:val="0"/>
              <w:autoSpaceDE/>
              <w:autoSpaceDN/>
              <w:bidi w:val="0"/>
              <w:adjustRightInd/>
              <w:snapToGrid/>
              <w:spacing w:before="0" w:after="0" w:line="280" w:lineRule="exact"/>
              <w:ind w:right="0" w:rightChars="0" w:firstLine="0" w:firstLineChars="0"/>
              <w:jc w:val="left"/>
              <w:rPr>
                <w:rFonts w:hint="default" w:ascii="Times New Roman" w:hAnsi="Times New Roman" w:eastAsia="仿宋" w:cs="Times New Roman"/>
                <w:color w:val="auto"/>
                <w:kern w:val="2"/>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园区于2022年11月18日下午高新区东园区澧县广和包装有限公司开展了突发环境事件应急演练，按要求配备环境应急救援物资，环境风险防范措施已落实到位</w:t>
            </w:r>
          </w:p>
        </w:tc>
        <w:tc>
          <w:tcPr>
            <w:tcW w:w="33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after="0" w:line="280" w:lineRule="exact"/>
              <w:ind w:right="0" w:rightChars="0" w:firstLine="0" w:firstLineChars="0"/>
              <w:jc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tc>
        <w:tc>
          <w:tcPr>
            <w:tcW w:w="21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园区内已完成应急预案备案手续企业数量18个。</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建设用地土壤风险防控：加强对建设用地土壤环境状况调查、风险评估和污染地块治理与修复活动的监管。</w:t>
            </w:r>
          </w:p>
        </w:tc>
        <w:tc>
          <w:tcPr>
            <w:tcW w:w="21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未涉及污染地块</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农用地土壤风险防控：实施农用地分类管理，保障农业生产环境安全；防控企业污染。禁止在优先保护类耕地集中区域新建有色金属冶炼、化工、电镀、制革、危险废物经营等行业企业。</w:t>
            </w:r>
          </w:p>
        </w:tc>
        <w:tc>
          <w:tcPr>
            <w:tcW w:w="21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加强区域农用地土壤环境保护监督管理，保护农用地土壤环境，管控农用地土壤环境风险。</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资源开发效率要求</w:t>
            </w: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能源：逐步推进能源结构的改进，不断减少生产、生活用煤比重，大力发展电力、燃气、石油液化气等清洁能源。2020年综合能源消费量预测为15.43万吨标煤（当量值），单位GDP能耗预测值为0.24标煤/万元。2025年综合能源消费量预测为21.63万吨标煤，单位GDP能耗预测值为0.214标煤/万元。区域“十四五”期间综合能源消费增量为6.2万吨标煤（当量值），单位GDP能耗下降11%。煤炭消费总量为16.65万吨，增量控制在5.73万吨。</w:t>
            </w:r>
          </w:p>
        </w:tc>
        <w:tc>
          <w:tcPr>
            <w:tcW w:w="21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4"/>
                <w:highlight w:val="none"/>
                <w:u w:val="none"/>
                <w:lang w:val="en-US" w:eastAsia="zh-CN" w:bidi="ar"/>
              </w:rPr>
              <w:t>目前，澧县高新技术产业开发区逐步推进能源结构改进，减少生产、生活用煤比重，</w:t>
            </w:r>
            <w:r>
              <w:rPr>
                <w:rFonts w:hint="eastAsia" w:ascii="Times New Roman" w:hAnsi="Times New Roman" w:eastAsia="仿宋" w:cs="Times New Roman"/>
                <w:color w:val="auto"/>
                <w:kern w:val="0"/>
                <w:sz w:val="21"/>
                <w:szCs w:val="24"/>
                <w:highlight w:val="none"/>
                <w:u w:val="none"/>
                <w:lang w:val="en-US" w:eastAsia="zh-CN" w:bidi="ar"/>
              </w:rPr>
              <w:t>仅</w:t>
            </w:r>
            <w:r>
              <w:rPr>
                <w:rFonts w:hint="default" w:ascii="Times New Roman" w:hAnsi="Times New Roman" w:eastAsia="仿宋" w:cs="Times New Roman"/>
                <w:color w:val="auto"/>
                <w:kern w:val="0"/>
                <w:sz w:val="21"/>
                <w:szCs w:val="24"/>
                <w:highlight w:val="none"/>
                <w:u w:val="none"/>
                <w:lang w:val="en-US" w:eastAsia="zh-CN" w:bidi="ar"/>
              </w:rPr>
              <w:t>湖南萌恒服装辅料有限公司保留1台36t/h燃煤锅炉，采用低硫煤燃烧，配套脱硫设施</w:t>
            </w:r>
            <w:r>
              <w:rPr>
                <w:rFonts w:hint="eastAsia" w:ascii="Times New Roman" w:hAnsi="Times New Roman" w:eastAsia="仿宋" w:cs="Times New Roman"/>
                <w:color w:val="auto"/>
                <w:kern w:val="0"/>
                <w:sz w:val="21"/>
                <w:szCs w:val="24"/>
                <w:highlight w:val="none"/>
                <w:u w:val="none"/>
                <w:lang w:val="en-US" w:eastAsia="zh-CN" w:bidi="ar"/>
              </w:rPr>
              <w:t>，</w:t>
            </w:r>
            <w:r>
              <w:rPr>
                <w:rFonts w:hint="default" w:ascii="Times New Roman" w:hAnsi="Times New Roman" w:eastAsia="仿宋" w:cs="Times New Roman"/>
                <w:color w:val="auto"/>
                <w:kern w:val="0"/>
                <w:sz w:val="21"/>
                <w:szCs w:val="24"/>
                <w:highlight w:val="none"/>
                <w:u w:val="none"/>
                <w:lang w:val="en-US" w:eastAsia="zh-CN" w:bidi="ar"/>
              </w:rPr>
              <w:t>其余有锅炉的企业均</w:t>
            </w:r>
            <w:r>
              <w:rPr>
                <w:rFonts w:hint="default" w:ascii="Times New Roman" w:hAnsi="Times New Roman" w:eastAsia="仿宋" w:cs="Times New Roman"/>
                <w:color w:val="auto"/>
                <w:kern w:val="0"/>
                <w:sz w:val="21"/>
                <w:szCs w:val="24"/>
                <w:highlight w:val="none"/>
                <w:u w:val="none"/>
                <w:lang w:val="zh-CN" w:eastAsia="zh-CN" w:bidi="ar"/>
              </w:rPr>
              <w:t>采用天然气或生物质燃料</w:t>
            </w:r>
            <w:r>
              <w:rPr>
                <w:rFonts w:hint="default" w:ascii="Times New Roman" w:hAnsi="Times New Roman" w:eastAsia="仿宋" w:cs="Times New Roman"/>
                <w:color w:val="auto"/>
                <w:kern w:val="0"/>
                <w:sz w:val="21"/>
                <w:szCs w:val="24"/>
                <w:highlight w:val="none"/>
                <w:u w:val="none"/>
                <w:lang w:val="en-US" w:eastAsia="zh-CN" w:bidi="ar"/>
              </w:rPr>
              <w:t>。</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2"/>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基本</w:t>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水资源：严格按照用水定额核定取用水量，进一步加强计划用水管理，强化行业和产品用水强度控制。到2020年，澧县水资源开发利用控制红线达到4.71亿立方米，万元国内生产总值用水量、万元工业增加值用水量分别比2015年降低30%和29.4%</w:t>
            </w:r>
          </w:p>
        </w:tc>
        <w:tc>
          <w:tcPr>
            <w:tcW w:w="2199" w:type="pct"/>
            <w:tcBorders>
              <w:tl2br w:val="nil"/>
              <w:tr2bl w:val="nil"/>
            </w:tcBorders>
            <w:noWrap w:val="0"/>
            <w:vAlign w:val="center"/>
          </w:tcPr>
          <w:p>
            <w:pPr>
              <w:spacing w:line="240" w:lineRule="auto"/>
              <w:ind w:firstLine="0" w:firstLineChars="0"/>
              <w:jc w:val="left"/>
              <w:rPr>
                <w:rFonts w:hint="default" w:ascii="Times New Roman" w:hAnsi="Times New Roman" w:eastAsia="仿宋" w:cs="Times New Roman"/>
                <w:color w:val="auto"/>
                <w:kern w:val="2"/>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rPr>
              <w:t>加强用水定额管理，推广先进的节水技术和污水处理技术，提高工业用水重复利用率。实行清洁、低耗、低排生产，限制高耗水、高污染型工业项目建设。</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p>
        </w:tc>
        <w:tc>
          <w:tcPr>
            <w:tcW w:w="2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left"/>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0"/>
                <w:sz w:val="21"/>
                <w:szCs w:val="21"/>
                <w:highlight w:val="none"/>
                <w:u w:val="none"/>
                <w:lang w:val="en-US" w:eastAsia="zh-CN" w:bidi="ar-SA"/>
              </w:rPr>
              <w:t>土地资源：推进开发园区土地节约集约利用评价，控制开发园区新增用地规模。以国家产业发展政策为导向，科学合理安排各行各业用地。优先保障区域主导产业发展用地，入园项目投资强度原则上不低于200万元/亩。</w:t>
            </w:r>
          </w:p>
        </w:tc>
        <w:tc>
          <w:tcPr>
            <w:tcW w:w="2199" w:type="pct"/>
            <w:tcBorders>
              <w:tl2br w:val="nil"/>
              <w:tr2bl w:val="nil"/>
            </w:tcBorders>
            <w:noWrap w:val="0"/>
            <w:vAlign w:val="center"/>
          </w:tcPr>
          <w:p>
            <w:pPr>
              <w:spacing w:line="240" w:lineRule="auto"/>
              <w:ind w:firstLine="0" w:firstLineChars="0"/>
              <w:jc w:val="left"/>
              <w:rPr>
                <w:rFonts w:hint="default" w:ascii="Times New Roman" w:hAnsi="Times New Roman" w:eastAsia="仿宋" w:cs="Times New Roman"/>
                <w:color w:val="auto"/>
                <w:kern w:val="2"/>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rPr>
              <w:t>强化土地集约利用，严格执行土地使用标准，加强土地开发利用动态监管。</w:t>
            </w:r>
          </w:p>
        </w:tc>
        <w:tc>
          <w:tcPr>
            <w:tcW w:w="3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jc w:val="center"/>
              <w:textAlignment w:val="center"/>
              <w:rPr>
                <w:rFonts w:hint="default" w:ascii="Times New Roman" w:hAnsi="Times New Roman" w:eastAsia="仿宋" w:cs="Times New Roman"/>
                <w:color w:val="auto"/>
                <w:kern w:val="0"/>
                <w:sz w:val="21"/>
                <w:szCs w:val="21"/>
                <w:highlight w:val="none"/>
                <w:u w:val="none"/>
                <w:lang w:val="en-US" w:eastAsia="zh-CN" w:bidi="ar-SA"/>
              </w:rPr>
            </w:pPr>
            <w:r>
              <w:rPr>
                <w:rFonts w:hint="default" w:ascii="Times New Roman" w:hAnsi="Times New Roman" w:eastAsia="仿宋" w:cs="Times New Roman"/>
                <w:color w:val="auto"/>
                <w:kern w:val="2"/>
                <w:sz w:val="21"/>
                <w:szCs w:val="21"/>
                <w:highlight w:val="none"/>
                <w:u w:val="none"/>
                <w:lang w:val="en-US" w:eastAsia="zh-CN" w:bidi="ar-SA"/>
              </w:rPr>
              <w:t>符合</w:t>
            </w:r>
          </w:p>
        </w:tc>
      </w:tr>
    </w:tbl>
    <w:p>
      <w:pPr>
        <w:snapToGrid w:val="0"/>
        <w:ind w:firstLine="640"/>
        <w:rPr>
          <w:rFonts w:hint="eastAsia" w:ascii="Times New Roman" w:hAnsi="仿宋_GB2312" w:eastAsia="仿宋" w:cs="仿宋_GB2312"/>
          <w:sz w:val="32"/>
          <w:szCs w:val="32"/>
        </w:rPr>
        <w:sectPr>
          <w:pgSz w:w="16838" w:h="11906" w:orient="landscape"/>
          <w:pgMar w:top="1587" w:right="2098" w:bottom="1531" w:left="1134" w:header="851" w:footer="992" w:gutter="0"/>
          <w:pgNumType w:fmt="numberInDash"/>
          <w:cols w:space="720" w:num="1"/>
          <w:docGrid w:type="lines" w:linePitch="312" w:charSpace="0"/>
        </w:sectPr>
      </w:pPr>
    </w:p>
    <w:p>
      <w:pPr>
        <w:pStyle w:val="13"/>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（三）水环境管理</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园区配套集中污水处理设施</w:t>
      </w:r>
      <w:r>
        <w:rPr>
          <w:rFonts w:hint="default" w:ascii="Times New Roman" w:hAnsi="Times New Roman" w:eastAsia="仿宋" w:cs="Times New Roman"/>
          <w:szCs w:val="32"/>
          <w:u w:val="single"/>
        </w:rPr>
        <w:t xml:space="preserve"> 1 </w:t>
      </w:r>
      <w:r>
        <w:rPr>
          <w:rFonts w:hint="default" w:ascii="Times New Roman" w:hAnsi="Times New Roman" w:eastAsia="仿宋" w:cs="Times New Roman"/>
          <w:szCs w:val="32"/>
        </w:rPr>
        <w:t>个，园区污水管网覆盖率为</w:t>
      </w:r>
      <w:r>
        <w:rPr>
          <w:rFonts w:hint="default" w:ascii="Times New Roman" w:hAnsi="Times New Roman" w:eastAsia="仿宋" w:cs="Times New Roman"/>
          <w:szCs w:val="32"/>
          <w:u w:val="single"/>
        </w:rPr>
        <w:t xml:space="preserve"> 100% </w:t>
      </w:r>
      <w:r>
        <w:rPr>
          <w:rFonts w:hint="default" w:ascii="Times New Roman" w:hAnsi="Times New Roman" w:eastAsia="仿宋" w:cs="Times New Roman"/>
          <w:szCs w:val="32"/>
        </w:rPr>
        <w:t>。东区集中污水处理设施名称为</w:t>
      </w:r>
      <w:r>
        <w:rPr>
          <w:rFonts w:hint="default" w:ascii="Times New Roman" w:hAnsi="Times New Roman" w:eastAsia="仿宋" w:cs="Times New Roman"/>
          <w:szCs w:val="32"/>
          <w:u w:val="single" w:color="000000"/>
        </w:rPr>
        <w:t>澧县创新创业园生活污水处理站</w:t>
      </w:r>
      <w:r>
        <w:rPr>
          <w:rFonts w:hint="default" w:ascii="Times New Roman" w:hAnsi="Times New Roman" w:eastAsia="仿宋" w:cs="Times New Roman"/>
          <w:szCs w:val="32"/>
        </w:rPr>
        <w:t>，设计处理规模</w:t>
      </w:r>
      <w:r>
        <w:rPr>
          <w:rFonts w:hint="default" w:ascii="Times New Roman" w:hAnsi="Times New Roman" w:eastAsia="仿宋" w:cs="Times New Roman"/>
          <w:szCs w:val="32"/>
          <w:u w:val="single"/>
        </w:rPr>
        <w:t xml:space="preserve"> 200 </w:t>
      </w:r>
      <w:r>
        <w:rPr>
          <w:rFonts w:hint="default" w:ascii="Times New Roman" w:hAnsi="Times New Roman" w:eastAsia="仿宋" w:cs="Times New Roman"/>
          <w:szCs w:val="32"/>
        </w:rPr>
        <w:t>m³/d，实际处理规模</w:t>
      </w:r>
      <w:r>
        <w:rPr>
          <w:rFonts w:hint="default" w:ascii="Times New Roman" w:hAnsi="Times New Roman" w:eastAsia="仿宋" w:cs="Times New Roman"/>
          <w:szCs w:val="32"/>
          <w:u w:val="single" w:color="000000"/>
        </w:rPr>
        <w:t xml:space="preserve"> 100 </w:t>
      </w:r>
      <w:r>
        <w:rPr>
          <w:rFonts w:hint="default" w:ascii="Times New Roman" w:hAnsi="Times New Roman" w:eastAsia="仿宋" w:cs="Times New Roman"/>
          <w:szCs w:val="32"/>
        </w:rPr>
        <w:t>m³/d，污水处理工艺为</w:t>
      </w:r>
      <w:r>
        <w:rPr>
          <w:rFonts w:hint="default" w:ascii="Times New Roman" w:hAnsi="Times New Roman" w:eastAsia="仿宋" w:cs="Times New Roman"/>
          <w:szCs w:val="32"/>
          <w:u w:val="single"/>
        </w:rPr>
        <w:t xml:space="preserve"> A/O </w:t>
      </w:r>
      <w:r>
        <w:rPr>
          <w:rFonts w:hint="default" w:ascii="Times New Roman" w:hAnsi="Times New Roman" w:eastAsia="仿宋" w:cs="Times New Roman"/>
          <w:szCs w:val="32"/>
        </w:rPr>
        <w:t>，在线监测达标率</w:t>
      </w:r>
      <w:r>
        <w:rPr>
          <w:rFonts w:hint="default" w:ascii="Times New Roman" w:hAnsi="Times New Roman" w:eastAsia="仿宋" w:cs="Times New Roman"/>
          <w:szCs w:val="32"/>
          <w:u w:val="single" w:color="000000"/>
        </w:rPr>
        <w:t xml:space="preserve"> 100 </w:t>
      </w:r>
      <w:r>
        <w:rPr>
          <w:rFonts w:hint="default" w:ascii="Times New Roman" w:hAnsi="Times New Roman" w:eastAsia="仿宋" w:cs="Times New Roman"/>
          <w:szCs w:val="32"/>
        </w:rPr>
        <w:t>%，园区雨水管网覆盖率</w:t>
      </w:r>
      <w:r>
        <w:rPr>
          <w:rFonts w:hint="default" w:ascii="Times New Roman" w:hAnsi="Times New Roman" w:eastAsia="仿宋" w:cs="Times New Roman"/>
          <w:szCs w:val="32"/>
          <w:u w:val="single" w:color="000000"/>
        </w:rPr>
        <w:t xml:space="preserve"> 100 </w:t>
      </w:r>
      <w:r>
        <w:rPr>
          <w:rFonts w:hint="default" w:ascii="Times New Roman" w:hAnsi="Times New Roman" w:eastAsia="仿宋" w:cs="Times New Roman"/>
          <w:szCs w:val="32"/>
        </w:rPr>
        <w:t>%。</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u w:val="single"/>
        </w:rPr>
        <w:t>西区依托</w:t>
      </w:r>
      <w:r>
        <w:rPr>
          <w:rFonts w:hint="default" w:ascii="Times New Roman" w:hAnsi="Times New Roman" w:eastAsia="仿宋" w:cs="Times New Roman"/>
          <w:szCs w:val="32"/>
          <w:u w:val="single" w:color="000000"/>
        </w:rPr>
        <w:t>澧县城镇污水处理厂处理</w:t>
      </w:r>
      <w:r>
        <w:rPr>
          <w:rFonts w:hint="default" w:ascii="Times New Roman" w:hAnsi="Times New Roman" w:eastAsia="仿宋" w:cs="Times New Roman"/>
          <w:szCs w:val="32"/>
        </w:rPr>
        <w:t>，设计处理规模</w:t>
      </w:r>
      <w:r>
        <w:rPr>
          <w:rFonts w:hint="default" w:ascii="Times New Roman" w:hAnsi="Times New Roman" w:eastAsia="仿宋" w:cs="Times New Roman"/>
          <w:szCs w:val="32"/>
          <w:u w:val="single"/>
        </w:rPr>
        <w:t xml:space="preserve"> 3万 </w:t>
      </w:r>
      <w:r>
        <w:rPr>
          <w:rFonts w:hint="default" w:ascii="Times New Roman" w:hAnsi="Times New Roman" w:eastAsia="仿宋" w:cs="Times New Roman"/>
          <w:szCs w:val="32"/>
        </w:rPr>
        <w:t>m³/d，实际处理规模</w:t>
      </w:r>
      <w:r>
        <w:rPr>
          <w:rFonts w:hint="default" w:ascii="Times New Roman" w:hAnsi="Times New Roman" w:eastAsia="仿宋" w:cs="Times New Roman"/>
          <w:szCs w:val="32"/>
          <w:u w:val="single" w:color="000000"/>
        </w:rPr>
        <w:t xml:space="preserve"> 3万 </w:t>
      </w:r>
      <w:r>
        <w:rPr>
          <w:rFonts w:hint="default" w:ascii="Times New Roman" w:hAnsi="Times New Roman" w:eastAsia="仿宋" w:cs="Times New Roman"/>
          <w:szCs w:val="32"/>
        </w:rPr>
        <w:t>m³/d，污水处理工艺为</w:t>
      </w:r>
      <w:r>
        <w:rPr>
          <w:rFonts w:hint="default" w:ascii="Times New Roman" w:hAnsi="Times New Roman" w:eastAsia="仿宋" w:cs="Times New Roman"/>
          <w:szCs w:val="32"/>
          <w:u w:val="single"/>
        </w:rPr>
        <w:t>改良性氧化沟</w:t>
      </w:r>
      <w:r>
        <w:rPr>
          <w:rFonts w:hint="default" w:ascii="Times New Roman" w:hAnsi="Times New Roman" w:eastAsia="仿宋" w:cs="Times New Roman"/>
          <w:szCs w:val="32"/>
        </w:rPr>
        <w:t>，在线监测达标率</w:t>
      </w:r>
      <w:r>
        <w:rPr>
          <w:rFonts w:hint="default" w:ascii="Times New Roman" w:hAnsi="Times New Roman" w:eastAsia="仿宋" w:cs="Times New Roman"/>
          <w:szCs w:val="32"/>
          <w:u w:val="single" w:color="000000"/>
        </w:rPr>
        <w:t xml:space="preserve"> 100 </w:t>
      </w:r>
      <w:r>
        <w:rPr>
          <w:rFonts w:hint="default" w:ascii="Times New Roman" w:hAnsi="Times New Roman" w:eastAsia="仿宋" w:cs="Times New Roman"/>
          <w:szCs w:val="32"/>
        </w:rPr>
        <w:t>%，园区雨水管网覆盖率</w:t>
      </w:r>
      <w:r>
        <w:rPr>
          <w:rFonts w:hint="default" w:ascii="Times New Roman" w:hAnsi="Times New Roman" w:eastAsia="仿宋" w:cs="Times New Roman"/>
          <w:szCs w:val="32"/>
          <w:u w:val="single" w:color="000000"/>
        </w:rPr>
        <w:t xml:space="preserve"> 100 </w:t>
      </w:r>
      <w:r>
        <w:rPr>
          <w:rFonts w:hint="default" w:ascii="Times New Roman" w:hAnsi="Times New Roman" w:eastAsia="仿宋" w:cs="Times New Roman"/>
          <w:szCs w:val="32"/>
        </w:rPr>
        <w:t>%。</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于2020年6月完成澧县高新技术产业开发区依托澧县污水处理厂评估报告，从水量、水质、规划角度分析，澧县污水处理厂能够接纳澧县高新技术产业开发区排放的生产废水和生活污水，处理效果良好，符合规划。</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园区内涉及工业废水外排企业数量</w:t>
      </w:r>
      <w:r>
        <w:rPr>
          <w:rFonts w:hint="default" w:ascii="Times New Roman" w:hAnsi="Times New Roman" w:eastAsia="仿宋" w:cs="Times New Roman"/>
          <w:szCs w:val="32"/>
          <w:u w:val="single" w:color="000000"/>
        </w:rPr>
        <w:t xml:space="preserve"> 6 </w:t>
      </w:r>
      <w:r>
        <w:rPr>
          <w:rFonts w:hint="default" w:ascii="Times New Roman" w:hAnsi="Times New Roman" w:eastAsia="仿宋" w:cs="Times New Roman"/>
          <w:szCs w:val="32"/>
        </w:rPr>
        <w:t>个，工业废水总排放量</w:t>
      </w:r>
      <w:r>
        <w:rPr>
          <w:rFonts w:hint="default" w:ascii="Times New Roman" w:hAnsi="Times New Roman" w:eastAsia="仿宋" w:cs="Times New Roman"/>
          <w:szCs w:val="32"/>
          <w:u w:val="single" w:color="000000"/>
        </w:rPr>
        <w:t xml:space="preserve"> 1725.75 </w:t>
      </w:r>
      <w:r>
        <w:rPr>
          <w:rFonts w:hint="default" w:ascii="Times New Roman" w:hAnsi="Times New Roman" w:eastAsia="仿宋" w:cs="Times New Roman"/>
          <w:szCs w:val="32"/>
        </w:rPr>
        <w:t>m³/d，外排污水纳管企业数量</w:t>
      </w:r>
      <w:r>
        <w:rPr>
          <w:rFonts w:hint="default" w:ascii="Times New Roman" w:hAnsi="Times New Roman" w:eastAsia="仿宋" w:cs="Times New Roman"/>
          <w:szCs w:val="32"/>
          <w:u w:val="single" w:color="000000"/>
        </w:rPr>
        <w:t xml:space="preserve"> 6</w:t>
      </w:r>
      <w:r>
        <w:rPr>
          <w:rFonts w:hint="default" w:ascii="Times New Roman" w:hAnsi="Times New Roman" w:eastAsia="仿宋" w:cs="Times New Roman"/>
          <w:szCs w:val="32"/>
        </w:rPr>
        <w:t>个，污水集中处理比例</w:t>
      </w:r>
      <w:r>
        <w:rPr>
          <w:rFonts w:hint="default" w:ascii="Times New Roman" w:hAnsi="Times New Roman" w:eastAsia="仿宋" w:cs="Times New Roman"/>
          <w:szCs w:val="32"/>
          <w:u w:val="single" w:color="000000"/>
        </w:rPr>
        <w:t xml:space="preserve"> 100 </w:t>
      </w:r>
      <w:r>
        <w:rPr>
          <w:rFonts w:hint="default" w:ascii="Times New Roman" w:hAnsi="Times New Roman" w:eastAsia="仿宋" w:cs="Times New Roman"/>
          <w:szCs w:val="32"/>
        </w:rPr>
        <w:t>%（按外排水量计）。</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园区年度水污染物总排放量：化学需氧量</w:t>
      </w:r>
      <w:r>
        <w:rPr>
          <w:rFonts w:hint="default" w:ascii="Times New Roman" w:hAnsi="Times New Roman" w:eastAsia="仿宋" w:cs="Times New Roman"/>
          <w:szCs w:val="32"/>
          <w:u w:val="single"/>
        </w:rPr>
        <w:t>44.536</w:t>
      </w:r>
      <w:r>
        <w:rPr>
          <w:rFonts w:hint="default" w:ascii="Times New Roman" w:hAnsi="Times New Roman" w:eastAsia="仿宋" w:cs="Times New Roman"/>
          <w:szCs w:val="32"/>
        </w:rPr>
        <w:t>t/a，氨氮</w:t>
      </w:r>
      <w:r>
        <w:rPr>
          <w:rFonts w:hint="default" w:ascii="Times New Roman" w:hAnsi="Times New Roman" w:eastAsia="仿宋" w:cs="Times New Roman"/>
          <w:szCs w:val="32"/>
          <w:u w:val="single" w:color="000000"/>
        </w:rPr>
        <w:t xml:space="preserve"> 0.85 </w:t>
      </w:r>
      <w:r>
        <w:rPr>
          <w:rFonts w:hint="default" w:ascii="Times New Roman" w:hAnsi="Times New Roman" w:eastAsia="仿宋" w:cs="Times New Roman"/>
          <w:szCs w:val="32"/>
        </w:rPr>
        <w:t>t/a，其他因子（重金属等）</w:t>
      </w:r>
      <w:r>
        <w:rPr>
          <w:rFonts w:hint="default" w:ascii="Times New Roman" w:hAnsi="Times New Roman" w:eastAsia="仿宋" w:cs="Times New Roman"/>
          <w:szCs w:val="32"/>
          <w:u w:val="single"/>
        </w:rPr>
        <w:t>总氮：1.812t/a</w:t>
      </w:r>
      <w:r>
        <w:rPr>
          <w:rFonts w:hint="default" w:ascii="Times New Roman" w:hAnsi="Times New Roman" w:eastAsia="仿宋" w:cs="Times New Roman"/>
          <w:szCs w:val="32"/>
        </w:rPr>
        <w:t>，</w:t>
      </w:r>
      <w:r>
        <w:rPr>
          <w:rFonts w:hint="default" w:ascii="Times New Roman" w:hAnsi="Times New Roman" w:eastAsia="仿宋" w:cs="Times New Roman"/>
          <w:szCs w:val="32"/>
          <w:u w:val="single"/>
        </w:rPr>
        <w:t>总磷：0.013</w:t>
      </w:r>
      <w:r>
        <w:rPr>
          <w:rFonts w:hint="default" w:ascii="Times New Roman" w:hAnsi="Times New Roman" w:eastAsia="仿宋" w:cs="Times New Roman"/>
          <w:szCs w:val="32"/>
        </w:rPr>
        <w:t>t/a。（园区废水排放不涉及第一类污染物）</w:t>
      </w:r>
    </w:p>
    <w:p>
      <w:pPr>
        <w:pStyle w:val="13"/>
        <w:snapToGrid w:val="0"/>
        <w:spacing w:after="0"/>
        <w:ind w:left="0" w:leftChars="0" w:firstLine="640"/>
        <w:rPr>
          <w:rFonts w:hint="default" w:ascii="Times New Roman" w:hAnsi="Times New Roman" w:eastAsia="仿宋" w:cs="Times New Roman"/>
          <w:szCs w:val="32"/>
          <w:highlight w:val="yellow"/>
        </w:rPr>
      </w:pPr>
      <w:r>
        <w:rPr>
          <w:rFonts w:hint="default" w:ascii="Times New Roman" w:hAnsi="Times New Roman" w:eastAsia="仿宋" w:cs="Times New Roman"/>
          <w:szCs w:val="32"/>
        </w:rPr>
        <w:t>排污口下游最近的地表水水质管控断面名称</w:t>
      </w:r>
      <w:r>
        <w:rPr>
          <w:rFonts w:hint="default" w:ascii="Times New Roman" w:hAnsi="Times New Roman" w:eastAsia="仿宋" w:cs="Times New Roman"/>
          <w:szCs w:val="32"/>
          <w:u w:val="single"/>
        </w:rPr>
        <w:t>东洲</w:t>
      </w:r>
      <w:r>
        <w:rPr>
          <w:rFonts w:hint="default" w:ascii="Times New Roman" w:hAnsi="Times New Roman" w:eastAsia="仿宋" w:cs="Times New Roman"/>
          <w:szCs w:val="32"/>
        </w:rPr>
        <w:t>断面，水功能区划</w:t>
      </w:r>
      <w:r>
        <w:rPr>
          <w:rFonts w:hint="default" w:ascii="Times New Roman" w:hAnsi="Times New Roman" w:eastAsia="仿宋" w:cs="Times New Roman"/>
          <w:szCs w:val="32"/>
          <w:u w:val="single"/>
        </w:rPr>
        <w:t xml:space="preserve"> 为开发利用 </w:t>
      </w:r>
      <w:r>
        <w:rPr>
          <w:rFonts w:hint="default" w:ascii="Times New Roman" w:hAnsi="Times New Roman" w:eastAsia="仿宋" w:cs="Times New Roman"/>
          <w:szCs w:val="32"/>
        </w:rPr>
        <w:t>类，</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无</w:t>
      </w:r>
      <w:r>
        <w:rPr>
          <w:rFonts w:hint="eastAsia" w:ascii="仿宋" w:hAnsi="仿宋" w:eastAsia="仿宋" w:cs="仿宋"/>
          <w:szCs w:val="32"/>
          <w:lang w:eastAsia="zh-CN"/>
        </w:rPr>
        <w:t>“</w:t>
      </w:r>
      <w:r>
        <w:rPr>
          <w:rFonts w:hint="default" w:ascii="Times New Roman" w:hAnsi="Times New Roman" w:eastAsia="仿宋" w:cs="Times New Roman"/>
          <w:szCs w:val="32"/>
        </w:rPr>
        <w:t>双源</w:t>
      </w:r>
      <w:r>
        <w:rPr>
          <w:rFonts w:hint="eastAsia" w:ascii="仿宋" w:hAnsi="仿宋" w:eastAsia="仿宋" w:cs="仿宋"/>
          <w:szCs w:val="32"/>
          <w:lang w:eastAsia="zh-CN"/>
        </w:rPr>
        <w:t>”</w:t>
      </w:r>
      <w:r>
        <w:rPr>
          <w:rFonts w:hint="default" w:ascii="Times New Roman" w:hAnsi="Times New Roman" w:eastAsia="仿宋" w:cs="Times New Roman"/>
          <w:szCs w:val="32"/>
        </w:rPr>
        <w:t>地下水监测设备建设。</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园区内涉及黑臭水体+数量</w:t>
      </w:r>
      <w:r>
        <w:rPr>
          <w:rFonts w:hint="default" w:ascii="Times New Roman" w:hAnsi="Times New Roman" w:eastAsia="仿宋" w:cs="Times New Roman"/>
          <w:szCs w:val="32"/>
          <w:u w:val="single"/>
        </w:rPr>
        <w:t xml:space="preserve"> 0 </w:t>
      </w:r>
      <w:r>
        <w:rPr>
          <w:rFonts w:hint="default" w:ascii="Times New Roman" w:hAnsi="Times New Roman" w:eastAsia="仿宋" w:cs="Times New Roman"/>
          <w:szCs w:val="32"/>
        </w:rPr>
        <w:t>个，已完成整治</w:t>
      </w:r>
      <w:r>
        <w:rPr>
          <w:rFonts w:hint="default" w:ascii="Times New Roman" w:hAnsi="Times New Roman" w:eastAsia="仿宋" w:cs="Times New Roman"/>
          <w:szCs w:val="32"/>
          <w:u w:val="single"/>
        </w:rPr>
        <w:t xml:space="preserve"> 0 </w:t>
      </w:r>
      <w:r>
        <w:rPr>
          <w:rFonts w:hint="default" w:ascii="Times New Roman" w:hAnsi="Times New Roman" w:eastAsia="仿宋" w:cs="Times New Roman"/>
          <w:szCs w:val="32"/>
        </w:rPr>
        <w:t>个，未开工的</w:t>
      </w:r>
      <w:r>
        <w:rPr>
          <w:rFonts w:hint="default" w:ascii="Times New Roman" w:hAnsi="Times New Roman" w:eastAsia="仿宋" w:cs="Times New Roman"/>
          <w:szCs w:val="32"/>
          <w:u w:val="single"/>
        </w:rPr>
        <w:t xml:space="preserve"> / </w:t>
      </w:r>
      <w:r>
        <w:rPr>
          <w:rFonts w:hint="default" w:ascii="Times New Roman" w:hAnsi="Times New Roman" w:eastAsia="仿宋" w:cs="Times New Roman"/>
          <w:szCs w:val="32"/>
        </w:rPr>
        <w:t>个，修复中的</w:t>
      </w:r>
      <w:r>
        <w:rPr>
          <w:rFonts w:hint="default" w:ascii="Times New Roman" w:hAnsi="Times New Roman" w:eastAsia="仿宋" w:cs="Times New Roman"/>
          <w:szCs w:val="32"/>
          <w:u w:val="single"/>
        </w:rPr>
        <w:t xml:space="preserve"> / </w:t>
      </w:r>
      <w:r>
        <w:rPr>
          <w:rFonts w:hint="default" w:ascii="Times New Roman" w:hAnsi="Times New Roman" w:eastAsia="仿宋" w:cs="Times New Roman"/>
          <w:szCs w:val="32"/>
        </w:rPr>
        <w:t>个。</w:t>
      </w:r>
    </w:p>
    <w:p>
      <w:pPr>
        <w:pStyle w:val="13"/>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（四）大气环境管理</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园区内涉及工业废气外排企业数量</w:t>
      </w:r>
      <w:r>
        <w:rPr>
          <w:rFonts w:hint="default" w:ascii="Times New Roman" w:hAnsi="Times New Roman" w:eastAsia="仿宋" w:cs="Times New Roman"/>
          <w:szCs w:val="32"/>
          <w:u w:val="single" w:color="000000"/>
        </w:rPr>
        <w:t>12</w:t>
      </w:r>
      <w:r>
        <w:rPr>
          <w:rFonts w:hint="default" w:ascii="Times New Roman" w:hAnsi="Times New Roman" w:eastAsia="仿宋" w:cs="Times New Roman"/>
          <w:szCs w:val="32"/>
        </w:rPr>
        <w:t>个，大气质量监测达标率</w:t>
      </w:r>
      <w:r>
        <w:rPr>
          <w:rFonts w:hint="default" w:ascii="Times New Roman" w:hAnsi="Times New Roman" w:eastAsia="仿宋" w:cs="Times New Roman"/>
          <w:szCs w:val="32"/>
          <w:u w:val="single"/>
        </w:rPr>
        <w:t xml:space="preserve"> 100 </w:t>
      </w:r>
      <w:r>
        <w:rPr>
          <w:rFonts w:hint="default" w:ascii="Times New Roman" w:hAnsi="Times New Roman" w:eastAsia="仿宋" w:cs="Times New Roman"/>
          <w:szCs w:val="32"/>
        </w:rPr>
        <w:t>%，超标因子</w:t>
      </w:r>
      <w:r>
        <w:rPr>
          <w:rFonts w:hint="default" w:ascii="Times New Roman" w:hAnsi="Times New Roman" w:eastAsia="仿宋" w:cs="Times New Roman"/>
          <w:szCs w:val="32"/>
          <w:u w:val="single"/>
        </w:rPr>
        <w:t xml:space="preserve"> / </w:t>
      </w:r>
      <w:r>
        <w:rPr>
          <w:rFonts w:hint="default" w:ascii="Times New Roman" w:hAnsi="Times New Roman" w:eastAsia="仿宋" w:cs="Times New Roman"/>
          <w:szCs w:val="32"/>
        </w:rPr>
        <w:t>，最大超标倍数</w:t>
      </w:r>
      <w:r>
        <w:rPr>
          <w:rFonts w:hint="default" w:ascii="Times New Roman" w:hAnsi="Times New Roman" w:eastAsia="仿宋" w:cs="Times New Roman"/>
          <w:szCs w:val="32"/>
          <w:u w:val="single"/>
        </w:rPr>
        <w:t xml:space="preserve"> / </w:t>
      </w:r>
      <w:r>
        <w:rPr>
          <w:rFonts w:hint="default" w:ascii="Times New Roman" w:hAnsi="Times New Roman" w:eastAsia="仿宋" w:cs="Times New Roman"/>
          <w:szCs w:val="32"/>
        </w:rPr>
        <w:t>倍。大气污染物总排放量：二氧化硫</w:t>
      </w:r>
      <w:r>
        <w:rPr>
          <w:rFonts w:hint="default" w:ascii="Times New Roman" w:hAnsi="Times New Roman" w:eastAsia="仿宋" w:cs="Times New Roman"/>
          <w:szCs w:val="32"/>
          <w:u w:val="single" w:color="000000"/>
        </w:rPr>
        <w:t xml:space="preserve"> 1.9513 </w:t>
      </w:r>
      <w:r>
        <w:rPr>
          <w:rFonts w:hint="default" w:ascii="Times New Roman" w:hAnsi="Times New Roman" w:eastAsia="仿宋" w:cs="Times New Roman"/>
          <w:szCs w:val="32"/>
        </w:rPr>
        <w:t>t/a，氮氧化物</w:t>
      </w:r>
      <w:r>
        <w:rPr>
          <w:rFonts w:hint="default" w:ascii="Times New Roman" w:hAnsi="Times New Roman" w:eastAsia="仿宋" w:cs="Times New Roman"/>
          <w:szCs w:val="32"/>
          <w:u w:val="single" w:color="000000"/>
        </w:rPr>
        <w:t>5.524</w:t>
      </w:r>
      <w:r>
        <w:rPr>
          <w:rFonts w:hint="default" w:ascii="Times New Roman" w:hAnsi="Times New Roman" w:eastAsia="仿宋" w:cs="Times New Roman"/>
          <w:szCs w:val="32"/>
        </w:rPr>
        <w:t>t/a，VOCs</w:t>
      </w:r>
      <w:r>
        <w:rPr>
          <w:rFonts w:hint="default" w:ascii="Times New Roman" w:hAnsi="Times New Roman" w:eastAsia="仿宋" w:cs="Times New Roman"/>
          <w:szCs w:val="32"/>
          <w:u w:val="single"/>
        </w:rPr>
        <w:t>18.528</w:t>
      </w:r>
      <w:r>
        <w:rPr>
          <w:rFonts w:hint="default" w:ascii="Times New Roman" w:hAnsi="Times New Roman" w:eastAsia="仿宋" w:cs="Times New Roman"/>
          <w:szCs w:val="32"/>
        </w:rPr>
        <w:t>t/a，其他:</w:t>
      </w:r>
      <w:r>
        <w:rPr>
          <w:rFonts w:hint="default" w:ascii="Times New Roman" w:hAnsi="Times New Roman" w:eastAsia="仿宋" w:cs="Times New Roman"/>
          <w:szCs w:val="32"/>
          <w:u w:val="single"/>
        </w:rPr>
        <w:t>无</w:t>
      </w:r>
      <w:r>
        <w:rPr>
          <w:rFonts w:hint="default" w:ascii="Times New Roman" w:hAnsi="Times New Roman" w:eastAsia="仿宋" w:cs="Times New Roman"/>
          <w:szCs w:val="32"/>
        </w:rPr>
        <w:t>。</w:t>
      </w:r>
    </w:p>
    <w:p>
      <w:pPr>
        <w:pStyle w:val="13"/>
        <w:snapToGrid w:val="0"/>
        <w:spacing w:after="0"/>
        <w:ind w:left="0" w:leftChars="0" w:firstLine="640"/>
        <w:rPr>
          <w:rFonts w:ascii="仿宋" w:hAnsi="仿宋" w:eastAsia="仿宋" w:cs="仿宋_GB2312"/>
          <w:szCs w:val="32"/>
        </w:rPr>
      </w:pPr>
      <w:r>
        <w:rPr>
          <w:rFonts w:hint="eastAsia" w:ascii="仿宋" w:hAnsi="仿宋" w:eastAsia="仿宋" w:cs="仿宋_GB2312"/>
          <w:szCs w:val="32"/>
        </w:rPr>
        <w:t>园区空气监测站建设情况（含小微站建设等），监测点位、监测因子、监测结果自评情况：</w:t>
      </w:r>
    </w:p>
    <w:p>
      <w:pPr>
        <w:pStyle w:val="37"/>
        <w:ind w:right="106" w:rightChars="38" w:firstLine="560"/>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园区建有一座小微空气监测站：澧县创新创业园空气质量自动监测站，位于澧县高新区创新创业园内，监测因子为</w:t>
      </w:r>
      <w:r>
        <w:rPr>
          <w:rFonts w:ascii="Times New Roman" w:hAnsi="仿宋_GB2312" w:eastAsia="仿宋" w:cs="仿宋_GB2312"/>
          <w:sz w:val="32"/>
          <w:szCs w:val="32"/>
        </w:rPr>
        <w:t>PM</w:t>
      </w:r>
      <w:r>
        <w:rPr>
          <w:rFonts w:ascii="Times New Roman" w:hAnsi="仿宋_GB2312" w:eastAsia="仿宋" w:cs="仿宋_GB2312"/>
          <w:sz w:val="32"/>
          <w:szCs w:val="32"/>
          <w:vertAlign w:val="subscript"/>
        </w:rPr>
        <w:t>2.5</w:t>
      </w:r>
      <w:r>
        <w:rPr>
          <w:rFonts w:hint="eastAsia" w:ascii="Times New Roman" w:hAnsi="仿宋_GB2312" w:eastAsia="仿宋" w:cs="仿宋_GB2312"/>
          <w:sz w:val="32"/>
          <w:szCs w:val="32"/>
        </w:rPr>
        <w:t>、</w:t>
      </w:r>
      <w:r>
        <w:rPr>
          <w:rFonts w:ascii="Times New Roman" w:hAnsi="仿宋_GB2312" w:eastAsia="仿宋" w:cs="仿宋_GB2312"/>
          <w:sz w:val="32"/>
          <w:szCs w:val="32"/>
        </w:rPr>
        <w:t>PM</w:t>
      </w:r>
      <w:r>
        <w:rPr>
          <w:rFonts w:ascii="Times New Roman" w:hAnsi="仿宋_GB2312" w:eastAsia="仿宋" w:cs="仿宋_GB2312"/>
          <w:sz w:val="32"/>
          <w:szCs w:val="32"/>
          <w:vertAlign w:val="subscript"/>
        </w:rPr>
        <w:t>10</w:t>
      </w:r>
      <w:r>
        <w:rPr>
          <w:rFonts w:hint="eastAsia" w:ascii="Times New Roman" w:hAnsi="仿宋_GB2312" w:eastAsia="仿宋" w:cs="仿宋_GB2312"/>
          <w:sz w:val="32"/>
          <w:szCs w:val="32"/>
        </w:rPr>
        <w:t>、</w:t>
      </w:r>
      <w:r>
        <w:rPr>
          <w:rFonts w:ascii="Times New Roman" w:hAnsi="仿宋_GB2312" w:eastAsia="仿宋" w:cs="仿宋_GB2312"/>
          <w:sz w:val="32"/>
          <w:szCs w:val="32"/>
        </w:rPr>
        <w:t>SO</w:t>
      </w:r>
      <w:r>
        <w:rPr>
          <w:rFonts w:ascii="Times New Roman" w:hAnsi="仿宋_GB2312" w:eastAsia="仿宋" w:cs="仿宋_GB2312"/>
          <w:sz w:val="32"/>
          <w:szCs w:val="32"/>
          <w:vertAlign w:val="subscript"/>
        </w:rPr>
        <w:t>2</w:t>
      </w:r>
      <w:r>
        <w:rPr>
          <w:rFonts w:hint="eastAsia" w:ascii="Times New Roman" w:hAnsi="仿宋_GB2312" w:eastAsia="仿宋" w:cs="仿宋_GB2312"/>
          <w:sz w:val="32"/>
          <w:szCs w:val="32"/>
        </w:rPr>
        <w:t>、</w:t>
      </w:r>
      <w:r>
        <w:rPr>
          <w:rFonts w:ascii="Times New Roman" w:hAnsi="仿宋_GB2312" w:eastAsia="仿宋" w:cs="仿宋_GB2312"/>
          <w:sz w:val="32"/>
          <w:szCs w:val="32"/>
        </w:rPr>
        <w:t>NO</w:t>
      </w:r>
      <w:r>
        <w:rPr>
          <w:rFonts w:ascii="Times New Roman" w:hAnsi="仿宋_GB2312" w:eastAsia="仿宋" w:cs="仿宋_GB2312"/>
          <w:sz w:val="32"/>
          <w:szCs w:val="32"/>
          <w:vertAlign w:val="subscript"/>
        </w:rPr>
        <w:t>2</w:t>
      </w:r>
      <w:r>
        <w:rPr>
          <w:rFonts w:hint="eastAsia" w:ascii="Times New Roman" w:hAnsi="仿宋_GB2312" w:eastAsia="仿宋" w:cs="仿宋_GB2312"/>
          <w:sz w:val="32"/>
          <w:szCs w:val="32"/>
        </w:rPr>
        <w:t>、</w:t>
      </w:r>
      <w:r>
        <w:rPr>
          <w:rFonts w:ascii="Times New Roman" w:hAnsi="仿宋_GB2312" w:eastAsia="仿宋" w:cs="仿宋_GB2312"/>
          <w:sz w:val="32"/>
          <w:szCs w:val="32"/>
        </w:rPr>
        <w:t>CO</w:t>
      </w:r>
      <w:r>
        <w:rPr>
          <w:rFonts w:hint="eastAsia" w:ascii="Times New Roman" w:hAnsi="仿宋_GB2312" w:eastAsia="仿宋" w:cs="仿宋_GB2312"/>
          <w:sz w:val="32"/>
          <w:szCs w:val="32"/>
        </w:rPr>
        <w:t>、</w:t>
      </w:r>
      <w:r>
        <w:rPr>
          <w:rFonts w:ascii="Times New Roman" w:hAnsi="仿宋_GB2312" w:eastAsia="仿宋" w:cs="仿宋_GB2312"/>
          <w:sz w:val="32"/>
          <w:szCs w:val="32"/>
        </w:rPr>
        <w:t>O</w:t>
      </w:r>
      <w:r>
        <w:rPr>
          <w:rFonts w:ascii="Times New Roman" w:hAnsi="仿宋_GB2312" w:eastAsia="仿宋" w:cs="仿宋_GB2312"/>
          <w:sz w:val="32"/>
          <w:szCs w:val="32"/>
          <w:vertAlign w:val="subscript"/>
        </w:rPr>
        <w:t>3</w:t>
      </w:r>
      <w:r>
        <w:rPr>
          <w:rFonts w:hint="eastAsia" w:ascii="仿宋" w:hAnsi="仿宋" w:eastAsia="仿宋" w:cs="仿宋_GB2312"/>
          <w:kern w:val="2"/>
          <w:sz w:val="32"/>
          <w:szCs w:val="32"/>
          <w:lang w:val="en-US" w:eastAsia="zh-CN" w:bidi="ar-SA"/>
        </w:rPr>
        <w:t>，监测结果自评为良好。园区空气监测站目前数据采集、传输已完成，目前已完成调试，能实现与环保部门监控平台稳定联网。</w:t>
      </w:r>
    </w:p>
    <w:p>
      <w:pPr>
        <w:pStyle w:val="13"/>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（五）土壤环境管理</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土壤环境质量监测达标率</w:t>
      </w:r>
      <w:r>
        <w:rPr>
          <w:rFonts w:hint="default" w:ascii="Times New Roman" w:hAnsi="Times New Roman" w:eastAsia="仿宋" w:cs="Times New Roman"/>
          <w:szCs w:val="32"/>
          <w:u w:val="single" w:color="000000"/>
        </w:rPr>
        <w:t xml:space="preserve"> 100 </w:t>
      </w:r>
      <w:r>
        <w:rPr>
          <w:rFonts w:hint="default" w:ascii="Times New Roman" w:hAnsi="Times New Roman" w:eastAsia="仿宋" w:cs="Times New Roman"/>
          <w:szCs w:val="32"/>
        </w:rPr>
        <w:t>%，超标因子</w:t>
      </w:r>
      <w:r>
        <w:rPr>
          <w:rFonts w:hint="default" w:ascii="Times New Roman" w:hAnsi="Times New Roman" w:eastAsia="仿宋" w:cs="Times New Roman"/>
          <w:szCs w:val="32"/>
          <w:u w:val="single" w:color="000000"/>
        </w:rPr>
        <w:t xml:space="preserve"> / </w:t>
      </w:r>
      <w:r>
        <w:rPr>
          <w:rFonts w:hint="default" w:ascii="Times New Roman" w:hAnsi="Times New Roman" w:eastAsia="仿宋" w:cs="Times New Roman"/>
          <w:szCs w:val="32"/>
        </w:rPr>
        <w:t>，最大超标倍数</w:t>
      </w:r>
      <w:r>
        <w:rPr>
          <w:rFonts w:hint="default" w:ascii="Times New Roman" w:hAnsi="Times New Roman" w:eastAsia="仿宋" w:cs="Times New Roman"/>
          <w:szCs w:val="32"/>
          <w:u w:val="single" w:color="000000"/>
        </w:rPr>
        <w:t xml:space="preserve"> / </w:t>
      </w:r>
      <w:r>
        <w:rPr>
          <w:rFonts w:hint="default" w:ascii="Times New Roman" w:hAnsi="Times New Roman" w:eastAsia="仿宋" w:cs="Times New Roman"/>
          <w:szCs w:val="32"/>
        </w:rPr>
        <w:t>倍。</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园区内涉及污染地块数量</w:t>
      </w:r>
      <w:r>
        <w:rPr>
          <w:rFonts w:hint="default" w:ascii="Times New Roman" w:hAnsi="Times New Roman" w:eastAsia="仿宋" w:cs="Times New Roman"/>
          <w:szCs w:val="32"/>
          <w:u w:val="single"/>
        </w:rPr>
        <w:t xml:space="preserve"> / </w:t>
      </w:r>
      <w:r>
        <w:rPr>
          <w:rFonts w:hint="default" w:ascii="Times New Roman" w:hAnsi="Times New Roman" w:eastAsia="仿宋" w:cs="Times New Roman"/>
          <w:szCs w:val="32"/>
        </w:rPr>
        <w:t>个，已完成修复</w:t>
      </w:r>
      <w:r>
        <w:rPr>
          <w:rFonts w:hint="default" w:ascii="Times New Roman" w:hAnsi="Times New Roman" w:eastAsia="仿宋" w:cs="Times New Roman"/>
          <w:szCs w:val="32"/>
          <w:u w:val="single"/>
        </w:rPr>
        <w:t xml:space="preserve"> / </w:t>
      </w:r>
      <w:r>
        <w:rPr>
          <w:rFonts w:hint="default" w:ascii="Times New Roman" w:hAnsi="Times New Roman" w:eastAsia="仿宋" w:cs="Times New Roman"/>
          <w:szCs w:val="32"/>
        </w:rPr>
        <w:t>个，未开工修复的</w:t>
      </w:r>
      <w:r>
        <w:rPr>
          <w:rFonts w:hint="default" w:ascii="Times New Roman" w:hAnsi="Times New Roman" w:eastAsia="仿宋" w:cs="Times New Roman"/>
          <w:szCs w:val="32"/>
          <w:u w:val="single"/>
        </w:rPr>
        <w:t xml:space="preserve"> / </w:t>
      </w:r>
      <w:r>
        <w:rPr>
          <w:rFonts w:hint="default" w:ascii="Times New Roman" w:hAnsi="Times New Roman" w:eastAsia="仿宋" w:cs="Times New Roman"/>
          <w:szCs w:val="32"/>
        </w:rPr>
        <w:t>个，修复中的</w:t>
      </w:r>
      <w:r>
        <w:rPr>
          <w:rFonts w:hint="default" w:ascii="Times New Roman" w:hAnsi="Times New Roman" w:eastAsia="仿宋" w:cs="Times New Roman"/>
          <w:szCs w:val="32"/>
          <w:u w:val="single"/>
        </w:rPr>
        <w:t xml:space="preserve"> / </w:t>
      </w:r>
      <w:r>
        <w:rPr>
          <w:rFonts w:hint="default" w:ascii="Times New Roman" w:hAnsi="Times New Roman" w:eastAsia="仿宋" w:cs="Times New Roman"/>
          <w:szCs w:val="32"/>
        </w:rPr>
        <w:t>个。</w:t>
      </w:r>
    </w:p>
    <w:p>
      <w:pPr>
        <w:pStyle w:val="13"/>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（六）固体废物管理</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园区一般工业固体废物产生企业数量</w:t>
      </w:r>
      <w:r>
        <w:rPr>
          <w:rFonts w:hint="default" w:ascii="Times New Roman" w:hAnsi="Times New Roman" w:eastAsia="仿宋" w:cs="Times New Roman"/>
          <w:szCs w:val="32"/>
          <w:u w:val="single" w:color="000000"/>
        </w:rPr>
        <w:t xml:space="preserve"> 11</w:t>
      </w:r>
      <w:r>
        <w:rPr>
          <w:rFonts w:hint="default" w:ascii="Times New Roman" w:hAnsi="Times New Roman" w:eastAsia="仿宋" w:cs="Times New Roman"/>
          <w:szCs w:val="32"/>
        </w:rPr>
        <w:t>个，产生量</w:t>
      </w:r>
      <w:r>
        <w:rPr>
          <w:rFonts w:hint="default" w:ascii="Times New Roman" w:hAnsi="Times New Roman" w:eastAsia="仿宋" w:cs="Times New Roman"/>
          <w:szCs w:val="32"/>
          <w:u w:val="single" w:color="000000"/>
        </w:rPr>
        <w:t xml:space="preserve">    22535.872</w:t>
      </w:r>
      <w:r>
        <w:rPr>
          <w:rFonts w:hint="default" w:ascii="Times New Roman" w:hAnsi="Times New Roman" w:eastAsia="仿宋" w:cs="Times New Roman"/>
          <w:szCs w:val="32"/>
        </w:rPr>
        <w:t>t/a，其中，自行综合利用</w:t>
      </w:r>
      <w:r>
        <w:rPr>
          <w:rFonts w:hint="default" w:ascii="Times New Roman" w:hAnsi="Times New Roman" w:eastAsia="仿宋" w:cs="Times New Roman"/>
          <w:szCs w:val="32"/>
          <w:u w:val="single" w:color="000000"/>
        </w:rPr>
        <w:t xml:space="preserve"> / </w:t>
      </w:r>
      <w:r>
        <w:rPr>
          <w:rFonts w:hint="default" w:ascii="Times New Roman" w:hAnsi="Times New Roman" w:eastAsia="仿宋" w:cs="Times New Roman"/>
          <w:szCs w:val="32"/>
        </w:rPr>
        <w:t>t/a，自行处置</w:t>
      </w:r>
      <w:r>
        <w:rPr>
          <w:rFonts w:hint="default" w:ascii="Times New Roman" w:hAnsi="Times New Roman" w:eastAsia="仿宋" w:cs="Times New Roman"/>
          <w:szCs w:val="32"/>
          <w:u w:val="single" w:color="000000"/>
        </w:rPr>
        <w:t xml:space="preserve">/ </w:t>
      </w:r>
      <w:r>
        <w:rPr>
          <w:rFonts w:hint="default" w:ascii="Times New Roman" w:hAnsi="Times New Roman" w:eastAsia="仿宋" w:cs="Times New Roman"/>
          <w:szCs w:val="32"/>
        </w:rPr>
        <w:t>t /a，外委处置</w:t>
      </w:r>
      <w:r>
        <w:rPr>
          <w:rFonts w:hint="default" w:ascii="Times New Roman" w:hAnsi="Times New Roman" w:eastAsia="仿宋" w:cs="Times New Roman"/>
          <w:szCs w:val="32"/>
          <w:u w:val="single" w:color="000000"/>
        </w:rPr>
        <w:t>22535.872</w:t>
      </w:r>
      <w:r>
        <w:rPr>
          <w:rFonts w:hint="default" w:ascii="Times New Roman" w:hAnsi="Times New Roman" w:eastAsia="仿宋" w:cs="Times New Roman"/>
          <w:szCs w:val="32"/>
        </w:rPr>
        <w:t>t /a。危险废物产生企业数量</w:t>
      </w:r>
      <w:r>
        <w:rPr>
          <w:rFonts w:hint="default" w:ascii="Times New Roman" w:hAnsi="Times New Roman" w:eastAsia="仿宋" w:cs="Times New Roman"/>
          <w:szCs w:val="32"/>
          <w:u w:val="single" w:color="000000"/>
        </w:rPr>
        <w:t xml:space="preserve"> 13 </w:t>
      </w:r>
      <w:r>
        <w:rPr>
          <w:rFonts w:hint="default" w:ascii="Times New Roman" w:hAnsi="Times New Roman" w:eastAsia="仿宋" w:cs="Times New Roman"/>
          <w:szCs w:val="32"/>
        </w:rPr>
        <w:t>个，产生量</w:t>
      </w:r>
      <w:r>
        <w:rPr>
          <w:rFonts w:hint="default" w:ascii="Times New Roman" w:hAnsi="Times New Roman" w:eastAsia="仿宋" w:cs="Times New Roman"/>
          <w:szCs w:val="32"/>
          <w:u w:val="single" w:color="000000"/>
        </w:rPr>
        <w:t xml:space="preserve"> 69.0469 </w:t>
      </w:r>
      <w:r>
        <w:rPr>
          <w:rFonts w:hint="default" w:ascii="Times New Roman" w:hAnsi="Times New Roman" w:eastAsia="仿宋" w:cs="Times New Roman"/>
          <w:szCs w:val="32"/>
        </w:rPr>
        <w:t>t/a，其中，自行综合利用</w:t>
      </w:r>
      <w:r>
        <w:rPr>
          <w:rFonts w:hint="default" w:ascii="Times New Roman" w:hAnsi="Times New Roman" w:eastAsia="仿宋" w:cs="Times New Roman"/>
          <w:szCs w:val="32"/>
          <w:u w:val="single" w:color="000000"/>
        </w:rPr>
        <w:t xml:space="preserve"> / </w:t>
      </w:r>
      <w:r>
        <w:rPr>
          <w:rFonts w:hint="default" w:ascii="Times New Roman" w:hAnsi="Times New Roman" w:eastAsia="仿宋" w:cs="Times New Roman"/>
          <w:szCs w:val="32"/>
        </w:rPr>
        <w:t>t/a，自行处置</w:t>
      </w:r>
      <w:r>
        <w:rPr>
          <w:rFonts w:hint="default" w:ascii="Times New Roman" w:hAnsi="Times New Roman" w:eastAsia="仿宋" w:cs="Times New Roman"/>
          <w:szCs w:val="32"/>
          <w:u w:val="single" w:color="000000"/>
        </w:rPr>
        <w:t xml:space="preserve"> / </w:t>
      </w:r>
      <w:r>
        <w:rPr>
          <w:rFonts w:hint="default" w:ascii="Times New Roman" w:hAnsi="Times New Roman" w:eastAsia="仿宋" w:cs="Times New Roman"/>
          <w:szCs w:val="32"/>
        </w:rPr>
        <w:t>t/a，外委处置</w:t>
      </w:r>
      <w:r>
        <w:rPr>
          <w:rFonts w:hint="default" w:ascii="Times New Roman" w:hAnsi="Times New Roman" w:eastAsia="仿宋" w:cs="Times New Roman"/>
          <w:szCs w:val="32"/>
          <w:u w:val="single" w:color="000000"/>
        </w:rPr>
        <w:t xml:space="preserve">69.0469  </w:t>
      </w:r>
      <w:r>
        <w:rPr>
          <w:rFonts w:hint="default" w:ascii="Times New Roman" w:hAnsi="Times New Roman" w:eastAsia="仿宋" w:cs="Times New Roman"/>
          <w:szCs w:val="32"/>
        </w:rPr>
        <w:t>t/a。</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园区集中的工业固废处理设施情况：处理能力</w:t>
      </w:r>
      <w:r>
        <w:rPr>
          <w:rFonts w:hint="default" w:ascii="Times New Roman" w:hAnsi="Times New Roman" w:eastAsia="仿宋" w:cs="Times New Roman"/>
          <w:szCs w:val="32"/>
          <w:u w:val="single" w:color="000000"/>
        </w:rPr>
        <w:t xml:space="preserve"> / </w:t>
      </w:r>
      <w:r>
        <w:rPr>
          <w:rFonts w:hint="default" w:ascii="Times New Roman" w:hAnsi="Times New Roman" w:eastAsia="仿宋" w:cs="Times New Roman"/>
          <w:szCs w:val="32"/>
        </w:rPr>
        <w:t>t/a，处理工业固体废物种类</w:t>
      </w:r>
      <w:r>
        <w:rPr>
          <w:rFonts w:hint="default" w:ascii="Times New Roman" w:hAnsi="Times New Roman" w:eastAsia="仿宋" w:cs="Times New Roman"/>
          <w:szCs w:val="32"/>
          <w:u w:val="single" w:color="000000"/>
        </w:rPr>
        <w:t xml:space="preserve"> / </w:t>
      </w:r>
      <w:r>
        <w:rPr>
          <w:rFonts w:hint="default" w:ascii="Times New Roman" w:hAnsi="Times New Roman" w:eastAsia="仿宋" w:cs="Times New Roman"/>
          <w:szCs w:val="32"/>
        </w:rPr>
        <w:t>，处理工艺</w:t>
      </w:r>
      <w:r>
        <w:rPr>
          <w:rFonts w:hint="default" w:ascii="Times New Roman" w:hAnsi="Times New Roman" w:eastAsia="仿宋" w:cs="Times New Roman"/>
          <w:szCs w:val="32"/>
          <w:u w:val="single" w:color="000000"/>
        </w:rPr>
        <w:t xml:space="preserve"> / </w:t>
      </w:r>
      <w:r>
        <w:rPr>
          <w:rFonts w:hint="default" w:ascii="Times New Roman" w:hAnsi="Times New Roman" w:eastAsia="仿宋" w:cs="Times New Roman"/>
          <w:szCs w:val="32"/>
        </w:rPr>
        <w:t>。</w:t>
      </w:r>
    </w:p>
    <w:p>
      <w:pPr>
        <w:pStyle w:val="13"/>
        <w:snapToGrid w:val="0"/>
        <w:spacing w:after="0"/>
        <w:ind w:left="0" w:leftChars="0" w:firstLine="640"/>
        <w:outlineLvl w:val="1"/>
        <w:rPr>
          <w:rFonts w:hint="eastAsia" w:ascii="仿宋" w:hAnsi="仿宋" w:eastAsia="仿宋" w:cs="仿宋_GB2312"/>
          <w:szCs w:val="32"/>
        </w:rPr>
      </w:pPr>
      <w:r>
        <w:rPr>
          <w:rFonts w:hint="eastAsia" w:ascii="仿宋" w:hAnsi="仿宋" w:eastAsia="仿宋" w:cs="仿宋_GB2312"/>
          <w:szCs w:val="32"/>
        </w:rPr>
        <w:t>本园区不涉及尾矿库。</w:t>
      </w:r>
    </w:p>
    <w:p>
      <w:pPr>
        <w:pStyle w:val="13"/>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（七）投诉管理</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本年度园区共受理各类（含各级督查、各级环保投诉等）投诉</w:t>
      </w:r>
      <w:r>
        <w:rPr>
          <w:rFonts w:hint="default" w:ascii="Times New Roman" w:hAnsi="Times New Roman" w:eastAsia="仿宋" w:cs="Times New Roman"/>
          <w:szCs w:val="32"/>
          <w:u w:val="single"/>
        </w:rPr>
        <w:t xml:space="preserve"> 0 </w:t>
      </w:r>
      <w:r>
        <w:rPr>
          <w:rFonts w:hint="default" w:ascii="Times New Roman" w:hAnsi="Times New Roman" w:eastAsia="仿宋" w:cs="Times New Roman"/>
          <w:szCs w:val="32"/>
        </w:rPr>
        <w:t>件，已完成整改</w:t>
      </w:r>
      <w:r>
        <w:rPr>
          <w:rFonts w:hint="default" w:ascii="Times New Roman" w:hAnsi="Times New Roman" w:eastAsia="仿宋" w:cs="Times New Roman"/>
          <w:szCs w:val="32"/>
          <w:u w:val="single"/>
        </w:rPr>
        <w:t xml:space="preserve"> </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u w:val="single"/>
        </w:rPr>
        <w:t xml:space="preserve"> </w:t>
      </w:r>
      <w:r>
        <w:rPr>
          <w:rFonts w:hint="default" w:ascii="Times New Roman" w:hAnsi="Times New Roman" w:eastAsia="仿宋" w:cs="Times New Roman"/>
          <w:szCs w:val="32"/>
        </w:rPr>
        <w:t>件，完成率</w:t>
      </w:r>
      <w:r>
        <w:rPr>
          <w:rFonts w:hint="default" w:ascii="Times New Roman" w:hAnsi="Times New Roman" w:eastAsia="仿宋" w:cs="Times New Roman"/>
          <w:szCs w:val="32"/>
          <w:u w:val="single"/>
        </w:rPr>
        <w:t xml:space="preserve"> </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u w:val="single"/>
        </w:rPr>
        <w:t xml:space="preserve"> </w:t>
      </w:r>
      <w:r>
        <w:rPr>
          <w:rFonts w:hint="default" w:ascii="Times New Roman" w:hAnsi="Times New Roman" w:eastAsia="仿宋" w:cs="Times New Roman"/>
          <w:szCs w:val="32"/>
        </w:rPr>
        <w:t>%。环保督察交办问题</w:t>
      </w:r>
      <w:r>
        <w:rPr>
          <w:rFonts w:hint="default" w:ascii="Times New Roman" w:hAnsi="Times New Roman" w:eastAsia="仿宋" w:cs="Times New Roman"/>
          <w:szCs w:val="32"/>
          <w:u w:val="single"/>
        </w:rPr>
        <w:t xml:space="preserve"> 0 </w:t>
      </w:r>
      <w:r>
        <w:rPr>
          <w:rFonts w:hint="default" w:ascii="Times New Roman" w:hAnsi="Times New Roman" w:eastAsia="仿宋" w:cs="Times New Roman"/>
          <w:szCs w:val="32"/>
        </w:rPr>
        <w:t>件，已完成整改</w:t>
      </w:r>
      <w:r>
        <w:rPr>
          <w:rFonts w:hint="default" w:ascii="Times New Roman" w:hAnsi="Times New Roman" w:eastAsia="仿宋" w:cs="Times New Roman"/>
          <w:szCs w:val="32"/>
          <w:u w:val="single"/>
        </w:rPr>
        <w:t xml:space="preserve"> </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rPr>
        <w:t>件，完成率</w:t>
      </w:r>
      <w:r>
        <w:rPr>
          <w:rFonts w:hint="default" w:ascii="Times New Roman" w:hAnsi="Times New Roman" w:eastAsia="仿宋" w:cs="Times New Roman"/>
          <w:szCs w:val="32"/>
          <w:u w:val="single"/>
        </w:rPr>
        <w:t xml:space="preserve"> </w:t>
      </w:r>
      <w:r>
        <w:rPr>
          <w:rFonts w:hint="default" w:ascii="Times New Roman" w:hAnsi="Times New Roman" w:eastAsia="仿宋" w:cs="Times New Roman"/>
          <w:szCs w:val="32"/>
          <w:u w:val="single" w:color="000000"/>
        </w:rPr>
        <w:t>/</w:t>
      </w:r>
      <w:r>
        <w:rPr>
          <w:rFonts w:hint="default" w:ascii="Times New Roman" w:hAnsi="Times New Roman" w:eastAsia="仿宋" w:cs="Times New Roman"/>
          <w:szCs w:val="32"/>
          <w:u w:val="single"/>
        </w:rPr>
        <w:t xml:space="preserve"> </w:t>
      </w:r>
      <w:r>
        <w:rPr>
          <w:rFonts w:hint="default" w:ascii="Times New Roman" w:hAnsi="Times New Roman" w:eastAsia="仿宋" w:cs="Times New Roman"/>
          <w:szCs w:val="32"/>
        </w:rPr>
        <w:t>%。</w:t>
      </w:r>
    </w:p>
    <w:p>
      <w:pPr>
        <w:pStyle w:val="13"/>
        <w:snapToGrid w:val="0"/>
        <w:spacing w:after="0"/>
        <w:ind w:left="0" w:leftChars="0" w:firstLine="640"/>
        <w:outlineLvl w:val="1"/>
        <w:rPr>
          <w:rFonts w:ascii="楷体_GB2312" w:hAnsi="楷体_GB2312" w:eastAsia="楷体_GB2312" w:cs="楷体_GB2312"/>
          <w:szCs w:val="32"/>
        </w:rPr>
      </w:pPr>
      <w:r>
        <w:rPr>
          <w:rFonts w:hint="eastAsia" w:ascii="楷体_GB2312" w:hAnsi="楷体_GB2312" w:eastAsia="楷体_GB2312" w:cs="楷体_GB2312"/>
          <w:szCs w:val="32"/>
        </w:rPr>
        <w:t>（八）园区信用评价</w:t>
      </w:r>
    </w:p>
    <w:p>
      <w:pPr>
        <w:pStyle w:val="13"/>
        <w:snapToGrid w:val="0"/>
        <w:spacing w:after="0"/>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根据园区生态环境管理与信用管理办法和细则，园区信用评价自评分为1</w:t>
      </w:r>
      <w:r>
        <w:rPr>
          <w:rFonts w:hint="default" w:ascii="Times New Roman" w:hAnsi="Times New Roman" w:eastAsia="仿宋" w:cs="Times New Roman"/>
          <w:szCs w:val="32"/>
          <w:lang w:val="en-US" w:eastAsia="zh-CN"/>
        </w:rPr>
        <w:t>1.5</w:t>
      </w:r>
      <w:r>
        <w:rPr>
          <w:rFonts w:hint="default" w:ascii="Times New Roman" w:hAnsi="Times New Roman" w:eastAsia="仿宋" w:cs="Times New Roman"/>
          <w:szCs w:val="32"/>
        </w:rPr>
        <w:t>分。</w:t>
      </w:r>
    </w:p>
    <w:tbl>
      <w:tblPr>
        <w:tblStyle w:val="15"/>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244"/>
        <w:gridCol w:w="865"/>
        <w:gridCol w:w="840"/>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b/>
                <w:szCs w:val="28"/>
              </w:rPr>
            </w:pPr>
            <w:r>
              <w:rPr>
                <w:rFonts w:hint="default" w:ascii="Times New Roman" w:hAnsi="Times New Roman" w:eastAsia="仿宋" w:cs="Times New Roman"/>
                <w:b/>
                <w:szCs w:val="28"/>
              </w:rPr>
              <w:t>序号</w:t>
            </w:r>
          </w:p>
        </w:tc>
        <w:tc>
          <w:tcPr>
            <w:tcW w:w="3244" w:type="dxa"/>
          </w:tcPr>
          <w:p>
            <w:pPr>
              <w:snapToGrid w:val="0"/>
              <w:spacing w:line="240" w:lineRule="auto"/>
              <w:ind w:firstLine="0" w:firstLineChars="0"/>
              <w:jc w:val="center"/>
              <w:rPr>
                <w:rFonts w:hint="default" w:ascii="Times New Roman" w:hAnsi="Times New Roman" w:eastAsia="仿宋" w:cs="Times New Roman"/>
                <w:b/>
                <w:szCs w:val="28"/>
              </w:rPr>
            </w:pPr>
            <w:r>
              <w:rPr>
                <w:rFonts w:hint="default" w:ascii="Times New Roman" w:hAnsi="Times New Roman" w:eastAsia="仿宋" w:cs="Times New Roman"/>
                <w:b/>
                <w:szCs w:val="28"/>
              </w:rPr>
              <w:t>评价标准</w:t>
            </w:r>
          </w:p>
        </w:tc>
        <w:tc>
          <w:tcPr>
            <w:tcW w:w="865" w:type="dxa"/>
          </w:tcPr>
          <w:p>
            <w:pPr>
              <w:snapToGrid w:val="0"/>
              <w:spacing w:line="240" w:lineRule="auto"/>
              <w:ind w:firstLine="0" w:firstLineChars="0"/>
              <w:jc w:val="center"/>
              <w:rPr>
                <w:rFonts w:hint="default" w:ascii="Times New Roman" w:hAnsi="Times New Roman" w:eastAsia="仿宋" w:cs="Times New Roman"/>
                <w:b/>
                <w:szCs w:val="28"/>
              </w:rPr>
            </w:pPr>
            <w:r>
              <w:rPr>
                <w:rFonts w:hint="default" w:ascii="Times New Roman" w:hAnsi="Times New Roman" w:eastAsia="仿宋" w:cs="Times New Roman"/>
                <w:b/>
                <w:szCs w:val="28"/>
              </w:rPr>
              <w:t>分值</w:t>
            </w:r>
          </w:p>
        </w:tc>
        <w:tc>
          <w:tcPr>
            <w:tcW w:w="840" w:type="dxa"/>
          </w:tcPr>
          <w:p>
            <w:pPr>
              <w:snapToGrid w:val="0"/>
              <w:spacing w:line="240" w:lineRule="auto"/>
              <w:ind w:firstLine="0" w:firstLineChars="0"/>
              <w:jc w:val="center"/>
              <w:rPr>
                <w:rFonts w:hint="default" w:ascii="Times New Roman" w:hAnsi="Times New Roman" w:eastAsia="仿宋" w:cs="Times New Roman"/>
                <w:b/>
                <w:szCs w:val="28"/>
              </w:rPr>
            </w:pPr>
            <w:r>
              <w:rPr>
                <w:rFonts w:hint="default" w:ascii="Times New Roman" w:hAnsi="Times New Roman" w:eastAsia="仿宋" w:cs="Times New Roman"/>
                <w:b/>
                <w:szCs w:val="28"/>
              </w:rPr>
              <w:t>园区得分</w:t>
            </w:r>
          </w:p>
        </w:tc>
        <w:tc>
          <w:tcPr>
            <w:tcW w:w="4200" w:type="dxa"/>
          </w:tcPr>
          <w:p>
            <w:pPr>
              <w:snapToGrid w:val="0"/>
              <w:spacing w:line="240" w:lineRule="auto"/>
              <w:ind w:firstLine="0" w:firstLineChars="0"/>
              <w:jc w:val="center"/>
              <w:rPr>
                <w:rFonts w:hint="default" w:ascii="Times New Roman" w:hAnsi="Times New Roman" w:eastAsia="仿宋" w:cs="Times New Roman"/>
                <w:b/>
                <w:szCs w:val="28"/>
              </w:rPr>
            </w:pPr>
            <w:r>
              <w:rPr>
                <w:rFonts w:hint="default" w:ascii="Times New Roman" w:hAnsi="Times New Roman" w:eastAsia="仿宋" w:cs="Times New Roman"/>
                <w:b/>
                <w:szCs w:val="28"/>
              </w:rPr>
              <w:t>园区情况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产业园区未按要求开展规划环评或环境影响跟踪评价</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lang w:val="en-US" w:eastAsia="zh-CN"/>
              </w:rPr>
            </w:pPr>
            <w:r>
              <w:rPr>
                <w:rFonts w:hint="default" w:ascii="Times New Roman" w:hAnsi="Times New Roman" w:eastAsia="仿宋" w:cs="Times New Roman"/>
                <w:szCs w:val="28"/>
              </w:rPr>
              <w:t>园区于2013年取得规划环评批复至今没有重大调整和修订；澧县高新技术产业开发区管理委员会于2022年7月委托湖南景玺环保科技有限公司对澧县高新区2013年以来规划实施产生的环境影响进行跟踪评价</w:t>
            </w:r>
            <w:r>
              <w:rPr>
                <w:rFonts w:hint="default" w:ascii="Times New Roman" w:hAnsi="Times New Roman" w:eastAsia="仿宋" w:cs="Times New Roman"/>
                <w:szCs w:val="28"/>
                <w:lang w:eastAsia="zh-CN"/>
              </w:rPr>
              <w:t>，2022年11月11日召开了跟踪评价专家评审会</w:t>
            </w:r>
            <w:r>
              <w:rPr>
                <w:rFonts w:hint="default" w:ascii="Times New Roman" w:hAnsi="Times New Roman" w:eastAsia="仿宋" w:cs="Times New Roman"/>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产业园区未落实</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三线一单</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生态环境分区管控等要求。</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产业园区已落实</w:t>
            </w:r>
            <w:r>
              <w:rPr>
                <w:rFonts w:hint="eastAsia" w:ascii="仿宋" w:hAnsi="仿宋" w:eastAsia="仿宋" w:cs="仿宋"/>
                <w:szCs w:val="28"/>
                <w:lang w:eastAsia="zh-CN"/>
              </w:rPr>
              <w:t>“</w:t>
            </w:r>
            <w:r>
              <w:rPr>
                <w:rFonts w:hint="default" w:ascii="Times New Roman" w:hAnsi="Times New Roman" w:eastAsia="仿宋" w:cs="Times New Roman"/>
                <w:szCs w:val="28"/>
              </w:rPr>
              <w:t>三线一单</w:t>
            </w:r>
            <w:r>
              <w:rPr>
                <w:rFonts w:hint="eastAsia" w:ascii="仿宋" w:hAnsi="仿宋" w:eastAsia="仿宋" w:cs="仿宋"/>
                <w:szCs w:val="28"/>
                <w:lang w:eastAsia="zh-CN"/>
              </w:rPr>
              <w:t>”</w:t>
            </w:r>
            <w:r>
              <w:rPr>
                <w:rFonts w:hint="default" w:ascii="Times New Roman" w:hAnsi="Times New Roman" w:eastAsia="仿宋" w:cs="Times New Roman"/>
                <w:szCs w:val="28"/>
              </w:rPr>
              <w:t>生态环境分区管控等要求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3</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化工园区认定后复核不合格或被摘牌。</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产业园区不属于化工园区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4</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产业园区内有企事业单位未依法开展环境影响评价或申领排污许可证。</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产业园区建设项目均已依法开展环境影响评价并申领排污许可证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5</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产业园区未按要求进行废水收集处理或未达标排放。</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园区污水集中处理比例100%且处理达标排放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6</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产业园区未建立工业炉窑、锅炉清单和涉VOCs重点行业企事业单位管理台账，园区内存在工业炉窑、锅炉或涉VOCs重点行业企事业单位未按规定建设、运行有效收集处理设施并达标放</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园区已涉建立工业炉窑、锅炉清单和涉VOCs重点行业企事业单位管理台账，工业炉窑、锅炉或涉VOCs重点行业企事业单位均按规定建设、运行有效收集处理设施并达标排放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7</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产业园区内存在涉危险废物环境违法行为或连续2年规范化管理评估不达标企事业单位。</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危险废物产生企业数量13个，2022年度产生量69.0469t/a，均外委处置。未发生发生危险废物非法倾倒、转移、处置事件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8</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产业园区内土壤污染重点监管单位未按要求开展自行监测和隐患排查</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产业园区内无土壤污染重点监管单位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9</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产业园区未按规定开展自行监测或自行监测数据弄虚作假</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产业园区定期委托第三方机构对园区环境质量及创新创业园生活污水处理站进行自行监测；园区建有一座小微空气监测站：澧县创新创业园空气质量自动监测站，位于澧县高新区创新创业园内。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10</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产业园区未按要求开展环境污染第三方治理</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聘请湖南景玺环保科技有限公司获得为澧县高新区提供第三方治理服务。湖南景玺环保科技有限公司主要工作内容包括：建立环保信息管理平台、环境档案管理系统、园区入驻企业环保合规性排查、园区环境基础设施调查及运营期咨询服务等。澧县高新区东园区200t生活污水的生化处理设施，由湖南茂一环保科技有限公司负责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11</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产业园区内有被评为环保黑名单的企事业单位</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产业园区内没有企事业被评为环境不良企业、没有被评为黑名单的企事业单位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12</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产业园区未建立健全</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一园一档</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一企一档</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信息化管理平台</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园区已建立健全</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一园一档</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一企一档</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信息化管理平台，平台中包括重点企业污染源在线监控、东园区环境质量监控等内容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13</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产业园区未按要求制定或修编园区突发环境事件应急预案</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园区已于2021年12月完成《澧县经济开发区突发环境事件应急预案（2021年修订版）》县、市、省级备案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14</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产业园区未定期组织开展应急演练、环境应急救援物资配备不符合规定、环境风险防范措施不到位</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园区于2022年11月18日下午高新区东园区澧县广和包装有限公司开展了突发环境事件应急演练，按要求配备环境应急救援物资，环境风险防范措施已落实到位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15</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产业园区内发生一般、较大突发环境事件或生态破坏事件</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产业园区未发生一般、较大突发环境事件或生态破坏事件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16</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产业园区存在被中央或省级环保督察、生态环境警示片等反馈问题，或出现被省级及以上主管部门区域限批、挂牌督办、约谈等情况</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-4</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产业园区未发生被中央或省级环保督察、生态环境警示片等反馈问题，或出现被省级及以上主管部门区域限批、挂牌督办、约谈等情况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17</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产业园区因发生突出生态环境问题被中央层面约谈、典型案例曝光、移交问责或发生重、特大突发环境事件或生态破坏事件</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直接评为环保风险园区</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vAlign w:val="center"/>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产业园区未出现被中央层面约谈、典型案例曝光、移交问责或发生重、特大突发环境事件或生态破坏事件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18</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产业园区主要污染物削减率排名前10%</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lang w:val="en-US" w:eastAsia="zh-CN"/>
              </w:rPr>
            </w:pPr>
            <w:r>
              <w:rPr>
                <w:rFonts w:hint="default" w:ascii="Times New Roman" w:hAnsi="Times New Roman" w:eastAsia="仿宋" w:cs="Times New Roman"/>
                <w:szCs w:val="28"/>
                <w:lang w:val="en-US" w:eastAsia="zh-CN"/>
              </w:rPr>
              <w:t>+1</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产业园区主要污染物削减率排名前10%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19</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产业园区在生态环境保护和绿色发展领域获得省部级及以上表彰、推荐推广</w:t>
            </w:r>
            <w:r>
              <w:rPr>
                <w:rFonts w:hint="default" w:ascii="Times New Roman" w:hAnsi="Times New Roman" w:eastAsia="微软雅黑" w:cs="Times New Roman"/>
                <w:spacing w:val="-3"/>
                <w:sz w:val="24"/>
                <w:szCs w:val="24"/>
              </w:rPr>
              <w:t>。</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w:t>
            </w:r>
          </w:p>
        </w:tc>
        <w:tc>
          <w:tcPr>
            <w:tcW w:w="840" w:type="dxa"/>
          </w:tcPr>
          <w:p>
            <w:pPr>
              <w:snapToGrid w:val="0"/>
              <w:spacing w:line="240" w:lineRule="auto"/>
              <w:ind w:firstLine="0" w:firstLineChars="0"/>
              <w:jc w:val="center"/>
              <w:rPr>
                <w:rFonts w:hint="default" w:ascii="Times New Roman" w:hAnsi="Times New Roman" w:eastAsia="仿宋" w:cs="Times New Roman"/>
                <w:szCs w:val="28"/>
                <w:lang w:val="en-US" w:eastAsia="zh-CN"/>
              </w:rPr>
            </w:pPr>
            <w:r>
              <w:rPr>
                <w:rFonts w:hint="default" w:ascii="Times New Roman" w:hAnsi="Times New Roman" w:eastAsia="仿宋" w:cs="Times New Roman"/>
                <w:szCs w:val="28"/>
                <w:lang w:val="en-US" w:eastAsia="zh-CN"/>
              </w:rPr>
              <w:t>+1.5</w:t>
            </w:r>
          </w:p>
        </w:tc>
        <w:tc>
          <w:tcPr>
            <w:tcW w:w="4200" w:type="dxa"/>
          </w:tcPr>
          <w:p>
            <w:pPr>
              <w:snapToGrid w:val="0"/>
              <w:spacing w:line="240" w:lineRule="auto"/>
              <w:ind w:firstLine="0" w:firstLineChars="0"/>
              <w:jc w:val="center"/>
              <w:rPr>
                <w:rFonts w:hint="default" w:ascii="Times New Roman" w:hAnsi="Times New Roman" w:eastAsia="仿宋" w:cs="Times New Roman"/>
                <w:szCs w:val="28"/>
                <w:lang w:val="en-US"/>
              </w:rPr>
            </w:pPr>
            <w:r>
              <w:rPr>
                <w:rFonts w:hint="default" w:ascii="Times New Roman" w:hAnsi="Times New Roman" w:eastAsia="仿宋" w:cs="Times New Roman"/>
                <w:szCs w:val="28"/>
              </w:rPr>
              <w:t>产业园区</w:t>
            </w:r>
            <w:r>
              <w:rPr>
                <w:rFonts w:hint="default" w:ascii="Times New Roman" w:hAnsi="Times New Roman" w:eastAsia="仿宋" w:cs="Times New Roman"/>
                <w:szCs w:val="28"/>
                <w:lang w:val="en-US" w:eastAsia="zh-CN"/>
              </w:rPr>
              <w:t>获省级绿色园区表彰；园区建有一个危险废物集中储存和处置设施（常德科瑞再生资源有限公司），为园区内企业事业单位和其他生产经营者处置危险废物。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20</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产业园区未按要求及时公开园区环境信息</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澧县高新技术产业开发区管理委员会对园区生态环境管理相关信息进行网络公示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21</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产业园区因环境问题引发集中或长时间信访、投诉、上访，引发负面舆情</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产业园区未出现因环境问题引发集中或长时间信访、投诉、上访，引发负面舆情的情况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22</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产业园区未按要求完成湖南省生态环境厅年度任务</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产业园区已按要求完成湖南省生态环境厅年度任务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23</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产业园区存在出台</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土政策</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或以其他方式干扰执法，妨碍生态环境部门依法查处环境违法问题的行为。</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产业园区不存在出台</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土政策</w:t>
            </w:r>
            <w:r>
              <w:rPr>
                <w:rFonts w:hint="eastAsia" w:ascii="Times New Roman" w:hAnsi="Times New Roman" w:eastAsia="仿宋" w:cs="Times New Roman"/>
                <w:szCs w:val="28"/>
                <w:lang w:eastAsia="zh-CN"/>
              </w:rPr>
              <w:t>”</w:t>
            </w:r>
            <w:r>
              <w:rPr>
                <w:rFonts w:hint="default" w:ascii="Times New Roman" w:hAnsi="Times New Roman" w:eastAsia="仿宋" w:cs="Times New Roman"/>
                <w:szCs w:val="28"/>
              </w:rPr>
              <w:t>或以其他方式干扰执法，妨碍生态环境部门依法查处环境违法问题的行为。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24</w:t>
            </w:r>
          </w:p>
        </w:tc>
        <w:tc>
          <w:tcPr>
            <w:tcW w:w="3244"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产业园区连续两年被评为环保诚信园区。</w:t>
            </w:r>
          </w:p>
        </w:tc>
        <w:tc>
          <w:tcPr>
            <w:tcW w:w="865"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+1</w:t>
            </w:r>
          </w:p>
        </w:tc>
        <w:tc>
          <w:tcPr>
            <w:tcW w:w="840" w:type="dxa"/>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0</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979" w:type="dxa"/>
            <w:gridSpan w:val="3"/>
          </w:tcPr>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说明：</w:t>
            </w:r>
          </w:p>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一、初始分值为9分，满分12分。</w:t>
            </w:r>
          </w:p>
          <w:p>
            <w:pPr>
              <w:snapToGrid w:val="0"/>
              <w:spacing w:line="240" w:lineRule="auto"/>
              <w:ind w:firstLine="0" w:firstLineChars="0"/>
              <w:jc w:val="center"/>
              <w:rPr>
                <w:rFonts w:hint="default" w:ascii="Times New Roman" w:hAnsi="Times New Roman" w:eastAsia="仿宋" w:cs="Times New Roman"/>
                <w:szCs w:val="28"/>
              </w:rPr>
            </w:pPr>
            <w:r>
              <w:rPr>
                <w:rFonts w:hint="default" w:ascii="Times New Roman" w:hAnsi="Times New Roman" w:eastAsia="仿宋" w:cs="Times New Roman"/>
                <w:szCs w:val="28"/>
              </w:rPr>
              <w:t>二、产业园区未及时按照要求上报自查报告，直接评定为环保风险园区。若自查报告中未上报某项指标内容的，此项指标按最高分进行扣分。</w:t>
            </w:r>
          </w:p>
        </w:tc>
        <w:tc>
          <w:tcPr>
            <w:tcW w:w="840" w:type="dxa"/>
          </w:tcPr>
          <w:p>
            <w:pPr>
              <w:snapToGrid w:val="0"/>
              <w:spacing w:line="240" w:lineRule="auto"/>
              <w:ind w:firstLine="0" w:firstLineChars="0"/>
              <w:jc w:val="center"/>
              <w:rPr>
                <w:rFonts w:hint="default" w:ascii="Times New Roman" w:hAnsi="Times New Roman" w:eastAsia="仿宋" w:cs="Times New Roman"/>
                <w:szCs w:val="28"/>
                <w:lang w:val="en-US" w:eastAsia="zh-CN"/>
              </w:rPr>
            </w:pPr>
            <w:r>
              <w:rPr>
                <w:rFonts w:hint="default" w:ascii="Times New Roman" w:hAnsi="Times New Roman" w:eastAsia="仿宋" w:cs="Times New Roman"/>
                <w:szCs w:val="28"/>
                <w:lang w:val="en-US" w:eastAsia="zh-CN"/>
              </w:rPr>
              <w:t>11.5</w:t>
            </w:r>
          </w:p>
        </w:tc>
        <w:tc>
          <w:tcPr>
            <w:tcW w:w="4200" w:type="dxa"/>
          </w:tcPr>
          <w:p>
            <w:pPr>
              <w:snapToGrid w:val="0"/>
              <w:spacing w:line="240" w:lineRule="auto"/>
              <w:ind w:firstLine="0" w:firstLineChars="0"/>
              <w:jc w:val="center"/>
              <w:rPr>
                <w:rFonts w:hint="default" w:ascii="Times New Roman" w:hAnsi="Times New Roman" w:eastAsia="仿宋" w:cs="Times New Roman"/>
                <w:szCs w:val="28"/>
              </w:rPr>
            </w:pPr>
          </w:p>
        </w:tc>
      </w:tr>
    </w:tbl>
    <w:p>
      <w:pPr>
        <w:pStyle w:val="13"/>
        <w:snapToGrid w:val="0"/>
        <w:spacing w:after="0" w:line="360" w:lineRule="auto"/>
        <w:ind w:left="0" w:leftChars="0" w:firstLine="640"/>
        <w:rPr>
          <w:rFonts w:hint="eastAsia" w:ascii="Times New Roman" w:hAnsi="Times New Roman" w:eastAsia="仿宋" w:cs="Times New Roman"/>
          <w:szCs w:val="32"/>
          <w:lang w:eastAsia="zh-CN"/>
        </w:rPr>
      </w:pPr>
      <w:r>
        <w:rPr>
          <w:rFonts w:hint="default" w:ascii="Times New Roman" w:hAnsi="Times New Roman" w:eastAsia="仿宋" w:cs="Times New Roman"/>
          <w:szCs w:val="32"/>
        </w:rPr>
        <w:t>根据园区生态环境管理与信用管理办法和细则，园区信用评价自评分为</w:t>
      </w:r>
      <w:r>
        <w:rPr>
          <w:rFonts w:hint="default" w:ascii="Times New Roman" w:hAnsi="Times New Roman" w:eastAsia="仿宋" w:cs="Times New Roman"/>
          <w:szCs w:val="32"/>
          <w:lang w:val="en-US" w:eastAsia="zh-CN"/>
        </w:rPr>
        <w:t>11.5</w:t>
      </w:r>
      <w:r>
        <w:rPr>
          <w:rFonts w:hint="default" w:ascii="Times New Roman" w:hAnsi="Times New Roman" w:eastAsia="仿宋" w:cs="Times New Roman"/>
          <w:szCs w:val="32"/>
        </w:rPr>
        <w:t>分。</w:t>
      </w:r>
    </w:p>
    <w:bookmarkEnd w:id="0"/>
    <w:p>
      <w:pPr>
        <w:spacing w:line="360" w:lineRule="auto"/>
        <w:ind w:firstLine="64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三、园区环保工作成效、主要措施做法</w:t>
      </w:r>
    </w:p>
    <w:p>
      <w:pPr>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2022年园区的工作成效、工作措施有：</w:t>
      </w:r>
    </w:p>
    <w:p>
      <w:pPr>
        <w:spacing w:line="360" w:lineRule="auto"/>
        <w:ind w:firstLine="643"/>
        <w:jc w:val="left"/>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1、严把入园企业环保准入关</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切实履行招商引资入园企业前征求环保意见，环保提出有异议的项目一律不准入园。2022年，园区未引进高耗能、高污染、高排放的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三高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企业，切实把好了企业污染源限止准入关，避免了在承接产业时，出现污染转移问题。</w:t>
      </w:r>
    </w:p>
    <w:p>
      <w:pPr>
        <w:spacing w:line="360" w:lineRule="auto"/>
        <w:ind w:firstLine="643"/>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2、建立环境信息管理平台。</w:t>
      </w:r>
      <w:r>
        <w:rPr>
          <w:rFonts w:hint="default" w:ascii="Times New Roman" w:hAnsi="Times New Roman" w:eastAsia="仿宋" w:cs="Times New Roman"/>
          <w:sz w:val="32"/>
          <w:szCs w:val="32"/>
        </w:rPr>
        <w:t>澧县高新技术产业开发区管委会委托武汉雷特科技有限公司开展园区环境监管智慧平台搭建工作，建立集污染源在线监控、企业生产工况、电能监控、视频监控及环保设施运行监控、环境质量监控于一体的数字化在线监控平台。通过将各类废气和废水在线监测设备、智能电表、视频监控、空气小微站等环保设置，将园区日常环保管理工作采用数字化管理模式，细化监管措施，丰富监管手段。</w:t>
      </w:r>
    </w:p>
    <w:p>
      <w:pPr>
        <w:spacing w:line="360" w:lineRule="auto"/>
        <w:ind w:firstLine="643"/>
        <w:jc w:val="left"/>
        <w:rPr>
          <w:rFonts w:hint="default" w:ascii="Times New Roman" w:hAnsi="Times New Roman" w:eastAsia="仿宋" w:cs="Times New Roman"/>
          <w:bCs/>
          <w:sz w:val="32"/>
          <w:szCs w:val="32"/>
        </w:rPr>
      </w:pPr>
      <w:r>
        <w:rPr>
          <w:rFonts w:hint="default" w:ascii="Times New Roman" w:hAnsi="Times New Roman" w:eastAsia="仿宋" w:cs="Times New Roman"/>
          <w:b/>
          <w:bCs/>
          <w:sz w:val="32"/>
          <w:szCs w:val="32"/>
        </w:rPr>
        <w:t>3</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开展全方位的园区环保现状排查。</w:t>
      </w:r>
      <w:r>
        <w:rPr>
          <w:rFonts w:hint="default" w:ascii="Times New Roman" w:hAnsi="Times New Roman" w:eastAsia="仿宋" w:cs="Times New Roman"/>
          <w:sz w:val="32"/>
          <w:szCs w:val="32"/>
        </w:rPr>
        <w:t>对已入驻企业开展环保状况调查，对照排污许可证要求，结合现场调查，查验环境管理台账及执行报告的真实性、完整性、合规性；并参照《排污单位环境管理台账及排污许可证执行报告技术规范总则(试行)》、相应行业排污许可证申请与核发技术规范及《工业污染源现场检查技术规范》等，调查核实相关情况。对问题较大的企业组织专家会诊，并提出整改要求或改进建议，对每个环节提出相应的环保建议，包括补充或完善相应环保手续、提出污染防治设施优化改良建议、减污增效的清洁生产建议等。</w:t>
      </w:r>
    </w:p>
    <w:p>
      <w:pPr>
        <w:spacing w:line="360" w:lineRule="auto"/>
        <w:ind w:firstLine="643"/>
        <w:jc w:val="left"/>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4、完善环保基础配套设施</w:t>
      </w: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sz w:val="32"/>
          <w:szCs w:val="32"/>
        </w:rPr>
        <w:t>县住建部门积极筹措资金完善市政基础配套设施，根据雨污管网全面排查情况，对园区内管网破损、渗漏点位进行了修复，另外严格督促企业完善好厂区雨污分流设施和污水预处理设施。</w:t>
      </w:r>
    </w:p>
    <w:p>
      <w:pPr>
        <w:spacing w:line="360" w:lineRule="auto"/>
        <w:ind w:firstLine="643"/>
        <w:jc w:val="left"/>
        <w:rPr>
          <w:rFonts w:hint="default" w:ascii="Times New Roman" w:hAnsi="Times New Roman" w:eastAsia="仿宋" w:cs="Times New Roman"/>
          <w:bCs/>
          <w:sz w:val="32"/>
          <w:szCs w:val="32"/>
        </w:rPr>
      </w:pPr>
      <w:r>
        <w:rPr>
          <w:rFonts w:hint="default" w:ascii="Times New Roman" w:hAnsi="Times New Roman" w:eastAsia="仿宋" w:cs="Times New Roman"/>
          <w:b/>
          <w:sz w:val="32"/>
          <w:szCs w:val="32"/>
        </w:rPr>
        <w:t>5、提升企业环保意识。</w:t>
      </w:r>
      <w:r>
        <w:rPr>
          <w:rFonts w:hint="default" w:ascii="Times New Roman" w:hAnsi="Times New Roman" w:eastAsia="仿宋" w:cs="Times New Roman"/>
          <w:bCs/>
          <w:sz w:val="32"/>
          <w:szCs w:val="32"/>
        </w:rPr>
        <w:t>为提升园区企业生态环保意识，园区组织召开2022年5月高新区2022年生态环保工作大会，联合环保管家开展生态环保知识讲座，介绍了相关环保政策、法律法规，环保手续的办理情况以及企业的日常环境保护管理等六个方面进行系统培训，进一步统一思想，提高企业环保责任意识。</w:t>
      </w:r>
    </w:p>
    <w:p>
      <w:pPr>
        <w:pStyle w:val="12"/>
        <w:widowControl/>
        <w:spacing w:line="360" w:lineRule="auto"/>
        <w:ind w:firstLine="643"/>
        <w:jc w:val="both"/>
        <w:rPr>
          <w:rFonts w:hint="default" w:ascii="Times New Roman" w:hAnsi="Times New Roman" w:eastAsia="仿宋" w:cs="Times New Roman"/>
          <w:bCs/>
          <w:sz w:val="28"/>
          <w:szCs w:val="28"/>
        </w:rPr>
      </w:pPr>
      <w:r>
        <w:rPr>
          <w:rFonts w:hint="default" w:ascii="Times New Roman" w:hAnsi="Times New Roman" w:eastAsia="仿宋" w:cs="Times New Roman"/>
          <w:b/>
          <w:sz w:val="32"/>
          <w:szCs w:val="32"/>
          <w:shd w:val="clear" w:color="auto" w:fill="FFFFFF"/>
        </w:rPr>
        <w:t>6、加速推进环保政策，服务园区企业。</w:t>
      </w:r>
      <w:r>
        <w:rPr>
          <w:rFonts w:hint="default" w:ascii="Times New Roman" w:hAnsi="Times New Roman" w:eastAsia="仿宋" w:cs="Times New Roman"/>
          <w:bCs/>
          <w:sz w:val="32"/>
          <w:szCs w:val="32"/>
          <w:shd w:val="clear" w:color="auto" w:fill="FFFFFF"/>
        </w:rPr>
        <w:t>2022年园区配合常德市生态环境局澧县分局完成了园区企业排污许可证规范化检查工作，环保管家协助未办理排污许可证的小微企业办理了相应的排污许可手续。</w:t>
      </w:r>
    </w:p>
    <w:p>
      <w:pPr>
        <w:spacing w:line="360" w:lineRule="auto"/>
        <w:ind w:firstLine="643"/>
        <w:rPr>
          <w:rFonts w:hint="default" w:ascii="Times New Roman" w:hAnsi="Times New Roman" w:eastAsia="仿宋" w:cs="Times New Roman"/>
          <w:bCs/>
          <w:sz w:val="32"/>
          <w:szCs w:val="32"/>
        </w:rPr>
      </w:pPr>
      <w:r>
        <w:rPr>
          <w:rFonts w:hint="default" w:ascii="Times New Roman" w:hAnsi="Times New Roman" w:eastAsia="仿宋" w:cs="Times New Roman"/>
          <w:b/>
          <w:kern w:val="0"/>
          <w:sz w:val="32"/>
          <w:szCs w:val="32"/>
          <w:shd w:val="clear" w:color="auto" w:fill="FFFFFF"/>
        </w:rPr>
        <w:t>7、强化环境风险管理、开展应急演练。</w:t>
      </w:r>
      <w:r>
        <w:rPr>
          <w:rFonts w:hint="default" w:ascii="Times New Roman" w:hAnsi="Times New Roman" w:eastAsia="仿宋" w:cs="Times New Roman"/>
          <w:bCs/>
          <w:kern w:val="0"/>
          <w:sz w:val="32"/>
          <w:szCs w:val="32"/>
          <w:shd w:val="clear" w:color="auto" w:fill="FFFFFF"/>
        </w:rPr>
        <w:t>目前园区已经完成园区应急预案编制，按照应急预案要求建立应急制度、完善风险防范措施</w:t>
      </w:r>
      <w:r>
        <w:rPr>
          <w:rFonts w:hint="default" w:ascii="Times New Roman" w:hAnsi="Times New Roman" w:eastAsia="仿宋" w:cs="Times New Roman"/>
          <w:szCs w:val="36"/>
        </w:rPr>
        <w:t>，</w:t>
      </w:r>
      <w:r>
        <w:rPr>
          <w:rFonts w:hint="default" w:ascii="Times New Roman" w:hAnsi="Times New Roman" w:eastAsia="仿宋" w:cs="Times New Roman"/>
          <w:bCs/>
          <w:sz w:val="32"/>
          <w:szCs w:val="32"/>
        </w:rPr>
        <w:t>于2022年11月18日下午在高新区东园区澧县广和包装有限公司开展了突发环境事件应急演练。</w:t>
      </w:r>
    </w:p>
    <w:p>
      <w:pPr>
        <w:pStyle w:val="13"/>
        <w:spacing w:after="0" w:line="360" w:lineRule="auto"/>
        <w:ind w:left="0" w:leftChars="0" w:firstLine="640"/>
        <w:outlineLvl w:val="0"/>
        <w:rPr>
          <w:rFonts w:hint="default" w:ascii="Times New Roman" w:hAnsi="Times New Roman" w:eastAsia="黑体" w:cs="Times New Roman"/>
          <w:szCs w:val="32"/>
        </w:rPr>
      </w:pPr>
      <w:r>
        <w:rPr>
          <w:rFonts w:hint="default" w:ascii="Times New Roman" w:hAnsi="Times New Roman" w:eastAsia="黑体" w:cs="Times New Roman"/>
          <w:szCs w:val="32"/>
        </w:rPr>
        <w:t>四、园区生态环境管理存在主要问题和难题</w:t>
      </w:r>
    </w:p>
    <w:p>
      <w:pPr>
        <w:pStyle w:val="13"/>
        <w:spacing w:line="360" w:lineRule="auto"/>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1</w:t>
      </w:r>
      <w:r>
        <w:rPr>
          <w:rFonts w:hint="eastAsia" w:ascii="Times New Roman" w:hAnsi="Times New Roman" w:eastAsia="仿宋" w:cs="Times New Roman"/>
          <w:szCs w:val="32"/>
          <w:lang w:eastAsia="zh-CN"/>
        </w:rPr>
        <w:t>、</w:t>
      </w:r>
      <w:r>
        <w:rPr>
          <w:rFonts w:hint="default" w:ascii="Times New Roman" w:hAnsi="Times New Roman" w:eastAsia="仿宋" w:cs="Times New Roman"/>
          <w:szCs w:val="32"/>
        </w:rPr>
        <w:t>部分企业有环保标识标牌等不规范现象的情况。</w:t>
      </w:r>
    </w:p>
    <w:p>
      <w:pPr>
        <w:pStyle w:val="13"/>
        <w:spacing w:line="360" w:lineRule="auto"/>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2、部分企业</w:t>
      </w:r>
      <w:r>
        <w:rPr>
          <w:rFonts w:hint="eastAsia" w:ascii="Times New Roman" w:hAnsi="Times New Roman" w:eastAsia="仿宋" w:cs="Times New Roman"/>
          <w:szCs w:val="32"/>
          <w:lang w:val="en-US" w:eastAsia="zh-CN"/>
        </w:rPr>
        <w:t>未完成</w:t>
      </w:r>
      <w:r>
        <w:rPr>
          <w:rFonts w:hint="default" w:ascii="Times New Roman" w:hAnsi="Times New Roman" w:eastAsia="仿宋" w:cs="Times New Roman"/>
          <w:szCs w:val="32"/>
        </w:rPr>
        <w:t>环保竣工验收</w:t>
      </w:r>
      <w:bookmarkStart w:id="1" w:name="_GoBack"/>
      <w:bookmarkEnd w:id="1"/>
      <w:r>
        <w:rPr>
          <w:rFonts w:hint="default" w:ascii="Times New Roman" w:hAnsi="Times New Roman" w:eastAsia="仿宋" w:cs="Times New Roman"/>
          <w:szCs w:val="32"/>
        </w:rPr>
        <w:t>。</w:t>
      </w:r>
    </w:p>
    <w:p>
      <w:pPr>
        <w:pStyle w:val="13"/>
        <w:spacing w:after="0" w:line="360" w:lineRule="auto"/>
        <w:ind w:left="0" w:leftChars="0" w:firstLine="640"/>
        <w:outlineLvl w:val="0"/>
        <w:rPr>
          <w:rFonts w:hint="default" w:ascii="Times New Roman" w:hAnsi="Times New Roman" w:eastAsia="黑体" w:cs="Times New Roman"/>
          <w:szCs w:val="32"/>
        </w:rPr>
      </w:pPr>
      <w:r>
        <w:rPr>
          <w:rFonts w:hint="default" w:ascii="Times New Roman" w:hAnsi="Times New Roman" w:eastAsia="黑体" w:cs="Times New Roman"/>
          <w:szCs w:val="32"/>
        </w:rPr>
        <w:t>五、下一步工作计划</w:t>
      </w:r>
    </w:p>
    <w:p>
      <w:pPr>
        <w:pStyle w:val="13"/>
        <w:spacing w:line="360" w:lineRule="auto"/>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1</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rPr>
        <w:t>根据园区发展的需求，对产业园区规划进行调整是我园区2023年的重点工作。目前规划调整工作前期准备已全面启动。调规完成后，开展园区调区扩区环境影响评价工作。</w:t>
      </w:r>
    </w:p>
    <w:p>
      <w:pPr>
        <w:pStyle w:val="13"/>
        <w:spacing w:line="360" w:lineRule="auto"/>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2、开展园区内企业污染物排放口规范化整治行动。加强现有企业管理，督促企业完善相应环保手续（环评及验收、突发环境应急预案、排污许可等），并加强排查监管。加强园区企业排污管理，减少周边居民对园区企业的投诉。</w:t>
      </w:r>
    </w:p>
    <w:p>
      <w:pPr>
        <w:pStyle w:val="13"/>
        <w:spacing w:line="360" w:lineRule="auto"/>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3、强化企业帮扶，继续开展问题排查。协助企业建立、完善相关环保管理制度，管理方法，建立规范化台账记录，备齐应急预案、排污许可等基本材料；同时通过三方环保管家进企业排查，逐个梳理问题，提供解决方案。</w:t>
      </w:r>
    </w:p>
    <w:p>
      <w:pPr>
        <w:pStyle w:val="13"/>
        <w:spacing w:line="360" w:lineRule="auto"/>
        <w:ind w:left="0" w:leftChars="0" w:firstLine="640"/>
        <w:rPr>
          <w:rFonts w:hint="default" w:ascii="Times New Roman" w:hAnsi="Times New Roman" w:eastAsia="仿宋" w:cs="Times New Roman"/>
          <w:szCs w:val="32"/>
          <w:lang w:val="en-US" w:eastAsia="zh-CN"/>
        </w:rPr>
      </w:pPr>
      <w:r>
        <w:rPr>
          <w:rFonts w:hint="default" w:ascii="Times New Roman" w:hAnsi="Times New Roman" w:eastAsia="仿宋" w:cs="Times New Roman"/>
          <w:szCs w:val="32"/>
        </w:rPr>
        <w:t>4、强化企业巡查、强化监督执法。2023年园区环保管理部门将加大对园区生态环境巡查力度；同时配合常德市生态环境局澧县分局加强对企业的执法力度；对发现环境问题的企业提出了整改要求，压实园区企业污染防治主体责任，让企业明确单位负责人和相关人员责任，建立环境保护工作机制。</w:t>
      </w:r>
      <w:r>
        <w:rPr>
          <w:rFonts w:hint="default" w:ascii="Times New Roman" w:hAnsi="Times New Roman" w:eastAsia="仿宋" w:cs="Times New Roman"/>
          <w:szCs w:val="32"/>
          <w:lang w:val="en-US" w:eastAsia="zh-CN"/>
        </w:rPr>
        <w:t>企业建成后及时要求办理排污许可、验收等手续。</w:t>
      </w:r>
    </w:p>
    <w:p>
      <w:pPr>
        <w:pStyle w:val="13"/>
        <w:spacing w:line="360" w:lineRule="auto"/>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5、进一步健全环境监管体系。健全园区生态环境管理智慧平台系统的建设，充分利用大数据，将园区环保监管网格化、数字化，借助智慧平台的智能性、高效性将园区环境监管能力提升一个台阶。</w:t>
      </w:r>
    </w:p>
    <w:p>
      <w:pPr>
        <w:pStyle w:val="13"/>
        <w:spacing w:line="360" w:lineRule="auto"/>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6、加大各项环保法律法规宣传力度，特别是停产企业留守人员、外租企业主的环保意识培训。加大对停产企业的检查监管</w:t>
      </w:r>
      <w:r>
        <w:rPr>
          <w:rFonts w:hint="default" w:ascii="Times New Roman" w:hAnsi="Times New Roman" w:eastAsia="仿宋" w:cs="Times New Roman"/>
          <w:szCs w:val="32"/>
          <w:lang w:eastAsia="zh-CN"/>
        </w:rPr>
        <w:t>，</w:t>
      </w:r>
      <w:r>
        <w:rPr>
          <w:rFonts w:hint="default" w:ascii="Times New Roman" w:hAnsi="Times New Roman" w:eastAsia="仿宋" w:cs="Times New Roman"/>
          <w:szCs w:val="32"/>
          <w:lang w:val="en-US" w:eastAsia="zh-CN"/>
        </w:rPr>
        <w:t>发现新进租赁企业，及时要求其办理环保手续</w:t>
      </w:r>
      <w:r>
        <w:rPr>
          <w:rFonts w:hint="default" w:ascii="Times New Roman" w:hAnsi="Times New Roman" w:eastAsia="仿宋" w:cs="Times New Roman"/>
          <w:szCs w:val="32"/>
        </w:rPr>
        <w:t>。</w:t>
      </w:r>
    </w:p>
    <w:p>
      <w:pPr>
        <w:pStyle w:val="13"/>
        <w:ind w:left="0" w:leftChars="0" w:firstLine="640"/>
        <w:rPr>
          <w:rFonts w:hint="default" w:ascii="Times New Roman" w:hAnsi="Times New Roman" w:eastAsia="仿宋" w:cs="Times New Roman"/>
          <w:szCs w:val="32"/>
        </w:rPr>
      </w:pPr>
    </w:p>
    <w:p>
      <w:pPr>
        <w:pStyle w:val="13"/>
        <w:ind w:left="0" w:leftChars="0" w:firstLine="640"/>
        <w:rPr>
          <w:rFonts w:hint="default" w:ascii="Times New Roman" w:hAnsi="Times New Roman" w:eastAsia="仿宋" w:cs="Times New Roman"/>
          <w:szCs w:val="32"/>
        </w:rPr>
      </w:pPr>
    </w:p>
    <w:p>
      <w:pPr>
        <w:ind w:firstLine="640"/>
        <w:jc w:val="right"/>
        <w:rPr>
          <w:rFonts w:hint="default" w:ascii="Times New Roman" w:hAnsi="Times New Roman" w:eastAsia="仿宋" w:cs="Times New Roman"/>
          <w:szCs w:val="32"/>
        </w:rPr>
      </w:pPr>
      <w:r>
        <w:rPr>
          <w:rFonts w:hint="default" w:ascii="Times New Roman" w:hAnsi="Times New Roman" w:eastAsia="仿宋" w:cs="Times New Roman"/>
          <w:sz w:val="32"/>
          <w:szCs w:val="32"/>
        </w:rPr>
        <w:t>澧县高新技术产业开发区管理委员会</w:t>
      </w:r>
    </w:p>
    <w:p>
      <w:pPr>
        <w:wordWrap w:val="0"/>
        <w:ind w:firstLine="640"/>
        <w:jc w:val="right"/>
        <w:rPr>
          <w:rFonts w:ascii="仿宋" w:hAnsi="仿宋" w:eastAsia="仿宋" w:cs="仿宋_GB2312"/>
          <w:sz w:val="32"/>
          <w:szCs w:val="32"/>
        </w:rPr>
      </w:pPr>
      <w:r>
        <w:rPr>
          <w:rFonts w:hint="default" w:ascii="Times New Roman" w:hAnsi="Times New Roman" w:eastAsia="仿宋" w:cs="Times New Roman"/>
          <w:sz w:val="32"/>
          <w:szCs w:val="32"/>
        </w:rPr>
        <w:t>2023年2月19日</w:t>
      </w:r>
      <w:r>
        <w:rPr>
          <w:rFonts w:hint="eastAsia" w:ascii="仿宋" w:hAnsi="仿宋" w:eastAsia="仿宋" w:cs="仿宋_GB2312"/>
          <w:sz w:val="32"/>
          <w:szCs w:val="32"/>
        </w:rPr>
        <w:t xml:space="preserve"> </w:t>
      </w:r>
    </w:p>
    <w:p>
      <w:pPr>
        <w:spacing w:line="600" w:lineRule="exact"/>
        <w:ind w:firstLine="640"/>
        <w:outlineLvl w:val="0"/>
        <w:rPr>
          <w:rFonts w:ascii="仿宋" w:hAnsi="仿宋" w:eastAsia="仿宋" w:cs="仿宋_GB2312"/>
          <w:sz w:val="32"/>
          <w:szCs w:val="32"/>
        </w:rPr>
      </w:pPr>
    </w:p>
    <w:sectPr>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DF5AB4-6872-48EB-B3EF-F18904724C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DF5B8F5-2C37-40DB-BF5A-1C5A64CE4CDF}"/>
  </w:font>
  <w:font w:name="仿宋_GB2312">
    <w:panose1 w:val="02010609030101010101"/>
    <w:charset w:val="86"/>
    <w:family w:val="modern"/>
    <w:pitch w:val="default"/>
    <w:sig w:usb0="00000001" w:usb1="080E0000" w:usb2="00000000" w:usb3="00000000" w:csb0="00040000" w:csb1="00000000"/>
    <w:embedRegular r:id="rId3" w:fontKey="{A7499533-6083-4E33-BD87-5B692BF99DFE}"/>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roman"/>
    <w:pitch w:val="default"/>
    <w:sig w:usb0="00000001" w:usb1="08000000" w:usb2="00000000" w:usb3="00000000" w:csb0="00040000" w:csb1="00000000"/>
    <w:embedRegular r:id="rId4" w:fontKey="{85F38575-78BE-43B9-9566-B21F93C72595}"/>
  </w:font>
  <w:font w:name="微软雅黑">
    <w:panose1 w:val="020B0503020204020204"/>
    <w:charset w:val="86"/>
    <w:family w:val="swiss"/>
    <w:pitch w:val="default"/>
    <w:sig w:usb0="80000287" w:usb1="2ACF3C50" w:usb2="00000016" w:usb3="00000000" w:csb0="0004001F" w:csb1="00000000"/>
    <w:embedRegular r:id="rId5" w:fontKey="{A77B7914-7A70-428B-AF14-745057CC3412}"/>
  </w:font>
  <w:font w:name="楷体_GB2312">
    <w:panose1 w:val="02010609030101010101"/>
    <w:charset w:val="86"/>
    <w:family w:val="auto"/>
    <w:pitch w:val="default"/>
    <w:sig w:usb0="00000001" w:usb1="080E0000" w:usb2="00000000" w:usb3="00000000" w:csb0="00040000" w:csb1="00000000"/>
    <w:embedRegular r:id="rId6" w:fontKey="{A12F4FCF-E77D-4DA8-BDBD-2D9C449ADDE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jc w:val="center"/>
      <w:rPr>
        <w:rFonts w:ascii="Times New Roman" w:hAnsi="Times New Roman" w:cs="Times New Roman"/>
        <w:sz w:val="24"/>
        <w:szCs w:val="24"/>
      </w:rPr>
    </w:pPr>
    <w:r>
      <w:rPr>
        <w:sz w:val="24"/>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ind w:firstLine="560"/>
                            <w:jc w:val="cente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PAGE   \* MERGEFORMAT</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31 -</w:t>
                          </w:r>
                          <w:r>
                            <w:rPr>
                              <w:rFonts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WQ/k/8ABAACbAwAADgAAAAAAAAABACAAAAAfAQAAZHJzL2Uyb0RvYy54bWxQSwUG&#10;AAAAAAYABgBZAQAAUQUAAAAA&#10;">
              <v:fill on="f" focussize="0,0"/>
              <v:stroke on="f" weight="0.5pt"/>
              <v:imagedata o:title=""/>
              <o:lock v:ext="edit" aspectratio="f"/>
              <v:textbox inset="0mm,0mm,0mm,0mm" style="mso-fit-shape-to-text:t;">
                <w:txbxContent>
                  <w:p>
                    <w:pPr>
                      <w:pStyle w:val="10"/>
                      <w:ind w:firstLine="560"/>
                      <w:jc w:val="cente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PAGE   \* MERGEFORMAT</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31 -</w:t>
                    </w:r>
                    <w:r>
                      <w:rPr>
                        <w:rFonts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jc w:val="center"/>
      <w:rPr>
        <w:rFonts w:ascii="Times New Roman" w:hAnsi="Times New Roman" w:cs="Times New Roman"/>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ind w:firstLine="560"/>
                            <w:jc w:val="cente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PAGE   \* MERGEFORMAT</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31 -</w:t>
                          </w:r>
                          <w:r>
                            <w:rPr>
                              <w:rFonts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pPr>
                      <w:pStyle w:val="10"/>
                      <w:ind w:firstLine="560"/>
                      <w:jc w:val="cente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PAGE   \* MERGEFORMAT</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31 -</w:t>
                    </w:r>
                    <w:r>
                      <w:rPr>
                        <w:rFonts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dit="trackedChanges"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WZmMWJlNDdmZDI2NDAyMjJkZTNhMTMxMDM4Y2IifQ=="/>
  </w:docVars>
  <w:rsids>
    <w:rsidRoot w:val="00000000"/>
    <w:rsid w:val="036D29D4"/>
    <w:rsid w:val="055E290D"/>
    <w:rsid w:val="0712477A"/>
    <w:rsid w:val="071D53FA"/>
    <w:rsid w:val="15910D09"/>
    <w:rsid w:val="185F6497"/>
    <w:rsid w:val="1BD01CD5"/>
    <w:rsid w:val="2C0C6D59"/>
    <w:rsid w:val="36C47227"/>
    <w:rsid w:val="40B34FA3"/>
    <w:rsid w:val="41B650C6"/>
    <w:rsid w:val="44350AC7"/>
    <w:rsid w:val="46D14414"/>
    <w:rsid w:val="5A0E7956"/>
    <w:rsid w:val="63CD05A1"/>
    <w:rsid w:val="65B55790"/>
    <w:rsid w:val="67354A9F"/>
    <w:rsid w:val="77C74EAF"/>
    <w:rsid w:val="7A1D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等线" w:hAnsi="等线" w:eastAsia="等线" w:cs="宋体"/>
      <w:kern w:val="2"/>
      <w:sz w:val="28"/>
      <w:szCs w:val="22"/>
      <w:lang w:val="en-US" w:eastAsia="zh-CN" w:bidi="ar-SA"/>
    </w:rPr>
  </w:style>
  <w:style w:type="paragraph" w:styleId="3">
    <w:name w:val="heading 3"/>
    <w:basedOn w:val="1"/>
    <w:next w:val="1"/>
    <w:qFormat/>
    <w:uiPriority w:val="0"/>
    <w:pPr>
      <w:keepNext/>
      <w:keepLines/>
      <w:spacing w:line="360" w:lineRule="auto"/>
      <w:outlineLvl w:val="2"/>
    </w:pPr>
    <w:rPr>
      <w:b/>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等线" w:hAnsi="等线" w:eastAsia="等线" w:cs="宋体"/>
      <w:kern w:val="2"/>
      <w:sz w:val="21"/>
      <w:szCs w:val="22"/>
      <w:lang w:val="en-US" w:eastAsia="zh-CN" w:bidi="ar-SA"/>
    </w:rPr>
  </w:style>
  <w:style w:type="paragraph" w:styleId="4">
    <w:name w:val="Document Map"/>
    <w:basedOn w:val="1"/>
    <w:link w:val="30"/>
    <w:qFormat/>
    <w:uiPriority w:val="99"/>
    <w:rPr>
      <w:rFonts w:ascii="宋体" w:eastAsia="宋体"/>
      <w:sz w:val="18"/>
      <w:szCs w:val="18"/>
    </w:rPr>
  </w:style>
  <w:style w:type="paragraph" w:styleId="5">
    <w:name w:val="annotation text"/>
    <w:basedOn w:val="1"/>
    <w:qFormat/>
    <w:uiPriority w:val="99"/>
    <w:pPr>
      <w:jc w:val="left"/>
    </w:pPr>
  </w:style>
  <w:style w:type="paragraph" w:styleId="6">
    <w:name w:val="Body Text"/>
    <w:basedOn w:val="1"/>
    <w:next w:val="7"/>
    <w:link w:val="36"/>
    <w:qFormat/>
    <w:uiPriority w:val="99"/>
    <w:pPr>
      <w:spacing w:after="120"/>
    </w:pPr>
  </w:style>
  <w:style w:type="paragraph" w:customStyle="1" w:styleId="7">
    <w:name w:val="xl27"/>
    <w:basedOn w:val="1"/>
    <w:unhideWhenUsed/>
    <w:qFormat/>
    <w:uiPriority w:val="0"/>
    <w:pPr>
      <w:pBdr>
        <w:bottom w:val="single" w:color="auto" w:sz="4" w:space="0"/>
        <w:right w:val="single" w:color="auto" w:sz="4" w:space="0"/>
      </w:pBdr>
      <w:spacing w:before="100" w:beforeAutospacing="1" w:after="100" w:afterAutospacing="1"/>
      <w:jc w:val="center"/>
    </w:pPr>
    <w:rPr>
      <w:rFonts w:hint="eastAsia"/>
      <w:sz w:val="24"/>
      <w:szCs w:val="24"/>
    </w:rPr>
  </w:style>
  <w:style w:type="paragraph" w:styleId="8">
    <w:name w:val="Body Text Indent"/>
    <w:basedOn w:val="1"/>
    <w:qFormat/>
    <w:uiPriority w:val="99"/>
    <w:pPr>
      <w:spacing w:after="120"/>
      <w:ind w:left="420" w:leftChars="200"/>
    </w:pPr>
  </w:style>
  <w:style w:type="paragraph" w:styleId="9">
    <w:name w:val="Balloon Text"/>
    <w:basedOn w:val="1"/>
    <w:link w:val="27"/>
    <w:qFormat/>
    <w:uiPriority w:val="99"/>
    <w:rPr>
      <w:sz w:val="18"/>
      <w:szCs w:val="18"/>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jc w:val="left"/>
    </w:pPr>
    <w:rPr>
      <w:rFonts w:cs="Times New Roman"/>
      <w:kern w:val="0"/>
      <w:sz w:val="24"/>
    </w:rPr>
  </w:style>
  <w:style w:type="paragraph" w:styleId="13">
    <w:name w:val="Body Text First Indent 2"/>
    <w:basedOn w:val="8"/>
    <w:qFormat/>
    <w:uiPriority w:val="0"/>
    <w:pPr>
      <w:ind w:firstLine="420"/>
    </w:pPr>
    <w:rPr>
      <w:rFonts w:ascii="Calibri" w:hAnsi="Calibri" w:eastAsia="宋体" w:cs="Times New Roman"/>
      <w:sz w:val="32"/>
    </w:rPr>
  </w:style>
  <w:style w:type="table" w:styleId="15">
    <w:name w:val="Table Grid"/>
    <w:basedOn w:val="14"/>
    <w:qFormat/>
    <w:uiPriority w:val="3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99"/>
    <w:rPr>
      <w:sz w:val="21"/>
      <w:szCs w:val="21"/>
    </w:rPr>
  </w:style>
  <w:style w:type="paragraph" w:customStyle="1" w:styleId="18">
    <w:name w:val="Default"/>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19">
    <w:name w:val="正文文字"/>
    <w:next w:val="1"/>
    <w:qFormat/>
    <w:uiPriority w:val="0"/>
    <w:pPr>
      <w:widowControl w:val="0"/>
      <w:adjustRightInd w:val="0"/>
      <w:snapToGrid w:val="0"/>
      <w:spacing w:after="120" w:line="360" w:lineRule="auto"/>
      <w:ind w:firstLine="200" w:firstLineChars="200"/>
      <w:jc w:val="both"/>
    </w:pPr>
    <w:rPr>
      <w:rFonts w:ascii="Times New Roman" w:hAnsi="Times New Roman" w:eastAsia="仿宋" w:cs="Times New Roman"/>
      <w:kern w:val="2"/>
      <w:sz w:val="28"/>
      <w:szCs w:val="24"/>
      <w:lang w:val="en-US" w:eastAsia="zh-CN" w:bidi="ar-SA"/>
    </w:rPr>
  </w:style>
  <w:style w:type="character" w:customStyle="1" w:styleId="20">
    <w:name w:val="页脚 字符"/>
    <w:basedOn w:val="16"/>
    <w:qFormat/>
    <w:uiPriority w:val="99"/>
    <w:rPr>
      <w:sz w:val="18"/>
      <w:szCs w:val="18"/>
    </w:rPr>
  </w:style>
  <w:style w:type="character" w:customStyle="1" w:styleId="21">
    <w:name w:val="页脚 Char"/>
    <w:basedOn w:val="16"/>
    <w:link w:val="10"/>
    <w:qFormat/>
    <w:uiPriority w:val="0"/>
    <w:rPr>
      <w:sz w:val="18"/>
      <w:szCs w:val="18"/>
    </w:rPr>
  </w:style>
  <w:style w:type="paragraph" w:customStyle="1" w:styleId="22">
    <w:name w:val="标准文字"/>
    <w:basedOn w:val="1"/>
    <w:link w:val="23"/>
    <w:qFormat/>
    <w:uiPriority w:val="0"/>
    <w:pPr>
      <w:overflowPunct w:val="0"/>
      <w:spacing w:line="360" w:lineRule="auto"/>
      <w:ind w:firstLine="600"/>
    </w:pPr>
    <w:rPr>
      <w:rFonts w:ascii="Times New Roman" w:hAnsi="Times New Roman" w:eastAsia="仿宋_GB2312" w:cs="Times New Roman"/>
      <w:sz w:val="30"/>
      <w:szCs w:val="30"/>
    </w:rPr>
  </w:style>
  <w:style w:type="character" w:customStyle="1" w:styleId="23">
    <w:name w:val="标准文字 Char"/>
    <w:link w:val="22"/>
    <w:qFormat/>
    <w:uiPriority w:val="0"/>
    <w:rPr>
      <w:rFonts w:ascii="Times New Roman" w:hAnsi="Times New Roman" w:eastAsia="仿宋_GB2312" w:cs="Times New Roman"/>
      <w:sz w:val="30"/>
      <w:szCs w:val="30"/>
    </w:rPr>
  </w:style>
  <w:style w:type="character" w:customStyle="1" w:styleId="24">
    <w:name w:val="NormalCharacter"/>
    <w:qFormat/>
    <w:uiPriority w:val="0"/>
  </w:style>
  <w:style w:type="table" w:customStyle="1" w:styleId="25">
    <w:name w:val="TableGrid"/>
    <w:qFormat/>
    <w:uiPriority w:val="0"/>
    <w:tblPr>
      <w:tblCellMar>
        <w:top w:w="0" w:type="dxa"/>
        <w:left w:w="0" w:type="dxa"/>
        <w:bottom w:w="0" w:type="dxa"/>
        <w:right w:w="0" w:type="dxa"/>
      </w:tblCellMar>
    </w:tblPr>
  </w:style>
  <w:style w:type="character" w:customStyle="1" w:styleId="26">
    <w:name w:val="页眉 Char"/>
    <w:basedOn w:val="16"/>
    <w:link w:val="11"/>
    <w:qFormat/>
    <w:uiPriority w:val="99"/>
    <w:rPr>
      <w:sz w:val="18"/>
      <w:szCs w:val="18"/>
    </w:rPr>
  </w:style>
  <w:style w:type="character" w:customStyle="1" w:styleId="27">
    <w:name w:val="批注框文本 Char"/>
    <w:basedOn w:val="16"/>
    <w:link w:val="9"/>
    <w:qFormat/>
    <w:uiPriority w:val="99"/>
    <w:rPr>
      <w:sz w:val="18"/>
      <w:szCs w:val="18"/>
    </w:rPr>
  </w:style>
  <w:style w:type="character" w:customStyle="1" w:styleId="28">
    <w:name w:val="font31"/>
    <w:basedOn w:val="16"/>
    <w:qFormat/>
    <w:uiPriority w:val="0"/>
    <w:rPr>
      <w:rFonts w:hint="eastAsia" w:ascii="宋体" w:hAnsi="宋体" w:eastAsia="宋体" w:cs="宋体"/>
      <w:color w:val="000000"/>
      <w:sz w:val="22"/>
      <w:szCs w:val="22"/>
      <w:u w:val="none"/>
    </w:rPr>
  </w:style>
  <w:style w:type="character" w:customStyle="1" w:styleId="29">
    <w:name w:val="font01"/>
    <w:basedOn w:val="16"/>
    <w:qFormat/>
    <w:uiPriority w:val="0"/>
    <w:rPr>
      <w:rFonts w:ascii="Arial" w:hAnsi="Arial" w:cs="Arial"/>
      <w:color w:val="000000"/>
      <w:sz w:val="22"/>
      <w:szCs w:val="22"/>
      <w:u w:val="none"/>
    </w:rPr>
  </w:style>
  <w:style w:type="character" w:customStyle="1" w:styleId="30">
    <w:name w:val="文档结构图 Char"/>
    <w:basedOn w:val="16"/>
    <w:link w:val="4"/>
    <w:qFormat/>
    <w:uiPriority w:val="99"/>
    <w:rPr>
      <w:rFonts w:ascii="宋体" w:hAnsi="等线" w:cs="宋体"/>
      <w:kern w:val="2"/>
      <w:sz w:val="18"/>
      <w:szCs w:val="18"/>
    </w:rPr>
  </w:style>
  <w:style w:type="character" w:customStyle="1" w:styleId="31">
    <w:name w:val="fontstyle01"/>
    <w:basedOn w:val="16"/>
    <w:qFormat/>
    <w:uiPriority w:val="0"/>
    <w:rPr>
      <w:rFonts w:hint="eastAsia" w:ascii="宋体" w:hAnsi="宋体" w:eastAsia="宋体"/>
      <w:color w:val="000000"/>
      <w:sz w:val="22"/>
      <w:szCs w:val="22"/>
    </w:rPr>
  </w:style>
  <w:style w:type="character" w:customStyle="1" w:styleId="32">
    <w:name w:val="fontstyle21"/>
    <w:basedOn w:val="16"/>
    <w:qFormat/>
    <w:uiPriority w:val="0"/>
    <w:rPr>
      <w:rFonts w:hint="default" w:ascii="TimesNewRomanPSMT" w:hAnsi="TimesNewRomanPSMT"/>
      <w:color w:val="000000"/>
      <w:sz w:val="22"/>
      <w:szCs w:val="22"/>
    </w:rPr>
  </w:style>
  <w:style w:type="character" w:customStyle="1" w:styleId="33">
    <w:name w:val="fontstyle11"/>
    <w:basedOn w:val="16"/>
    <w:qFormat/>
    <w:uiPriority w:val="0"/>
    <w:rPr>
      <w:rFonts w:hint="default" w:ascii="TimesNewRomanPSMT" w:hAnsi="TimesNewRomanPSMT"/>
      <w:color w:val="000000"/>
      <w:sz w:val="22"/>
      <w:szCs w:val="22"/>
    </w:rPr>
  </w:style>
  <w:style w:type="table" w:customStyle="1" w:styleId="34">
    <w:name w:val="网格型1"/>
    <w:basedOn w:val="1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5">
    <w:name w:val="Table Normal"/>
    <w:qFormat/>
    <w:uiPriority w:val="0"/>
    <w:tblPr>
      <w:tblCellMar>
        <w:top w:w="0" w:type="dxa"/>
        <w:left w:w="0" w:type="dxa"/>
        <w:bottom w:w="0" w:type="dxa"/>
        <w:right w:w="0" w:type="dxa"/>
      </w:tblCellMar>
    </w:tblPr>
  </w:style>
  <w:style w:type="character" w:customStyle="1" w:styleId="36">
    <w:name w:val="正文文本 Char"/>
    <w:basedOn w:val="16"/>
    <w:link w:val="6"/>
    <w:qFormat/>
    <w:uiPriority w:val="99"/>
    <w:rPr>
      <w:rFonts w:ascii="等线" w:hAnsi="等线" w:eastAsia="等线" w:cs="宋体"/>
      <w:kern w:val="2"/>
      <w:sz w:val="28"/>
      <w:szCs w:val="22"/>
    </w:rPr>
  </w:style>
  <w:style w:type="paragraph" w:customStyle="1" w:styleId="37">
    <w:name w:val="操作规程-正文"/>
    <w:basedOn w:val="1"/>
    <w:qFormat/>
    <w:uiPriority w:val="0"/>
    <w:pPr>
      <w:spacing w:line="360" w:lineRule="auto"/>
      <w:ind w:firstLine="640" w:firstLineChars="200"/>
      <w:jc w:val="both"/>
    </w:pPr>
    <w:rPr>
      <w:rFonts w:ascii="仿宋" w:hAnsi="仿宋" w:eastAsia="仿宋" w:cs="仿宋"/>
      <w:kern w:val="2"/>
      <w:sz w:val="28"/>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14028</Words>
  <Characters>14887</Characters>
  <Paragraphs>475</Paragraphs>
  <TotalTime>215</TotalTime>
  <ScaleCrop>false</ScaleCrop>
  <LinksUpToDate>false</LinksUpToDate>
  <CharactersWithSpaces>15012</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2023-02-14T01:58:00Z</dcterms:created>
  <dc:creator>傲德姆</dc:creator>
  <cp:lastModifiedBy>A独狼</cp:lastModifiedBy>
  <cp:lastPrinted>2023-02-21T08:24:00Z</cp:lastPrinted>
  <dcterms:modified xsi:type="dcterms:W3CDTF">2023-02-22T07:21:05Z</dcterms:modified>
  <dc:title>x x 省x x市城市黑臭水体</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1A4F23944510437F8FBA96CAF79F01F1</vt:lpwstr>
  </property>
</Properties>
</file>