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方正小标宋_GBK" w:eastAsia="方正小标宋_GBK"/>
          <w:bCs/>
          <w:sz w:val="72"/>
          <w:szCs w:val="72"/>
        </w:rPr>
      </w:pPr>
    </w:p>
    <w:p>
      <w:pPr>
        <w:adjustRightInd w:val="0"/>
        <w:snapToGrid w:val="0"/>
        <w:jc w:val="both"/>
        <w:outlineLvl w:val="0"/>
        <w:rPr>
          <w:rFonts w:hint="default" w:ascii="方正小标宋_GBK" w:eastAsia="方正小标宋_GBK"/>
          <w:bCs/>
          <w:sz w:val="72"/>
          <w:szCs w:val="72"/>
          <w:lang w:val="en-US" w:eastAsia="zh-CN"/>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249" w:beforeLines="80"/>
        <w:rPr>
          <w:rFonts w:ascii="楷体" w:hAnsi="楷体" w:eastAsia="楷体"/>
          <w:b/>
          <w:bCs/>
          <w:sz w:val="52"/>
          <w:szCs w:val="52"/>
        </w:rPr>
      </w:pPr>
      <w:r>
        <w:rPr>
          <w:rFonts w:hint="eastAsia" w:ascii="楷体" w:hAnsi="楷体" w:eastAsia="楷体"/>
          <w:b/>
          <w:bCs/>
          <w:sz w:val="52"/>
          <w:szCs w:val="52"/>
        </w:rPr>
        <w:t>（污染影响类，适用省级工业园区）</w:t>
      </w:r>
    </w:p>
    <w:p>
      <w:pPr>
        <w:rPr>
          <w:rFonts w:ascii="方正小标宋_GBK" w:eastAsia="方正小标宋_GBK"/>
          <w:bCs/>
          <w:sz w:val="72"/>
          <w:szCs w:val="72"/>
        </w:rPr>
      </w:pPr>
    </w:p>
    <w:p>
      <w:pPr>
        <w:rPr>
          <w:sz w:val="72"/>
          <w:szCs w:val="72"/>
        </w:rPr>
      </w:pPr>
    </w:p>
    <w:p>
      <w:pPr>
        <w:ind w:firstLine="1040"/>
        <w:rPr>
          <w:rFonts w:eastAsia="仿宋"/>
          <w:sz w:val="72"/>
          <w:szCs w:val="72"/>
        </w:rPr>
      </w:pPr>
    </w:p>
    <w:p>
      <w:pPr>
        <w:adjustRightInd w:val="0"/>
        <w:snapToGrid w:val="0"/>
        <w:spacing w:line="288" w:lineRule="auto"/>
        <w:rPr>
          <w:rFonts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eastAsia="仿宋"/>
          <w:sz w:val="28"/>
          <w:szCs w:val="28"/>
          <w:u w:val="single"/>
          <w:lang w:val="en-US" w:eastAsia="zh-CN"/>
        </w:rPr>
        <w:t>纸管加工扩建</w:t>
      </w:r>
      <w:r>
        <w:rPr>
          <w:rFonts w:hint="eastAsia" w:eastAsia="仿宋"/>
          <w:sz w:val="28"/>
          <w:szCs w:val="28"/>
          <w:u w:val="single"/>
          <w:lang w:eastAsia="zh-CN"/>
        </w:rPr>
        <w:t>项目</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adjustRightInd w:val="0"/>
        <w:snapToGrid w:val="0"/>
        <w:spacing w:line="288" w:lineRule="auto"/>
        <w:rPr>
          <w:rFonts w:eastAsia="仿宋"/>
          <w:sz w:val="28"/>
          <w:szCs w:val="28"/>
          <w:u w:val="single"/>
        </w:rPr>
      </w:pPr>
      <w:r>
        <w:rPr>
          <w:rFonts w:eastAsia="仿宋"/>
          <w:sz w:val="28"/>
          <w:szCs w:val="28"/>
        </w:rPr>
        <w:t>建设单位（盖章）：</w:t>
      </w:r>
      <w:r>
        <w:rPr>
          <w:rFonts w:hint="eastAsia" w:eastAsia="仿宋"/>
          <w:sz w:val="28"/>
          <w:szCs w:val="28"/>
          <w:u w:val="single"/>
        </w:rPr>
        <w:t xml:space="preserve">        </w:t>
      </w:r>
      <w:r>
        <w:rPr>
          <w:rFonts w:hint="eastAsia" w:eastAsia="仿宋"/>
          <w:sz w:val="28"/>
          <w:szCs w:val="28"/>
          <w:u w:val="single"/>
          <w:lang w:val="en-US" w:eastAsia="zh-CN"/>
        </w:rPr>
        <w:t>澧县天成包装材料有限公司</w:t>
      </w:r>
      <w:r>
        <w:rPr>
          <w:rFonts w:hint="eastAsia" w:eastAsia="仿宋"/>
          <w:sz w:val="28"/>
          <w:szCs w:val="28"/>
          <w:u w:val="single"/>
        </w:rPr>
        <w:t xml:space="preserve">            </w:t>
      </w:r>
    </w:p>
    <w:p>
      <w:pPr>
        <w:adjustRightInd w:val="0"/>
        <w:snapToGrid w:val="0"/>
        <w:spacing w:line="288" w:lineRule="auto"/>
        <w:rPr>
          <w:rFonts w:ascii="仿宋" w:hAnsi="仿宋" w:eastAsia="仿宋"/>
          <w:sz w:val="28"/>
          <w:szCs w:val="28"/>
          <w:u w:val="single"/>
        </w:rPr>
      </w:pPr>
      <w:r>
        <w:rPr>
          <w:rFonts w:eastAsia="仿宋"/>
          <w:sz w:val="28"/>
          <w:szCs w:val="28"/>
        </w:rPr>
        <w:t>编制日期：</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二〇二</w:t>
      </w:r>
      <w:r>
        <w:rPr>
          <w:rFonts w:hint="eastAsia" w:eastAsia="仿宋"/>
          <w:sz w:val="28"/>
          <w:szCs w:val="28"/>
          <w:u w:val="single"/>
          <w:lang w:val="en-US" w:eastAsia="zh-CN"/>
        </w:rPr>
        <w:t>三</w:t>
      </w:r>
      <w:r>
        <w:rPr>
          <w:rFonts w:eastAsia="仿宋"/>
          <w:sz w:val="28"/>
          <w:szCs w:val="28"/>
          <w:u w:val="single"/>
        </w:rPr>
        <w:t>年</w:t>
      </w:r>
      <w:r>
        <w:rPr>
          <w:rFonts w:hint="eastAsia" w:eastAsia="仿宋"/>
          <w:sz w:val="28"/>
          <w:szCs w:val="28"/>
          <w:u w:val="single"/>
          <w:lang w:eastAsia="zh-CN"/>
        </w:rPr>
        <w:t>四</w:t>
      </w:r>
      <w:r>
        <w:rPr>
          <w:rFonts w:eastAsia="仿宋"/>
          <w:sz w:val="28"/>
          <w:szCs w:val="28"/>
          <w:u w:val="single"/>
        </w:rPr>
        <w:t>月</w:t>
      </w:r>
      <w:r>
        <w:rPr>
          <w:rFonts w:hint="eastAsia" w:eastAsia="仿宋"/>
          <w:sz w:val="28"/>
          <w:szCs w:val="28"/>
          <w:u w:val="single"/>
        </w:rPr>
        <w:t xml:space="preserve">               </w:t>
      </w:r>
    </w:p>
    <w:p/>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jc w:val="center"/>
        <w:rPr>
          <w:rFonts w:hint="eastAsia" w:ascii="楷体" w:hAnsi="楷体" w:eastAsia="楷体" w:cs="楷体"/>
          <w:b/>
          <w:bCs/>
          <w:sz w:val="32"/>
          <w:szCs w:val="32"/>
        </w:rPr>
      </w:pPr>
      <w:r>
        <w:rPr>
          <w:rFonts w:hint="eastAsia" w:ascii="楷体" w:hAnsi="楷体" w:eastAsia="楷体" w:cs="楷体"/>
          <w:b/>
          <w:bCs/>
          <w:sz w:val="32"/>
          <w:szCs w:val="32"/>
        </w:rPr>
        <w:t>中华人民共和国生态环境部制</w:t>
      </w:r>
    </w:p>
    <w:p>
      <w:pPr>
        <w:rPr>
          <w:rFonts w:hint="eastAsia" w:ascii="楷体" w:hAnsi="楷体" w:eastAsia="楷体" w:cs="楷体"/>
          <w:b/>
          <w:bCs/>
          <w:sz w:val="32"/>
          <w:szCs w:val="32"/>
        </w:rPr>
      </w:pPr>
      <w:r>
        <w:rPr>
          <w:rFonts w:hint="eastAsia" w:ascii="楷体" w:hAnsi="楷体" w:eastAsia="楷体" w:cs="楷体"/>
          <w:b/>
          <w:bCs/>
          <w:sz w:val="32"/>
          <w:szCs w:val="32"/>
        </w:rPr>
        <w:br w:type="page"/>
      </w:r>
    </w:p>
    <w:p>
      <w:r>
        <w:br w:type="page"/>
      </w:r>
    </w:p>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
      <w:pPr>
        <w:pStyle w:val="4"/>
        <w:rPr>
          <w:szCs w:val="30"/>
        </w:rPr>
      </w:pPr>
      <w:bookmarkStart w:id="0" w:name="_Toc103935434"/>
      <w:r>
        <w:rPr>
          <w:rFonts w:hint="eastAsia"/>
          <w:szCs w:val="30"/>
        </w:rPr>
        <w:t>一、建设项目基本情况</w:t>
      </w:r>
      <w:bookmarkEnd w:id="0"/>
    </w:p>
    <w:tbl>
      <w:tblPr>
        <w:tblStyle w:val="2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102"/>
        <w:gridCol w:w="1985"/>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建设项目名称</w:t>
            </w:r>
          </w:p>
        </w:tc>
        <w:tc>
          <w:tcPr>
            <w:tcW w:w="6943" w:type="dxa"/>
            <w:gridSpan w:val="3"/>
            <w:vAlign w:val="center"/>
          </w:tcPr>
          <w:p>
            <w:pPr>
              <w:spacing w:line="360" w:lineRule="auto"/>
              <w:contextualSpacing/>
              <w:jc w:val="center"/>
              <w:rPr>
                <w:szCs w:val="21"/>
              </w:rPr>
            </w:pPr>
            <w:r>
              <w:rPr>
                <w:rFonts w:hint="eastAsia" w:ascii="宋体" w:hAnsi="宋体" w:cs="宋体"/>
                <w:szCs w:val="21"/>
                <w:lang w:val="en-US" w:eastAsia="zh-CN"/>
              </w:rPr>
              <w:t>纸管加工扩建项目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项目代码</w:t>
            </w:r>
          </w:p>
        </w:tc>
        <w:tc>
          <w:tcPr>
            <w:tcW w:w="6943" w:type="dxa"/>
            <w:gridSpan w:val="3"/>
            <w:vAlign w:val="center"/>
          </w:tcPr>
          <w:p>
            <w:pPr>
              <w:spacing w:line="360" w:lineRule="auto"/>
              <w:contextualSpacing/>
              <w:jc w:val="center"/>
              <w:rPr>
                <w:szCs w:val="21"/>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7" w:type="dxa"/>
            <w:vAlign w:val="center"/>
          </w:tcPr>
          <w:p>
            <w:pPr>
              <w:spacing w:line="360" w:lineRule="auto"/>
              <w:contextualSpacing/>
              <w:jc w:val="center"/>
              <w:rPr>
                <w:szCs w:val="21"/>
              </w:rPr>
            </w:pPr>
            <w:r>
              <w:rPr>
                <w:szCs w:val="21"/>
              </w:rPr>
              <w:t>建设单位联系人</w:t>
            </w:r>
          </w:p>
        </w:tc>
        <w:tc>
          <w:tcPr>
            <w:tcW w:w="2102" w:type="dxa"/>
            <w:vAlign w:val="center"/>
          </w:tcPr>
          <w:p>
            <w:pPr>
              <w:spacing w:line="360" w:lineRule="auto"/>
              <w:contextualSpacing/>
              <w:jc w:val="center"/>
              <w:rPr>
                <w:szCs w:val="21"/>
              </w:rPr>
            </w:pPr>
            <w:r>
              <w:rPr>
                <w:rFonts w:hint="eastAsia"/>
                <w:szCs w:val="21"/>
                <w:lang w:val="en-US" w:eastAsia="zh-CN"/>
              </w:rPr>
              <w:t>孙昌全</w:t>
            </w:r>
          </w:p>
        </w:tc>
        <w:tc>
          <w:tcPr>
            <w:tcW w:w="1985" w:type="dxa"/>
            <w:vAlign w:val="center"/>
          </w:tcPr>
          <w:p>
            <w:pPr>
              <w:spacing w:line="360" w:lineRule="auto"/>
              <w:contextualSpacing/>
              <w:jc w:val="center"/>
              <w:rPr>
                <w:szCs w:val="21"/>
              </w:rPr>
            </w:pPr>
            <w:r>
              <w:rPr>
                <w:szCs w:val="21"/>
              </w:rPr>
              <w:t>联系方式</w:t>
            </w:r>
          </w:p>
        </w:tc>
        <w:tc>
          <w:tcPr>
            <w:tcW w:w="2856" w:type="dxa"/>
            <w:vAlign w:val="center"/>
          </w:tcPr>
          <w:p>
            <w:pPr>
              <w:spacing w:line="360" w:lineRule="auto"/>
              <w:contextualSpacing/>
              <w:jc w:val="center"/>
              <w:rPr>
                <w:szCs w:val="21"/>
              </w:rPr>
            </w:pPr>
            <w:r>
              <w:rPr>
                <w:rFonts w:hint="eastAsia"/>
                <w:szCs w:val="21"/>
                <w:lang w:val="en-US" w:eastAsia="zh-CN"/>
              </w:rPr>
              <w:t>17773658388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建设地点</w:t>
            </w:r>
          </w:p>
        </w:tc>
        <w:tc>
          <w:tcPr>
            <w:tcW w:w="6943" w:type="dxa"/>
            <w:gridSpan w:val="3"/>
            <w:vAlign w:val="center"/>
          </w:tcPr>
          <w:p>
            <w:pPr>
              <w:spacing w:line="360" w:lineRule="auto"/>
              <w:contextualSpacing/>
              <w:jc w:val="center"/>
              <w:rPr>
                <w:rFonts w:hint="default"/>
                <w:szCs w:val="21"/>
                <w:lang w:val="en-US"/>
              </w:rPr>
            </w:pPr>
            <w:r>
              <w:rPr>
                <w:rFonts w:hint="eastAsia"/>
                <w:szCs w:val="21"/>
                <w:lang w:val="en-US" w:eastAsia="zh-CN"/>
              </w:rPr>
              <w:t>湖南省常德市澧县高新区创新创业园B5栋1层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地理坐标</w:t>
            </w:r>
          </w:p>
        </w:tc>
        <w:tc>
          <w:tcPr>
            <w:tcW w:w="6943" w:type="dxa"/>
            <w:gridSpan w:val="3"/>
            <w:vAlign w:val="center"/>
          </w:tcPr>
          <w:p>
            <w:pPr>
              <w:spacing w:line="360" w:lineRule="auto"/>
              <w:contextualSpacing/>
              <w:jc w:val="center"/>
              <w:rPr>
                <w:szCs w:val="21"/>
              </w:rPr>
            </w:pPr>
            <w:r>
              <w:rPr>
                <w:rFonts w:hint="default"/>
                <w:color w:val="auto"/>
                <w:szCs w:val="21"/>
              </w:rPr>
              <w:t>（</w:t>
            </w:r>
            <w:r>
              <w:rPr>
                <w:rFonts w:hint="eastAsia"/>
                <w:color w:val="auto"/>
                <w:szCs w:val="21"/>
                <w:lang w:val="en-US" w:eastAsia="zh-CN"/>
              </w:rPr>
              <w:t>E</w:t>
            </w:r>
            <w:r>
              <w:rPr>
                <w:rFonts w:hint="eastAsia"/>
                <w:color w:val="auto"/>
                <w:szCs w:val="21"/>
                <w:lang w:eastAsia="zh-CN"/>
              </w:rPr>
              <w:t>111°</w:t>
            </w:r>
            <w:r>
              <w:rPr>
                <w:rFonts w:hint="eastAsia"/>
                <w:color w:val="auto"/>
                <w:szCs w:val="21"/>
                <w:lang w:val="en-US" w:eastAsia="zh-CN"/>
              </w:rPr>
              <w:t>50</w:t>
            </w:r>
            <w:r>
              <w:rPr>
                <w:rFonts w:hint="eastAsia"/>
                <w:color w:val="auto"/>
                <w:szCs w:val="21"/>
                <w:lang w:eastAsia="zh-CN"/>
              </w:rPr>
              <w:t>′</w:t>
            </w:r>
            <w:r>
              <w:rPr>
                <w:rFonts w:hint="eastAsia"/>
                <w:color w:val="auto"/>
                <w:szCs w:val="21"/>
                <w:lang w:val="en-US" w:eastAsia="zh-CN"/>
              </w:rPr>
              <w:t>4.208</w:t>
            </w:r>
            <w:r>
              <w:rPr>
                <w:rFonts w:hint="eastAsia"/>
                <w:color w:val="auto"/>
                <w:szCs w:val="21"/>
                <w:lang w:eastAsia="zh-CN"/>
              </w:rPr>
              <w:t>″</w:t>
            </w:r>
            <w:r>
              <w:rPr>
                <w:rFonts w:hint="default"/>
                <w:color w:val="auto"/>
                <w:szCs w:val="21"/>
              </w:rPr>
              <w:t>，</w:t>
            </w:r>
            <w:r>
              <w:rPr>
                <w:rFonts w:hint="eastAsia"/>
                <w:color w:val="auto"/>
                <w:szCs w:val="21"/>
                <w:lang w:val="en-US" w:eastAsia="zh-CN"/>
              </w:rPr>
              <w:t>N</w:t>
            </w:r>
            <w:r>
              <w:rPr>
                <w:rFonts w:hint="eastAsia"/>
                <w:color w:val="auto"/>
                <w:szCs w:val="21"/>
                <w:lang w:eastAsia="zh-CN"/>
              </w:rPr>
              <w:t>2</w:t>
            </w:r>
            <w:r>
              <w:rPr>
                <w:rFonts w:hint="eastAsia"/>
                <w:color w:val="auto"/>
                <w:szCs w:val="21"/>
                <w:lang w:val="en-US" w:eastAsia="zh-CN"/>
              </w:rPr>
              <w:t>9</w:t>
            </w:r>
            <w:r>
              <w:rPr>
                <w:rFonts w:hint="eastAsia"/>
                <w:color w:val="auto"/>
                <w:szCs w:val="21"/>
                <w:lang w:eastAsia="zh-CN"/>
              </w:rPr>
              <w:t>°</w:t>
            </w:r>
            <w:r>
              <w:rPr>
                <w:rFonts w:hint="eastAsia"/>
                <w:color w:val="auto"/>
                <w:szCs w:val="21"/>
                <w:lang w:val="en-US" w:eastAsia="zh-CN"/>
              </w:rPr>
              <w:t>37</w:t>
            </w:r>
            <w:r>
              <w:rPr>
                <w:rFonts w:hint="eastAsia"/>
                <w:color w:val="auto"/>
                <w:szCs w:val="21"/>
                <w:lang w:eastAsia="zh-CN"/>
              </w:rPr>
              <w:t>′</w:t>
            </w:r>
            <w:r>
              <w:rPr>
                <w:rFonts w:hint="eastAsia"/>
                <w:color w:val="auto"/>
                <w:szCs w:val="21"/>
                <w:lang w:val="en-US" w:eastAsia="zh-CN"/>
              </w:rPr>
              <w:t>55.694</w:t>
            </w:r>
            <w:r>
              <w:rPr>
                <w:rFonts w:hint="eastAsia"/>
                <w:color w:val="auto"/>
                <w:szCs w:val="21"/>
                <w:lang w:eastAsia="zh-CN"/>
              </w:rPr>
              <w:t>″</w:t>
            </w:r>
            <w:r>
              <w:rPr>
                <w:rFonts w:hint="default"/>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jc w:val="center"/>
              <w:rPr>
                <w:szCs w:val="21"/>
              </w:rPr>
            </w:pPr>
            <w:r>
              <w:rPr>
                <w:szCs w:val="21"/>
              </w:rPr>
              <w:t>国民经济</w:t>
            </w:r>
          </w:p>
          <w:p>
            <w:pPr>
              <w:spacing w:line="360" w:lineRule="auto"/>
              <w:jc w:val="center"/>
              <w:rPr>
                <w:szCs w:val="21"/>
              </w:rPr>
            </w:pPr>
            <w:r>
              <w:rPr>
                <w:szCs w:val="21"/>
              </w:rPr>
              <w:t>行业类别</w:t>
            </w:r>
          </w:p>
        </w:tc>
        <w:tc>
          <w:tcPr>
            <w:tcW w:w="2102" w:type="dxa"/>
            <w:vAlign w:val="center"/>
          </w:tcPr>
          <w:p>
            <w:pPr>
              <w:spacing w:line="360" w:lineRule="auto"/>
              <w:jc w:val="center"/>
              <w:rPr>
                <w:rFonts w:hint="default"/>
                <w:szCs w:val="21"/>
                <w:lang w:val="en-US"/>
              </w:rPr>
            </w:pPr>
            <w:r>
              <w:rPr>
                <w:rFonts w:hint="eastAsia"/>
                <w:szCs w:val="21"/>
                <w:lang w:val="en-US" w:eastAsia="zh-CN"/>
              </w:rPr>
              <w:t>C2239 其他纸制品制造</w:t>
            </w:r>
          </w:p>
        </w:tc>
        <w:tc>
          <w:tcPr>
            <w:tcW w:w="1985" w:type="dxa"/>
            <w:vAlign w:val="center"/>
          </w:tcPr>
          <w:p>
            <w:pPr>
              <w:spacing w:line="360" w:lineRule="auto"/>
              <w:jc w:val="center"/>
              <w:rPr>
                <w:szCs w:val="21"/>
              </w:rPr>
            </w:pPr>
            <w:r>
              <w:rPr>
                <w:szCs w:val="21"/>
              </w:rPr>
              <w:t>建设项目</w:t>
            </w:r>
          </w:p>
          <w:p>
            <w:pPr>
              <w:spacing w:line="360" w:lineRule="auto"/>
              <w:jc w:val="center"/>
              <w:rPr>
                <w:szCs w:val="21"/>
              </w:rPr>
            </w:pPr>
            <w:r>
              <w:rPr>
                <w:szCs w:val="21"/>
              </w:rPr>
              <w:t>行业类别</w:t>
            </w:r>
          </w:p>
        </w:tc>
        <w:tc>
          <w:tcPr>
            <w:tcW w:w="2856" w:type="dxa"/>
            <w:vAlign w:val="center"/>
          </w:tcPr>
          <w:p>
            <w:pPr>
              <w:spacing w:line="360" w:lineRule="auto"/>
              <w:jc w:val="center"/>
              <w:rPr>
                <w:szCs w:val="21"/>
              </w:rPr>
            </w:pPr>
            <w:r>
              <w:rPr>
                <w:rFonts w:hint="eastAsia"/>
                <w:color w:val="auto"/>
                <w:lang w:val="en-US" w:eastAsia="zh-CN"/>
              </w:rPr>
              <w:t>十九</w:t>
            </w:r>
            <w:r>
              <w:rPr>
                <w:rFonts w:hint="eastAsia" w:ascii="Times New Roman" w:eastAsia="宋体"/>
                <w:color w:val="auto"/>
                <w:lang w:val="en-US" w:eastAsia="zh-CN"/>
              </w:rPr>
              <w:t>、</w:t>
            </w:r>
            <w:r>
              <w:rPr>
                <w:rFonts w:hint="eastAsia"/>
                <w:color w:val="auto"/>
                <w:lang w:val="en-US" w:eastAsia="zh-CN"/>
              </w:rPr>
              <w:t>造纸和纸制品业22</w:t>
            </w:r>
            <w:r>
              <w:rPr>
                <w:rFonts w:hint="eastAsia" w:ascii="Times New Roman" w:eastAsia="宋体"/>
                <w:color w:val="auto"/>
                <w:lang w:val="en-US" w:eastAsia="zh-CN"/>
              </w:rPr>
              <w:t>，</w:t>
            </w:r>
            <w:r>
              <w:rPr>
                <w:rFonts w:hint="eastAsia"/>
                <w:color w:val="auto"/>
                <w:lang w:val="en-US" w:eastAsia="zh-CN"/>
              </w:rPr>
              <w:t>38</w:t>
            </w:r>
            <w:r>
              <w:rPr>
                <w:rFonts w:hint="eastAsia" w:ascii="Times New Roman" w:eastAsia="宋体"/>
                <w:color w:val="auto"/>
                <w:lang w:val="en-US" w:eastAsia="zh-CN"/>
              </w:rPr>
              <w:t>、</w:t>
            </w:r>
            <w:r>
              <w:rPr>
                <w:rFonts w:hint="eastAsia"/>
                <w:color w:val="auto"/>
                <w:lang w:val="en-US" w:eastAsia="zh-CN"/>
              </w:rPr>
              <w:t>纸制品制造223*</w:t>
            </w:r>
            <w:r>
              <w:rPr>
                <w:rFonts w:hint="eastAsia" w:ascii="Times New Roman" w:eastAsia="宋体"/>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jc w:val="center"/>
              <w:rPr>
                <w:szCs w:val="21"/>
              </w:rPr>
            </w:pPr>
            <w:r>
              <w:rPr>
                <w:szCs w:val="21"/>
              </w:rPr>
              <w:t>建设性质</w:t>
            </w:r>
          </w:p>
        </w:tc>
        <w:tc>
          <w:tcPr>
            <w:tcW w:w="210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asciiTheme="minorEastAsia" w:hAnsiTheme="minorEastAsia" w:eastAsiaTheme="minorEastAsia"/>
                <w:szCs w:val="21"/>
              </w:rPr>
              <w:t>新建（迁建）</w:t>
            </w:r>
          </w:p>
          <w:p>
            <w:pPr>
              <w:spacing w:line="360" w:lineRule="auto"/>
              <w:rPr>
                <w:rFonts w:asciiTheme="minorEastAsia" w:hAnsiTheme="minorEastAsia" w:eastAsiaTheme="minorEastAsia"/>
                <w:szCs w:val="21"/>
              </w:rPr>
            </w:pPr>
            <w:r>
              <w:rPr>
                <w:rFonts w:asciiTheme="minorEastAsia" w:hAnsiTheme="minorEastAsia" w:eastAsiaTheme="minorEastAsia"/>
                <w:szCs w:val="21"/>
              </w:rPr>
              <w:t>□改建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asciiTheme="minorEastAsia" w:hAnsiTheme="minorEastAsia" w:eastAsiaTheme="minorEastAsia"/>
                <w:szCs w:val="21"/>
              </w:rPr>
              <w:t>扩建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技术改造</w:t>
            </w:r>
          </w:p>
        </w:tc>
        <w:tc>
          <w:tcPr>
            <w:tcW w:w="1985"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建设项目</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申报情形</w:t>
            </w:r>
          </w:p>
        </w:tc>
        <w:tc>
          <w:tcPr>
            <w:tcW w:w="2856"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asciiTheme="minorEastAsia" w:hAnsiTheme="minorEastAsia" w:eastAsiaTheme="minorEastAsia"/>
                <w:szCs w:val="21"/>
              </w:rPr>
              <w:t>首次申报项目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不予批准后再次申报项目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超五年重新审核项目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项目审批（核准/</w:t>
            </w:r>
          </w:p>
          <w:p>
            <w:pPr>
              <w:spacing w:line="360" w:lineRule="auto"/>
              <w:contextualSpacing/>
              <w:jc w:val="center"/>
              <w:rPr>
                <w:szCs w:val="21"/>
              </w:rPr>
            </w:pPr>
            <w:r>
              <w:rPr>
                <w:szCs w:val="21"/>
              </w:rPr>
              <w:t>备案）部门（选填）</w:t>
            </w:r>
          </w:p>
        </w:tc>
        <w:tc>
          <w:tcPr>
            <w:tcW w:w="2102" w:type="dxa"/>
            <w:vAlign w:val="center"/>
          </w:tcPr>
          <w:p>
            <w:pPr>
              <w:spacing w:line="360" w:lineRule="auto"/>
              <w:contextualSpacing/>
              <w:jc w:val="center"/>
              <w:rPr>
                <w:rFonts w:hint="eastAsia" w:eastAsia="宋体"/>
                <w:szCs w:val="21"/>
                <w:lang w:eastAsia="zh-CN"/>
              </w:rPr>
            </w:pPr>
            <w:r>
              <w:rPr>
                <w:rFonts w:hint="eastAsia"/>
                <w:szCs w:val="21"/>
                <w:lang w:val="en-US" w:eastAsia="zh-CN"/>
              </w:rPr>
              <w:t>/</w:t>
            </w:r>
          </w:p>
        </w:tc>
        <w:tc>
          <w:tcPr>
            <w:tcW w:w="1985" w:type="dxa"/>
            <w:vAlign w:val="center"/>
          </w:tcPr>
          <w:p>
            <w:pPr>
              <w:snapToGrid w:val="0"/>
              <w:spacing w:line="360" w:lineRule="auto"/>
              <w:jc w:val="center"/>
              <w:rPr>
                <w:szCs w:val="21"/>
              </w:rPr>
            </w:pPr>
            <w:r>
              <w:rPr>
                <w:szCs w:val="21"/>
              </w:rPr>
              <w:t>项目审批（核准/</w:t>
            </w:r>
          </w:p>
          <w:p>
            <w:pPr>
              <w:snapToGrid w:val="0"/>
              <w:spacing w:line="360" w:lineRule="auto"/>
              <w:jc w:val="center"/>
              <w:rPr>
                <w:szCs w:val="21"/>
              </w:rPr>
            </w:pPr>
            <w:r>
              <w:rPr>
                <w:szCs w:val="21"/>
              </w:rPr>
              <w:t>备案）文号（选填）</w:t>
            </w:r>
          </w:p>
        </w:tc>
        <w:tc>
          <w:tcPr>
            <w:tcW w:w="2856" w:type="dxa"/>
            <w:vAlign w:val="center"/>
          </w:tcPr>
          <w:p>
            <w:pPr>
              <w:snapToGrid w:val="0"/>
              <w:spacing w:line="360" w:lineRule="auto"/>
              <w:jc w:val="center"/>
              <w:rPr>
                <w:rFonts w:hint="eastAsia" w:eastAsia="宋体"/>
                <w:szCs w:val="21"/>
                <w:lang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color w:val="auto"/>
                <w:szCs w:val="21"/>
              </w:rPr>
            </w:pPr>
            <w:r>
              <w:rPr>
                <w:color w:val="auto"/>
                <w:szCs w:val="21"/>
              </w:rPr>
              <w:t>总投资（万元）</w:t>
            </w:r>
          </w:p>
        </w:tc>
        <w:tc>
          <w:tcPr>
            <w:tcW w:w="2102"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color w:val="auto"/>
                <w:szCs w:val="21"/>
                <w:lang w:val="en-US"/>
              </w:rPr>
            </w:pPr>
            <w:r>
              <w:rPr>
                <w:rFonts w:hint="eastAsia" w:ascii="宋体" w:hAnsi="宋体" w:cs="宋体"/>
                <w:color w:val="auto"/>
                <w:lang w:val="en-US" w:eastAsia="zh-CN"/>
              </w:rPr>
              <w:t>100</w:t>
            </w:r>
          </w:p>
        </w:tc>
        <w:tc>
          <w:tcPr>
            <w:tcW w:w="1985"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color w:val="auto"/>
                <w:szCs w:val="21"/>
              </w:rPr>
            </w:pPr>
            <w:r>
              <w:rPr>
                <w:rFonts w:hint="default" w:ascii="Times New Roman" w:hAnsi="Times New Roman" w:cs="Times New Roman"/>
                <w:color w:val="auto"/>
                <w:szCs w:val="21"/>
                <w:highlight w:val="none"/>
              </w:rPr>
              <w:t>环保投资（万元）</w:t>
            </w:r>
          </w:p>
        </w:tc>
        <w:tc>
          <w:tcPr>
            <w:tcW w:w="2856"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color w:val="auto"/>
                <w:szCs w:val="21"/>
              </w:rPr>
            </w:pPr>
            <w:r>
              <w:rPr>
                <w:rFonts w:hint="eastAsia"/>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7" w:type="dxa"/>
            <w:vAlign w:val="center"/>
          </w:tcPr>
          <w:p>
            <w:pPr>
              <w:spacing w:line="360" w:lineRule="auto"/>
              <w:contextualSpacing/>
              <w:jc w:val="center"/>
              <w:rPr>
                <w:color w:val="auto"/>
                <w:szCs w:val="21"/>
              </w:rPr>
            </w:pPr>
            <w:r>
              <w:rPr>
                <w:color w:val="auto"/>
                <w:szCs w:val="21"/>
              </w:rPr>
              <w:t>环保投资占比（%）</w:t>
            </w:r>
          </w:p>
        </w:tc>
        <w:tc>
          <w:tcPr>
            <w:tcW w:w="2102"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eastAsia="宋体"/>
                <w:color w:val="auto"/>
                <w:szCs w:val="21"/>
                <w:lang w:val="en-US" w:eastAsia="zh-CN"/>
              </w:rPr>
            </w:pPr>
            <w:r>
              <w:rPr>
                <w:rFonts w:hint="eastAsia"/>
                <w:color w:val="auto"/>
                <w:szCs w:val="21"/>
                <w:lang w:val="en-US" w:eastAsia="zh-CN"/>
              </w:rPr>
              <w:t>7</w:t>
            </w:r>
          </w:p>
        </w:tc>
        <w:tc>
          <w:tcPr>
            <w:tcW w:w="1985"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color w:val="auto"/>
                <w:szCs w:val="21"/>
              </w:rPr>
            </w:pPr>
            <w:r>
              <w:rPr>
                <w:rFonts w:hint="default" w:ascii="Times New Roman" w:hAnsi="Times New Roman" w:cs="Times New Roman"/>
                <w:color w:val="auto"/>
                <w:szCs w:val="21"/>
                <w:highlight w:val="none"/>
              </w:rPr>
              <w:t>施工工期</w:t>
            </w:r>
          </w:p>
        </w:tc>
        <w:tc>
          <w:tcPr>
            <w:tcW w:w="2856" w:type="dxa"/>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color w:val="auto"/>
                <w:szCs w:val="21"/>
              </w:rPr>
            </w:pPr>
            <w:r>
              <w:rPr>
                <w:rFonts w:hint="eastAsia" w:cs="Times New Roman"/>
                <w:color w:val="auto"/>
                <w:szCs w:val="21"/>
                <w:highlight w:val="none"/>
                <w:lang w:val="en-US" w:eastAsia="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spacing w:line="360" w:lineRule="auto"/>
              <w:contextualSpacing/>
              <w:jc w:val="center"/>
              <w:rPr>
                <w:szCs w:val="21"/>
              </w:rPr>
            </w:pPr>
            <w:r>
              <w:rPr>
                <w:szCs w:val="21"/>
              </w:rPr>
              <w:t>是否开工建设</w:t>
            </w:r>
          </w:p>
        </w:tc>
        <w:tc>
          <w:tcPr>
            <w:tcW w:w="2102" w:type="dxa"/>
            <w:vAlign w:val="center"/>
          </w:tcPr>
          <w:p>
            <w:pPr>
              <w:spacing w:line="360" w:lineRule="auto"/>
              <w:contextualSpacing/>
              <w:rPr>
                <w:rFonts w:ascii="宋体" w:hAnsi="宋体"/>
                <w:szCs w:val="21"/>
              </w:rPr>
            </w:pPr>
            <w:r>
              <w:rPr>
                <w:rFonts w:hint="eastAsia" w:asciiTheme="minorEastAsia" w:hAnsiTheme="minorEastAsia" w:eastAsiaTheme="minorEastAsia"/>
                <w:szCs w:val="21"/>
              </w:rPr>
              <w:t>☑</w:t>
            </w:r>
            <w:r>
              <w:rPr>
                <w:rFonts w:ascii="宋体" w:hAnsi="宋体"/>
                <w:szCs w:val="21"/>
              </w:rPr>
              <w:t>否</w:t>
            </w:r>
          </w:p>
          <w:p>
            <w:pPr>
              <w:spacing w:line="360" w:lineRule="auto"/>
              <w:contextualSpacing/>
              <w:rPr>
                <w:szCs w:val="21"/>
              </w:rPr>
            </w:pPr>
            <w:r>
              <w:rPr>
                <w:rFonts w:hint="eastAsia" w:asciiTheme="minorEastAsia" w:hAnsiTheme="minorEastAsia" w:eastAsiaTheme="minorEastAsia"/>
                <w:szCs w:val="21"/>
              </w:rPr>
              <w:t>□</w:t>
            </w:r>
            <w:r>
              <w:rPr>
                <w:rFonts w:ascii="宋体" w:hAnsi="宋体"/>
                <w:szCs w:val="21"/>
              </w:rPr>
              <w:t>是：</w:t>
            </w:r>
            <w:r>
              <w:rPr>
                <w:rFonts w:hint="eastAsia"/>
                <w:szCs w:val="21"/>
                <w:u w:val="single"/>
              </w:rPr>
              <w:t xml:space="preserve">         </w:t>
            </w:r>
            <w:r>
              <w:rPr>
                <w:szCs w:val="21"/>
              </w:rPr>
              <w:t xml:space="preserve"> </w:t>
            </w:r>
          </w:p>
        </w:tc>
        <w:tc>
          <w:tcPr>
            <w:tcW w:w="1985" w:type="dxa"/>
            <w:vAlign w:val="center"/>
          </w:tcPr>
          <w:p>
            <w:pPr>
              <w:spacing w:line="360" w:lineRule="auto"/>
              <w:contextualSpacing/>
              <w:jc w:val="center"/>
              <w:rPr>
                <w:spacing w:val="-6"/>
                <w:szCs w:val="21"/>
              </w:rPr>
            </w:pPr>
            <w:r>
              <w:rPr>
                <w:spacing w:val="-6"/>
                <w:szCs w:val="21"/>
              </w:rPr>
              <w:t>用地（用海）</w:t>
            </w:r>
          </w:p>
          <w:p>
            <w:pPr>
              <w:spacing w:line="360" w:lineRule="auto"/>
              <w:contextualSpacing/>
              <w:jc w:val="center"/>
              <w:rPr>
                <w:szCs w:val="21"/>
              </w:rPr>
            </w:pPr>
            <w:r>
              <w:rPr>
                <w:spacing w:val="-6"/>
                <w:szCs w:val="21"/>
              </w:rPr>
              <w:t>面积（m</w:t>
            </w:r>
            <w:r>
              <w:rPr>
                <w:spacing w:val="-6"/>
                <w:szCs w:val="21"/>
                <w:vertAlign w:val="superscript"/>
              </w:rPr>
              <w:t>2</w:t>
            </w:r>
            <w:r>
              <w:rPr>
                <w:spacing w:val="-6"/>
                <w:szCs w:val="21"/>
              </w:rPr>
              <w:t>）</w:t>
            </w:r>
          </w:p>
        </w:tc>
        <w:tc>
          <w:tcPr>
            <w:tcW w:w="2856" w:type="dxa"/>
            <w:vAlign w:val="center"/>
          </w:tcPr>
          <w:p>
            <w:pPr>
              <w:spacing w:line="360" w:lineRule="auto"/>
              <w:contextualSpacing/>
              <w:jc w:val="center"/>
              <w:rPr>
                <w:rFonts w:hint="default"/>
                <w:szCs w:val="21"/>
                <w:lang w:val="en-US"/>
              </w:rPr>
            </w:pPr>
            <w:r>
              <w:rPr>
                <w:rFonts w:hint="eastAsia"/>
                <w:szCs w:val="21"/>
                <w:lang w:val="en-US" w:eastAsia="zh-CN"/>
              </w:rPr>
              <w:t>1154.2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17" w:type="dxa"/>
            <w:vAlign w:val="center"/>
          </w:tcPr>
          <w:p>
            <w:pPr>
              <w:autoSpaceDE w:val="0"/>
              <w:autoSpaceDN w:val="0"/>
              <w:spacing w:line="360" w:lineRule="auto"/>
              <w:jc w:val="center"/>
              <w:rPr>
                <w:szCs w:val="21"/>
              </w:rPr>
            </w:pPr>
            <w:r>
              <w:rPr>
                <w:szCs w:val="21"/>
              </w:rPr>
              <w:t>专项评价设置情况</w:t>
            </w:r>
          </w:p>
        </w:tc>
        <w:tc>
          <w:tcPr>
            <w:tcW w:w="6943" w:type="dxa"/>
            <w:gridSpan w:val="3"/>
            <w:vAlign w:val="center"/>
          </w:tcPr>
          <w:p>
            <w:pPr>
              <w:spacing w:line="360" w:lineRule="auto"/>
              <w:jc w:val="center"/>
              <w:rPr>
                <w:szCs w:val="21"/>
              </w:rPr>
            </w:pPr>
            <w:r>
              <w:rPr>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117" w:type="dxa"/>
            <w:vAlign w:val="center"/>
          </w:tcPr>
          <w:p>
            <w:pPr>
              <w:autoSpaceDE w:val="0"/>
              <w:autoSpaceDN w:val="0"/>
              <w:jc w:val="center"/>
              <w:rPr>
                <w:szCs w:val="21"/>
              </w:rPr>
            </w:pPr>
            <w:r>
              <w:rPr>
                <w:szCs w:val="21"/>
              </w:rPr>
              <w:t>规划情况</w:t>
            </w:r>
          </w:p>
        </w:tc>
        <w:tc>
          <w:tcPr>
            <w:tcW w:w="6943" w:type="dxa"/>
            <w:gridSpan w:val="3"/>
            <w:vAlign w:val="center"/>
          </w:tcPr>
          <w:p>
            <w:pPr>
              <w:snapToGrid w:val="0"/>
              <w:spacing w:line="360" w:lineRule="auto"/>
              <w:rPr>
                <w:sz w:val="24"/>
              </w:rPr>
            </w:pPr>
            <w:r>
              <w:rPr>
                <w:szCs w:val="21"/>
              </w:rPr>
              <w:t>《澧县经济开发区总体规划》（2012-2020），湖南省发展和改革委员会，湘发改函〔2013〕202号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vAlign w:val="center"/>
          </w:tcPr>
          <w:p>
            <w:pPr>
              <w:jc w:val="center"/>
              <w:rPr>
                <w:szCs w:val="21"/>
              </w:rPr>
            </w:pPr>
            <w:r>
              <w:rPr>
                <w:szCs w:val="21"/>
              </w:rPr>
              <w:t>规划环境影响评价情况</w:t>
            </w:r>
          </w:p>
        </w:tc>
        <w:tc>
          <w:tcPr>
            <w:tcW w:w="6943" w:type="dxa"/>
            <w:gridSpan w:val="3"/>
            <w:vAlign w:val="center"/>
          </w:tcPr>
          <w:p>
            <w:pPr>
              <w:numPr>
                <w:ilvl w:val="0"/>
                <w:numId w:val="0"/>
              </w:numPr>
              <w:snapToGrid w:val="0"/>
              <w:spacing w:line="360" w:lineRule="auto"/>
              <w:rPr>
                <w:szCs w:val="21"/>
              </w:rPr>
            </w:pPr>
            <w:r>
              <w:rPr>
                <w:szCs w:val="21"/>
              </w:rPr>
              <w:t>《湖南澧县经济开发区环境影响报告书》，湖南省环境保护厅《关于湖南澧县经济开发区环境影响报告书的批复》（湘环评[2013]112号），2013年5月14日。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117" w:type="dxa"/>
            <w:vAlign w:val="center"/>
          </w:tcPr>
          <w:p>
            <w:pPr>
              <w:autoSpaceDE w:val="0"/>
              <w:autoSpaceDN w:val="0"/>
              <w:jc w:val="center"/>
              <w:rPr>
                <w:szCs w:val="21"/>
              </w:rPr>
            </w:pPr>
            <w:r>
              <w:rPr>
                <w:szCs w:val="21"/>
              </w:rPr>
              <w:t>规划及规划环境</w:t>
            </w:r>
          </w:p>
          <w:p>
            <w:pPr>
              <w:autoSpaceDE w:val="0"/>
              <w:autoSpaceDN w:val="0"/>
              <w:jc w:val="center"/>
              <w:rPr>
                <w:szCs w:val="21"/>
              </w:rPr>
            </w:pPr>
            <w:r>
              <w:rPr>
                <w:szCs w:val="21"/>
              </w:rPr>
              <w:t>影响评价符合性分析</w:t>
            </w:r>
          </w:p>
        </w:tc>
        <w:tc>
          <w:tcPr>
            <w:tcW w:w="6943" w:type="dxa"/>
            <w:gridSpan w:val="3"/>
          </w:tcPr>
          <w:p>
            <w:pPr>
              <w:adjustRightInd w:val="0"/>
              <w:snapToGrid w:val="0"/>
              <w:spacing w:before="163" w:beforeLines="50" w:line="300" w:lineRule="auto"/>
              <w:jc w:val="left"/>
            </w:pPr>
            <w:r>
              <w:rPr>
                <w:rFonts w:hint="eastAsia"/>
                <w:b/>
                <w:kern w:val="0"/>
                <w:szCs w:val="21"/>
              </w:rPr>
              <w:t>1、规划符合性分析</w:t>
            </w:r>
          </w:p>
          <w:p>
            <w:pPr>
              <w:widowControl/>
              <w:spacing w:line="300" w:lineRule="auto"/>
              <w:ind w:firstLine="480"/>
            </w:pPr>
            <w:r>
              <w:t>2018年，湖南省政府下发《湖南省人民政府关于设立桂阳工业园区等6个省</w:t>
            </w:r>
            <w:r>
              <w:rPr>
                <w:rFonts w:hint="eastAsia"/>
              </w:rPr>
              <w:t>级高新技术产业开发区的批复》（湘政函〔2019〕14号），澧县经济开发区正式获批为澧县高新技术产业开发区，由此更名为“澧县高新技术产业开发区”。湖南澧县经济开发区申报的规划为“一园两区”结构，为对现有开发区的扩区规划，规划总控制面积为17.72km</w:t>
            </w:r>
            <w:r>
              <w:rPr>
                <w:rFonts w:hint="eastAsia"/>
                <w:vertAlign w:val="superscript"/>
              </w:rPr>
              <w:t>2</w:t>
            </w:r>
            <w:r>
              <w:rPr>
                <w:rFonts w:hint="eastAsia"/>
              </w:rPr>
              <w:t>，其中老区（即现有开发区）位于澧县县城规划区西侧，其规划区范围北抵新河路，南临澧水大堤、西至回水渠、东达护城路，规划面积6.24km</w:t>
            </w:r>
            <w:r>
              <w:rPr>
                <w:rFonts w:hint="eastAsia"/>
                <w:vertAlign w:val="superscript"/>
              </w:rPr>
              <w:t>2</w:t>
            </w:r>
            <w:r>
              <w:rPr>
                <w:rFonts w:hint="eastAsia"/>
              </w:rPr>
              <w:t>，产业定位以食品加工、医疗器械、轻纺等产业为主，适当配套发展纸制品包装和现代化服务等辅助产业，现已初步形成食品加工、医疗器械、轻纺三大产业集群；新区产业定位以物流、服装生产和电子机械为主，辅以发展食品加工工业。严格执行入园准入制度，不得引进国家命令淘汰和禁止发展的能耗高物耗高、环境污染严重、不符合产业政策的建设项目，经开区禁止引进引入三类工业及排放重金属企业入园，限制耗水量及排水量大的企业进入，新区主要发展一类工业，禁止引进水型污染企业和气型污染企业，严格控制食品加工企业规模。</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rPr>
              <w:t>新区规划区范围：东抵津市市，南与澧南乡隔澧水相望，西连县城，北与澧东乡以澹水河为界。包括蔡津村、玉皇村、东洲村、大巷口居委会、拥宪村、上福村、三甲村和夹堤村、仁和村、永固村的一部分。开发区规划建设用地11.48 km</w:t>
            </w:r>
            <w:r>
              <w:rPr>
                <w:rFonts w:hint="eastAsia" w:ascii="Times New Roman" w:hAnsi="Times New Roman" w:cs="Times New Roman"/>
                <w:vertAlign w:val="superscript"/>
              </w:rPr>
              <w:t>2</w:t>
            </w:r>
            <w:r>
              <w:rPr>
                <w:rFonts w:hint="eastAsia" w:ascii="Times New Roman" w:hAnsi="Times New Roman" w:cs="Times New Roman"/>
                <w:lang w:eastAsia="zh-CN"/>
              </w:rPr>
              <w:t>。</w:t>
            </w:r>
            <w:r>
              <w:rPr>
                <w:rFonts w:hint="eastAsia" w:ascii="Times New Roman" w:hAnsi="Times New Roman" w:eastAsia="宋体" w:cs="Times New Roman"/>
                <w:kern w:val="2"/>
                <w:sz w:val="21"/>
                <w:szCs w:val="24"/>
                <w:lang w:val="en-US" w:eastAsia="zh-CN" w:bidi="ar-SA"/>
              </w:rPr>
              <w:t>本项目位于澧县高新技术产业开发区创新创业园B5栋1层</w:t>
            </w:r>
            <w:r>
              <w:rPr>
                <w:rFonts w:hint="eastAsia" w:ascii="Times New Roman" w:hAnsi="Times New Roman" w:cs="Times New Roman"/>
                <w:kern w:val="2"/>
                <w:sz w:val="21"/>
                <w:szCs w:val="24"/>
                <w:lang w:val="en-US" w:eastAsia="zh-CN" w:bidi="ar-SA"/>
              </w:rPr>
              <w:t>，开发新区的综合</w:t>
            </w:r>
            <w:r>
              <w:rPr>
                <w:rFonts w:hint="eastAsia" w:ascii="Times New Roman" w:hAnsi="Times New Roman" w:cs="Times New Roman"/>
                <w:lang w:val="en-US" w:eastAsia="zh-CN"/>
              </w:rPr>
              <w:t>定位为：经济与产业转型的示范园，澧县经济发展的重要增长极，产业特色鲜明、科技创新的产业基地，生态特色鲜明的新城区。</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 xml:space="preserve">产业规划：以物流、服装生产和电子机械为主体的功能合理、特色明显、配套完善、环境优美的现代化综合经济开发区。具体产业规划如下： </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ascii="Times New Roman" w:hAnsi="Times New Roman" w:cs="Times New Roman"/>
                <w:lang w:val="en-US" w:eastAsia="zh-CN"/>
              </w:rPr>
              <w:t xml:space="preserve">）以服装制作生产为主的轻工纺织业； </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2</w:t>
            </w:r>
            <w:r>
              <w:rPr>
                <w:rFonts w:hint="eastAsia" w:ascii="Times New Roman" w:hAnsi="Times New Roman" w:cs="Times New Roman"/>
                <w:lang w:val="en-US" w:eastAsia="zh-CN"/>
              </w:rPr>
              <w:t>）以电子机械加工等为主的电子机械加工业；</w:t>
            </w:r>
            <w:r>
              <w:rPr>
                <w:rFonts w:hint="default" w:ascii="Times New Roman" w:hAnsi="Times New Roman" w:cs="Times New Roman"/>
                <w:lang w:val="en-US" w:eastAsia="zh-CN"/>
              </w:rPr>
              <w:t xml:space="preserve"> </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3</w:t>
            </w:r>
            <w:r>
              <w:rPr>
                <w:rFonts w:hint="eastAsia" w:ascii="Times New Roman" w:hAnsi="Times New Roman" w:cs="Times New Roman"/>
                <w:lang w:val="en-US" w:eastAsia="zh-CN"/>
              </w:rPr>
              <w:t xml:space="preserve">）以食品加工等为主的食品加工产业； </w:t>
            </w:r>
          </w:p>
          <w:p>
            <w:pPr>
              <w:widowControl/>
              <w:spacing w:line="300" w:lineRule="auto"/>
              <w:ind w:firstLine="480"/>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4</w:t>
            </w:r>
            <w:r>
              <w:rPr>
                <w:rFonts w:hint="eastAsia" w:ascii="Times New Roman" w:hAnsi="Times New Roman" w:cs="Times New Roman"/>
                <w:lang w:val="en-US" w:eastAsia="zh-CN"/>
              </w:rPr>
              <w:t>）以为各地物流分拨配送为主的物流业。</w:t>
            </w:r>
          </w:p>
          <w:p>
            <w:pPr>
              <w:widowControl/>
              <w:spacing w:line="300" w:lineRule="auto"/>
              <w:ind w:firstLine="480"/>
              <w:rPr>
                <w:rFonts w:ascii="宋体" w:hAnsi="宋体" w:cs="宋体"/>
                <w:szCs w:val="21"/>
              </w:rPr>
            </w:pPr>
            <w:r>
              <w:rPr>
                <w:rFonts w:hint="eastAsia" w:ascii="Times New Roman" w:hAnsi="Times New Roman" w:cs="Times New Roman"/>
                <w:lang w:val="en-US" w:eastAsia="zh-CN"/>
              </w:rPr>
              <w:t>本项目属于其他纸制品制造，不属于水污染型企业和气型污染企业，因此本项目与园区规划相符。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0" w:hRule="atLeast"/>
          <w:jc w:val="center"/>
        </w:trPr>
        <w:tc>
          <w:tcPr>
            <w:tcW w:w="2117" w:type="dxa"/>
            <w:vAlign w:val="center"/>
          </w:tcPr>
          <w:p>
            <w:pPr>
              <w:autoSpaceDE w:val="0"/>
              <w:autoSpaceDN w:val="0"/>
              <w:jc w:val="center"/>
              <w:rPr>
                <w:szCs w:val="21"/>
              </w:rPr>
            </w:pPr>
            <w:r>
              <w:rPr>
                <w:szCs w:val="21"/>
              </w:rPr>
              <w:t>其他符合性分析</w:t>
            </w:r>
          </w:p>
        </w:tc>
        <w:tc>
          <w:tcPr>
            <w:tcW w:w="6943" w:type="dxa"/>
            <w:gridSpan w:val="3"/>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jc w:val="both"/>
              <w:textAlignment w:val="auto"/>
              <w:rPr>
                <w:rFonts w:hint="eastAsia" w:ascii="Times New Roman" w:hAnsi="Times New Roman" w:eastAsia="宋体" w:cs="Times New Roman"/>
                <w:b/>
                <w:bCs/>
                <w:color w:val="auto"/>
                <w:sz w:val="24"/>
                <w:szCs w:val="24"/>
                <w:highlight w:val="none"/>
                <w:u w:val="none"/>
                <w:lang w:eastAsia="zh-CN"/>
              </w:rPr>
            </w:pPr>
            <w:bookmarkStart w:id="1" w:name="_Toc359268589"/>
            <w:bookmarkStart w:id="2" w:name="_Toc257958948"/>
            <w:bookmarkStart w:id="3" w:name="_Toc482437800"/>
            <w:r>
              <w:rPr>
                <w:rFonts w:hint="eastAsia" w:ascii="Times New Roman" w:hAnsi="Times New Roman" w:eastAsia="宋体" w:cs="Times New Roman"/>
                <w:b/>
                <w:bCs/>
                <w:color w:val="auto"/>
                <w:sz w:val="24"/>
                <w:szCs w:val="24"/>
                <w:highlight w:val="none"/>
                <w:u w:val="none"/>
                <w:lang w:val="en-US" w:eastAsia="zh-CN"/>
              </w:rPr>
              <w:t>1</w:t>
            </w:r>
            <w:r>
              <w:rPr>
                <w:rFonts w:ascii="Times New Roman" w:hAnsi="Times New Roman" w:eastAsia="宋体" w:cs="Times New Roman"/>
                <w:b/>
                <w:bCs/>
                <w:color w:val="auto"/>
                <w:sz w:val="24"/>
                <w:szCs w:val="24"/>
                <w:highlight w:val="none"/>
                <w:u w:val="none"/>
              </w:rPr>
              <w:t>、</w:t>
            </w:r>
            <w:bookmarkEnd w:id="1"/>
            <w:bookmarkEnd w:id="2"/>
            <w:bookmarkEnd w:id="3"/>
            <w:bookmarkStart w:id="4" w:name="_Toc19606"/>
            <w:r>
              <w:rPr>
                <w:rFonts w:ascii="Times New Roman" w:hAnsi="Times New Roman" w:eastAsia="宋体" w:cs="Times New Roman"/>
                <w:b/>
                <w:bCs/>
                <w:color w:val="auto"/>
                <w:sz w:val="24"/>
                <w:szCs w:val="24"/>
                <w:highlight w:val="none"/>
                <w:u w:val="none"/>
              </w:rPr>
              <w:t>“三线一单”相符性</w:t>
            </w:r>
            <w:bookmarkEnd w:id="4"/>
            <w:r>
              <w:rPr>
                <w:rFonts w:hint="eastAsia" w:ascii="Times New Roman" w:hAnsi="Times New Roman" w:eastAsia="宋体" w:cs="Times New Roman"/>
                <w:b/>
                <w:bCs/>
                <w:color w:val="auto"/>
                <w:sz w:val="24"/>
                <w:szCs w:val="24"/>
                <w:highlight w:val="none"/>
                <w:u w:val="none"/>
                <w:lang w:eastAsia="zh-CN"/>
              </w:rPr>
              <w:t>分析</w:t>
            </w:r>
          </w:p>
          <w:p>
            <w:pPr>
              <w:snapToGrid w:val="0"/>
              <w:spacing w:line="360"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rPr>
              <w:t>与《湖南省"三线一单"生态环境总体管控要求暨省级以上产业园区生态环境准入清单》的符合性分析</w:t>
            </w:r>
          </w:p>
          <w:p>
            <w:pPr>
              <w:snapToGrid w:val="0"/>
              <w:spacing w:line="360"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rPr>
              <w:t>项目位于澧县高新区</w:t>
            </w:r>
            <w:r>
              <w:rPr>
                <w:rFonts w:hint="eastAsia" w:ascii="Times New Roman" w:hAnsi="Times New Roman" w:eastAsia="宋体" w:cs="Times New Roman"/>
                <w:szCs w:val="21"/>
                <w:lang w:eastAsia="zh-CN"/>
              </w:rPr>
              <w:t>创新创业园</w:t>
            </w:r>
            <w:r>
              <w:rPr>
                <w:rFonts w:hint="eastAsia" w:ascii="Times New Roman" w:hAnsi="Times New Roman" w:eastAsia="宋体" w:cs="Times New Roman"/>
                <w:szCs w:val="21"/>
                <w:lang w:val="en-US" w:eastAsia="zh-CN"/>
              </w:rPr>
              <w:t>B5栋1层</w:t>
            </w:r>
            <w:r>
              <w:rPr>
                <w:rFonts w:hint="eastAsia" w:ascii="Times New Roman" w:hAnsi="Times New Roman" w:eastAsia="宋体" w:cs="Times New Roman"/>
                <w:szCs w:val="21"/>
              </w:rPr>
              <w:t>，与《湖南省“三线一单”生态环境总体管控要求暨省级以上产业园区生态环境准入清单》中澧县高新技术产业开发区的符合性分析如下：</w:t>
            </w:r>
          </w:p>
          <w:p>
            <w:pPr>
              <w:snapToGrid w:val="0"/>
              <w:spacing w:line="300" w:lineRule="auto"/>
              <w:ind w:firstLine="420"/>
              <w:jc w:val="center"/>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表1-2 项目与澧县高新技术产业开发区符合性分析</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31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kern w:val="0"/>
                      <w:sz w:val="21"/>
                      <w:szCs w:val="21"/>
                    </w:rPr>
                  </w:pPr>
                  <w:r>
                    <w:rPr>
                      <w:rFonts w:hint="eastAsia"/>
                      <w:color w:val="auto"/>
                      <w:kern w:val="0"/>
                      <w:sz w:val="21"/>
                      <w:szCs w:val="21"/>
                    </w:rPr>
                    <w:t>管控维度</w:t>
                  </w:r>
                </w:p>
              </w:tc>
              <w:tc>
                <w:tcPr>
                  <w:tcW w:w="2470" w:type="pc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color w:val="auto"/>
                      <w:kern w:val="0"/>
                      <w:sz w:val="21"/>
                      <w:szCs w:val="21"/>
                    </w:rPr>
                  </w:pPr>
                  <w:r>
                    <w:rPr>
                      <w:rFonts w:hint="eastAsia"/>
                      <w:color w:val="auto"/>
                      <w:kern w:val="0"/>
                      <w:sz w:val="21"/>
                      <w:szCs w:val="21"/>
                    </w:rPr>
                    <w:t>管控要求</w:t>
                  </w:r>
                </w:p>
              </w:tc>
              <w:tc>
                <w:tcPr>
                  <w:tcW w:w="19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color w:val="auto"/>
                      <w:kern w:val="0"/>
                      <w:sz w:val="21"/>
                      <w:szCs w:val="21"/>
                    </w:rPr>
                  </w:pPr>
                  <w:r>
                    <w:rPr>
                      <w:rFonts w:hint="eastAsia"/>
                      <w:color w:val="auto"/>
                      <w:kern w:val="0"/>
                      <w:sz w:val="21"/>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kern w:val="0"/>
                      <w:sz w:val="21"/>
                      <w:szCs w:val="21"/>
                    </w:rPr>
                  </w:pPr>
                  <w:r>
                    <w:rPr>
                      <w:rFonts w:hint="eastAsia"/>
                      <w:color w:val="auto"/>
                      <w:kern w:val="0"/>
                      <w:sz w:val="21"/>
                      <w:szCs w:val="21"/>
                    </w:rPr>
                    <w:t>空间布局约束</w:t>
                  </w:r>
                </w:p>
              </w:tc>
              <w:tc>
                <w:tcPr>
                  <w:tcW w:w="2470"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color w:val="auto"/>
                      <w:sz w:val="21"/>
                      <w:szCs w:val="21"/>
                    </w:rPr>
                  </w:pPr>
                  <w:r>
                    <w:rPr>
                      <w:rFonts w:hint="eastAsia"/>
                      <w:color w:val="auto"/>
                      <w:kern w:val="0"/>
                      <w:sz w:val="21"/>
                      <w:szCs w:val="21"/>
                    </w:rPr>
                    <w:t>（</w:t>
                  </w:r>
                  <w:r>
                    <w:rPr>
                      <w:color w:val="auto"/>
                      <w:kern w:val="0"/>
                      <w:sz w:val="21"/>
                      <w:szCs w:val="21"/>
                    </w:rPr>
                    <w:t>1.1</w:t>
                  </w:r>
                  <w:r>
                    <w:rPr>
                      <w:rFonts w:hint="eastAsia"/>
                      <w:color w:val="auto"/>
                      <w:kern w:val="0"/>
                      <w:sz w:val="21"/>
                      <w:szCs w:val="21"/>
                    </w:rPr>
                    <w:t>）高新区禁止引入三类工业及排放重金属企业入园，限制耗水量及排水量大的企业进入，从排水条件、区位条件综合考虑，东区主要发展一类工业，禁止引进水型污染企业和气型污染企业，严格控制食品加工产业规模。西区限制水型污染企业入园。</w:t>
                  </w:r>
                </w:p>
                <w:p>
                  <w:pPr>
                    <w:spacing w:line="240" w:lineRule="auto"/>
                    <w:ind w:firstLine="420" w:firstLineChars="200"/>
                    <w:jc w:val="left"/>
                    <w:rPr>
                      <w:color w:val="auto"/>
                      <w:kern w:val="0"/>
                      <w:sz w:val="21"/>
                      <w:szCs w:val="21"/>
                    </w:rPr>
                  </w:pPr>
                  <w:r>
                    <w:rPr>
                      <w:rFonts w:hint="eastAsia"/>
                      <w:color w:val="auto"/>
                      <w:kern w:val="0"/>
                      <w:sz w:val="21"/>
                      <w:szCs w:val="21"/>
                    </w:rPr>
                    <w:t>（</w:t>
                  </w:r>
                  <w:r>
                    <w:rPr>
                      <w:color w:val="auto"/>
                      <w:kern w:val="0"/>
                      <w:sz w:val="21"/>
                      <w:szCs w:val="21"/>
                    </w:rPr>
                    <w:t>1.2</w:t>
                  </w:r>
                  <w:r>
                    <w:rPr>
                      <w:rFonts w:hint="eastAsia"/>
                      <w:color w:val="auto"/>
                      <w:kern w:val="0"/>
                      <w:sz w:val="21"/>
                      <w:szCs w:val="21"/>
                    </w:rPr>
                    <w:t>）在东区东部与津市接壤区域依托现有绿地设置生态林地，将其东北澹水岸边的生态绿地组团向南延伸至汇洪通道与澧水交汇处。</w:t>
                  </w:r>
                </w:p>
              </w:tc>
              <w:tc>
                <w:tcPr>
                  <w:tcW w:w="19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center"/>
                    <w:rPr>
                      <w:color w:val="auto"/>
                      <w:sz w:val="21"/>
                      <w:szCs w:val="21"/>
                    </w:rPr>
                  </w:pPr>
                  <w:r>
                    <w:rPr>
                      <w:rFonts w:hint="eastAsia"/>
                      <w:color w:val="auto"/>
                      <w:kern w:val="0"/>
                      <w:sz w:val="21"/>
                      <w:szCs w:val="21"/>
                    </w:rPr>
                    <w:t>本项目属于</w:t>
                  </w:r>
                  <w:r>
                    <w:rPr>
                      <w:rFonts w:hint="eastAsia"/>
                      <w:color w:val="auto"/>
                      <w:kern w:val="0"/>
                      <w:sz w:val="21"/>
                      <w:szCs w:val="21"/>
                      <w:shd w:val="clear" w:color="auto" w:fill="FFFFFF"/>
                      <w:lang w:eastAsia="zh-CN"/>
                    </w:rPr>
                    <w:t>其他纸制品制造</w:t>
                  </w:r>
                  <w:r>
                    <w:rPr>
                      <w:rFonts w:hint="eastAsia"/>
                      <w:color w:val="auto"/>
                      <w:kern w:val="0"/>
                      <w:sz w:val="21"/>
                      <w:szCs w:val="21"/>
                    </w:rPr>
                    <w:t>，本项目位于澧县高新技术产业开发区，本项目不属于三类工业及排放重金属企业限制水型污染企业。不属于水型污染企业。</w:t>
                  </w:r>
                </w:p>
                <w:p>
                  <w:pPr>
                    <w:spacing w:line="240" w:lineRule="auto"/>
                    <w:ind w:firstLine="420" w:firstLineChars="200"/>
                    <w:jc w:val="center"/>
                    <w:rPr>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kern w:val="0"/>
                      <w:sz w:val="21"/>
                      <w:szCs w:val="21"/>
                    </w:rPr>
                  </w:pPr>
                  <w:r>
                    <w:rPr>
                      <w:rFonts w:hint="eastAsia"/>
                      <w:kern w:val="0"/>
                      <w:sz w:val="21"/>
                      <w:szCs w:val="21"/>
                    </w:rPr>
                    <w:t>污染物排放管控</w:t>
                  </w:r>
                </w:p>
              </w:tc>
              <w:tc>
                <w:tcPr>
                  <w:tcW w:w="2470"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sz w:val="21"/>
                      <w:szCs w:val="21"/>
                    </w:rPr>
                  </w:pPr>
                  <w:r>
                    <w:rPr>
                      <w:rFonts w:hint="eastAsia"/>
                      <w:kern w:val="0"/>
                      <w:sz w:val="21"/>
                      <w:szCs w:val="21"/>
                    </w:rPr>
                    <w:t>（</w:t>
                  </w:r>
                  <w:r>
                    <w:rPr>
                      <w:kern w:val="0"/>
                      <w:sz w:val="21"/>
                      <w:szCs w:val="21"/>
                    </w:rPr>
                    <w:t>2.1</w:t>
                  </w:r>
                  <w:r>
                    <w:rPr>
                      <w:rFonts w:hint="eastAsia"/>
                      <w:kern w:val="0"/>
                      <w:sz w:val="21"/>
                      <w:szCs w:val="21"/>
                    </w:rPr>
                    <w:t>）废水：高新区排水应全面实施雨污分流，做好区域相应排水管网、污水处理厂等基础设施建设。</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2.1.1</w:t>
                  </w:r>
                  <w:r>
                    <w:rPr>
                      <w:rFonts w:hint="eastAsia"/>
                      <w:kern w:val="0"/>
                      <w:sz w:val="21"/>
                      <w:szCs w:val="21"/>
                    </w:rPr>
                    <w:t>）西区生产废水、生活污水经预处理达到澧县污水处理厂进水水质要求后经管网进入污水处理厂深度处理后排入澹水；雨水排放分别通过白米机埠、群星机埠</w:t>
                  </w:r>
                  <w:r>
                    <w:rPr>
                      <w:kern w:val="0"/>
                      <w:sz w:val="21"/>
                      <w:szCs w:val="21"/>
                    </w:rPr>
                    <w:t>2</w:t>
                  </w:r>
                  <w:r>
                    <w:rPr>
                      <w:rFonts w:hint="eastAsia"/>
                      <w:kern w:val="0"/>
                      <w:sz w:val="21"/>
                      <w:szCs w:val="21"/>
                    </w:rPr>
                    <w:t>个机埠排入回水渠中，最终经过乔家河自动电排进入澧水。</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2.1.2</w:t>
                  </w:r>
                  <w:r>
                    <w:rPr>
                      <w:rFonts w:hint="eastAsia"/>
                      <w:kern w:val="0"/>
                      <w:sz w:val="21"/>
                      <w:szCs w:val="21"/>
                    </w:rPr>
                    <w:t>）东区单独设置污水处理厂，园区污废水经处理达标后排入澹水；加快推进东区污水处理厂管网建设，在污水处理厂建成且与区域排水管网对接运营完成前，该片区不得引进涉及生产废水排放的企业；雨水由管网收集后通过北部的东洲泵站进入澹水。</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2.2</w:t>
                  </w:r>
                  <w:r>
                    <w:rPr>
                      <w:rFonts w:hint="eastAsia"/>
                      <w:kern w:val="0"/>
                      <w:sz w:val="21"/>
                      <w:szCs w:val="21"/>
                    </w:rPr>
                    <w:t>）废气：</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2.2.1</w:t>
                  </w:r>
                  <w:r>
                    <w:rPr>
                      <w:rFonts w:hint="eastAsia"/>
                      <w:kern w:val="0"/>
                      <w:sz w:val="21"/>
                      <w:szCs w:val="21"/>
                    </w:rPr>
                    <w:t>）对各企业工艺废气产出的生产节点，应配置废气收集与处理净化装置，确保达标排放；加强生产工艺研究与技术改进，采取有效措施，减少入园企业工艺废气的无组织排放；入园企业各生产装置排放的废气须达标排放。</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2.2.2</w:t>
                  </w:r>
                  <w:r>
                    <w:rPr>
                      <w:rFonts w:hint="eastAsia"/>
                      <w:kern w:val="0"/>
                      <w:sz w:val="21"/>
                      <w:szCs w:val="21"/>
                    </w:rPr>
                    <w:t>）强化源头管控和末端治理，加快推进有机化工、工业涂装等行业企业</w:t>
                  </w:r>
                  <w:r>
                    <w:rPr>
                      <w:kern w:val="0"/>
                      <w:sz w:val="21"/>
                      <w:szCs w:val="21"/>
                    </w:rPr>
                    <w:t>VOCs</w:t>
                  </w:r>
                  <w:r>
                    <w:rPr>
                      <w:rFonts w:hint="eastAsia"/>
                      <w:kern w:val="0"/>
                      <w:sz w:val="21"/>
                      <w:szCs w:val="21"/>
                    </w:rPr>
                    <w:t>治理，确保达标排放。</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2.2.3</w:t>
                  </w:r>
                  <w:r>
                    <w:rPr>
                      <w:rFonts w:hint="eastAsia"/>
                      <w:kern w:val="0"/>
                      <w:sz w:val="21"/>
                      <w:szCs w:val="21"/>
                    </w:rPr>
                    <w:t>）园区内发酵酒精等行业及涉锅炉大气污染物排放应满足《湖南省生态环境厅关于执行污染物特别排放限值（第一批）的公告》中的要求。</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2.3</w:t>
                  </w:r>
                  <w:r>
                    <w:rPr>
                      <w:rFonts w:hint="eastAsia"/>
                      <w:kern w:val="0"/>
                      <w:sz w:val="21"/>
                      <w:szCs w:val="21"/>
                    </w:rPr>
                    <w:t>）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p>
                  <w:pPr>
                    <w:spacing w:line="240" w:lineRule="auto"/>
                    <w:ind w:firstLine="420" w:firstLineChars="200"/>
                    <w:jc w:val="left"/>
                    <w:rPr>
                      <w:kern w:val="0"/>
                      <w:sz w:val="21"/>
                      <w:szCs w:val="21"/>
                    </w:rPr>
                  </w:pPr>
                </w:p>
              </w:tc>
              <w:tc>
                <w:tcPr>
                  <w:tcW w:w="1971"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sz w:val="21"/>
                      <w:szCs w:val="21"/>
                    </w:rPr>
                  </w:pPr>
                  <w:r>
                    <w:rPr>
                      <w:kern w:val="0"/>
                      <w:sz w:val="21"/>
                      <w:szCs w:val="21"/>
                    </w:rPr>
                    <w:t>2.1</w:t>
                  </w:r>
                  <w:r>
                    <w:rPr>
                      <w:rFonts w:hint="eastAsia"/>
                      <w:kern w:val="0"/>
                      <w:sz w:val="21"/>
                      <w:szCs w:val="21"/>
                    </w:rPr>
                    <w:t>本项目厂区雨污分流。</w:t>
                  </w:r>
                </w:p>
                <w:p>
                  <w:pPr>
                    <w:spacing w:line="240" w:lineRule="auto"/>
                    <w:ind w:firstLine="420" w:firstLineChars="200"/>
                    <w:jc w:val="left"/>
                    <w:rPr>
                      <w:kern w:val="0"/>
                      <w:sz w:val="21"/>
                      <w:szCs w:val="21"/>
                    </w:rPr>
                  </w:pPr>
                  <w:r>
                    <w:rPr>
                      <w:rFonts w:hint="eastAsia"/>
                      <w:kern w:val="0"/>
                      <w:sz w:val="21"/>
                      <w:szCs w:val="21"/>
                    </w:rPr>
                    <w:t>本项目位于澧县高新技术产业开发区</w:t>
                  </w:r>
                  <w:r>
                    <w:rPr>
                      <w:rFonts w:hint="eastAsia"/>
                      <w:kern w:val="0"/>
                      <w:sz w:val="21"/>
                      <w:szCs w:val="21"/>
                      <w:lang w:eastAsia="zh-CN"/>
                    </w:rPr>
                    <w:t>创新创业园</w:t>
                  </w:r>
                  <w:r>
                    <w:rPr>
                      <w:rFonts w:hint="eastAsia"/>
                      <w:kern w:val="0"/>
                      <w:sz w:val="21"/>
                      <w:szCs w:val="21"/>
                      <w:lang w:val="en-US" w:eastAsia="zh-CN"/>
                    </w:rPr>
                    <w:t>B5栋</w:t>
                  </w:r>
                  <w:r>
                    <w:rPr>
                      <w:rFonts w:hint="eastAsia"/>
                      <w:kern w:val="0"/>
                      <w:sz w:val="21"/>
                      <w:szCs w:val="21"/>
                    </w:rPr>
                    <w:t>，</w:t>
                  </w:r>
                  <w:r>
                    <w:rPr>
                      <w:rFonts w:hint="eastAsia"/>
                      <w:kern w:val="0"/>
                      <w:sz w:val="21"/>
                      <w:szCs w:val="21"/>
                      <w:lang w:eastAsia="zh-CN"/>
                    </w:rPr>
                    <w:t>项目污水经化粪池处理后进入园区污水管网再进入园区的生活污水处理站处理后外排进入澹水，雨水通过园区管网收集后沿雨水管道进入澹水</w:t>
                  </w:r>
                  <w:r>
                    <w:rPr>
                      <w:rFonts w:hint="eastAsia"/>
                      <w:kern w:val="0"/>
                      <w:sz w:val="21"/>
                      <w:szCs w:val="21"/>
                    </w:rPr>
                    <w:t>。</w:t>
                  </w:r>
                </w:p>
                <w:p>
                  <w:pPr>
                    <w:spacing w:line="240" w:lineRule="auto"/>
                    <w:ind w:firstLine="420" w:firstLineChars="200"/>
                    <w:jc w:val="left"/>
                    <w:rPr>
                      <w:rFonts w:hint="default" w:eastAsia="宋体"/>
                      <w:kern w:val="0"/>
                      <w:sz w:val="21"/>
                      <w:szCs w:val="21"/>
                      <w:lang w:val="en-US" w:eastAsia="zh-CN"/>
                    </w:rPr>
                  </w:pPr>
                  <w:r>
                    <w:rPr>
                      <w:kern w:val="0"/>
                      <w:sz w:val="21"/>
                      <w:szCs w:val="21"/>
                    </w:rPr>
                    <w:t>2.2</w:t>
                  </w:r>
                  <w:r>
                    <w:rPr>
                      <w:rFonts w:hint="eastAsia"/>
                      <w:kern w:val="0"/>
                      <w:sz w:val="21"/>
                      <w:szCs w:val="21"/>
                    </w:rPr>
                    <w:t>废气：企业</w:t>
                  </w:r>
                  <w:r>
                    <w:rPr>
                      <w:rFonts w:hint="eastAsia"/>
                      <w:kern w:val="0"/>
                      <w:sz w:val="21"/>
                      <w:szCs w:val="21"/>
                      <w:lang w:eastAsia="zh-CN"/>
                    </w:rPr>
                    <w:t>天然气燃烧废气</w:t>
                  </w:r>
                  <w:r>
                    <w:rPr>
                      <w:rFonts w:hint="eastAsia"/>
                      <w:kern w:val="0"/>
                      <w:sz w:val="21"/>
                      <w:szCs w:val="21"/>
                      <w:lang w:val="en-US" w:eastAsia="zh-CN"/>
                    </w:rPr>
                    <w:t>无组织排放</w:t>
                  </w:r>
                  <w:r>
                    <w:rPr>
                      <w:rFonts w:hint="eastAsia"/>
                      <w:kern w:val="0"/>
                      <w:sz w:val="21"/>
                      <w:szCs w:val="21"/>
                    </w:rPr>
                    <w:t>。</w:t>
                  </w:r>
                  <w:r>
                    <w:rPr>
                      <w:rFonts w:hint="eastAsia"/>
                      <w:kern w:val="0"/>
                      <w:sz w:val="21"/>
                      <w:szCs w:val="21"/>
                      <w:lang w:eastAsia="zh-CN"/>
                    </w:rPr>
                    <w:t>且本项目使用白乳胶</w:t>
                  </w:r>
                  <w:r>
                    <w:rPr>
                      <w:rFonts w:hint="eastAsia"/>
                      <w:kern w:val="0"/>
                      <w:sz w:val="21"/>
                      <w:szCs w:val="21"/>
                      <w:lang w:val="en-US" w:eastAsia="zh-CN"/>
                    </w:rPr>
                    <w:t>VOC</w:t>
                  </w:r>
                  <w:r>
                    <w:rPr>
                      <w:rFonts w:hint="eastAsia"/>
                      <w:kern w:val="0"/>
                      <w:sz w:val="21"/>
                      <w:szCs w:val="21"/>
                      <w:vertAlign w:val="subscript"/>
                      <w:lang w:val="en-US" w:eastAsia="zh-CN"/>
                    </w:rPr>
                    <w:t>S</w:t>
                  </w:r>
                  <w:r>
                    <w:rPr>
                      <w:rFonts w:hint="eastAsia"/>
                      <w:kern w:val="0"/>
                      <w:sz w:val="21"/>
                      <w:szCs w:val="21"/>
                      <w:lang w:val="en-US" w:eastAsia="zh-CN"/>
                    </w:rPr>
                    <w:t>产生量较小，无组织排放。</w:t>
                  </w:r>
                </w:p>
                <w:p>
                  <w:pPr>
                    <w:spacing w:line="240" w:lineRule="auto"/>
                    <w:ind w:firstLine="420" w:firstLineChars="200"/>
                    <w:jc w:val="left"/>
                    <w:rPr>
                      <w:kern w:val="0"/>
                      <w:sz w:val="21"/>
                      <w:szCs w:val="21"/>
                    </w:rPr>
                  </w:pPr>
                  <w:r>
                    <w:rPr>
                      <w:kern w:val="0"/>
                      <w:sz w:val="21"/>
                      <w:szCs w:val="21"/>
                    </w:rPr>
                    <w:t>2.2.3</w:t>
                  </w:r>
                  <w:r>
                    <w:rPr>
                      <w:rFonts w:hint="eastAsia"/>
                      <w:kern w:val="0"/>
                      <w:sz w:val="21"/>
                      <w:szCs w:val="21"/>
                    </w:rPr>
                    <w:t>本项目不涉及。</w:t>
                  </w:r>
                </w:p>
                <w:p>
                  <w:pPr>
                    <w:spacing w:line="240" w:lineRule="auto"/>
                    <w:ind w:firstLine="420" w:firstLineChars="200"/>
                    <w:jc w:val="left"/>
                    <w:rPr>
                      <w:kern w:val="0"/>
                      <w:sz w:val="21"/>
                      <w:szCs w:val="21"/>
                    </w:rPr>
                  </w:pPr>
                  <w:r>
                    <w:rPr>
                      <w:kern w:val="0"/>
                      <w:sz w:val="21"/>
                      <w:szCs w:val="21"/>
                    </w:rPr>
                    <w:t>2.3</w:t>
                  </w:r>
                  <w:r>
                    <w:rPr>
                      <w:rFonts w:hint="eastAsia"/>
                      <w:kern w:val="0"/>
                      <w:sz w:val="21"/>
                      <w:szCs w:val="21"/>
                    </w:rPr>
                    <w:t>项目生产过程中使用到的一般工业固废经收集后外卖综合利用。生活垃圾由环卫部门定期清运。</w:t>
                  </w:r>
                  <w:r>
                    <w:rPr>
                      <w:rFonts w:hint="eastAsia"/>
                      <w:kern w:val="0"/>
                      <w:sz w:val="21"/>
                      <w:szCs w:val="21"/>
                      <w:lang w:eastAsia="zh-CN"/>
                    </w:rPr>
                    <w:t>厂区内的设备由厂家定期维修保养后产生的危险废物由厂家回收处理，厂区不暂存危险废物。</w:t>
                  </w:r>
                </w:p>
                <w:p>
                  <w:pPr>
                    <w:spacing w:line="240" w:lineRule="auto"/>
                    <w:ind w:firstLine="420" w:firstLineChars="20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kern w:val="0"/>
                      <w:sz w:val="21"/>
                      <w:szCs w:val="21"/>
                    </w:rPr>
                  </w:pPr>
                  <w:r>
                    <w:rPr>
                      <w:rFonts w:hint="eastAsia"/>
                      <w:kern w:val="0"/>
                      <w:sz w:val="21"/>
                      <w:szCs w:val="21"/>
                    </w:rPr>
                    <w:t>环境风险防控</w:t>
                  </w:r>
                </w:p>
              </w:tc>
              <w:tc>
                <w:tcPr>
                  <w:tcW w:w="2470"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sz w:val="21"/>
                      <w:szCs w:val="21"/>
                    </w:rPr>
                  </w:pPr>
                  <w:r>
                    <w:rPr>
                      <w:rFonts w:hint="eastAsia"/>
                      <w:kern w:val="0"/>
                      <w:sz w:val="21"/>
                      <w:szCs w:val="21"/>
                    </w:rPr>
                    <w:t>（</w:t>
                  </w:r>
                  <w:r>
                    <w:rPr>
                      <w:kern w:val="0"/>
                      <w:sz w:val="21"/>
                      <w:szCs w:val="21"/>
                    </w:rPr>
                    <w:t>3.1</w:t>
                  </w:r>
                  <w:r>
                    <w:rPr>
                      <w:rFonts w:hint="eastAsia"/>
                      <w:kern w:val="0"/>
                      <w:sz w:val="21"/>
                      <w:szCs w:val="21"/>
                    </w:rPr>
                    <w:t>）高新区应建立健全环境风险防控体系，落实《澧县经济开发区突发环境事件应急预案》提出的各项环境风险防范措施，严防环境风险事故发生。</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3.2</w:t>
                  </w:r>
                  <w:r>
                    <w:rPr>
                      <w:rFonts w:hint="eastAsia"/>
                      <w:kern w:val="0"/>
                      <w:sz w:val="21"/>
                      <w:szCs w:val="21"/>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3.3</w:t>
                  </w:r>
                  <w:r>
                    <w:rPr>
                      <w:rFonts w:hint="eastAsia"/>
                      <w:kern w:val="0"/>
                      <w:sz w:val="21"/>
                      <w:szCs w:val="21"/>
                    </w:rPr>
                    <w:t>）建设用地土壤风险防控：加强对建设用地土壤环境状况调查、风险评估和污染地块治理与修复活动的监管。</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3.4</w:t>
                  </w:r>
                  <w:r>
                    <w:rPr>
                      <w:rFonts w:hint="eastAsia"/>
                      <w:kern w:val="0"/>
                      <w:sz w:val="21"/>
                      <w:szCs w:val="21"/>
                    </w:rPr>
                    <w:t>）农用地土壤风险防控：实施农用地分类管理，保障农业生产环境安全；防控企业污染。禁止在优先保护类耕地集中区域新建有色金属冶炼、化工、电镀、制革、危险废物经营等行业企业。</w:t>
                  </w:r>
                </w:p>
                <w:p>
                  <w:pPr>
                    <w:spacing w:line="240" w:lineRule="auto"/>
                    <w:ind w:firstLine="420" w:firstLineChars="200"/>
                    <w:jc w:val="left"/>
                    <w:rPr>
                      <w:kern w:val="0"/>
                      <w:sz w:val="21"/>
                      <w:szCs w:val="21"/>
                    </w:rPr>
                  </w:pPr>
                </w:p>
              </w:tc>
              <w:tc>
                <w:tcPr>
                  <w:tcW w:w="1971" w:type="pc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center"/>
                    <w:rPr>
                      <w:kern w:val="0"/>
                      <w:sz w:val="21"/>
                      <w:szCs w:val="21"/>
                    </w:rPr>
                  </w:pPr>
                  <w:r>
                    <w:rPr>
                      <w:rFonts w:hint="eastAsia"/>
                      <w:kern w:val="0"/>
                      <w:sz w:val="21"/>
                      <w:szCs w:val="21"/>
                      <w:lang w:eastAsia="zh-CN"/>
                    </w:rPr>
                    <w:t>本厂区内不使用危险化学品</w:t>
                  </w:r>
                  <w:r>
                    <w:rPr>
                      <w:rFonts w:hint="eastAsia"/>
                      <w:kern w:val="0"/>
                      <w:sz w:val="21"/>
                      <w:szCs w:val="21"/>
                    </w:rPr>
                    <w:t>。</w:t>
                  </w:r>
                </w:p>
                <w:p>
                  <w:pPr>
                    <w:spacing w:line="240" w:lineRule="auto"/>
                    <w:ind w:firstLine="420" w:firstLineChars="20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kern w:val="0"/>
                      <w:sz w:val="21"/>
                      <w:szCs w:val="21"/>
                    </w:rPr>
                  </w:pPr>
                  <w:r>
                    <w:rPr>
                      <w:rFonts w:hint="eastAsia"/>
                      <w:kern w:val="0"/>
                      <w:sz w:val="21"/>
                      <w:szCs w:val="21"/>
                    </w:rPr>
                    <w:t>资源开发效率要求</w:t>
                  </w:r>
                </w:p>
              </w:tc>
              <w:tc>
                <w:tcPr>
                  <w:tcW w:w="2470"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sz w:val="21"/>
                      <w:szCs w:val="21"/>
                    </w:rPr>
                  </w:pPr>
                  <w:r>
                    <w:rPr>
                      <w:rFonts w:hint="eastAsia"/>
                      <w:kern w:val="0"/>
                      <w:sz w:val="21"/>
                      <w:szCs w:val="21"/>
                    </w:rPr>
                    <w:t>（</w:t>
                  </w:r>
                  <w:r>
                    <w:rPr>
                      <w:kern w:val="0"/>
                      <w:sz w:val="21"/>
                      <w:szCs w:val="21"/>
                    </w:rPr>
                    <w:t>4.1</w:t>
                  </w:r>
                  <w:r>
                    <w:rPr>
                      <w:rFonts w:hint="eastAsia"/>
                      <w:kern w:val="0"/>
                      <w:sz w:val="21"/>
                      <w:szCs w:val="21"/>
                    </w:rPr>
                    <w:t>）能源：逐步推进能源结构的改进，不断减少生产、生活用煤比重，大力发展电力、燃气、石油液化气等清洁能源。</w:t>
                  </w:r>
                  <w:r>
                    <w:rPr>
                      <w:kern w:val="0"/>
                      <w:sz w:val="21"/>
                      <w:szCs w:val="21"/>
                    </w:rPr>
                    <w:t>2020</w:t>
                  </w:r>
                  <w:r>
                    <w:rPr>
                      <w:rFonts w:hint="eastAsia"/>
                      <w:kern w:val="0"/>
                      <w:sz w:val="21"/>
                      <w:szCs w:val="21"/>
                    </w:rPr>
                    <w:t>年综合能源消费量预测为</w:t>
                  </w:r>
                  <w:r>
                    <w:rPr>
                      <w:kern w:val="0"/>
                      <w:sz w:val="21"/>
                      <w:szCs w:val="21"/>
                    </w:rPr>
                    <w:t>15.43</w:t>
                  </w:r>
                  <w:r>
                    <w:rPr>
                      <w:rFonts w:hint="eastAsia"/>
                      <w:kern w:val="0"/>
                      <w:sz w:val="21"/>
                      <w:szCs w:val="21"/>
                    </w:rPr>
                    <w:t>万吨标煤（当量值），单位</w:t>
                  </w:r>
                  <w:r>
                    <w:rPr>
                      <w:kern w:val="0"/>
                      <w:sz w:val="21"/>
                      <w:szCs w:val="21"/>
                    </w:rPr>
                    <w:t>GDP</w:t>
                  </w:r>
                  <w:r>
                    <w:rPr>
                      <w:rFonts w:hint="eastAsia"/>
                      <w:kern w:val="0"/>
                      <w:sz w:val="21"/>
                      <w:szCs w:val="21"/>
                    </w:rPr>
                    <w:t>能耗预测值为</w:t>
                  </w:r>
                  <w:r>
                    <w:rPr>
                      <w:kern w:val="0"/>
                      <w:sz w:val="21"/>
                      <w:szCs w:val="21"/>
                    </w:rPr>
                    <w:t>0.24</w:t>
                  </w:r>
                  <w:r>
                    <w:rPr>
                      <w:rFonts w:hint="eastAsia"/>
                      <w:kern w:val="0"/>
                      <w:sz w:val="21"/>
                      <w:szCs w:val="21"/>
                    </w:rPr>
                    <w:t>标煤</w:t>
                  </w:r>
                  <w:r>
                    <w:rPr>
                      <w:kern w:val="0"/>
                      <w:sz w:val="21"/>
                      <w:szCs w:val="21"/>
                    </w:rPr>
                    <w:t>/</w:t>
                  </w:r>
                  <w:r>
                    <w:rPr>
                      <w:rFonts w:hint="eastAsia"/>
                      <w:kern w:val="0"/>
                      <w:sz w:val="21"/>
                      <w:szCs w:val="21"/>
                    </w:rPr>
                    <w:t>万元。</w:t>
                  </w:r>
                  <w:r>
                    <w:rPr>
                      <w:kern w:val="0"/>
                      <w:sz w:val="21"/>
                      <w:szCs w:val="21"/>
                    </w:rPr>
                    <w:t>2025</w:t>
                  </w:r>
                  <w:r>
                    <w:rPr>
                      <w:rFonts w:hint="eastAsia"/>
                      <w:kern w:val="0"/>
                      <w:sz w:val="21"/>
                      <w:szCs w:val="21"/>
                    </w:rPr>
                    <w:t>年综合能源消费量预测为</w:t>
                  </w:r>
                  <w:r>
                    <w:rPr>
                      <w:kern w:val="0"/>
                      <w:sz w:val="21"/>
                      <w:szCs w:val="21"/>
                    </w:rPr>
                    <w:t>21.63</w:t>
                  </w:r>
                  <w:r>
                    <w:rPr>
                      <w:rFonts w:hint="eastAsia"/>
                      <w:kern w:val="0"/>
                      <w:sz w:val="21"/>
                      <w:szCs w:val="21"/>
                    </w:rPr>
                    <w:t>万吨标煤，单位</w:t>
                  </w:r>
                  <w:r>
                    <w:rPr>
                      <w:kern w:val="0"/>
                      <w:sz w:val="21"/>
                      <w:szCs w:val="21"/>
                    </w:rPr>
                    <w:t>GDP</w:t>
                  </w:r>
                  <w:r>
                    <w:rPr>
                      <w:rFonts w:hint="eastAsia"/>
                      <w:kern w:val="0"/>
                      <w:sz w:val="21"/>
                      <w:szCs w:val="21"/>
                    </w:rPr>
                    <w:t>能耗预测值为</w:t>
                  </w:r>
                  <w:r>
                    <w:rPr>
                      <w:kern w:val="0"/>
                      <w:sz w:val="21"/>
                      <w:szCs w:val="21"/>
                    </w:rPr>
                    <w:t>0.214</w:t>
                  </w:r>
                  <w:r>
                    <w:rPr>
                      <w:rFonts w:hint="eastAsia"/>
                      <w:kern w:val="0"/>
                      <w:sz w:val="21"/>
                      <w:szCs w:val="21"/>
                    </w:rPr>
                    <w:t>标煤</w:t>
                  </w:r>
                  <w:r>
                    <w:rPr>
                      <w:kern w:val="0"/>
                      <w:sz w:val="21"/>
                      <w:szCs w:val="21"/>
                    </w:rPr>
                    <w:t>/</w:t>
                  </w:r>
                  <w:r>
                    <w:rPr>
                      <w:rFonts w:hint="eastAsia"/>
                      <w:kern w:val="0"/>
                      <w:sz w:val="21"/>
                      <w:szCs w:val="21"/>
                    </w:rPr>
                    <w:t>万元。区域“十四五”期间综合能源消费增量为</w:t>
                  </w:r>
                  <w:r>
                    <w:rPr>
                      <w:kern w:val="0"/>
                      <w:sz w:val="21"/>
                      <w:szCs w:val="21"/>
                    </w:rPr>
                    <w:t>6.2</w:t>
                  </w:r>
                  <w:r>
                    <w:rPr>
                      <w:rFonts w:hint="eastAsia"/>
                      <w:kern w:val="0"/>
                      <w:sz w:val="21"/>
                      <w:szCs w:val="21"/>
                    </w:rPr>
                    <w:t>万吨标煤（当量值），单位</w:t>
                  </w:r>
                  <w:r>
                    <w:rPr>
                      <w:kern w:val="0"/>
                      <w:sz w:val="21"/>
                      <w:szCs w:val="21"/>
                    </w:rPr>
                    <w:t>GDP</w:t>
                  </w:r>
                  <w:r>
                    <w:rPr>
                      <w:rFonts w:hint="eastAsia"/>
                      <w:kern w:val="0"/>
                      <w:sz w:val="21"/>
                      <w:szCs w:val="21"/>
                    </w:rPr>
                    <w:t>能耗下降</w:t>
                  </w:r>
                  <w:r>
                    <w:rPr>
                      <w:kern w:val="0"/>
                      <w:sz w:val="21"/>
                      <w:szCs w:val="21"/>
                    </w:rPr>
                    <w:t>11%</w:t>
                  </w:r>
                  <w:r>
                    <w:rPr>
                      <w:rFonts w:hint="eastAsia"/>
                      <w:kern w:val="0"/>
                      <w:sz w:val="21"/>
                      <w:szCs w:val="21"/>
                    </w:rPr>
                    <w:t>。煤炭消费总量为</w:t>
                  </w:r>
                  <w:r>
                    <w:rPr>
                      <w:kern w:val="0"/>
                      <w:sz w:val="21"/>
                      <w:szCs w:val="21"/>
                    </w:rPr>
                    <w:t>16.65</w:t>
                  </w:r>
                  <w:r>
                    <w:rPr>
                      <w:rFonts w:hint="eastAsia"/>
                      <w:kern w:val="0"/>
                      <w:sz w:val="21"/>
                      <w:szCs w:val="21"/>
                    </w:rPr>
                    <w:t>万吨，增量控制在</w:t>
                  </w:r>
                  <w:r>
                    <w:rPr>
                      <w:kern w:val="0"/>
                      <w:sz w:val="21"/>
                      <w:szCs w:val="21"/>
                    </w:rPr>
                    <w:t>5.73</w:t>
                  </w:r>
                  <w:r>
                    <w:rPr>
                      <w:rFonts w:hint="eastAsia"/>
                      <w:kern w:val="0"/>
                      <w:sz w:val="21"/>
                      <w:szCs w:val="21"/>
                    </w:rPr>
                    <w:t>万吨。</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4.2</w:t>
                  </w:r>
                  <w:r>
                    <w:rPr>
                      <w:rFonts w:hint="eastAsia"/>
                      <w:kern w:val="0"/>
                      <w:sz w:val="21"/>
                      <w:szCs w:val="21"/>
                    </w:rPr>
                    <w:t>）水资源：严格按照用水定额核定取用水量，进一步加强计划用水管理，强化行业和产品用水强度控制。到</w:t>
                  </w:r>
                  <w:r>
                    <w:rPr>
                      <w:kern w:val="0"/>
                      <w:sz w:val="21"/>
                      <w:szCs w:val="21"/>
                    </w:rPr>
                    <w:t>2020</w:t>
                  </w:r>
                  <w:r>
                    <w:rPr>
                      <w:rFonts w:hint="eastAsia"/>
                      <w:kern w:val="0"/>
                      <w:sz w:val="21"/>
                      <w:szCs w:val="21"/>
                    </w:rPr>
                    <w:t>年，澧县水资源开发利用控制红线达到</w:t>
                  </w:r>
                  <w:r>
                    <w:rPr>
                      <w:kern w:val="0"/>
                      <w:sz w:val="21"/>
                      <w:szCs w:val="21"/>
                    </w:rPr>
                    <w:t>4.71</w:t>
                  </w:r>
                  <w:r>
                    <w:rPr>
                      <w:rFonts w:hint="eastAsia"/>
                      <w:kern w:val="0"/>
                      <w:sz w:val="21"/>
                      <w:szCs w:val="21"/>
                    </w:rPr>
                    <w:t>亿立方米，万元国内生产总值用水量、万元工业增加值用水量分别比</w:t>
                  </w:r>
                  <w:r>
                    <w:rPr>
                      <w:kern w:val="0"/>
                      <w:sz w:val="21"/>
                      <w:szCs w:val="21"/>
                    </w:rPr>
                    <w:t>2015</w:t>
                  </w:r>
                  <w:r>
                    <w:rPr>
                      <w:rFonts w:hint="eastAsia"/>
                      <w:kern w:val="0"/>
                      <w:sz w:val="21"/>
                      <w:szCs w:val="21"/>
                    </w:rPr>
                    <w:t>年降低</w:t>
                  </w:r>
                  <w:r>
                    <w:rPr>
                      <w:kern w:val="0"/>
                      <w:sz w:val="21"/>
                      <w:szCs w:val="21"/>
                    </w:rPr>
                    <w:t>30%</w:t>
                  </w:r>
                  <w:r>
                    <w:rPr>
                      <w:rFonts w:hint="eastAsia"/>
                      <w:kern w:val="0"/>
                      <w:sz w:val="21"/>
                      <w:szCs w:val="21"/>
                    </w:rPr>
                    <w:t>和</w:t>
                  </w:r>
                  <w:r>
                    <w:rPr>
                      <w:kern w:val="0"/>
                      <w:sz w:val="21"/>
                      <w:szCs w:val="21"/>
                    </w:rPr>
                    <w:t>29.4%</w:t>
                  </w:r>
                  <w:r>
                    <w:rPr>
                      <w:rFonts w:hint="eastAsia"/>
                      <w:kern w:val="0"/>
                      <w:sz w:val="21"/>
                      <w:szCs w:val="21"/>
                    </w:rPr>
                    <w:t>。</w:t>
                  </w:r>
                </w:p>
                <w:p>
                  <w:pPr>
                    <w:spacing w:line="240" w:lineRule="auto"/>
                    <w:ind w:firstLine="420" w:firstLineChars="200"/>
                    <w:jc w:val="left"/>
                    <w:rPr>
                      <w:kern w:val="0"/>
                      <w:sz w:val="21"/>
                      <w:szCs w:val="21"/>
                    </w:rPr>
                  </w:pPr>
                  <w:r>
                    <w:rPr>
                      <w:rFonts w:hint="eastAsia"/>
                      <w:kern w:val="0"/>
                      <w:sz w:val="21"/>
                      <w:szCs w:val="21"/>
                    </w:rPr>
                    <w:t>（</w:t>
                  </w:r>
                  <w:r>
                    <w:rPr>
                      <w:kern w:val="0"/>
                      <w:sz w:val="21"/>
                      <w:szCs w:val="21"/>
                    </w:rPr>
                    <w:t>4.3</w:t>
                  </w:r>
                  <w:r>
                    <w:rPr>
                      <w:rFonts w:hint="eastAsia"/>
                      <w:kern w:val="0"/>
                      <w:sz w:val="21"/>
                      <w:szCs w:val="21"/>
                    </w:rPr>
                    <w:t>）土地资源：推进开发园区土地节约集约利用评价，控制开发园区新增用地规模。以国家产业发展政策为导向，科学合理安排各行各业用地。优先保障区域主导产业发展用地，入园项目投资强度原则上不低于</w:t>
                  </w:r>
                  <w:r>
                    <w:rPr>
                      <w:kern w:val="0"/>
                      <w:sz w:val="21"/>
                      <w:szCs w:val="21"/>
                    </w:rPr>
                    <w:t>200</w:t>
                  </w:r>
                  <w:r>
                    <w:rPr>
                      <w:rFonts w:hint="eastAsia"/>
                      <w:kern w:val="0"/>
                      <w:sz w:val="21"/>
                      <w:szCs w:val="21"/>
                    </w:rPr>
                    <w:t>万元</w:t>
                  </w:r>
                  <w:r>
                    <w:rPr>
                      <w:kern w:val="0"/>
                      <w:sz w:val="21"/>
                      <w:szCs w:val="21"/>
                    </w:rPr>
                    <w:t>/</w:t>
                  </w:r>
                  <w:r>
                    <w:rPr>
                      <w:rFonts w:hint="eastAsia"/>
                      <w:kern w:val="0"/>
                      <w:sz w:val="21"/>
                      <w:szCs w:val="21"/>
                    </w:rPr>
                    <w:t>亩。</w:t>
                  </w:r>
                </w:p>
                <w:p>
                  <w:pPr>
                    <w:spacing w:line="240" w:lineRule="auto"/>
                    <w:ind w:firstLine="420" w:firstLineChars="200"/>
                    <w:jc w:val="left"/>
                    <w:rPr>
                      <w:kern w:val="0"/>
                      <w:sz w:val="21"/>
                      <w:szCs w:val="21"/>
                    </w:rPr>
                  </w:pPr>
                </w:p>
              </w:tc>
              <w:tc>
                <w:tcPr>
                  <w:tcW w:w="1971" w:type="pct"/>
                  <w:tcBorders>
                    <w:top w:val="single" w:color="auto" w:sz="4" w:space="0"/>
                    <w:left w:val="single" w:color="auto" w:sz="4" w:space="0"/>
                    <w:bottom w:val="single" w:color="auto" w:sz="4" w:space="0"/>
                    <w:right w:val="single" w:color="auto" w:sz="4" w:space="0"/>
                  </w:tcBorders>
                </w:tcPr>
                <w:p>
                  <w:pPr>
                    <w:spacing w:line="240" w:lineRule="auto"/>
                    <w:ind w:firstLine="420" w:firstLineChars="200"/>
                    <w:jc w:val="left"/>
                    <w:rPr>
                      <w:sz w:val="21"/>
                      <w:szCs w:val="21"/>
                    </w:rPr>
                  </w:pPr>
                  <w:r>
                    <w:rPr>
                      <w:kern w:val="0"/>
                      <w:sz w:val="21"/>
                      <w:szCs w:val="21"/>
                    </w:rPr>
                    <w:t>4.1</w:t>
                  </w:r>
                  <w:r>
                    <w:rPr>
                      <w:rFonts w:hint="eastAsia"/>
                      <w:kern w:val="0"/>
                      <w:sz w:val="21"/>
                      <w:szCs w:val="21"/>
                    </w:rPr>
                    <w:t>本项目不涉及燃煤锅炉。</w:t>
                  </w:r>
                </w:p>
                <w:p>
                  <w:pPr>
                    <w:spacing w:line="240" w:lineRule="auto"/>
                    <w:ind w:firstLine="420" w:firstLineChars="200"/>
                    <w:jc w:val="left"/>
                    <w:rPr>
                      <w:kern w:val="0"/>
                      <w:sz w:val="21"/>
                      <w:szCs w:val="21"/>
                    </w:rPr>
                  </w:pPr>
                  <w:r>
                    <w:rPr>
                      <w:kern w:val="0"/>
                      <w:sz w:val="21"/>
                      <w:szCs w:val="21"/>
                    </w:rPr>
                    <w:t>4.2</w:t>
                  </w:r>
                  <w:r>
                    <w:rPr>
                      <w:rFonts w:hint="eastAsia"/>
                      <w:kern w:val="0"/>
                      <w:sz w:val="21"/>
                      <w:szCs w:val="21"/>
                    </w:rPr>
                    <w:t>本项目严格按照用水定额核定取用水量，加强计划用水管理。</w:t>
                  </w:r>
                </w:p>
                <w:p>
                  <w:pPr>
                    <w:spacing w:line="240" w:lineRule="auto"/>
                    <w:ind w:firstLine="420" w:firstLineChars="200"/>
                    <w:jc w:val="left"/>
                    <w:rPr>
                      <w:kern w:val="0"/>
                      <w:sz w:val="21"/>
                      <w:szCs w:val="21"/>
                    </w:rPr>
                  </w:pPr>
                  <w:r>
                    <w:rPr>
                      <w:kern w:val="0"/>
                      <w:sz w:val="21"/>
                      <w:szCs w:val="21"/>
                    </w:rPr>
                    <w:t>4.3</w:t>
                  </w:r>
                  <w:r>
                    <w:rPr>
                      <w:rFonts w:hint="eastAsia"/>
                      <w:kern w:val="0"/>
                      <w:sz w:val="21"/>
                      <w:szCs w:val="21"/>
                    </w:rPr>
                    <w:t>本项目租赁</w:t>
                  </w:r>
                  <w:r>
                    <w:rPr>
                      <w:rFonts w:hint="eastAsia"/>
                      <w:kern w:val="0"/>
                      <w:sz w:val="21"/>
                      <w:szCs w:val="21"/>
                      <w:lang w:eastAsia="zh-CN"/>
                    </w:rPr>
                    <w:t>澧县高新区创新创业园标准化厂房</w:t>
                  </w:r>
                  <w:r>
                    <w:rPr>
                      <w:rFonts w:hint="eastAsia"/>
                      <w:kern w:val="0"/>
                      <w:sz w:val="21"/>
                      <w:szCs w:val="21"/>
                    </w:rPr>
                    <w:t>，不新增占地。</w:t>
                  </w:r>
                </w:p>
                <w:p>
                  <w:pPr>
                    <w:spacing w:line="240" w:lineRule="auto"/>
                    <w:ind w:firstLine="420" w:firstLineChars="200"/>
                    <w:jc w:val="left"/>
                    <w:rPr>
                      <w:kern w:val="0"/>
                      <w:sz w:val="21"/>
                      <w:szCs w:val="21"/>
                    </w:rPr>
                  </w:pPr>
                </w:p>
              </w:tc>
            </w:tr>
          </w:tbl>
          <w:p>
            <w:pPr>
              <w:keepNext w:val="0"/>
              <w:keepLines w:val="0"/>
              <w:pageBreakBefore w:val="0"/>
              <w:widowControl w:val="0"/>
              <w:kinsoku/>
              <w:wordWrap/>
              <w:overflowPunct/>
              <w:topLinePunct w:val="0"/>
              <w:bidi w:val="0"/>
              <w:adjustRightInd w:val="0"/>
              <w:snapToGrid w:val="0"/>
              <w:spacing w:before="163" w:beforeLines="50" w:line="360" w:lineRule="auto"/>
              <w:ind w:firstLine="480" w:firstLineChars="200"/>
              <w:textAlignment w:val="auto"/>
              <w:rPr>
                <w:color w:val="FF0000"/>
                <w:sz w:val="24"/>
                <w:szCs w:val="24"/>
              </w:rPr>
            </w:pPr>
            <w:r>
              <w:rPr>
                <w:rFonts w:hint="eastAsia"/>
                <w:sz w:val="24"/>
                <w:szCs w:val="24"/>
              </w:rPr>
              <w:t>根据上表分析可知，项目与《湖南省“三线一单”生态环境总体管控要求暨省级以上产业园区生态环境准入清单》</w:t>
            </w:r>
            <w:r>
              <w:rPr>
                <w:rFonts w:hint="eastAsia" w:ascii="宋体" w:hAnsi="宋体" w:cs="宋体"/>
                <w:sz w:val="24"/>
                <w:szCs w:val="24"/>
              </w:rPr>
              <w:t>相符</w:t>
            </w:r>
            <w:r>
              <w:rPr>
                <w:rFonts w:hint="eastAsia"/>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sz w:val="24"/>
                <w:szCs w:val="24"/>
                <w:u w:val="none"/>
                <w:lang w:val="en-US" w:eastAsia="zh-CN"/>
              </w:rPr>
            </w:pPr>
            <w:r>
              <w:rPr>
                <w:rFonts w:hint="eastAsia"/>
                <w:color w:val="auto"/>
                <w:sz w:val="24"/>
                <w:szCs w:val="24"/>
                <w:u w:val="none"/>
                <w:lang w:val="en-US" w:eastAsia="zh-CN"/>
              </w:rPr>
              <w:t>3、与《关于进一步规范和加强产业园区生态环境管理的通知》（湘环发[2020]27号）</w:t>
            </w:r>
            <w:r>
              <w:rPr>
                <w:rFonts w:hint="eastAsia"/>
                <w:color w:val="auto"/>
                <w:kern w:val="0"/>
                <w:sz w:val="24"/>
                <w:szCs w:val="24"/>
                <w:u w:val="none"/>
                <w:lang w:val="en-US" w:eastAsia="zh-CN" w:bidi="ar"/>
              </w:rPr>
              <w:t>的符合性分析</w:t>
            </w:r>
          </w:p>
          <w:p>
            <w:pPr>
              <w:pStyle w:val="36"/>
              <w:spacing w:before="120" w:beforeLines="50" w:line="240" w:lineRule="auto"/>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2 关于进一步规范和加强产业园区生态环境管理的通知（节选）</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81"/>
              <w:gridCol w:w="252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9" w:type="dxa"/>
                  <w:gridSpan w:val="2"/>
                  <w:vAlign w:val="center"/>
                </w:tcPr>
                <w:p>
                  <w:pPr>
                    <w:jc w:val="center"/>
                    <w:rPr>
                      <w:b/>
                      <w:bCs/>
                      <w:color w:val="auto"/>
                      <w:szCs w:val="21"/>
                      <w:u w:val="none"/>
                    </w:rPr>
                  </w:pPr>
                  <w:r>
                    <w:rPr>
                      <w:rFonts w:hint="eastAsia"/>
                      <w:b/>
                      <w:bCs/>
                      <w:color w:val="auto"/>
                      <w:szCs w:val="21"/>
                      <w:u w:val="none"/>
                    </w:rPr>
                    <w:t>管</w:t>
                  </w:r>
                  <w:r>
                    <w:rPr>
                      <w:rFonts w:hint="eastAsia"/>
                      <w:b/>
                      <w:bCs/>
                      <w:color w:val="auto"/>
                      <w:szCs w:val="21"/>
                      <w:u w:val="none"/>
                      <w:lang w:val="en-US" w:eastAsia="zh-CN"/>
                    </w:rPr>
                    <w:t>理</w:t>
                  </w:r>
                  <w:r>
                    <w:rPr>
                      <w:rFonts w:hint="eastAsia"/>
                      <w:b/>
                      <w:bCs/>
                      <w:color w:val="auto"/>
                      <w:szCs w:val="21"/>
                      <w:u w:val="none"/>
                    </w:rPr>
                    <w:t>要求</w:t>
                  </w:r>
                </w:p>
              </w:tc>
              <w:tc>
                <w:tcPr>
                  <w:tcW w:w="3097" w:type="dxa"/>
                  <w:vAlign w:val="center"/>
                </w:tcPr>
                <w:p>
                  <w:pPr>
                    <w:jc w:val="center"/>
                    <w:rPr>
                      <w:b/>
                      <w:bCs/>
                      <w:color w:val="auto"/>
                      <w:szCs w:val="21"/>
                      <w:u w:val="none"/>
                    </w:rPr>
                  </w:pPr>
                  <w:r>
                    <w:rPr>
                      <w:rFonts w:hint="eastAsia"/>
                      <w:b/>
                      <w:bCs/>
                      <w:color w:val="auto"/>
                      <w:szCs w:val="21"/>
                      <w:u w:val="none"/>
                    </w:rPr>
                    <w:t>本项目情况</w:t>
                  </w:r>
                </w:p>
              </w:tc>
              <w:tc>
                <w:tcPr>
                  <w:tcW w:w="711" w:type="dxa"/>
                  <w:vAlign w:val="center"/>
                </w:tcPr>
                <w:p>
                  <w:pPr>
                    <w:jc w:val="center"/>
                    <w:rPr>
                      <w:b/>
                      <w:bCs/>
                      <w:color w:val="auto"/>
                      <w:szCs w:val="21"/>
                      <w:u w:val="none"/>
                    </w:rPr>
                  </w:pPr>
                  <w:r>
                    <w:rPr>
                      <w:rFonts w:hint="eastAsia"/>
                      <w:b/>
                      <w:bCs/>
                      <w:color w:val="auto"/>
                      <w:szCs w:val="21"/>
                      <w:u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1" w:type="dxa"/>
                  <w:vMerge w:val="restart"/>
                  <w:vAlign w:val="center"/>
                </w:tcPr>
                <w:p>
                  <w:pPr>
                    <w:pStyle w:val="15"/>
                    <w:spacing w:line="240" w:lineRule="auto"/>
                    <w:ind w:left="0" w:leftChars="0" w:firstLine="0" w:firstLineChars="0"/>
                    <w:jc w:val="both"/>
                    <w:rPr>
                      <w:rFonts w:hint="eastAsia"/>
                      <w:color w:val="auto"/>
                      <w:sz w:val="21"/>
                      <w:szCs w:val="21"/>
                      <w:u w:val="none"/>
                      <w:lang w:val="en-US" w:eastAsia="zh-CN"/>
                    </w:rPr>
                  </w:pPr>
                  <w:r>
                    <w:rPr>
                      <w:rFonts w:hint="eastAsia"/>
                      <w:color w:val="auto"/>
                      <w:sz w:val="21"/>
                      <w:szCs w:val="21"/>
                      <w:u w:val="none"/>
                      <w:lang w:val="en-US" w:eastAsia="zh-CN"/>
                    </w:rPr>
                    <w:t>规范园区环境准入管理</w:t>
                  </w:r>
                </w:p>
              </w:tc>
              <w:tc>
                <w:tcPr>
                  <w:tcW w:w="3548" w:type="dxa"/>
                  <w:vAlign w:val="center"/>
                </w:tcPr>
                <w:p>
                  <w:pPr>
                    <w:adjustRightInd w:val="0"/>
                    <w:snapToGrid w:val="0"/>
                    <w:jc w:val="left"/>
                    <w:rPr>
                      <w:color w:val="auto"/>
                      <w:szCs w:val="21"/>
                      <w:u w:val="none"/>
                    </w:rPr>
                  </w:pPr>
                  <w:r>
                    <w:rPr>
                      <w:rFonts w:hint="eastAsia"/>
                      <w:color w:val="auto"/>
                      <w:szCs w:val="21"/>
                      <w:u w:val="none"/>
                    </w:rPr>
                    <w:t>积极引导园区外工业项目向园区集聚发展，除矿产资源、能源开发等对选址有特殊要求的项目外，新上工业项目应当安排在省级及以上工业园区。</w:t>
                  </w:r>
                </w:p>
              </w:tc>
              <w:tc>
                <w:tcPr>
                  <w:tcW w:w="3097" w:type="dxa"/>
                  <w:vAlign w:val="center"/>
                </w:tcPr>
                <w:p>
                  <w:pPr>
                    <w:adjustRightInd w:val="0"/>
                    <w:snapToGrid w:val="0"/>
                    <w:jc w:val="left"/>
                    <w:rPr>
                      <w:rFonts w:hint="eastAsia" w:eastAsia="宋体"/>
                      <w:color w:val="auto"/>
                      <w:szCs w:val="21"/>
                      <w:u w:val="none"/>
                      <w:lang w:eastAsia="zh-CN"/>
                    </w:rPr>
                  </w:pPr>
                  <w:r>
                    <w:rPr>
                      <w:rFonts w:hint="eastAsia"/>
                      <w:color w:val="auto"/>
                      <w:szCs w:val="21"/>
                      <w:u w:val="none"/>
                      <w:lang w:eastAsia="zh-CN"/>
                    </w:rPr>
                    <w:t>本项目位于澧县高新区创新创业园</w:t>
                  </w:r>
                </w:p>
              </w:tc>
              <w:tc>
                <w:tcPr>
                  <w:tcW w:w="711" w:type="dxa"/>
                  <w:vAlign w:val="center"/>
                </w:tcPr>
                <w:p>
                  <w:pPr>
                    <w:adjustRightInd w:val="0"/>
                    <w:snapToGrid w:val="0"/>
                    <w:jc w:val="center"/>
                    <w:rPr>
                      <w:color w:val="FF0000"/>
                      <w:szCs w:val="21"/>
                      <w:u w:val="none"/>
                    </w:rPr>
                  </w:pPr>
                  <w:r>
                    <w:rPr>
                      <w:color w:val="auto"/>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adjustRightInd w:val="0"/>
                    <w:snapToGrid w:val="0"/>
                    <w:jc w:val="center"/>
                    <w:rPr>
                      <w:rFonts w:hint="eastAsia"/>
                      <w:color w:val="auto"/>
                      <w:szCs w:val="21"/>
                      <w:u w:val="none"/>
                    </w:rPr>
                  </w:pPr>
                </w:p>
              </w:tc>
              <w:tc>
                <w:tcPr>
                  <w:tcW w:w="3548" w:type="dxa"/>
                  <w:vAlign w:val="center"/>
                </w:tcPr>
                <w:p>
                  <w:pPr>
                    <w:adjustRightInd w:val="0"/>
                    <w:snapToGrid w:val="0"/>
                    <w:jc w:val="left"/>
                    <w:rPr>
                      <w:rFonts w:hint="eastAsia"/>
                      <w:color w:val="auto"/>
                      <w:szCs w:val="21"/>
                      <w:u w:val="none"/>
                    </w:rPr>
                  </w:pPr>
                  <w:r>
                    <w:rPr>
                      <w:rFonts w:hint="eastAsia"/>
                      <w:color w:val="auto"/>
                      <w:szCs w:val="21"/>
                      <w:u w:val="none"/>
                    </w:rPr>
                    <w:t>禁止在长江湖南段和洞庭湖、湘江、资江、沅江、澧水干流岸线1公里范围内新建、扩建化工园区和化工项目。</w:t>
                  </w:r>
                </w:p>
              </w:tc>
              <w:tc>
                <w:tcPr>
                  <w:tcW w:w="3097" w:type="dxa"/>
                  <w:vAlign w:val="center"/>
                </w:tcPr>
                <w:p>
                  <w:pPr>
                    <w:adjustRightInd w:val="0"/>
                    <w:snapToGrid w:val="0"/>
                    <w:jc w:val="left"/>
                    <w:rPr>
                      <w:rFonts w:hint="default"/>
                      <w:color w:val="auto"/>
                      <w:szCs w:val="21"/>
                      <w:u w:val="none"/>
                      <w:lang w:val="en-US" w:eastAsia="zh-CN"/>
                    </w:rPr>
                  </w:pPr>
                  <w:r>
                    <w:rPr>
                      <w:rFonts w:hint="eastAsia"/>
                      <w:color w:val="auto"/>
                      <w:szCs w:val="21"/>
                      <w:u w:val="none"/>
                      <w:lang w:val="en-US" w:eastAsia="zh-CN"/>
                    </w:rPr>
                    <w:t>本项目为其他纸制品制造项目，不属于化工项目。</w:t>
                  </w:r>
                </w:p>
              </w:tc>
              <w:tc>
                <w:tcPr>
                  <w:tcW w:w="711" w:type="dxa"/>
                  <w:vAlign w:val="center"/>
                </w:tcPr>
                <w:p>
                  <w:pPr>
                    <w:adjustRightInd w:val="0"/>
                    <w:snapToGrid w:val="0"/>
                    <w:jc w:val="center"/>
                    <w:rPr>
                      <w:rFonts w:hint="eastAsia" w:eastAsia="宋体"/>
                      <w:color w:val="auto"/>
                      <w:szCs w:val="21"/>
                      <w:u w:val="none"/>
                      <w:lang w:val="en-US" w:eastAsia="zh-CN"/>
                    </w:rPr>
                  </w:pPr>
                  <w:r>
                    <w:rPr>
                      <w:rFonts w:hint="eastAsia"/>
                      <w:color w:val="auto"/>
                      <w:szCs w:val="21"/>
                      <w:u w:val="none"/>
                      <w:lang w:val="en-US" w:eastAsia="zh-CN"/>
                    </w:rPr>
                    <w:t>符合</w:t>
                  </w:r>
                </w:p>
              </w:tc>
            </w:tr>
          </w:tbl>
          <w:p>
            <w:pPr>
              <w:spacing w:line="360" w:lineRule="auto"/>
              <w:ind w:firstLine="480" w:firstLineChars="200"/>
              <w:jc w:val="left"/>
              <w:rPr>
                <w:rFonts w:hint="eastAsia" w:ascii="Times New Roman" w:hAnsi="Times New Roman" w:eastAsia="宋体" w:cs="Times New Roman"/>
                <w:strike w:val="0"/>
                <w:dstrike w:val="0"/>
                <w:color w:val="auto"/>
                <w:sz w:val="24"/>
                <w:u w:val="none"/>
                <w:lang w:val="en-US" w:eastAsia="zh-CN"/>
              </w:rPr>
            </w:pPr>
            <w:r>
              <w:rPr>
                <w:rFonts w:hint="eastAsia" w:ascii="Times New Roman" w:hAnsi="Times New Roman" w:eastAsia="宋体" w:cs="Times New Roman"/>
                <w:strike w:val="0"/>
                <w:dstrike w:val="0"/>
                <w:color w:val="auto"/>
                <w:sz w:val="24"/>
                <w:u w:val="none"/>
                <w:lang w:val="en-US" w:eastAsia="zh-CN"/>
              </w:rPr>
              <w:t>4、选址合理性分析</w:t>
            </w:r>
          </w:p>
          <w:p>
            <w:pPr>
              <w:spacing w:line="360" w:lineRule="auto"/>
              <w:ind w:firstLine="480" w:firstLineChars="200"/>
              <w:jc w:val="left"/>
              <w:rPr>
                <w:rFonts w:hint="eastAsia" w:ascii="Times New Roman" w:hAnsi="Times New Roman" w:eastAsia="宋体" w:cs="Times New Roman"/>
                <w:strike w:val="0"/>
                <w:dstrike w:val="0"/>
                <w:color w:val="auto"/>
                <w:sz w:val="24"/>
                <w:u w:val="none"/>
                <w:lang w:val="zh-CN"/>
              </w:rPr>
            </w:pPr>
            <w:r>
              <w:rPr>
                <w:rFonts w:hint="eastAsia" w:ascii="Times New Roman" w:hAnsi="Times New Roman" w:eastAsia="宋体" w:cs="Times New Roman"/>
                <w:strike w:val="0"/>
                <w:dstrike w:val="0"/>
                <w:color w:val="auto"/>
                <w:sz w:val="24"/>
                <w:u w:val="none"/>
                <w:lang w:val="zh-CN"/>
              </w:rPr>
              <w:t>（1）用地性质符合性分析</w:t>
            </w:r>
          </w:p>
          <w:p>
            <w:pPr>
              <w:spacing w:line="360" w:lineRule="auto"/>
              <w:ind w:firstLine="480" w:firstLineChars="200"/>
              <w:jc w:val="left"/>
              <w:rPr>
                <w:rFonts w:ascii="宋体"/>
                <w:strike w:val="0"/>
                <w:dstrike w:val="0"/>
                <w:color w:val="auto"/>
                <w:sz w:val="24"/>
                <w:u w:val="none"/>
              </w:rPr>
            </w:pPr>
            <w:r>
              <w:rPr>
                <w:rFonts w:hint="default" w:ascii="Times New Roman" w:hAnsi="Times New Roman" w:eastAsia="宋体" w:cs="Times New Roman"/>
                <w:strike w:val="0"/>
                <w:dstrike w:val="0"/>
                <w:color w:val="auto"/>
                <w:sz w:val="24"/>
                <w:u w:val="none"/>
                <w:lang w:val="zh-CN"/>
              </w:rPr>
              <w:t>本项目为</w:t>
            </w:r>
            <w:r>
              <w:rPr>
                <w:rFonts w:hint="eastAsia" w:cs="Times New Roman"/>
                <w:strike w:val="0"/>
                <w:dstrike w:val="0"/>
                <w:color w:val="auto"/>
                <w:sz w:val="24"/>
                <w:u w:val="none"/>
                <w:lang w:val="zh-CN"/>
              </w:rPr>
              <w:t>扩建</w:t>
            </w:r>
            <w:r>
              <w:rPr>
                <w:rFonts w:hint="default" w:ascii="Times New Roman" w:hAnsi="Times New Roman" w:eastAsia="宋体" w:cs="Times New Roman"/>
                <w:strike w:val="0"/>
                <w:dstrike w:val="0"/>
                <w:color w:val="auto"/>
                <w:sz w:val="24"/>
                <w:u w:val="none"/>
                <w:lang w:val="zh-CN"/>
              </w:rPr>
              <w:t>项目，</w:t>
            </w:r>
            <w:r>
              <w:rPr>
                <w:rFonts w:hint="eastAsia" w:cs="Times New Roman"/>
                <w:strike w:val="0"/>
                <w:dstrike w:val="0"/>
                <w:color w:val="auto"/>
                <w:sz w:val="24"/>
                <w:u w:val="none"/>
                <w:lang w:val="zh-CN"/>
              </w:rPr>
              <w:t>项目选址于常德市澧县高新区创新创业园</w:t>
            </w:r>
            <w:r>
              <w:rPr>
                <w:rFonts w:hint="eastAsia" w:cs="Times New Roman"/>
                <w:strike w:val="0"/>
                <w:dstrike w:val="0"/>
                <w:color w:val="auto"/>
                <w:sz w:val="24"/>
                <w:u w:val="none"/>
                <w:lang w:val="en-US" w:eastAsia="zh-CN"/>
              </w:rPr>
              <w:t>B5栋1层，</w:t>
            </w:r>
            <w:r>
              <w:rPr>
                <w:rFonts w:hint="default" w:ascii="Times New Roman" w:hAnsi="Times New Roman" w:eastAsia="宋体" w:cs="Times New Roman"/>
                <w:strike w:val="0"/>
                <w:dstrike w:val="0"/>
                <w:color w:val="auto"/>
                <w:sz w:val="24"/>
                <w:u w:val="none"/>
                <w:lang w:val="zh-CN"/>
              </w:rPr>
              <w:t>用地</w:t>
            </w:r>
            <w:r>
              <w:rPr>
                <w:rFonts w:hint="default" w:ascii="Times New Roman" w:hAnsi="Times New Roman" w:cs="Times New Roman"/>
                <w:strike w:val="0"/>
                <w:dstrike w:val="0"/>
                <w:color w:val="auto"/>
                <w:sz w:val="24"/>
                <w:u w:val="none"/>
                <w:lang w:val="zh-CN"/>
              </w:rPr>
              <w:t>性质为</w:t>
            </w:r>
            <w:r>
              <w:rPr>
                <w:rFonts w:hint="eastAsia" w:cs="Times New Roman"/>
                <w:strike w:val="0"/>
                <w:dstrike w:val="0"/>
                <w:color w:val="auto"/>
                <w:sz w:val="24"/>
                <w:u w:val="none"/>
                <w:lang w:val="zh-CN"/>
              </w:rPr>
              <w:t>工业用地</w:t>
            </w:r>
            <w:r>
              <w:rPr>
                <w:rFonts w:hint="default" w:ascii="Times New Roman" w:hAnsi="Times New Roman" w:eastAsia="宋体" w:cs="Times New Roman"/>
                <w:strike w:val="0"/>
                <w:dstrike w:val="0"/>
                <w:color w:val="auto"/>
                <w:sz w:val="24"/>
                <w:u w:val="none"/>
                <w:lang w:val="zh-CN"/>
              </w:rPr>
              <w:t>，</w:t>
            </w:r>
            <w:r>
              <w:rPr>
                <w:rFonts w:hint="eastAsia" w:cs="Times New Roman"/>
                <w:strike w:val="0"/>
                <w:dstrike w:val="0"/>
                <w:color w:val="auto"/>
                <w:sz w:val="24"/>
                <w:u w:val="none"/>
                <w:lang w:eastAsia="zh-CN"/>
              </w:rPr>
              <w:t>本厂房租赁澧县高新区创新创业园标准化厂房</w:t>
            </w:r>
            <w:r>
              <w:rPr>
                <w:rFonts w:hint="default" w:ascii="Times New Roman" w:hAnsi="Times New Roman" w:cs="Times New Roman"/>
                <w:strike w:val="0"/>
                <w:dstrike w:val="0"/>
                <w:color w:val="auto"/>
                <w:sz w:val="24"/>
                <w:u w:val="none"/>
              </w:rPr>
              <w:t>，</w:t>
            </w:r>
            <w:r>
              <w:rPr>
                <w:rFonts w:hint="eastAsia" w:cs="Times New Roman"/>
                <w:strike w:val="0"/>
                <w:dstrike w:val="0"/>
                <w:color w:val="auto"/>
                <w:sz w:val="24"/>
                <w:u w:val="none"/>
                <w:lang w:eastAsia="zh-CN"/>
              </w:rPr>
              <w:t>厂房</w:t>
            </w:r>
            <w:r>
              <w:rPr>
                <w:rFonts w:hint="default" w:ascii="Times New Roman" w:hAnsi="Times New Roman" w:cs="Times New Roman"/>
                <w:strike w:val="0"/>
                <w:dstrike w:val="0"/>
                <w:color w:val="auto"/>
                <w:sz w:val="24"/>
                <w:u w:val="none"/>
              </w:rPr>
              <w:t>占地面积约为</w:t>
            </w:r>
            <w:r>
              <w:rPr>
                <w:rFonts w:hint="eastAsia" w:cs="Times New Roman"/>
                <w:strike w:val="0"/>
                <w:dstrike w:val="0"/>
                <w:color w:val="auto"/>
                <w:sz w:val="24"/>
                <w:u w:val="none"/>
                <w:lang w:val="en-US" w:eastAsia="zh-CN"/>
              </w:rPr>
              <w:t>4454.2</w:t>
            </w:r>
            <w:r>
              <w:rPr>
                <w:rFonts w:hint="default" w:ascii="Times New Roman" w:hAnsi="Times New Roman" w:cs="Times New Roman"/>
                <w:strike w:val="0"/>
                <w:dstrike w:val="0"/>
                <w:color w:val="auto"/>
                <w:sz w:val="24"/>
                <w:u w:val="none"/>
              </w:rPr>
              <w:t>㎡</w:t>
            </w:r>
            <w:r>
              <w:rPr>
                <w:rFonts w:hint="eastAsia" w:cs="Times New Roman"/>
                <w:strike w:val="0"/>
                <w:dstrike w:val="0"/>
                <w:color w:val="auto"/>
                <w:sz w:val="24"/>
                <w:u w:val="none"/>
                <w:lang w:eastAsia="zh-CN"/>
              </w:rPr>
              <w:t>，签订有租赁合同，</w:t>
            </w:r>
            <w:r>
              <w:rPr>
                <w:rFonts w:hint="default" w:ascii="Times New Roman" w:hAnsi="Times New Roman" w:cs="Times New Roman"/>
                <w:strike w:val="0"/>
                <w:dstrike w:val="0"/>
                <w:color w:val="auto"/>
                <w:sz w:val="24"/>
                <w:u w:val="none"/>
              </w:rPr>
              <w:t>选址符合国家土地政策、用地政策</w:t>
            </w:r>
            <w:r>
              <w:rPr>
                <w:rFonts w:hint="eastAsia" w:ascii="宋体"/>
                <w:strike w:val="0"/>
                <w:dstrike w:val="0"/>
                <w:color w:val="auto"/>
                <w:sz w:val="24"/>
                <w:u w:val="none"/>
              </w:rPr>
              <w:t>。用地符合土地利用总体规划，项目厂区范围内无古树名木、珍稀濒危物种和国建保护植物，交通较为便利，且本项目不在生态红线保护范围内（见附图）</w:t>
            </w:r>
            <w:r>
              <w:rPr>
                <w:rFonts w:hint="eastAsia" w:ascii="宋体"/>
                <w:strike w:val="0"/>
                <w:dstrike w:val="0"/>
                <w:color w:val="auto"/>
                <w:sz w:val="24"/>
                <w:u w:val="none"/>
                <w:lang w:eastAsia="zh-CN"/>
              </w:rPr>
              <w:t>，</w:t>
            </w:r>
            <w:r>
              <w:rPr>
                <w:rFonts w:hint="eastAsia" w:ascii="宋体"/>
                <w:strike w:val="0"/>
                <w:dstrike w:val="0"/>
                <w:color w:val="auto"/>
                <w:sz w:val="24"/>
                <w:u w:val="none"/>
              </w:rPr>
              <w:t>因此，本项目选址合理。</w:t>
            </w:r>
          </w:p>
          <w:p>
            <w:pPr>
              <w:spacing w:line="360" w:lineRule="auto"/>
              <w:ind w:firstLine="480" w:firstLineChars="200"/>
              <w:jc w:val="left"/>
              <w:rPr>
                <w:rFonts w:hint="eastAsia" w:ascii="宋体" w:hAnsi="Times New Roman" w:eastAsia="宋体" w:cs="Times New Roman"/>
                <w:strike w:val="0"/>
                <w:dstrike w:val="0"/>
                <w:color w:val="auto"/>
                <w:sz w:val="24"/>
                <w:u w:val="none"/>
              </w:rPr>
            </w:pPr>
            <w:r>
              <w:rPr>
                <w:rFonts w:hint="eastAsia" w:ascii="宋体" w:hAnsi="Times New Roman" w:eastAsia="宋体" w:cs="Times New Roman"/>
                <w:strike w:val="0"/>
                <w:dstrike w:val="0"/>
                <w:color w:val="auto"/>
                <w:sz w:val="24"/>
                <w:u w:val="none"/>
              </w:rPr>
              <w:t>（2）环境功能区划敏感因素分析</w:t>
            </w:r>
          </w:p>
          <w:p>
            <w:pPr>
              <w:spacing w:line="360" w:lineRule="auto"/>
              <w:ind w:firstLine="480" w:firstLineChars="200"/>
              <w:jc w:val="left"/>
              <w:rPr>
                <w:rFonts w:hint="eastAsia" w:ascii="宋体" w:hAnsi="Times New Roman" w:eastAsia="宋体" w:cs="Times New Roman"/>
                <w:strike w:val="0"/>
                <w:dstrike w:val="0"/>
                <w:color w:val="auto"/>
                <w:sz w:val="24"/>
                <w:u w:val="none"/>
                <w:lang w:val="en-US" w:eastAsia="zh-CN"/>
              </w:rPr>
            </w:pPr>
            <w:r>
              <w:rPr>
                <w:rFonts w:hint="eastAsia" w:ascii="宋体" w:hAnsi="Times New Roman" w:eastAsia="宋体" w:cs="Times New Roman"/>
                <w:strike w:val="0"/>
                <w:dstrike w:val="0"/>
                <w:color w:val="auto"/>
                <w:sz w:val="24"/>
                <w:u w:val="none"/>
              </w:rPr>
              <w:t>项目周围无自然保护区、风景名胜区、生态功能保护区等需要特殊保护的地区。建设区域环境空气功能为二类区，且周边无饮用水源保护区，不属于敏感水域。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trike w:val="0"/>
                <w:dstrike w:val="0"/>
                <w:color w:val="auto"/>
                <w:sz w:val="24"/>
                <w:szCs w:val="24"/>
                <w:u w:val="none"/>
                <w:lang w:val="en-US" w:eastAsia="zh-CN"/>
              </w:rPr>
            </w:pPr>
            <w:r>
              <w:rPr>
                <w:rFonts w:hint="eastAsia"/>
                <w:b/>
                <w:bCs/>
                <w:strike w:val="0"/>
                <w:dstrike w:val="0"/>
                <w:color w:val="auto"/>
                <w:sz w:val="24"/>
                <w:szCs w:val="24"/>
                <w:u w:val="none"/>
                <w:lang w:val="en-US" w:eastAsia="zh-CN"/>
              </w:rPr>
              <w:t>3、平面布置合理性分析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trike w:val="0"/>
                <w:dstrike w:val="0"/>
                <w:lang w:eastAsia="zh-CN"/>
              </w:rPr>
            </w:pPr>
            <w:r>
              <w:rPr>
                <w:rFonts w:hint="eastAsia" w:cs="Times New Roman"/>
                <w:b w:val="0"/>
                <w:bCs w:val="0"/>
                <w:strike w:val="0"/>
                <w:dstrike w:val="0"/>
                <w:color w:val="auto"/>
                <w:sz w:val="24"/>
                <w:szCs w:val="24"/>
                <w:u w:val="none"/>
                <w:lang w:eastAsia="zh-CN"/>
              </w:rPr>
              <w:t>厂区用地略呈较规则的矩形，主出入口位于厂区北侧，根据项目生产工艺需要，设置有三处原料堆放点，主要原料仓库设置在厂区东北角，中部为产品堆放区</w:t>
            </w:r>
            <w:r>
              <w:rPr>
                <w:rFonts w:hint="eastAsia" w:cs="Times New Roman"/>
                <w:b w:val="0"/>
                <w:bCs w:val="0"/>
                <w:strike w:val="0"/>
                <w:dstrike w:val="0"/>
                <w:color w:val="auto"/>
                <w:sz w:val="24"/>
                <w:szCs w:val="24"/>
                <w:u w:val="none"/>
                <w:lang w:val="en-US" w:eastAsia="zh-CN"/>
              </w:rPr>
              <w:t>，东西侧均为生产区域，靠近出入口设置有固废暂存区，</w:t>
            </w:r>
            <w:r>
              <w:rPr>
                <w:rFonts w:ascii="Times New Roman" w:hAnsi="Times New Roman" w:eastAsia="宋体" w:cs="Times New Roman"/>
                <w:b w:val="0"/>
                <w:bCs w:val="0"/>
                <w:strike w:val="0"/>
                <w:dstrike w:val="0"/>
                <w:color w:val="auto"/>
                <w:sz w:val="24"/>
                <w:szCs w:val="24"/>
                <w:u w:val="none"/>
              </w:rPr>
              <w:t>本项目布局紧凑，功能分区明显，平面布置合理</w:t>
            </w:r>
            <w:r>
              <w:rPr>
                <w:rFonts w:hint="eastAsia" w:ascii="Times New Roman" w:hAnsi="Times New Roman" w:eastAsia="宋体" w:cs="Times New Roman"/>
                <w:b w:val="0"/>
                <w:bCs w:val="0"/>
                <w:strike w:val="0"/>
                <w:dstrike w:val="0"/>
                <w:color w:val="auto"/>
                <w:sz w:val="24"/>
                <w:szCs w:val="24"/>
                <w:u w:val="none"/>
                <w:lang w:eastAsia="zh-CN"/>
              </w:rPr>
              <w:t>。</w:t>
            </w:r>
          </w:p>
          <w:p>
            <w:pPr>
              <w:numPr>
                <w:ilvl w:val="0"/>
                <w:numId w:val="0"/>
              </w:numPr>
              <w:spacing w:line="360" w:lineRule="auto"/>
              <w:ind w:left="420" w:leftChars="0"/>
              <w:rPr>
                <w:b/>
                <w:bCs/>
                <w:color w:val="auto"/>
                <w:sz w:val="24"/>
                <w:highlight w:val="none"/>
                <w:u w:val="none"/>
              </w:rPr>
            </w:pPr>
            <w:r>
              <w:rPr>
                <w:rFonts w:hint="eastAsia"/>
                <w:b/>
                <w:bCs/>
                <w:color w:val="auto"/>
                <w:sz w:val="24"/>
                <w:highlight w:val="none"/>
                <w:u w:val="none"/>
                <w:lang w:val="en-US" w:eastAsia="zh-CN"/>
              </w:rPr>
              <w:t>4、</w:t>
            </w:r>
            <w:r>
              <w:rPr>
                <w:b/>
                <w:bCs/>
                <w:color w:val="auto"/>
                <w:sz w:val="24"/>
                <w:highlight w:val="none"/>
                <w:u w:val="none"/>
              </w:rPr>
              <w:t>与</w:t>
            </w:r>
            <w:r>
              <w:rPr>
                <w:rFonts w:hint="eastAsia"/>
                <w:b/>
                <w:bCs/>
                <w:color w:val="auto"/>
                <w:sz w:val="24"/>
                <w:highlight w:val="none"/>
                <w:u w:val="none"/>
              </w:rPr>
              <w:t>《“十三五”挥发性有机物污染防治工作方案》</w:t>
            </w:r>
            <w:r>
              <w:rPr>
                <w:b/>
                <w:bCs/>
                <w:color w:val="auto"/>
                <w:sz w:val="24"/>
                <w:highlight w:val="none"/>
                <w:u w:val="none"/>
              </w:rPr>
              <w:t>符合性分析</w:t>
            </w:r>
          </w:p>
          <w:p>
            <w:pPr>
              <w:pStyle w:val="115"/>
              <w:rPr>
                <w:color w:val="auto"/>
                <w:highlight w:val="none"/>
                <w:u w:val="none"/>
              </w:rPr>
            </w:pPr>
            <w:r>
              <w:rPr>
                <w:rFonts w:hint="default" w:ascii="Times New Roman" w:hAnsi="Times New Roman" w:eastAsia="宋体" w:cs="Times New Roman"/>
                <w:color w:val="auto"/>
                <w:highlight w:val="none"/>
                <w:u w:val="none"/>
              </w:rPr>
              <w:t>《“十三五”挥发性有机物污染防治工作方案》中</w:t>
            </w:r>
            <w:r>
              <w:rPr>
                <w:rFonts w:hint="default" w:ascii="Times New Roman" w:hAnsi="Times New Roman" w:eastAsia="宋体" w:cs="Times New Roman"/>
                <w:color w:val="auto"/>
                <w:highlight w:val="none"/>
                <w:u w:val="none"/>
                <w:lang w:val="en-US" w:eastAsia="zh-CN"/>
              </w:rPr>
              <w:t>重点地区为</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kern w:val="0"/>
                <w:szCs w:val="21"/>
                <w:highlight w:val="none"/>
                <w:u w:val="none"/>
              </w:rPr>
              <w:t>京津冀及周边、长三角、珠三角、成渝、武汉及其周边、辽宁中部、陕西关中、长株潭等区域，涉及北京、天津、河北、辽宁、上海、江苏、浙江、安徽、山东、河南、广东、湖北、湖南、重庆、四川、陕西等16 个省（市）</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lang w:val="en-US" w:eastAsia="zh-CN"/>
              </w:rPr>
              <w:t>重点行业为“重点推进石化、化工、包装印刷、工业涂装等重点行业以及机动车、油品储运销等交通源VOCs 污染防治，实施一批重点工程”。</w:t>
            </w:r>
            <w:r>
              <w:rPr>
                <w:rFonts w:hint="default" w:ascii="Times New Roman" w:hAnsi="Times New Roman" w:eastAsia="宋体" w:cs="Times New Roman"/>
                <w:color w:val="auto"/>
                <w:highlight w:val="none"/>
                <w:u w:val="none"/>
              </w:rPr>
              <w:t>方案中提出：“</w:t>
            </w:r>
            <w:r>
              <w:rPr>
                <w:rFonts w:hint="default" w:ascii="Times New Roman" w:hAnsi="Times New Roman" w:eastAsia="宋体" w:cs="Times New Roman"/>
                <w:b/>
                <w:bCs/>
                <w:color w:val="auto"/>
                <w:szCs w:val="24"/>
                <w:highlight w:val="none"/>
                <w:u w:val="none"/>
              </w:rPr>
              <w:t>严格建设项目环境准入。</w:t>
            </w:r>
            <w:r>
              <w:rPr>
                <w:rFonts w:hint="default" w:ascii="Times New Roman" w:hAnsi="Times New Roman" w:eastAsia="宋体" w:cs="Times New Roman"/>
                <w:color w:val="auto"/>
                <w:szCs w:val="24"/>
                <w:highlight w:val="none"/>
                <w:u w:val="none"/>
              </w:rPr>
              <w:t>提高VOCs排放重点行业环保准入门槛，严格控制新增污染物排放量。重点地区要严格限制石化、化工、 包装印刷、工业涂装等高VOCs排放建设项目。新建涉VOCs排放的工业企业要入园区。未纳入《石化产业规划布局方案》的新建炼化 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szCs w:val="24"/>
                <w:highlight w:val="none"/>
                <w:u w:val="none"/>
              </w:rPr>
              <w:t>。</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b/>
                <w:bCs/>
                <w:color w:val="auto"/>
                <w:szCs w:val="24"/>
                <w:highlight w:val="none"/>
                <w:u w:val="none"/>
              </w:rPr>
              <w:t>加大工业涂装VOCs治理力度。</w:t>
            </w:r>
            <w:r>
              <w:rPr>
                <w:rFonts w:hint="default" w:ascii="Times New Roman" w:hAnsi="Times New Roman" w:eastAsia="宋体" w:cs="Times New Roman"/>
                <w:color w:val="auto"/>
                <w:szCs w:val="24"/>
                <w:highlight w:val="none"/>
                <w:u w:val="none"/>
              </w:rPr>
              <w:t>全面推进集装箱、汽车、木质 家具、船舶、工程机械、钢结构、卷材等制造行业工业涂装 VOCs 排放控制，在重点地区还应加强其他交通设备、电子、家用电器制造等行业工业涂装VOCs排放控制</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szCs w:val="24"/>
                <w:highlight w:val="none"/>
                <w:u w:val="none"/>
              </w:rPr>
              <w:t>。</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b/>
                <w:bCs/>
                <w:color w:val="auto"/>
                <w:szCs w:val="24"/>
                <w:highlight w:val="none"/>
                <w:u w:val="none"/>
              </w:rPr>
              <w:t>因地制宜推进其他工业行业VOCs综合治理。</w:t>
            </w:r>
            <w:r>
              <w:rPr>
                <w:rFonts w:hint="default" w:ascii="Times New Roman" w:hAnsi="Times New Roman" w:eastAsia="宋体" w:cs="Times New Roman"/>
                <w:color w:val="auto"/>
                <w:szCs w:val="24"/>
                <w:highlight w:val="none"/>
                <w:u w:val="none"/>
              </w:rPr>
              <w:t>各地应结合本地产业结构特征和VOCs 治理重点，因地制宜选择其他工业行业开展 VOC</w:t>
            </w:r>
            <w:r>
              <w:rPr>
                <w:rFonts w:hint="default" w:ascii="Times New Roman" w:hAnsi="Times New Roman" w:eastAsia="宋体" w:cs="Times New Roman"/>
                <w:color w:val="auto"/>
                <w:szCs w:val="24"/>
                <w:highlight w:val="none"/>
                <w:u w:val="none"/>
                <w:vertAlign w:val="subscript"/>
              </w:rPr>
              <w:t>s</w:t>
            </w:r>
            <w:r>
              <w:rPr>
                <w:rFonts w:hint="default" w:ascii="Times New Roman" w:hAnsi="Times New Roman" w:eastAsia="宋体" w:cs="Times New Roman"/>
                <w:color w:val="auto"/>
                <w:szCs w:val="24"/>
                <w:highlight w:val="none"/>
                <w:u w:val="none"/>
              </w:rPr>
              <w:t xml:space="preserve"> 治理。电子行业应重点加强溶剂清洗、光刻、涂胶、涂装等工序 VOC</w:t>
            </w:r>
            <w:r>
              <w:rPr>
                <w:rFonts w:hint="default" w:ascii="Times New Roman" w:hAnsi="Times New Roman" w:eastAsia="宋体" w:cs="Times New Roman"/>
                <w:color w:val="auto"/>
                <w:szCs w:val="24"/>
                <w:highlight w:val="none"/>
                <w:u w:val="none"/>
                <w:vertAlign w:val="subscript"/>
              </w:rPr>
              <w:t xml:space="preserve">s </w:t>
            </w:r>
            <w:r>
              <w:rPr>
                <w:rFonts w:hint="default" w:ascii="Times New Roman" w:hAnsi="Times New Roman" w:eastAsia="宋体" w:cs="Times New Roman"/>
                <w:color w:val="auto"/>
                <w:szCs w:val="24"/>
                <w:highlight w:val="none"/>
                <w:u w:val="none"/>
              </w:rPr>
              <w:t>排放控制；制鞋行业应重点加强鞋面拼接、成型、组底、喷漆、发泡、注塑、印刷、清洗等工序 VOCs 排放治理；纺织印染行业 应重点加强化纤纺丝、热定型、涂层等工序 VOCs 排放治理；木材加工行业应重点加强干燥、涂胶、热压过程 VOCs 排放治理</w:t>
            </w:r>
            <w:r>
              <w:rPr>
                <w:rFonts w:hint="default" w:ascii="Times New Roman" w:hAnsi="Times New Roman" w:eastAsia="宋体" w:cs="Times New Roman"/>
                <w:color w:val="auto"/>
                <w:highlight w:val="none"/>
                <w:u w:val="none"/>
              </w:rPr>
              <w:t>”</w:t>
            </w:r>
            <w:r>
              <w:rPr>
                <w:rFonts w:hint="default" w:ascii="Times New Roman" w:hAnsi="Times New Roman" w:eastAsia="宋体" w:cs="Times New Roman"/>
                <w:color w:val="auto"/>
                <w:szCs w:val="24"/>
                <w:highlight w:val="none"/>
                <w:u w:val="none"/>
              </w:rPr>
              <w:t>。</w:t>
            </w:r>
          </w:p>
          <w:p>
            <w:pPr>
              <w:pStyle w:val="115"/>
              <w:rPr>
                <w:color w:val="auto"/>
                <w:highlight w:val="none"/>
                <w:u w:val="none"/>
              </w:rPr>
            </w:pPr>
            <w:r>
              <w:rPr>
                <w:rFonts w:hint="eastAsia"/>
                <w:color w:val="auto"/>
                <w:highlight w:val="none"/>
                <w:u w:val="none"/>
              </w:rPr>
              <w:t>本项目位于湖南省，为重点地区，不属于石化、化工、包装印刷、工业涂装等重点行业。</w:t>
            </w:r>
            <w:r>
              <w:rPr>
                <w:rFonts w:hint="eastAsia"/>
                <w:color w:val="auto"/>
                <w:highlight w:val="none"/>
                <w:u w:val="none"/>
                <w:lang w:val="en-US" w:eastAsia="zh-CN"/>
              </w:rPr>
              <w:t>项目位于澧县高新区创新创业园B5栋1层，</w:t>
            </w:r>
            <w:r>
              <w:rPr>
                <w:rFonts w:hint="eastAsia"/>
                <w:color w:val="auto"/>
                <w:highlight w:val="none"/>
                <w:u w:val="none"/>
              </w:rPr>
              <w:t>属于</w:t>
            </w:r>
            <w:r>
              <w:rPr>
                <w:rFonts w:hint="eastAsia"/>
                <w:color w:val="auto"/>
                <w:u w:val="none"/>
                <w:lang w:val="en-US" w:eastAsia="zh-CN"/>
              </w:rPr>
              <w:t>纸制品制造</w:t>
            </w:r>
            <w:r>
              <w:rPr>
                <w:rFonts w:hint="eastAsia"/>
                <w:color w:val="auto"/>
                <w:highlight w:val="none"/>
                <w:u w:val="none"/>
              </w:rPr>
              <w:t>，</w:t>
            </w:r>
            <w:r>
              <w:rPr>
                <w:rFonts w:hint="eastAsia"/>
                <w:color w:val="auto"/>
                <w:highlight w:val="none"/>
                <w:u w:val="none"/>
                <w:lang w:eastAsia="zh-CN"/>
              </w:rPr>
              <w:t>采用纸管胶进行粘合，产生的废气无组织排放</w:t>
            </w:r>
            <w:r>
              <w:rPr>
                <w:rFonts w:hint="eastAsia"/>
                <w:color w:val="auto"/>
                <w:highlight w:val="none"/>
                <w:u w:val="none"/>
              </w:rPr>
              <w:t>。</w:t>
            </w:r>
          </w:p>
          <w:p>
            <w:pPr>
              <w:pStyle w:val="115"/>
              <w:rPr>
                <w:rFonts w:hint="eastAsia"/>
                <w:color w:val="auto"/>
                <w:highlight w:val="none"/>
                <w:u w:val="none"/>
              </w:rPr>
            </w:pPr>
            <w:r>
              <w:rPr>
                <w:rFonts w:hint="eastAsia"/>
                <w:color w:val="auto"/>
                <w:highlight w:val="none"/>
                <w:u w:val="none"/>
              </w:rPr>
              <w:t>因此，本项目与《“十三五”挥发性有机物污染防治工作方案》是相符合的。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b/>
                <w:bCs/>
                <w:color w:val="auto"/>
                <w:sz w:val="24"/>
                <w:highlight w:val="none"/>
                <w:u w:val="none"/>
              </w:rPr>
            </w:pPr>
            <w:r>
              <w:rPr>
                <w:rFonts w:hint="eastAsia"/>
                <w:b/>
                <w:bCs/>
                <w:color w:val="auto"/>
                <w:sz w:val="24"/>
                <w:highlight w:val="none"/>
                <w:u w:val="none"/>
                <w:lang w:val="en-US" w:eastAsia="zh-CN"/>
              </w:rPr>
              <w:t>5、</w:t>
            </w:r>
            <w:r>
              <w:rPr>
                <w:b/>
                <w:bCs/>
                <w:color w:val="auto"/>
                <w:sz w:val="24"/>
                <w:highlight w:val="none"/>
                <w:u w:val="none"/>
              </w:rPr>
              <w:t>与</w:t>
            </w:r>
            <w:r>
              <w:rPr>
                <w:rFonts w:hint="eastAsia"/>
                <w:b/>
                <w:bCs/>
                <w:color w:val="auto"/>
                <w:sz w:val="24"/>
                <w:highlight w:val="none"/>
                <w:u w:val="none"/>
              </w:rPr>
              <w:t>《</w:t>
            </w:r>
            <w:r>
              <w:rPr>
                <w:rFonts w:hint="eastAsia"/>
                <w:b/>
                <w:bCs/>
                <w:color w:val="auto"/>
                <w:sz w:val="24"/>
                <w:highlight w:val="none"/>
                <w:u w:val="none"/>
                <w:lang w:val="en-US" w:eastAsia="zh-CN"/>
              </w:rPr>
              <w:t>湖南省VOC</w:t>
            </w:r>
            <w:r>
              <w:rPr>
                <w:rFonts w:hint="eastAsia"/>
                <w:b/>
                <w:bCs/>
                <w:color w:val="auto"/>
                <w:sz w:val="24"/>
                <w:highlight w:val="none"/>
                <w:u w:val="none"/>
                <w:vertAlign w:val="subscript"/>
                <w:lang w:val="en-US" w:eastAsia="zh-CN"/>
              </w:rPr>
              <w:t>S</w:t>
            </w:r>
            <w:r>
              <w:rPr>
                <w:rFonts w:hint="eastAsia"/>
                <w:b/>
                <w:bCs/>
                <w:color w:val="auto"/>
                <w:sz w:val="24"/>
                <w:highlight w:val="none"/>
                <w:u w:val="none"/>
                <w:lang w:val="en-US" w:eastAsia="zh-CN"/>
              </w:rPr>
              <w:t>污染防治三年实施</w:t>
            </w:r>
            <w:r>
              <w:rPr>
                <w:rFonts w:hint="eastAsia"/>
                <w:b/>
                <w:bCs/>
                <w:color w:val="auto"/>
                <w:sz w:val="24"/>
                <w:highlight w:val="none"/>
                <w:u w:val="none"/>
              </w:rPr>
              <w:t>方案》</w:t>
            </w:r>
            <w:r>
              <w:rPr>
                <w:rFonts w:hint="eastAsia"/>
                <w:b/>
                <w:bCs/>
                <w:color w:val="auto"/>
                <w:sz w:val="24"/>
                <w:highlight w:val="none"/>
                <w:u w:val="none"/>
                <w:lang w:val="en-US" w:eastAsia="zh-CN"/>
              </w:rPr>
              <w:t>(湘环发[2018]11号)的</w:t>
            </w:r>
            <w:r>
              <w:rPr>
                <w:b/>
                <w:bCs/>
                <w:color w:val="auto"/>
                <w:sz w:val="24"/>
                <w:highlight w:val="none"/>
                <w:u w:val="none"/>
              </w:rPr>
              <w:t>符合性分析</w:t>
            </w:r>
          </w:p>
          <w:p>
            <w:pPr>
              <w:pStyle w:val="115"/>
              <w:rPr>
                <w:rFonts w:hint="eastAsia" w:cs="Times New Roman"/>
                <w:color w:val="auto"/>
                <w:highlight w:val="none"/>
                <w:u w:val="none"/>
                <w:lang w:eastAsia="zh-CN"/>
              </w:rPr>
            </w:pPr>
            <w:r>
              <w:rPr>
                <w:rFonts w:hint="default" w:ascii="Times New Roman" w:hAnsi="Times New Roman" w:eastAsia="宋体" w:cs="Times New Roman"/>
                <w:color w:val="auto"/>
                <w:highlight w:val="none"/>
                <w:u w:val="none"/>
              </w:rPr>
              <w:t>《</w:t>
            </w:r>
            <w:r>
              <w:rPr>
                <w:rFonts w:hint="eastAsia" w:cs="Times New Roman"/>
                <w:color w:val="auto"/>
                <w:highlight w:val="none"/>
                <w:u w:val="none"/>
                <w:lang w:val="en-US" w:eastAsia="zh-CN"/>
              </w:rPr>
              <w:t>湖南省VOCS污染</w:t>
            </w:r>
            <w:r>
              <w:rPr>
                <w:rFonts w:hint="eastAsia" w:ascii="宋体" w:hAnsi="宋体" w:cs="宋体"/>
                <w:color w:val="auto"/>
                <w:highlight w:val="none"/>
                <w:u w:val="none"/>
                <w:lang w:val="en-US" w:eastAsia="zh-CN"/>
              </w:rPr>
              <w:t>防治三年实施</w:t>
            </w:r>
            <w:r>
              <w:rPr>
                <w:rFonts w:hint="eastAsia" w:ascii="宋体" w:hAnsi="宋体" w:eastAsia="宋体" w:cs="宋体"/>
                <w:color w:val="auto"/>
                <w:highlight w:val="none"/>
                <w:u w:val="none"/>
              </w:rPr>
              <w:t>方案》中</w:t>
            </w:r>
            <w:r>
              <w:rPr>
                <w:rFonts w:hint="eastAsia" w:ascii="宋体" w:hAnsi="宋体" w:cs="宋体"/>
                <w:color w:val="auto"/>
                <w:highlight w:val="none"/>
                <w:u w:val="none"/>
                <w:lang w:val="en-US" w:eastAsia="zh-CN"/>
              </w:rPr>
              <w:t>明确治理</w:t>
            </w:r>
            <w:r>
              <w:rPr>
                <w:rFonts w:hint="eastAsia" w:ascii="宋体" w:hAnsi="宋体" w:eastAsia="宋体" w:cs="宋体"/>
                <w:color w:val="auto"/>
                <w:highlight w:val="none"/>
                <w:u w:val="none"/>
                <w:lang w:val="en-US" w:eastAsia="zh-CN"/>
              </w:rPr>
              <w:t>重点地区为</w:t>
            </w:r>
            <w:r>
              <w:rPr>
                <w:rFonts w:hint="eastAsia" w:ascii="宋体" w:hAnsi="宋体" w:eastAsia="宋体" w:cs="宋体"/>
                <w:color w:val="auto"/>
                <w:highlight w:val="none"/>
                <w:u w:val="none"/>
              </w:rPr>
              <w:t>“</w:t>
            </w:r>
            <w:r>
              <w:rPr>
                <w:rFonts w:hint="eastAsia" w:ascii="宋体" w:hAnsi="宋体" w:cs="宋体"/>
                <w:color w:val="auto"/>
                <w:highlight w:val="none"/>
                <w:u w:val="none"/>
                <w:lang w:val="en-US" w:eastAsia="zh-CN"/>
              </w:rPr>
              <w:t>长沙市、株洲市、湘潭市、常德市、益阳市和岳阳市</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重点行业为“石化、化工、工业涂装</w:t>
            </w:r>
            <w:r>
              <w:rPr>
                <w:rFonts w:hint="eastAsia" w:ascii="宋体" w:hAnsi="宋体" w:cs="宋体"/>
                <w:color w:val="auto"/>
                <w:highlight w:val="none"/>
                <w:u w:val="none"/>
                <w:lang w:val="en-US" w:eastAsia="zh-CN"/>
              </w:rPr>
              <w:t>、</w:t>
            </w:r>
            <w:r>
              <w:rPr>
                <w:rFonts w:hint="eastAsia" w:ascii="宋体" w:hAnsi="宋体" w:eastAsia="宋体" w:cs="宋体"/>
                <w:color w:val="auto"/>
                <w:highlight w:val="none"/>
                <w:u w:val="none"/>
                <w:lang w:val="en-US" w:eastAsia="zh-CN"/>
              </w:rPr>
              <w:t>包装印刷等行业”</w:t>
            </w:r>
            <w:r>
              <w:rPr>
                <w:rFonts w:hint="eastAsia" w:ascii="宋体" w:hAnsi="宋体" w:cs="宋体"/>
                <w:color w:val="auto"/>
                <w:highlight w:val="none"/>
                <w:u w:val="none"/>
                <w:lang w:val="en-US" w:eastAsia="zh-CN"/>
              </w:rPr>
              <w:t>，重点控制污染物主要为“芳香烃、烯烃、炔烃、醛类等”</w:t>
            </w:r>
            <w:r>
              <w:rPr>
                <w:rFonts w:hint="eastAsia" w:cs="Times New Roman"/>
                <w:color w:val="auto"/>
                <w:highlight w:val="none"/>
                <w:u w:val="none"/>
                <w:lang w:val="en-US" w:eastAsia="zh-CN"/>
              </w:rPr>
              <w:t>。</w:t>
            </w:r>
            <w:r>
              <w:rPr>
                <w:rFonts w:hint="default" w:ascii="Times New Roman" w:hAnsi="Times New Roman" w:eastAsia="宋体" w:cs="Times New Roman"/>
                <w:color w:val="auto"/>
                <w:highlight w:val="none"/>
                <w:u w:val="none"/>
              </w:rPr>
              <w:t>方案中提出：</w:t>
            </w:r>
            <w:r>
              <w:rPr>
                <w:rFonts w:hint="eastAsia" w:cs="Times New Roman"/>
                <w:color w:val="auto"/>
                <w:highlight w:val="none"/>
                <w:u w:val="none"/>
                <w:lang w:eastAsia="zh-CN"/>
              </w:rPr>
              <w:t>“</w:t>
            </w:r>
            <w:r>
              <w:rPr>
                <w:rFonts w:hint="eastAsia" w:cs="Times New Roman"/>
                <w:b/>
                <w:bCs/>
                <w:color w:val="auto"/>
                <w:highlight w:val="none"/>
                <w:u w:val="none"/>
                <w:lang w:eastAsia="zh-CN"/>
              </w:rPr>
              <w:t>严格建设项目环境准入。</w:t>
            </w:r>
            <w:r>
              <w:rPr>
                <w:rFonts w:hint="eastAsia" w:cs="Times New Roman"/>
                <w:color w:val="auto"/>
                <w:highlight w:val="none"/>
                <w:u w:val="none"/>
                <w:lang w:eastAsia="zh-CN"/>
              </w:rPr>
              <w:t>提高VOCs排放重点行业环保准入门槛，严格控制新增污染物排放量。要严格限制石化、化工、包装印刷、工业涂装、家具制造、制药等高VOC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排放建设项目，新建涉VOC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排放的工业企业要入园区。未纳入《石化产业规划布局方案》的新建炼化项目一律不得建设。严格涉VOCs建设项目环境影响评价，实行区域内VOC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排放等量或倍量削减替代，并将替代方案落实到企业排污许可证中，纳入环境执法管理。新、改、扩建涉VOCs排放项目，应从源头加强控制，使用低(无)</w:t>
            </w:r>
            <w:r>
              <w:rPr>
                <w:rFonts w:hint="eastAsia" w:cs="Times New Roman"/>
                <w:color w:val="auto"/>
                <w:highlight w:val="none"/>
                <w:u w:val="none"/>
                <w:lang w:val="en-US" w:eastAsia="zh-CN"/>
              </w:rPr>
              <w:t>VOC</w:t>
            </w:r>
            <w:r>
              <w:rPr>
                <w:rFonts w:hint="eastAsia" w:cs="Times New Roman"/>
                <w:color w:val="auto"/>
                <w:highlight w:val="none"/>
                <w:u w:val="none"/>
                <w:lang w:eastAsia="zh-CN"/>
              </w:rPr>
              <w:t>s含量的原辅材料，加强废气收集，安装高效治理设施。”，“</w:t>
            </w:r>
            <w:r>
              <w:rPr>
                <w:rFonts w:hint="eastAsia" w:cs="Times New Roman"/>
                <w:b/>
                <w:bCs/>
                <w:color w:val="auto"/>
                <w:highlight w:val="none"/>
                <w:u w:val="none"/>
                <w:lang w:eastAsia="zh-CN"/>
              </w:rPr>
              <w:t>加快推进工业涂装VOCs治理力度。</w:t>
            </w:r>
            <w:r>
              <w:rPr>
                <w:rFonts w:hint="eastAsia" w:cs="Times New Roman"/>
                <w:color w:val="auto"/>
                <w:highlight w:val="none"/>
                <w:u w:val="none"/>
                <w:lang w:eastAsia="zh-CN"/>
              </w:rPr>
              <w:t>全面推进汽车、木质家具、船舶、工程机械、钢结构、卷材等制造行业工业涂装VOCs排放控制，在长株潭地区还应加强其他交通设备、电子、家用电器制造等行业VOCs排放控制。推广先进工艺，实施低VOCs涂料替代工程。全面实施《表面涂装(汽车制造及维修)挥发性有机物、镍排放标准》(DB43/1356-2017)、《家具制造行业挥发性有机物排放标准》(DB43/1355-2017)等挥发性有机物排放地方标准。2019年底，长株潭地区完成综合治理，2020年底，其他地区完成综合治理。”，“</w:t>
            </w:r>
            <w:r>
              <w:rPr>
                <w:rFonts w:hint="eastAsia" w:cs="Times New Roman"/>
                <w:b/>
                <w:bCs/>
                <w:color w:val="auto"/>
                <w:highlight w:val="none"/>
                <w:u w:val="none"/>
                <w:lang w:eastAsia="zh-CN"/>
              </w:rPr>
              <w:t>因地制宜推进其他工业行业VOCs综合治理。</w:t>
            </w:r>
            <w:r>
              <w:rPr>
                <w:rFonts w:hint="eastAsia" w:cs="Times New Roman"/>
                <w:color w:val="auto"/>
                <w:highlight w:val="none"/>
                <w:u w:val="none"/>
                <w:lang w:eastAsia="zh-CN"/>
              </w:rPr>
              <w:t>各市区应结合本区产业结构特征和VOCs治理重点，因地制宜选择其他工业行业开展VOCs治理。制鞋行业应重点加强鞋面拼接、成型、组底、喷漆、发泡、注塑、印刷、清洗等工序V0Cs排放治理;纺织印染行业应重点加强化纤纺丝、热定型、涂层等工序V0Cs排放治理。”，“</w:t>
            </w:r>
            <w:r>
              <w:rPr>
                <w:rFonts w:hint="eastAsia" w:cs="Times New Roman"/>
                <w:b/>
                <w:bCs/>
                <w:color w:val="auto"/>
                <w:highlight w:val="none"/>
                <w:u w:val="none"/>
                <w:lang w:eastAsia="zh-CN"/>
              </w:rPr>
              <w:t>实施排污许可制度。</w:t>
            </w:r>
            <w:r>
              <w:rPr>
                <w:rFonts w:hint="eastAsia" w:cs="Times New Roman"/>
                <w:color w:val="auto"/>
                <w:highlight w:val="none"/>
                <w:u w:val="none"/>
                <w:lang w:eastAsia="zh-CN"/>
              </w:rPr>
              <w:t>建立健全涉V0Cs工业行业排污许可证相关技术规范及监督管理要求。加快石化行业VOCs排污许可工作。到2018年底前，完成制药等行业排污许可证核发。到2020年底前，在包装印刷、汽车、家具制造等VOCs排放重点行业全面推行排污许可制度。通过排污许可管理，落实企业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源头削减、过程控制和末端治理措施要求，逐步规范涉VOC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工业企业自行监测、台账记录和定期报告的具体规定，推进企业持证按证排污，严厉处罚无证和不按证排污行为。”。</w:t>
            </w:r>
          </w:p>
          <w:p>
            <w:pPr>
              <w:pStyle w:val="115"/>
              <w:rPr>
                <w:rFonts w:hint="default" w:eastAsia="宋体"/>
                <w:color w:val="auto"/>
                <w:highlight w:val="none"/>
                <w:u w:val="none"/>
                <w:lang w:val="en-US" w:eastAsia="zh-CN"/>
              </w:rPr>
            </w:pPr>
            <w:r>
              <w:rPr>
                <w:rFonts w:hint="eastAsia"/>
                <w:color w:val="auto"/>
                <w:highlight w:val="none"/>
                <w:u w:val="none"/>
              </w:rPr>
              <w:t>本项目</w:t>
            </w:r>
            <w:r>
              <w:rPr>
                <w:rFonts w:hint="eastAsia"/>
                <w:color w:val="auto"/>
                <w:highlight w:val="none"/>
                <w:u w:val="none"/>
                <w:lang w:eastAsia="zh-CN"/>
              </w:rPr>
              <w:t>属于扩建项目，已从源头加强控制，建议使用水基型纸管胶，</w:t>
            </w:r>
            <w:r>
              <w:rPr>
                <w:rFonts w:hint="eastAsia"/>
                <w:color w:val="auto"/>
                <w:highlight w:val="none"/>
                <w:u w:val="none"/>
                <w:lang w:val="en-US" w:eastAsia="zh-CN"/>
              </w:rPr>
              <w:t>项目</w:t>
            </w:r>
            <w:r>
              <w:rPr>
                <w:rFonts w:hint="eastAsia" w:cs="Times New Roman"/>
                <w:color w:val="auto"/>
                <w:highlight w:val="none"/>
                <w:u w:val="none"/>
                <w:lang w:eastAsia="zh-CN"/>
              </w:rPr>
              <w:t>使用含</w:t>
            </w:r>
            <w:r>
              <w:rPr>
                <w:rFonts w:hint="eastAsia" w:cs="Times New Roman"/>
                <w:color w:val="auto"/>
                <w:highlight w:val="none"/>
                <w:u w:val="none"/>
                <w:lang w:val="en-US" w:eastAsia="zh-CN"/>
              </w:rPr>
              <w:t>VOC</w:t>
            </w:r>
            <w:r>
              <w:rPr>
                <w:rFonts w:hint="eastAsia" w:cs="Times New Roman"/>
                <w:color w:val="auto"/>
                <w:highlight w:val="none"/>
                <w:u w:val="none"/>
                <w:vertAlign w:val="subscript"/>
                <w:lang w:eastAsia="zh-CN"/>
              </w:rPr>
              <w:t>s</w:t>
            </w:r>
            <w:r>
              <w:rPr>
                <w:rFonts w:hint="eastAsia" w:cs="Times New Roman"/>
                <w:color w:val="auto"/>
                <w:highlight w:val="none"/>
                <w:u w:val="none"/>
                <w:lang w:eastAsia="zh-CN"/>
              </w:rPr>
              <w:t>的原辅材料</w:t>
            </w:r>
            <w:r>
              <w:rPr>
                <w:rFonts w:hint="eastAsia" w:cs="Times New Roman"/>
                <w:color w:val="auto"/>
                <w:highlight w:val="none"/>
                <w:u w:val="none"/>
                <w:lang w:val="en-US" w:eastAsia="zh-CN"/>
              </w:rPr>
              <w:t>量少</w:t>
            </w:r>
            <w:r>
              <w:rPr>
                <w:rFonts w:hint="eastAsia" w:cs="Times New Roman"/>
                <w:color w:val="auto"/>
                <w:highlight w:val="none"/>
                <w:u w:val="none"/>
                <w:lang w:eastAsia="zh-CN"/>
              </w:rPr>
              <w:t>，产生的废气</w:t>
            </w:r>
            <w:r>
              <w:rPr>
                <w:rFonts w:hint="eastAsia" w:cs="Times New Roman"/>
                <w:color w:val="auto"/>
                <w:highlight w:val="none"/>
                <w:u w:val="none"/>
                <w:lang w:val="en-US" w:eastAsia="zh-CN"/>
              </w:rPr>
              <w:t>无组织排放</w:t>
            </w:r>
            <w:r>
              <w:rPr>
                <w:rFonts w:hint="eastAsia"/>
                <w:color w:val="auto"/>
                <w:szCs w:val="24"/>
                <w:u w:val="none"/>
                <w:lang w:val="en-US" w:eastAsia="zh-CN"/>
              </w:rPr>
              <w:t>。</w:t>
            </w:r>
          </w:p>
          <w:p>
            <w:pPr>
              <w:pStyle w:val="115"/>
              <w:rPr>
                <w:rFonts w:hint="eastAsia"/>
                <w:color w:val="auto"/>
                <w:highlight w:val="none"/>
                <w:u w:val="none"/>
              </w:rPr>
            </w:pPr>
            <w:r>
              <w:rPr>
                <w:rFonts w:hint="eastAsia"/>
                <w:color w:val="auto"/>
                <w:highlight w:val="none"/>
                <w:u w:val="none"/>
              </w:rPr>
              <w:t>因此，本项目与</w:t>
            </w:r>
            <w:r>
              <w:rPr>
                <w:rFonts w:hint="default" w:ascii="Times New Roman" w:hAnsi="Times New Roman" w:eastAsia="宋体" w:cs="Times New Roman"/>
                <w:color w:val="auto"/>
                <w:highlight w:val="none"/>
                <w:u w:val="none"/>
              </w:rPr>
              <w:t>《</w:t>
            </w:r>
            <w:r>
              <w:rPr>
                <w:rFonts w:hint="eastAsia" w:cs="Times New Roman"/>
                <w:color w:val="auto"/>
                <w:highlight w:val="none"/>
                <w:u w:val="none"/>
                <w:lang w:val="en-US" w:eastAsia="zh-CN"/>
              </w:rPr>
              <w:t>湖南省VOC</w:t>
            </w:r>
            <w:r>
              <w:rPr>
                <w:rFonts w:hint="eastAsia" w:cs="Times New Roman"/>
                <w:color w:val="auto"/>
                <w:sz w:val="21"/>
                <w:szCs w:val="21"/>
                <w:highlight w:val="none"/>
                <w:u w:val="none"/>
                <w:vertAlign w:val="subscript"/>
                <w:lang w:val="en-US" w:eastAsia="zh-CN"/>
              </w:rPr>
              <w:t>S</w:t>
            </w:r>
            <w:r>
              <w:rPr>
                <w:rFonts w:hint="eastAsia" w:cs="Times New Roman"/>
                <w:color w:val="auto"/>
                <w:highlight w:val="none"/>
                <w:u w:val="none"/>
                <w:lang w:val="en-US" w:eastAsia="zh-CN"/>
              </w:rPr>
              <w:t>污染防治三年实施</w:t>
            </w:r>
            <w:r>
              <w:rPr>
                <w:rFonts w:hint="default" w:ascii="Times New Roman" w:hAnsi="Times New Roman" w:eastAsia="宋体" w:cs="Times New Roman"/>
                <w:color w:val="auto"/>
                <w:highlight w:val="none"/>
                <w:u w:val="none"/>
              </w:rPr>
              <w:t>方案》</w:t>
            </w:r>
            <w:r>
              <w:rPr>
                <w:rFonts w:hint="eastAsia"/>
                <w:color w:val="auto"/>
                <w:highlight w:val="none"/>
                <w:u w:val="none"/>
              </w:rPr>
              <w:t>是相符合的。</w:t>
            </w:r>
          </w:p>
          <w:p>
            <w:pPr>
              <w:spacing w:line="360" w:lineRule="auto"/>
              <w:ind w:firstLine="482" w:firstLineChars="200"/>
              <w:rPr>
                <w:rFonts w:hint="eastAsia"/>
                <w:b/>
                <w:bCs/>
                <w:color w:val="auto"/>
                <w:sz w:val="24"/>
                <w:szCs w:val="24"/>
                <w:u w:val="none"/>
              </w:rPr>
            </w:pPr>
            <w:r>
              <w:rPr>
                <w:rFonts w:hint="eastAsia"/>
                <w:b/>
                <w:bCs/>
                <w:color w:val="auto"/>
                <w:sz w:val="24"/>
                <w:szCs w:val="24"/>
                <w:u w:val="none"/>
                <w:lang w:val="en-US" w:eastAsia="zh-CN"/>
              </w:rPr>
              <w:t>6、</w:t>
            </w:r>
            <w:r>
              <w:rPr>
                <w:rFonts w:hint="eastAsia"/>
                <w:b/>
                <w:bCs/>
                <w:color w:val="auto"/>
                <w:sz w:val="24"/>
                <w:szCs w:val="24"/>
                <w:u w:val="none"/>
              </w:rPr>
              <w:t>与《湖南省污染防治攻坚战三年行动计划（</w:t>
            </w:r>
            <w:r>
              <w:rPr>
                <w:b/>
                <w:bCs/>
                <w:color w:val="auto"/>
                <w:sz w:val="24"/>
                <w:szCs w:val="24"/>
                <w:u w:val="none"/>
              </w:rPr>
              <w:t>2018-2020</w:t>
            </w:r>
            <w:r>
              <w:rPr>
                <w:rFonts w:hint="eastAsia"/>
                <w:b/>
                <w:bCs/>
                <w:color w:val="auto"/>
                <w:sz w:val="24"/>
                <w:szCs w:val="24"/>
                <w:u w:val="none"/>
              </w:rPr>
              <w:t>）》的相符性分析</w:t>
            </w:r>
          </w:p>
          <w:p>
            <w:pPr>
              <w:adjustRightInd w:val="0"/>
              <w:snapToGrid w:val="0"/>
              <w:spacing w:line="360" w:lineRule="auto"/>
              <w:ind w:firstLine="480" w:firstLineChars="200"/>
              <w:jc w:val="left"/>
              <w:rPr>
                <w:rFonts w:hint="eastAsia" w:ascii="Times New Roman" w:hAnsi="Times New Roman" w:eastAsia="宋体" w:cs="宋体"/>
                <w:color w:val="auto"/>
                <w:sz w:val="24"/>
                <w:szCs w:val="24"/>
                <w:u w:val="none"/>
                <w:lang w:bidi="ar"/>
              </w:rPr>
            </w:pPr>
            <w:r>
              <w:rPr>
                <w:rFonts w:hint="eastAsia" w:ascii="Times New Roman" w:hAnsi="Times New Roman" w:eastAsia="宋体" w:cs="宋体"/>
                <w:color w:val="auto"/>
                <w:sz w:val="24"/>
                <w:szCs w:val="24"/>
                <w:u w:val="none"/>
                <w:lang w:bidi="ar"/>
              </w:rPr>
              <w:t>根据《湖南省污染防治攻坚战三年行动计划（2018-2020）》提出的：1、促进产业结构调整；2、推动城市环境空气质量达标；3、严控污染物排放增量；4、加快农村环境综合整治；5、推进挥发性有机物（VOC</w:t>
            </w:r>
            <w:r>
              <w:rPr>
                <w:rFonts w:hint="eastAsia" w:ascii="Times New Roman" w:hAnsi="Times New Roman" w:eastAsia="宋体" w:cs="宋体"/>
                <w:color w:val="auto"/>
                <w:sz w:val="24"/>
                <w:szCs w:val="24"/>
                <w:u w:val="none"/>
                <w:vertAlign w:val="subscript"/>
                <w:lang w:bidi="ar"/>
              </w:rPr>
              <w:t>s</w:t>
            </w:r>
            <w:r>
              <w:rPr>
                <w:rFonts w:hint="eastAsia" w:ascii="Times New Roman" w:hAnsi="Times New Roman" w:eastAsia="宋体" w:cs="宋体"/>
                <w:color w:val="auto"/>
                <w:sz w:val="24"/>
                <w:szCs w:val="24"/>
                <w:u w:val="none"/>
                <w:lang w:bidi="ar"/>
              </w:rPr>
              <w:t>）综合治理；6、强化城镇生活污水治理；7、推进城乡生活垃圾收集和处置。积极推进垃圾分类，建设覆盖城乡的垃圾收运体系和垃圾分类收集系统等要求。</w:t>
            </w:r>
          </w:p>
          <w:p>
            <w:pPr>
              <w:adjustRightInd w:val="0"/>
              <w:snapToGrid w:val="0"/>
              <w:spacing w:line="360" w:lineRule="auto"/>
              <w:ind w:firstLine="480" w:firstLineChars="200"/>
              <w:jc w:val="left"/>
              <w:rPr>
                <w:rFonts w:hint="eastAsia" w:ascii="Times New Roman" w:hAnsi="Times New Roman" w:eastAsia="宋体" w:cs="宋体"/>
                <w:color w:val="auto"/>
                <w:sz w:val="24"/>
                <w:szCs w:val="24"/>
                <w:u w:val="none"/>
                <w:lang w:bidi="ar"/>
              </w:rPr>
            </w:pPr>
            <w:r>
              <w:rPr>
                <w:rFonts w:hint="eastAsia" w:ascii="Times New Roman" w:hAnsi="Times New Roman" w:eastAsia="宋体" w:cs="宋体"/>
                <w:color w:val="auto"/>
                <w:sz w:val="24"/>
                <w:szCs w:val="24"/>
                <w:u w:val="none"/>
                <w:lang w:bidi="ar"/>
              </w:rPr>
              <w:t>本项目</w:t>
            </w:r>
            <w:r>
              <w:rPr>
                <w:rFonts w:hint="eastAsia" w:cs="宋体"/>
                <w:color w:val="auto"/>
                <w:sz w:val="24"/>
                <w:szCs w:val="24"/>
                <w:u w:val="none"/>
                <w:lang w:eastAsia="zh-CN" w:bidi="ar"/>
              </w:rPr>
              <w:t>采用</w:t>
            </w:r>
            <w:r>
              <w:rPr>
                <w:rFonts w:hint="eastAsia" w:cs="宋体"/>
                <w:color w:val="auto"/>
                <w:sz w:val="24"/>
                <w:szCs w:val="24"/>
                <w:u w:val="none"/>
                <w:lang w:val="en-US" w:eastAsia="zh-CN" w:bidi="ar"/>
              </w:rPr>
              <w:t>VOCS含量较低白乳胶，废气无组织排放</w:t>
            </w:r>
            <w:r>
              <w:rPr>
                <w:rFonts w:hint="eastAsia" w:ascii="Times New Roman" w:hAnsi="Times New Roman" w:eastAsia="宋体" w:cs="宋体"/>
                <w:color w:val="auto"/>
                <w:sz w:val="24"/>
                <w:szCs w:val="24"/>
                <w:u w:val="none"/>
                <w:lang w:val="en-US" w:eastAsia="zh-CN" w:bidi="ar"/>
              </w:rPr>
              <w:t>，</w:t>
            </w:r>
            <w:r>
              <w:rPr>
                <w:rFonts w:hint="eastAsia" w:ascii="Times New Roman" w:hAnsi="Times New Roman" w:eastAsia="宋体" w:cs="宋体"/>
                <w:color w:val="auto"/>
                <w:sz w:val="24"/>
                <w:szCs w:val="24"/>
                <w:u w:val="none"/>
                <w:lang w:bidi="ar"/>
              </w:rPr>
              <w:t>对周边环境的影响</w:t>
            </w:r>
            <w:r>
              <w:rPr>
                <w:rFonts w:hint="eastAsia" w:cs="宋体"/>
                <w:color w:val="auto"/>
                <w:sz w:val="24"/>
                <w:szCs w:val="24"/>
                <w:u w:val="none"/>
                <w:lang w:eastAsia="zh-CN" w:bidi="ar"/>
              </w:rPr>
              <w:t>较</w:t>
            </w:r>
            <w:r>
              <w:rPr>
                <w:rFonts w:hint="eastAsia" w:ascii="Times New Roman" w:hAnsi="Times New Roman" w:eastAsia="宋体" w:cs="宋体"/>
                <w:color w:val="auto"/>
                <w:sz w:val="24"/>
                <w:szCs w:val="24"/>
                <w:u w:val="none"/>
                <w:lang w:bidi="ar"/>
              </w:rPr>
              <w:t>小，产生的</w:t>
            </w:r>
            <w:r>
              <w:rPr>
                <w:rFonts w:hint="eastAsia" w:cs="宋体"/>
                <w:color w:val="auto"/>
                <w:sz w:val="24"/>
                <w:szCs w:val="24"/>
                <w:u w:val="none"/>
                <w:lang w:eastAsia="zh-CN" w:bidi="ar"/>
              </w:rPr>
              <w:t>生活</w:t>
            </w:r>
            <w:r>
              <w:rPr>
                <w:rFonts w:hint="eastAsia" w:ascii="Times New Roman" w:hAnsi="Times New Roman" w:eastAsia="宋体" w:cs="宋体"/>
                <w:color w:val="auto"/>
                <w:sz w:val="24"/>
                <w:szCs w:val="24"/>
                <w:u w:val="none"/>
                <w:lang w:eastAsia="zh-CN" w:bidi="ar"/>
              </w:rPr>
              <w:t>废水经化粪池</w:t>
            </w:r>
            <w:r>
              <w:rPr>
                <w:rFonts w:hint="eastAsia" w:ascii="Times New Roman" w:hAnsi="Times New Roman" w:eastAsia="宋体" w:cs="宋体"/>
                <w:color w:val="auto"/>
                <w:sz w:val="24"/>
                <w:szCs w:val="24"/>
                <w:u w:val="none"/>
                <w:lang w:bidi="ar"/>
              </w:rPr>
              <w:t>处理后进入污水管网，生活垃圾由</w:t>
            </w:r>
            <w:r>
              <w:rPr>
                <w:rFonts w:hint="eastAsia" w:ascii="Times New Roman" w:hAnsi="Times New Roman" w:eastAsia="宋体" w:cs="宋体"/>
                <w:color w:val="auto"/>
                <w:sz w:val="24"/>
                <w:szCs w:val="24"/>
                <w:u w:val="none"/>
                <w:lang w:eastAsia="zh-CN" w:bidi="ar"/>
              </w:rPr>
              <w:t>环卫部门统一收集处置</w:t>
            </w:r>
            <w:r>
              <w:rPr>
                <w:rFonts w:hint="eastAsia" w:ascii="Times New Roman" w:hAnsi="Times New Roman" w:eastAsia="宋体" w:cs="宋体"/>
                <w:color w:val="auto"/>
                <w:sz w:val="24"/>
                <w:szCs w:val="24"/>
                <w:u w:val="none"/>
                <w:lang w:bidi="ar"/>
              </w:rPr>
              <w:t>，因此，本项目建设符合《湖南省污染防治攻坚战三年行动计划（2018-2020）》。</w:t>
            </w:r>
          </w:p>
          <w:p>
            <w:pPr>
              <w:spacing w:line="360" w:lineRule="auto"/>
              <w:ind w:firstLine="482" w:firstLineChars="200"/>
              <w:rPr>
                <w:b/>
                <w:color w:val="auto"/>
                <w:sz w:val="24"/>
                <w:szCs w:val="24"/>
                <w:u w:val="none"/>
              </w:rPr>
            </w:pPr>
            <w:r>
              <w:rPr>
                <w:rFonts w:hint="eastAsia" w:cs="宋体"/>
                <w:b/>
                <w:color w:val="auto"/>
                <w:sz w:val="24"/>
                <w:szCs w:val="24"/>
                <w:u w:val="none"/>
                <w:lang w:val="en-US" w:eastAsia="zh-CN" w:bidi="ar"/>
              </w:rPr>
              <w:t>7、</w:t>
            </w:r>
            <w:r>
              <w:rPr>
                <w:rFonts w:hint="eastAsia" w:cs="宋体"/>
                <w:b/>
                <w:color w:val="auto"/>
                <w:sz w:val="24"/>
                <w:szCs w:val="24"/>
                <w:u w:val="none"/>
                <w:lang w:bidi="ar"/>
              </w:rPr>
              <w:t>与《湖南省挥发性有机物污染防治三年行动实施方案（2018-2020）》相符性分析</w:t>
            </w:r>
          </w:p>
          <w:p>
            <w:pPr>
              <w:spacing w:line="360" w:lineRule="auto"/>
              <w:ind w:firstLine="480" w:firstLineChars="200"/>
              <w:rPr>
                <w:rFonts w:hint="eastAsia"/>
                <w:color w:val="auto"/>
                <w:sz w:val="24"/>
                <w:szCs w:val="24"/>
                <w:u w:val="none"/>
                <w:lang w:bidi="ar"/>
              </w:rPr>
            </w:pPr>
            <w:r>
              <w:rPr>
                <w:rFonts w:hint="eastAsia"/>
                <w:color w:val="auto"/>
                <w:sz w:val="24"/>
                <w:szCs w:val="24"/>
                <w:u w:val="none"/>
                <w:lang w:bidi="ar"/>
              </w:rPr>
              <w:t>根据《湖南省挥发性有机物污染防治三年行动实施方案（2018-2020）》提出（摘要）：</w:t>
            </w:r>
          </w:p>
          <w:p>
            <w:pPr>
              <w:spacing w:line="360" w:lineRule="auto"/>
              <w:ind w:firstLine="480" w:firstLineChars="200"/>
              <w:rPr>
                <w:rFonts w:hint="eastAsia"/>
                <w:color w:val="auto"/>
                <w:sz w:val="24"/>
                <w:szCs w:val="24"/>
                <w:u w:val="none"/>
                <w:lang w:bidi="ar"/>
              </w:rPr>
            </w:pPr>
            <w:r>
              <w:rPr>
                <w:rFonts w:hint="eastAsia"/>
                <w:color w:val="auto"/>
                <w:sz w:val="24"/>
                <w:szCs w:val="24"/>
                <w:u w:val="none"/>
                <w:lang w:eastAsia="zh-CN" w:bidi="ar"/>
              </w:rPr>
              <w:t>①</w:t>
            </w:r>
            <w:r>
              <w:rPr>
                <w:rFonts w:hint="eastAsia"/>
                <w:color w:val="auto"/>
                <w:sz w:val="24"/>
                <w:szCs w:val="24"/>
                <w:u w:val="none"/>
                <w:lang w:bidi="ar"/>
              </w:rPr>
              <w:t>加快推进“散乱污”企业综合整治。各地要全面开展涉 V0Cs排放的“散乱污”企业排查工作，建立管理台账，实施分类处置。列入淘汰类的，依法依规予以取缔，做到“两断三清”，即断水、断电，清除原料、清除产品、清除设备;列入搬迁改造、升级改造类的，按照发展规模化、现代化产业的原则，制定改造提升方案，落实时间表和责任人;对“散乱污”企业集群，要制定总体整改方案，统一标准要求，并向社会公开，同步推进区域环境综合整治和企业升级改造。2018年底前，各地要完成涉VOC</w:t>
            </w:r>
            <w:r>
              <w:rPr>
                <w:rFonts w:hint="eastAsia"/>
                <w:color w:val="auto"/>
                <w:sz w:val="24"/>
                <w:szCs w:val="24"/>
                <w:u w:val="none"/>
                <w:vertAlign w:val="subscript"/>
                <w:lang w:bidi="ar"/>
              </w:rPr>
              <w:t>s</w:t>
            </w:r>
            <w:r>
              <w:rPr>
                <w:rFonts w:hint="eastAsia"/>
                <w:color w:val="auto"/>
                <w:sz w:val="24"/>
                <w:szCs w:val="24"/>
                <w:u w:val="none"/>
                <w:lang w:bidi="ar"/>
              </w:rPr>
              <w:t>排放的“散乱污”企业的排查工作，2019年底前依法依规完成清理整顿。</w:t>
            </w:r>
          </w:p>
          <w:p>
            <w:pPr>
              <w:spacing w:line="360" w:lineRule="auto"/>
              <w:ind w:firstLine="480" w:firstLineChars="200"/>
              <w:rPr>
                <w:rFonts w:hint="eastAsia"/>
                <w:color w:val="auto"/>
                <w:sz w:val="24"/>
                <w:szCs w:val="24"/>
                <w:u w:val="none"/>
                <w:lang w:bidi="ar"/>
              </w:rPr>
            </w:pPr>
            <w:r>
              <w:rPr>
                <w:rFonts w:hint="eastAsia"/>
                <w:color w:val="auto"/>
                <w:sz w:val="24"/>
                <w:szCs w:val="24"/>
                <w:u w:val="none"/>
                <w:lang w:bidi="ar"/>
              </w:rPr>
              <w:t>涉VOC</w:t>
            </w:r>
            <w:r>
              <w:rPr>
                <w:rFonts w:hint="eastAsia"/>
                <w:color w:val="auto"/>
                <w:sz w:val="24"/>
                <w:szCs w:val="24"/>
                <w:u w:val="none"/>
                <w:vertAlign w:val="subscript"/>
                <w:lang w:bidi="ar"/>
              </w:rPr>
              <w:t>s</w:t>
            </w:r>
            <w:r>
              <w:rPr>
                <w:rFonts w:hint="eastAsia"/>
                <w:color w:val="auto"/>
                <w:sz w:val="24"/>
                <w:szCs w:val="24"/>
                <w:u w:val="none"/>
                <w:lang w:bidi="ar"/>
              </w:rPr>
              <w:t>排放的“散乱污”企业主要为涂料、油墨、合成革、橡胶制品、塑料制品、化纤生产、印染等化工企业，使用溶剂型涂料、油墨、胶粘剂和其他有机溶剂的表面涂装、包装印刷、家具制造、木材加工等制造加工企业，以及沥青类防水材料生产</w:t>
            </w:r>
            <w:r>
              <w:rPr>
                <w:rFonts w:hint="eastAsia"/>
                <w:color w:val="auto"/>
                <w:sz w:val="24"/>
                <w:szCs w:val="24"/>
                <w:u w:val="none"/>
                <w:lang w:eastAsia="zh-CN" w:bidi="ar"/>
              </w:rPr>
              <w:t>、</w:t>
            </w:r>
            <w:r>
              <w:rPr>
                <w:rFonts w:hint="eastAsia"/>
                <w:color w:val="auto"/>
                <w:sz w:val="24"/>
                <w:szCs w:val="24"/>
                <w:u w:val="none"/>
                <w:lang w:bidi="ar"/>
              </w:rPr>
              <w:t>露天汽车喷涂、开启式服装干洗等。</w:t>
            </w:r>
          </w:p>
          <w:p>
            <w:pPr>
              <w:spacing w:line="360" w:lineRule="auto"/>
              <w:ind w:firstLine="480" w:firstLineChars="200"/>
              <w:rPr>
                <w:rFonts w:hint="eastAsia"/>
                <w:color w:val="auto"/>
                <w:sz w:val="24"/>
                <w:szCs w:val="24"/>
                <w:u w:val="none"/>
                <w:lang w:bidi="ar"/>
              </w:rPr>
            </w:pPr>
            <w:r>
              <w:rPr>
                <w:rFonts w:hint="eastAsia"/>
                <w:color w:val="auto"/>
                <w:sz w:val="24"/>
                <w:szCs w:val="24"/>
                <w:u w:val="none"/>
                <w:lang w:eastAsia="zh-CN" w:bidi="ar"/>
              </w:rPr>
              <w:t>②</w:t>
            </w:r>
            <w:r>
              <w:rPr>
                <w:rFonts w:hint="eastAsia"/>
                <w:color w:val="auto"/>
                <w:sz w:val="24"/>
                <w:szCs w:val="24"/>
                <w:u w:val="none"/>
                <w:lang w:bidi="ar"/>
              </w:rPr>
              <w:t>加快淘汰落后产能。严格执行VOC</w:t>
            </w:r>
            <w:r>
              <w:rPr>
                <w:rFonts w:hint="eastAsia"/>
                <w:color w:val="auto"/>
                <w:sz w:val="24"/>
                <w:szCs w:val="24"/>
                <w:u w:val="none"/>
                <w:vertAlign w:val="subscript"/>
                <w:lang w:bidi="ar"/>
              </w:rPr>
              <w:t>s</w:t>
            </w:r>
            <w:r>
              <w:rPr>
                <w:rFonts w:hint="eastAsia"/>
                <w:color w:val="auto"/>
                <w:sz w:val="24"/>
                <w:szCs w:val="24"/>
                <w:u w:val="none"/>
                <w:lang w:bidi="ar"/>
              </w:rPr>
              <w:t>重点行业相关产业政策，全面落实国家及我省有关产业准入标准、淘汰落后生产工艺装备和产品指导目录，优先将VOCs排放类落后产能纳入各地产业结构调整计划，加快淘汰落后产品、技术和工艺装备。坚决关闭能耗超标、污染物排放超标且治理无望的企业和生产线，逐年</w:t>
            </w:r>
            <w:r>
              <w:rPr>
                <w:rFonts w:hint="eastAsia"/>
                <w:color w:val="auto"/>
                <w:sz w:val="24"/>
                <w:szCs w:val="24"/>
                <w:u w:val="none"/>
                <w:lang w:eastAsia="zh-CN" w:bidi="ar"/>
              </w:rPr>
              <w:t>淘汰一批污染物排放量强度大、产品附加值低、环境信访多的落后产能</w:t>
            </w:r>
            <w:r>
              <w:rPr>
                <w:rFonts w:hint="eastAsia"/>
                <w:color w:val="auto"/>
                <w:sz w:val="24"/>
                <w:szCs w:val="24"/>
                <w:u w:val="none"/>
                <w:lang w:bidi="ar"/>
              </w:rPr>
              <w:t>；</w:t>
            </w:r>
          </w:p>
          <w:p>
            <w:pPr>
              <w:spacing w:line="360" w:lineRule="auto"/>
              <w:ind w:firstLine="480" w:firstLineChars="200"/>
              <w:rPr>
                <w:rFonts w:hint="eastAsia"/>
                <w:color w:val="auto"/>
                <w:sz w:val="24"/>
                <w:szCs w:val="24"/>
                <w:u w:val="none"/>
                <w:lang w:bidi="ar"/>
              </w:rPr>
            </w:pPr>
            <w:r>
              <w:rPr>
                <w:rFonts w:hint="eastAsia"/>
                <w:color w:val="auto"/>
                <w:sz w:val="24"/>
                <w:szCs w:val="24"/>
                <w:u w:val="none"/>
                <w:lang w:bidi="ar"/>
              </w:rPr>
              <w:t>②严格建设项目环境准入。严格限制石化、化工、包装引述、工业涂装、家具制造等高VOC</w:t>
            </w:r>
            <w:r>
              <w:rPr>
                <w:rFonts w:hint="eastAsia"/>
                <w:color w:val="auto"/>
                <w:sz w:val="24"/>
                <w:szCs w:val="24"/>
                <w:u w:val="none"/>
                <w:vertAlign w:val="subscript"/>
                <w:lang w:bidi="ar"/>
              </w:rPr>
              <w:t>s</w:t>
            </w:r>
            <w:r>
              <w:rPr>
                <w:rFonts w:hint="eastAsia"/>
                <w:color w:val="auto"/>
                <w:sz w:val="24"/>
                <w:szCs w:val="24"/>
                <w:u w:val="none"/>
                <w:lang w:bidi="ar"/>
              </w:rPr>
              <w:t>排放建设项目，新建涉VOC</w:t>
            </w:r>
            <w:r>
              <w:rPr>
                <w:rFonts w:hint="eastAsia"/>
                <w:color w:val="auto"/>
                <w:sz w:val="24"/>
                <w:szCs w:val="24"/>
                <w:u w:val="none"/>
                <w:vertAlign w:val="subscript"/>
                <w:lang w:bidi="ar"/>
              </w:rPr>
              <w:t>s</w:t>
            </w:r>
            <w:r>
              <w:rPr>
                <w:rFonts w:hint="eastAsia"/>
                <w:color w:val="auto"/>
                <w:sz w:val="24"/>
                <w:szCs w:val="24"/>
                <w:u w:val="none"/>
                <w:lang w:bidi="ar"/>
              </w:rPr>
              <w:t>排放的工业企业要入园区，未纳入《石化产业规划布局方案》的新建炼化项目一律不得建设。严格涉VOC</w:t>
            </w:r>
            <w:r>
              <w:rPr>
                <w:rFonts w:hint="eastAsia"/>
                <w:color w:val="auto"/>
                <w:sz w:val="24"/>
                <w:szCs w:val="24"/>
                <w:u w:val="none"/>
                <w:vertAlign w:val="subscript"/>
                <w:lang w:bidi="ar"/>
              </w:rPr>
              <w:t>s</w:t>
            </w:r>
            <w:r>
              <w:rPr>
                <w:rFonts w:hint="eastAsia"/>
                <w:color w:val="auto"/>
                <w:sz w:val="24"/>
                <w:szCs w:val="24"/>
                <w:u w:val="none"/>
                <w:lang w:bidi="ar"/>
              </w:rPr>
              <w:t>建设项目环境影响评价，实行区域内VOC</w:t>
            </w:r>
            <w:r>
              <w:rPr>
                <w:rFonts w:hint="eastAsia"/>
                <w:color w:val="auto"/>
                <w:sz w:val="24"/>
                <w:szCs w:val="24"/>
                <w:u w:val="none"/>
                <w:vertAlign w:val="subscript"/>
                <w:lang w:bidi="ar"/>
              </w:rPr>
              <w:t>s</w:t>
            </w:r>
            <w:r>
              <w:rPr>
                <w:rFonts w:hint="eastAsia"/>
                <w:color w:val="auto"/>
                <w:sz w:val="24"/>
                <w:szCs w:val="24"/>
                <w:u w:val="none"/>
                <w:lang w:bidi="ar"/>
              </w:rPr>
              <w:t>排放等量或倍量削减替代，并将替代方案落实到企业排污许可证中，纳入环境执法管理。新、改、扩建涉VOC</w:t>
            </w:r>
            <w:r>
              <w:rPr>
                <w:rFonts w:hint="eastAsia"/>
                <w:color w:val="auto"/>
                <w:sz w:val="24"/>
                <w:szCs w:val="24"/>
                <w:u w:val="none"/>
                <w:vertAlign w:val="subscript"/>
                <w:lang w:bidi="ar"/>
              </w:rPr>
              <w:t>s</w:t>
            </w:r>
            <w:r>
              <w:rPr>
                <w:rFonts w:hint="eastAsia"/>
                <w:color w:val="auto"/>
                <w:sz w:val="24"/>
                <w:szCs w:val="24"/>
                <w:u w:val="none"/>
                <w:lang w:bidi="ar"/>
              </w:rPr>
              <w:t>排放项目，应从源头加强控制，使用低（无）VOC</w:t>
            </w:r>
            <w:r>
              <w:rPr>
                <w:rFonts w:hint="eastAsia"/>
                <w:color w:val="auto"/>
                <w:sz w:val="24"/>
                <w:szCs w:val="24"/>
                <w:u w:val="none"/>
                <w:vertAlign w:val="subscript"/>
                <w:lang w:bidi="ar"/>
              </w:rPr>
              <w:t>s</w:t>
            </w:r>
            <w:r>
              <w:rPr>
                <w:rFonts w:hint="eastAsia"/>
                <w:color w:val="auto"/>
                <w:sz w:val="24"/>
                <w:szCs w:val="24"/>
                <w:u w:val="none"/>
                <w:lang w:bidi="ar"/>
              </w:rPr>
              <w:t>含量的原辅材料，加强废气收集、安装高效治理设施；</w:t>
            </w:r>
          </w:p>
          <w:p>
            <w:pPr>
              <w:spacing w:line="360" w:lineRule="auto"/>
              <w:ind w:firstLine="480" w:firstLineChars="200"/>
              <w:rPr>
                <w:color w:val="auto"/>
                <w:sz w:val="24"/>
                <w:szCs w:val="24"/>
                <w:u w:val="none"/>
                <w:lang w:bidi="ar"/>
              </w:rPr>
            </w:pPr>
            <w:r>
              <w:rPr>
                <w:color w:val="auto"/>
                <w:sz w:val="24"/>
                <w:szCs w:val="24"/>
                <w:u w:val="none"/>
                <w:lang w:bidi="ar"/>
              </w:rPr>
              <w:t>本项目</w:t>
            </w:r>
            <w:r>
              <w:rPr>
                <w:rFonts w:hint="eastAsia"/>
                <w:color w:val="auto"/>
                <w:sz w:val="24"/>
                <w:szCs w:val="24"/>
                <w:u w:val="none"/>
                <w:lang w:eastAsia="zh-CN" w:bidi="ar"/>
              </w:rPr>
              <w:t>从源头控制减少</w:t>
            </w:r>
            <w:r>
              <w:rPr>
                <w:rFonts w:hint="eastAsia"/>
                <w:color w:val="auto"/>
                <w:sz w:val="24"/>
                <w:szCs w:val="24"/>
                <w:u w:val="none"/>
                <w:lang w:bidi="ar"/>
              </w:rPr>
              <w:t>VOC</w:t>
            </w:r>
            <w:r>
              <w:rPr>
                <w:rFonts w:hint="eastAsia"/>
                <w:color w:val="auto"/>
                <w:sz w:val="24"/>
                <w:szCs w:val="24"/>
                <w:u w:val="none"/>
                <w:vertAlign w:val="subscript"/>
                <w:lang w:bidi="ar"/>
              </w:rPr>
              <w:t>s</w:t>
            </w:r>
            <w:r>
              <w:rPr>
                <w:rFonts w:hint="eastAsia"/>
                <w:color w:val="auto"/>
                <w:sz w:val="24"/>
                <w:szCs w:val="24"/>
                <w:u w:val="none"/>
                <w:lang w:eastAsia="zh-CN" w:bidi="ar"/>
              </w:rPr>
              <w:t>气体的排放</w:t>
            </w:r>
            <w:r>
              <w:rPr>
                <w:bCs/>
                <w:color w:val="auto"/>
                <w:sz w:val="24"/>
                <w:szCs w:val="24"/>
                <w:u w:val="none"/>
              </w:rPr>
              <w:t>，</w:t>
            </w:r>
            <w:r>
              <w:rPr>
                <w:rFonts w:hint="eastAsia"/>
                <w:bCs/>
                <w:color w:val="auto"/>
                <w:sz w:val="24"/>
                <w:szCs w:val="24"/>
                <w:u w:val="none"/>
                <w:lang w:eastAsia="zh-CN"/>
              </w:rPr>
              <w:t>采用水基型纸管胶进行粘合，</w:t>
            </w:r>
            <w:r>
              <w:rPr>
                <w:rFonts w:hint="eastAsia"/>
                <w:color w:val="auto"/>
                <w:sz w:val="24"/>
                <w:szCs w:val="24"/>
                <w:u w:val="none"/>
                <w:lang w:bidi="ar"/>
              </w:rPr>
              <w:t>VOC</w:t>
            </w:r>
            <w:r>
              <w:rPr>
                <w:rFonts w:hint="eastAsia"/>
                <w:color w:val="auto"/>
                <w:sz w:val="24"/>
                <w:szCs w:val="24"/>
                <w:u w:val="none"/>
                <w:vertAlign w:val="subscript"/>
                <w:lang w:bidi="ar"/>
              </w:rPr>
              <w:t>s</w:t>
            </w:r>
            <w:r>
              <w:rPr>
                <w:rFonts w:hint="eastAsia"/>
                <w:color w:val="auto"/>
                <w:sz w:val="24"/>
                <w:szCs w:val="24"/>
                <w:u w:val="none"/>
                <w:lang w:bidi="ar"/>
              </w:rPr>
              <w:t>含量</w:t>
            </w:r>
            <w:r>
              <w:rPr>
                <w:rFonts w:hint="eastAsia"/>
                <w:color w:val="auto"/>
                <w:sz w:val="24"/>
                <w:szCs w:val="24"/>
                <w:u w:val="none"/>
                <w:lang w:eastAsia="zh-CN" w:bidi="ar"/>
              </w:rPr>
              <w:t>较少，</w:t>
            </w:r>
            <w:r>
              <w:rPr>
                <w:rFonts w:hint="eastAsia"/>
                <w:color w:val="auto"/>
                <w:sz w:val="24"/>
                <w:szCs w:val="24"/>
                <w:u w:val="none"/>
                <w:lang w:eastAsia="zh-CN"/>
              </w:rPr>
              <w:t>无需设置废气收集处理措施</w:t>
            </w:r>
            <w:r>
              <w:rPr>
                <w:color w:val="auto"/>
                <w:sz w:val="24"/>
                <w:szCs w:val="24"/>
                <w:u w:val="none"/>
              </w:rPr>
              <w:t>，故本项目与</w:t>
            </w:r>
            <w:r>
              <w:rPr>
                <w:color w:val="auto"/>
                <w:sz w:val="24"/>
                <w:szCs w:val="24"/>
                <w:u w:val="none"/>
                <w:lang w:bidi="ar"/>
              </w:rPr>
              <w:t>《湖南省挥发性有机物污染防治三年行动实施方案（2018-2020）》相符。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color w:val="auto"/>
                <w:sz w:val="24"/>
                <w:szCs w:val="24"/>
                <w:u w:val="none"/>
                <w:lang w:val="en-US" w:eastAsia="zh-CN"/>
              </w:rPr>
            </w:pPr>
            <w:r>
              <w:rPr>
                <w:rFonts w:hint="eastAsia" w:cs="Times New Roman"/>
                <w:b/>
                <w:bCs/>
                <w:color w:val="auto"/>
                <w:sz w:val="24"/>
                <w:szCs w:val="24"/>
                <w:u w:val="none"/>
                <w:lang w:val="en-US" w:eastAsia="zh-CN"/>
              </w:rPr>
              <w:t>8、与《2020年挥发性有机物治理攻坚方案》符合性分析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u w:val="none"/>
                <w:lang w:bidi="ar"/>
              </w:rPr>
            </w:pPr>
            <w:r>
              <w:rPr>
                <w:rFonts w:hint="eastAsia"/>
                <w:b w:val="0"/>
                <w:bCs w:val="0"/>
                <w:color w:val="auto"/>
                <w:sz w:val="24"/>
                <w:szCs w:val="24"/>
                <w:u w:val="none"/>
                <w:lang w:val="en-US" w:eastAsia="zh-CN" w:bidi="ar"/>
              </w:rPr>
              <w:t>根据《2020年挥发性有机物治理攻坚方案》：大力推进低（无）VOCs 含量原辅材料替代。将全面使用符合国家要求的低VOCs 含量原 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 VOCs 含量（质量比）均低于10%的工序，可不要求采取无组织排放收集和处理措施。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bCs/>
                <w:color w:val="auto"/>
                <w:u w:val="none"/>
                <w:lang w:val="en-US" w:eastAsia="zh-CN"/>
              </w:rPr>
            </w:pPr>
            <w:r>
              <w:rPr>
                <w:rFonts w:hint="eastAsia" w:cs="Times New Roman"/>
                <w:b w:val="0"/>
                <w:bCs w:val="0"/>
                <w:color w:val="auto"/>
                <w:sz w:val="24"/>
                <w:szCs w:val="24"/>
                <w:u w:val="none"/>
                <w:lang w:val="en-US" w:eastAsia="zh-CN"/>
              </w:rPr>
              <w:t>根据本项目资料显示，涉及VOCs成分含量低于10%，因此本项目</w:t>
            </w:r>
            <w:r>
              <w:rPr>
                <w:rFonts w:hint="eastAsia"/>
                <w:b w:val="0"/>
                <w:bCs w:val="0"/>
                <w:color w:val="auto"/>
                <w:sz w:val="24"/>
                <w:szCs w:val="24"/>
                <w:u w:val="none"/>
                <w:lang w:val="en-US" w:eastAsia="zh-CN" w:bidi="ar"/>
              </w:rPr>
              <w:t>可不要求采取无组织排放收集和处理措施，与此文件相符。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4"/>
                <w:szCs w:val="24"/>
                <w:u w:val="none"/>
              </w:rPr>
            </w:pPr>
            <w:r>
              <w:rPr>
                <w:rFonts w:hint="eastAsia" w:cs="Times New Roman"/>
                <w:b/>
                <w:bCs/>
                <w:color w:val="auto"/>
                <w:u w:val="none"/>
                <w:lang w:val="en-US" w:eastAsia="zh-CN"/>
              </w:rPr>
              <w:t>8、</w:t>
            </w:r>
            <w:r>
              <w:rPr>
                <w:rFonts w:hint="default" w:ascii="Times New Roman" w:hAnsi="Times New Roman" w:eastAsia="宋体" w:cs="Times New Roman"/>
                <w:b/>
                <w:bCs/>
                <w:color w:val="auto"/>
                <w:sz w:val="24"/>
                <w:szCs w:val="24"/>
                <w:u w:val="none"/>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中华人民共和国发展和改革委员会第</w:t>
            </w:r>
            <w:r>
              <w:rPr>
                <w:rFonts w:hint="default" w:ascii="Times New Roman" w:hAnsi="Times New Roman" w:eastAsia="宋体" w:cs="Times New Roman"/>
                <w:b w:val="0"/>
                <w:bCs w:val="0"/>
                <w:color w:val="auto"/>
                <w:sz w:val="24"/>
                <w:szCs w:val="24"/>
                <w:u w:val="none"/>
                <w:lang w:val="en-US" w:eastAsia="zh-CN"/>
              </w:rPr>
              <w:t>2</w:t>
            </w:r>
            <w:r>
              <w:rPr>
                <w:rFonts w:hint="default" w:ascii="Times New Roman" w:hAnsi="Times New Roman" w:eastAsia="宋体" w:cs="Times New Roman"/>
                <w:b w:val="0"/>
                <w:bCs w:val="0"/>
                <w:color w:val="auto"/>
                <w:sz w:val="24"/>
                <w:szCs w:val="24"/>
                <w:u w:val="none"/>
              </w:rPr>
              <w:t>9号令《产业结构调整指导目录(201</w:t>
            </w:r>
            <w:r>
              <w:rPr>
                <w:rFonts w:hint="default" w:ascii="Times New Roman" w:hAnsi="Times New Roman" w:eastAsia="宋体" w:cs="Times New Roman"/>
                <w:b w:val="0"/>
                <w:bCs w:val="0"/>
                <w:color w:val="auto"/>
                <w:sz w:val="24"/>
                <w:szCs w:val="24"/>
                <w:u w:val="none"/>
                <w:lang w:val="en-US" w:eastAsia="zh-CN"/>
              </w:rPr>
              <w:t>9</w:t>
            </w:r>
            <w:r>
              <w:rPr>
                <w:rFonts w:hint="default" w:ascii="Times New Roman" w:hAnsi="Times New Roman" w:eastAsia="宋体" w:cs="Times New Roman"/>
                <w:b w:val="0"/>
                <w:bCs w:val="0"/>
                <w:color w:val="auto"/>
                <w:sz w:val="24"/>
                <w:szCs w:val="24"/>
                <w:u w:val="none"/>
              </w:rPr>
              <w:t>年本)》由鼓励、限制和淘汰三类目录组成。</w:t>
            </w:r>
          </w:p>
          <w:p>
            <w:pPr>
              <w:autoSpaceDE w:val="0"/>
              <w:autoSpaceDN w:val="0"/>
              <w:adjustRightInd w:val="0"/>
              <w:snapToGrid w:val="0"/>
              <w:spacing w:line="360" w:lineRule="auto"/>
              <w:ind w:firstLine="480" w:firstLineChars="200"/>
              <w:jc w:val="left"/>
              <w:rPr>
                <w:rFonts w:hint="eastAsia" w:cs="Times New Roman"/>
                <w:b/>
                <w:bCs/>
                <w:color w:val="auto"/>
                <w:u w:val="none"/>
                <w:lang w:val="en-US" w:eastAsia="zh-CN"/>
              </w:rPr>
            </w:pPr>
            <w:r>
              <w:rPr>
                <w:rFonts w:hint="eastAsia"/>
                <w:kern w:val="0"/>
                <w:sz w:val="24"/>
              </w:rPr>
              <w:t>经查询，本项目不属于鼓励类、限制类和淘汰类，且符合国家有关法律、法规和政策规定，属于允许类，所以本项目符合国家产业政策。</w:t>
            </w:r>
          </w:p>
          <w:p/>
        </w:tc>
      </w:tr>
    </w:tbl>
    <w:p>
      <w:p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5"/>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二、建设项目工程分析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61" w:type="dxa"/>
            <w:vAlign w:val="center"/>
          </w:tcPr>
          <w:p>
            <w:pPr>
              <w:pStyle w:val="25"/>
              <w:adjustRightInd w:val="0"/>
              <w:snapToGrid w:val="0"/>
              <w:spacing w:before="0" w:beforeAutospacing="0" w:after="0" w:afterAutospacing="0"/>
              <w:jc w:val="center"/>
              <w:rPr>
                <w:rFonts w:cs="宋体"/>
                <w:color w:val="000000"/>
                <w:sz w:val="21"/>
                <w:szCs w:val="21"/>
              </w:rPr>
            </w:pPr>
            <w:r>
              <w:rPr>
                <w:rFonts w:hint="eastAsia" w:cs="宋体"/>
                <w:color w:val="000000"/>
                <w:sz w:val="21"/>
                <w:szCs w:val="21"/>
              </w:rPr>
              <w:t>建设内容</w:t>
            </w:r>
          </w:p>
        </w:tc>
        <w:tc>
          <w:tcPr>
            <w:tcW w:w="8061" w:type="dxa"/>
          </w:tcPr>
          <w:p>
            <w:pPr>
              <w:spacing w:line="360" w:lineRule="auto"/>
              <w:ind w:firstLine="482" w:firstLineChars="200"/>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ascii="Times New Roman" w:hAnsi="Times New Roman" w:eastAsia="宋体" w:cs="Times New Roman"/>
                <w:b/>
                <w:bCs w:val="0"/>
                <w:strike w:val="0"/>
                <w:dstrike w:val="0"/>
                <w:color w:val="auto"/>
                <w:sz w:val="24"/>
                <w:szCs w:val="24"/>
                <w:highlight w:val="none"/>
                <w:u w:val="none"/>
                <w:lang w:val="en-US" w:eastAsia="zh-CN"/>
              </w:rPr>
              <w:t>一</w:t>
            </w:r>
            <w:r>
              <w:rPr>
                <w:rFonts w:hint="eastAsia" w:cs="Times New Roman"/>
                <w:b/>
                <w:bCs w:val="0"/>
                <w:strike w:val="0"/>
                <w:dstrike w:val="0"/>
                <w:color w:val="auto"/>
                <w:sz w:val="24"/>
                <w:szCs w:val="24"/>
                <w:highlight w:val="none"/>
                <w:u w:val="none"/>
                <w:lang w:val="en-US" w:eastAsia="zh-CN"/>
              </w:rPr>
              <w:t>、</w:t>
            </w:r>
            <w:r>
              <w:rPr>
                <w:rFonts w:hint="eastAsia" w:ascii="Times New Roman" w:hAnsi="Times New Roman" w:eastAsia="宋体" w:cs="Times New Roman"/>
                <w:b/>
                <w:bCs w:val="0"/>
                <w:strike w:val="0"/>
                <w:dstrike w:val="0"/>
                <w:color w:val="auto"/>
                <w:sz w:val="24"/>
                <w:szCs w:val="24"/>
                <w:highlight w:val="none"/>
                <w:u w:val="none"/>
                <w:lang w:val="en-US" w:eastAsia="zh-CN"/>
              </w:rPr>
              <w:t>项目由来</w:t>
            </w:r>
          </w:p>
          <w:p>
            <w:pPr>
              <w:pStyle w:val="25"/>
              <w:snapToGrid w:val="0"/>
              <w:spacing w:before="0" w:beforeAutospacing="0" w:after="0" w:afterAutospacing="0" w:line="360" w:lineRule="auto"/>
              <w:ind w:firstLine="420"/>
              <w:jc w:val="both"/>
              <w:rPr>
                <w:color w:val="auto"/>
              </w:rPr>
            </w:pPr>
            <w:r>
              <w:rPr>
                <w:rFonts w:hint="eastAsia" w:ascii="Times New Roman" w:hAnsi="Times New Roman"/>
                <w:bCs/>
                <w:color w:val="auto"/>
                <w:kern w:val="2"/>
                <w:szCs w:val="21"/>
                <w:lang w:eastAsia="zh-CN"/>
              </w:rPr>
              <w:t>澧县天成包装材料有限公司成立于</w:t>
            </w:r>
            <w:r>
              <w:rPr>
                <w:rFonts w:hint="eastAsia" w:ascii="Times New Roman" w:hAnsi="Times New Roman"/>
                <w:bCs/>
                <w:color w:val="auto"/>
                <w:kern w:val="2"/>
                <w:szCs w:val="21"/>
                <w:lang w:val="en-US" w:eastAsia="zh-CN"/>
              </w:rPr>
              <w:t>2016年11月，公司经营范围为纸制品制造、销售，包装材料销售</w:t>
            </w:r>
            <w:r>
              <w:rPr>
                <w:rFonts w:hint="eastAsia" w:ascii="Times New Roman" w:hAnsi="Times New Roman"/>
                <w:bCs/>
                <w:color w:val="auto"/>
                <w:kern w:val="2"/>
                <w:szCs w:val="21"/>
                <w:lang w:eastAsia="zh-CN"/>
              </w:rPr>
              <w:t>。企业在</w:t>
            </w:r>
            <w:r>
              <w:rPr>
                <w:rFonts w:hint="eastAsia" w:ascii="Times New Roman" w:hAnsi="Times New Roman"/>
                <w:bCs/>
                <w:color w:val="auto"/>
                <w:kern w:val="2"/>
                <w:szCs w:val="21"/>
                <w:lang w:val="en-US" w:eastAsia="zh-CN"/>
              </w:rPr>
              <w:t>2016年10月办理了建设项目环境影响登记表，澧县环保局于2016年10月25日对《澧县天成包装材料有限公司纸管加工建设项目环境影响登记表》的备案通知，备案登记号为：澧环审备【2016】17号。根据市场需求，企业在利用原有场地的情况下对本厂产品进行扩建，因此</w:t>
            </w:r>
            <w:r>
              <w:rPr>
                <w:bCs/>
                <w:color w:val="auto"/>
                <w:sz w:val="24"/>
                <w:szCs w:val="21"/>
              </w:rPr>
              <w:t>根据《中华人民共和国环境保护法》、《中华人民共和国环境影响评价法》、《建设项目环境保护管理条例》中华人民共和国国务院第682号令的有关规定，《建设项目环境影响评价分类管理名录</w:t>
            </w:r>
            <w:r>
              <w:rPr>
                <w:rFonts w:hint="eastAsia"/>
                <w:bCs/>
                <w:color w:val="auto"/>
                <w:sz w:val="24"/>
                <w:szCs w:val="21"/>
              </w:rPr>
              <w:t>（2021年版）</w:t>
            </w:r>
            <w:r>
              <w:rPr>
                <w:bCs/>
                <w:color w:val="auto"/>
                <w:sz w:val="24"/>
                <w:szCs w:val="21"/>
              </w:rPr>
              <w:t>》（部令第</w:t>
            </w:r>
            <w:r>
              <w:rPr>
                <w:rFonts w:hint="eastAsia"/>
                <w:bCs/>
                <w:color w:val="auto"/>
                <w:sz w:val="24"/>
                <w:szCs w:val="21"/>
              </w:rPr>
              <w:t>16</w:t>
            </w:r>
            <w:r>
              <w:rPr>
                <w:bCs/>
                <w:color w:val="auto"/>
                <w:sz w:val="24"/>
                <w:szCs w:val="21"/>
              </w:rPr>
              <w:t>号）</w:t>
            </w:r>
            <w:r>
              <w:rPr>
                <w:bCs/>
                <w:color w:val="auto"/>
                <w:sz w:val="24"/>
                <w:szCs w:val="21"/>
                <w:u w:val="none"/>
              </w:rPr>
              <w:t>，</w:t>
            </w:r>
            <w:r>
              <w:rPr>
                <w:rFonts w:hint="eastAsia"/>
                <w:bCs/>
                <w:color w:val="auto"/>
                <w:sz w:val="24"/>
                <w:szCs w:val="21"/>
                <w:u w:val="none"/>
                <w:lang w:val="en-US" w:eastAsia="zh-CN"/>
              </w:rPr>
              <w:t>本项目参考</w:t>
            </w:r>
            <w:r>
              <w:rPr>
                <w:rFonts w:ascii="宋体" w:hAnsi="宋体" w:eastAsia="宋体" w:cs="宋体"/>
                <w:b w:val="0"/>
                <w:bCs w:val="0"/>
                <w:i w:val="0"/>
                <w:iCs w:val="0"/>
                <w:color w:val="auto"/>
                <w:kern w:val="0"/>
                <w:sz w:val="24"/>
                <w:szCs w:val="24"/>
                <w:lang w:val="en-US" w:eastAsia="zh-CN" w:bidi="ar"/>
              </w:rPr>
              <w:t xml:space="preserve">十九、造纸和纸制品业 </w:t>
            </w:r>
            <w:r>
              <w:rPr>
                <w:rFonts w:ascii="TimesNewRomanPSMT" w:hAnsi="TimesNewRomanPSMT" w:eastAsia="TimesNewRomanPSMT" w:cs="TimesNewRomanPSMT"/>
                <w:b w:val="0"/>
                <w:bCs w:val="0"/>
                <w:i w:val="0"/>
                <w:iCs w:val="0"/>
                <w:color w:val="auto"/>
                <w:kern w:val="0"/>
                <w:sz w:val="24"/>
                <w:szCs w:val="24"/>
                <w:lang w:val="en-US" w:eastAsia="zh-CN" w:bidi="ar"/>
              </w:rPr>
              <w:t xml:space="preserve">38 </w:t>
            </w:r>
            <w:r>
              <w:rPr>
                <w:rFonts w:ascii="宋体" w:hAnsi="宋体" w:eastAsia="宋体" w:cs="宋体"/>
                <w:b w:val="0"/>
                <w:bCs w:val="0"/>
                <w:i w:val="0"/>
                <w:iCs w:val="0"/>
                <w:color w:val="auto"/>
                <w:kern w:val="0"/>
                <w:sz w:val="24"/>
                <w:szCs w:val="24"/>
                <w:lang w:val="en-US" w:eastAsia="zh-CN" w:bidi="ar"/>
              </w:rPr>
              <w:t xml:space="preserve">纸制品制造 </w:t>
            </w:r>
            <w:r>
              <w:rPr>
                <w:rFonts w:ascii="TimesNewRomanPSMT" w:hAnsi="TimesNewRomanPSMT" w:eastAsia="TimesNewRomanPSMT" w:cs="TimesNewRomanPSMT"/>
                <w:b w:val="0"/>
                <w:bCs w:val="0"/>
                <w:i w:val="0"/>
                <w:iCs w:val="0"/>
                <w:color w:val="auto"/>
                <w:kern w:val="0"/>
                <w:sz w:val="24"/>
                <w:szCs w:val="24"/>
                <w:lang w:val="en-US" w:eastAsia="zh-CN" w:bidi="ar"/>
              </w:rPr>
              <w:t>223-</w:t>
            </w:r>
            <w:r>
              <w:rPr>
                <w:rFonts w:ascii="宋体" w:hAnsi="宋体" w:eastAsia="宋体" w:cs="宋体"/>
                <w:b w:val="0"/>
                <w:bCs w:val="0"/>
                <w:i w:val="0"/>
                <w:iCs w:val="0"/>
                <w:color w:val="auto"/>
                <w:kern w:val="0"/>
                <w:sz w:val="24"/>
                <w:szCs w:val="24"/>
                <w:lang w:val="en-US" w:eastAsia="zh-CN" w:bidi="ar"/>
              </w:rPr>
              <w:t>有涂布、 浸渍、印刷、粘胶工艺的，因此本项目应编制环境影响评价报告表</w:t>
            </w:r>
            <w:r>
              <w:rPr>
                <w:rFonts w:hint="eastAsia" w:ascii="宋体" w:hAnsi="宋体" w:eastAsia="宋体" w:cs="宋体"/>
                <w:b w:val="0"/>
                <w:bCs w:val="0"/>
                <w:i w:val="0"/>
                <w:iCs w:val="0"/>
                <w:color w:val="auto"/>
                <w:kern w:val="0"/>
                <w:sz w:val="24"/>
                <w:szCs w:val="24"/>
                <w:lang w:val="en-US" w:eastAsia="zh-CN" w:bidi="ar"/>
              </w:rPr>
              <w:t>。</w:t>
            </w:r>
          </w:p>
          <w:p>
            <w:pPr>
              <w:adjustRightInd w:val="0"/>
              <w:snapToGrid w:val="0"/>
              <w:spacing w:line="360" w:lineRule="auto"/>
              <w:ind w:firstLine="480" w:firstLineChars="200"/>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bCs/>
                <w:color w:val="auto"/>
                <w:sz w:val="24"/>
                <w:szCs w:val="21"/>
                <w:u w:val="none"/>
                <w:lang w:val="en-US" w:eastAsia="zh-CN"/>
              </w:rPr>
              <w:t>澧县天成包装材料有限公司</w:t>
            </w:r>
            <w:r>
              <w:rPr>
                <w:bCs/>
                <w:color w:val="auto"/>
                <w:sz w:val="24"/>
                <w:szCs w:val="21"/>
              </w:rPr>
              <w:t>委托</w:t>
            </w:r>
            <w:r>
              <w:rPr>
                <w:rFonts w:hint="eastAsia"/>
                <w:bCs/>
                <w:color w:val="auto"/>
                <w:sz w:val="24"/>
                <w:szCs w:val="21"/>
                <w:lang w:eastAsia="zh-CN"/>
              </w:rPr>
              <w:t>湖南联智环境技术有限公司</w:t>
            </w:r>
            <w:r>
              <w:rPr>
                <w:rFonts w:hint="eastAsia"/>
                <w:bCs/>
                <w:color w:val="auto"/>
                <w:sz w:val="24"/>
                <w:szCs w:val="21"/>
              </w:rPr>
              <w:t>对</w:t>
            </w:r>
            <w:r>
              <w:rPr>
                <w:rFonts w:hint="eastAsia"/>
                <w:bCs/>
                <w:color w:val="auto"/>
                <w:sz w:val="24"/>
                <w:szCs w:val="21"/>
                <w:lang w:val="en-US" w:eastAsia="zh-CN"/>
              </w:rPr>
              <w:t>纸管加工扩建项目</w:t>
            </w:r>
            <w:r>
              <w:rPr>
                <w:bCs/>
                <w:color w:val="auto"/>
                <w:sz w:val="24"/>
                <w:szCs w:val="21"/>
              </w:rPr>
              <w:t>进行环境影响评价工作。接受委托后，我公司组织有关技术人员对所在地及周围环境现状进行了实地踏勘收集相关资料，并在此基础上，依据国家法律法规和建设项目环境影响评价的相关规定和导则、标准，编制完成了本环境影响报告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color w:val="auto"/>
                <w:kern w:val="0"/>
                <w:sz w:val="24"/>
              </w:rPr>
            </w:pPr>
            <w:r>
              <w:rPr>
                <w:rFonts w:hint="eastAsia"/>
                <w:b/>
                <w:color w:val="auto"/>
                <w:kern w:val="0"/>
                <w:sz w:val="24"/>
              </w:rPr>
              <w:t>二、</w:t>
            </w:r>
            <w:r>
              <w:rPr>
                <w:b/>
                <w:color w:val="auto"/>
                <w:kern w:val="0"/>
                <w:sz w:val="24"/>
              </w:rPr>
              <w:t>建设内容</w:t>
            </w:r>
          </w:p>
          <w:p>
            <w:pPr>
              <w:spacing w:line="360" w:lineRule="auto"/>
              <w:ind w:firstLine="480" w:firstLineChars="200"/>
              <w:rPr>
                <w:rFonts w:hint="eastAsia" w:cs="Times New Roman"/>
                <w:color w:val="auto"/>
                <w:sz w:val="24"/>
                <w:u w:val="none"/>
                <w:lang w:val="en-US" w:eastAsia="zh-CN"/>
              </w:rPr>
            </w:pPr>
            <w:r>
              <w:rPr>
                <w:rFonts w:hint="eastAsia" w:cs="Times New Roman"/>
                <w:color w:val="auto"/>
                <w:sz w:val="24"/>
                <w:u w:val="none"/>
                <w:lang w:val="en-US" w:eastAsia="zh-CN"/>
              </w:rPr>
              <w:t>1、项目组成列表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vertAlign w:val="baseline"/>
                <w:lang w:val="en-US" w:eastAsia="zh-CN"/>
              </w:rPr>
            </w:pPr>
            <w:r>
              <w:rPr>
                <w:rFonts w:hint="eastAsia" w:cs="Times New Roman"/>
                <w:color w:val="auto"/>
                <w:sz w:val="24"/>
                <w:u w:val="none"/>
                <w:lang w:val="en-US" w:eastAsia="zh-CN"/>
              </w:rPr>
              <w:t>项目位于澧县高新区创新创业园B5栋1层，厂房总占地面积为4454.2m</w:t>
            </w:r>
            <w:r>
              <w:rPr>
                <w:rFonts w:hint="eastAsia" w:cs="Times New Roman"/>
                <w:color w:val="auto"/>
                <w:sz w:val="24"/>
                <w:u w:val="none"/>
                <w:vertAlign w:val="baseline"/>
                <w:lang w:val="en-US" w:eastAsia="zh-CN"/>
              </w:rPr>
              <w:t>²</w:t>
            </w:r>
            <w:r>
              <w:rPr>
                <w:rFonts w:hint="eastAsia" w:cs="Times New Roman"/>
                <w:color w:val="auto"/>
                <w:sz w:val="24"/>
                <w:u w:val="none"/>
                <w:lang w:val="en-US" w:eastAsia="zh-CN"/>
              </w:rPr>
              <w:t>，本项目厂房租赁澧县高新区创新创业园标准化厂房，共一层，厂房内有产品生产区、原料堆放区、产品堆放区、固废暂存区以及办公区等，本项目扩建内容为1条100</w:t>
            </w:r>
            <w:r>
              <w:rPr>
                <w:rFonts w:hint="eastAsia" w:cs="Times New Roman"/>
                <w:color w:val="auto"/>
                <w:sz w:val="24"/>
                <w:szCs w:val="24"/>
                <w:u w:val="none"/>
                <w:lang w:val="en-US" w:eastAsia="zh-CN"/>
              </w:rPr>
              <w:t>万米</w:t>
            </w:r>
            <w:r>
              <w:rPr>
                <w:rFonts w:hint="eastAsia" w:ascii="Times New Roman" w:hAnsi="Times New Roman" w:eastAsia="宋体" w:cs="Times New Roman"/>
                <w:color w:val="auto"/>
                <w:sz w:val="24"/>
                <w:szCs w:val="24"/>
                <w:lang w:val="en-US" w:eastAsia="zh-CN"/>
              </w:rPr>
              <w:t>FDY/POY纸管、工业纸管、抛光纸管</w:t>
            </w:r>
            <w:r>
              <w:rPr>
                <w:rFonts w:hint="eastAsia" w:cs="Times New Roman"/>
                <w:color w:val="auto"/>
                <w:sz w:val="24"/>
                <w:szCs w:val="24"/>
                <w:u w:val="none"/>
                <w:lang w:val="en-US" w:eastAsia="zh-CN"/>
              </w:rPr>
              <w:t>及1条1000万只DTY化纤管生产线及配套辅</w:t>
            </w:r>
            <w:r>
              <w:rPr>
                <w:rFonts w:hint="eastAsia" w:cs="Times New Roman"/>
                <w:color w:val="auto"/>
                <w:sz w:val="24"/>
                <w:u w:val="none"/>
                <w:lang w:val="en-US" w:eastAsia="zh-CN"/>
              </w:rPr>
              <w:t>助设施</w:t>
            </w:r>
            <w:r>
              <w:rPr>
                <w:rFonts w:hint="eastAsia" w:cs="Times New Roman"/>
                <w:color w:val="auto"/>
                <w:sz w:val="24"/>
                <w:u w:val="none"/>
                <w:vertAlign w:val="baseline"/>
                <w:lang w:val="en-US" w:eastAsia="zh-CN"/>
              </w:rPr>
              <w:t>，合计工业纸管和DTY化纤管的生产能力为5200吨，</w:t>
            </w:r>
            <w:r>
              <w:rPr>
                <w:rFonts w:hint="eastAsia"/>
                <w:color w:val="auto"/>
                <w:kern w:val="0"/>
                <w:sz w:val="24"/>
                <w:szCs w:val="24"/>
                <w:lang w:eastAsia="zh-CN"/>
              </w:rPr>
              <w:t>厂区内的设备由厂家定期维修保养后产生的危险废物由厂家回收处理，厂区不暂存危险废物。</w:t>
            </w:r>
            <w:r>
              <w:rPr>
                <w:rFonts w:hint="eastAsia" w:cs="Times New Roman"/>
                <w:color w:val="auto"/>
                <w:sz w:val="24"/>
                <w:u w:val="none"/>
                <w:vertAlign w:val="baseline"/>
                <w:lang w:val="en-US" w:eastAsia="zh-CN"/>
              </w:rPr>
              <w:t>项目组成见表2-1。</w:t>
            </w:r>
          </w:p>
          <w:p>
            <w:pPr>
              <w:bidi w:val="0"/>
              <w:spacing w:line="240" w:lineRule="auto"/>
              <w:jc w:val="center"/>
              <w:rPr>
                <w:rFonts w:hint="default"/>
                <w:b/>
                <w:bCs/>
                <w:u w:val="none"/>
                <w:lang w:val="en-US" w:eastAsia="zh-CN"/>
              </w:rPr>
            </w:pPr>
            <w:r>
              <w:rPr>
                <w:rFonts w:hint="eastAsia"/>
                <w:u w:val="none"/>
                <w:lang w:val="en-US" w:eastAsia="zh-CN"/>
              </w:rPr>
              <w:t>表</w:t>
            </w:r>
            <w:r>
              <w:rPr>
                <w:rFonts w:hint="eastAsia"/>
                <w:b/>
                <w:bCs/>
                <w:u w:val="none"/>
                <w:lang w:val="en-US" w:eastAsia="zh-CN"/>
              </w:rPr>
              <w:t>2-1 建设内容一览表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Layout w:type="fixed"/>
              <w:tblCellMar>
                <w:top w:w="0" w:type="dxa"/>
                <w:left w:w="108" w:type="dxa"/>
                <w:bottom w:w="0" w:type="dxa"/>
                <w:right w:w="108" w:type="dxa"/>
              </w:tblCellMar>
            </w:tblPr>
            <w:tblGrid>
              <w:gridCol w:w="399"/>
              <w:gridCol w:w="673"/>
              <w:gridCol w:w="5434"/>
              <w:gridCol w:w="1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685" w:type="pct"/>
                  <w:gridSpan w:val="2"/>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项目名称</w:t>
                  </w:r>
                </w:p>
              </w:tc>
              <w:tc>
                <w:tcPr>
                  <w:tcW w:w="347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建设内容与规模</w:t>
                  </w:r>
                </w:p>
              </w:tc>
              <w:tc>
                <w:tcPr>
                  <w:tcW w:w="841"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71" w:hRule="atLeast"/>
                <w:jc w:val="center"/>
              </w:trPr>
              <w:tc>
                <w:tcPr>
                  <w:tcW w:w="255"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主体工程</w:t>
                  </w:r>
                </w:p>
              </w:tc>
              <w:tc>
                <w:tcPr>
                  <w:tcW w:w="430" w:type="pct"/>
                  <w:tcBorders>
                    <w:tl2br w:val="nil"/>
                    <w:tr2bl w:val="nil"/>
                  </w:tcBorders>
                  <w:shd w:val="clear" w:color="auto" w:fill="auto"/>
                  <w:vAlign w:val="center"/>
                </w:tcPr>
                <w:p>
                  <w:pPr>
                    <w:jc w:val="both"/>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厂房</w:t>
                  </w:r>
                  <w:r>
                    <w:rPr>
                      <w:rFonts w:hint="eastAsia" w:cs="Times New Roman"/>
                      <w:color w:val="000000" w:themeColor="text1"/>
                      <w:u w:val="none"/>
                      <w:lang w:val="en-US" w:eastAsia="zh-CN"/>
                      <w14:textFill>
                        <w14:solidFill>
                          <w14:schemeClr w14:val="tx1"/>
                        </w14:solidFill>
                      </w14:textFill>
                    </w:rPr>
                    <w:t>1#</w:t>
                  </w:r>
                </w:p>
              </w:tc>
              <w:tc>
                <w:tcPr>
                  <w:tcW w:w="3472"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面积</w:t>
                  </w:r>
                  <w:r>
                    <w:rPr>
                      <w:rFonts w:hint="eastAsia" w:cs="Times New Roman"/>
                      <w:color w:val="000000" w:themeColor="text1"/>
                      <w:u w:val="none"/>
                      <w:lang w:val="en-US" w:eastAsia="zh-CN"/>
                      <w14:textFill>
                        <w14:solidFill>
                          <w14:schemeClr w14:val="tx1"/>
                        </w14:solidFill>
                      </w14:textFill>
                    </w:rPr>
                    <w:t>4454.2m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eastAsia="zh-CN"/>
                      <w14:textFill>
                        <w14:solidFill>
                          <w14:schemeClr w14:val="tx1"/>
                        </w14:solidFill>
                      </w14:textFill>
                    </w:rPr>
                    <w:t>，包含原料堆放区、生产区域、产品堆放区办公区</w:t>
                  </w:r>
                  <w:r>
                    <w:rPr>
                      <w:rFonts w:hint="default" w:ascii="Times New Roman" w:hAnsi="Times New Roman" w:cs="Times New Roman"/>
                      <w:color w:val="000000" w:themeColor="text1"/>
                      <w:u w:val="none"/>
                      <w14:textFill>
                        <w14:solidFill>
                          <w14:schemeClr w14:val="tx1"/>
                        </w14:solidFill>
                      </w14:textFill>
                    </w:rPr>
                    <w:t>，轻钢</w:t>
                  </w:r>
                  <w:r>
                    <w:rPr>
                      <w:rFonts w:hint="eastAsia" w:ascii="Times New Roman" w:hAnsi="Times New Roman" w:cs="Times New Roman"/>
                      <w:color w:val="000000" w:themeColor="text1"/>
                      <w:u w:val="none"/>
                      <w:lang w:val="en-US" w:eastAsia="zh-CN"/>
                      <w14:textFill>
                        <w14:solidFill>
                          <w14:schemeClr w14:val="tx1"/>
                        </w14:solidFill>
                      </w14:textFill>
                    </w:rPr>
                    <w:t>+砖混</w:t>
                  </w:r>
                  <w:r>
                    <w:rPr>
                      <w:rFonts w:hint="default" w:ascii="Times New Roman" w:hAnsi="Times New Roman" w:cs="Times New Roman"/>
                      <w:color w:val="000000" w:themeColor="text1"/>
                      <w:u w:val="none"/>
                      <w14:textFill>
                        <w14:solidFill>
                          <w14:schemeClr w14:val="tx1"/>
                        </w14:solidFill>
                      </w14:textFill>
                    </w:rPr>
                    <w:t>结构，水泥地面硬化，</w:t>
                  </w:r>
                  <w:r>
                    <w:rPr>
                      <w:rFonts w:hint="eastAsia" w:cs="Times New Roman"/>
                      <w:color w:val="000000" w:themeColor="text1"/>
                      <w:u w:val="none"/>
                      <w:lang w:eastAsia="zh-CN"/>
                      <w14:textFill>
                        <w14:solidFill>
                          <w14:schemeClr w14:val="tx1"/>
                        </w14:solidFill>
                      </w14:textFill>
                    </w:rPr>
                    <w:t>共布置</w:t>
                  </w:r>
                  <w:r>
                    <w:rPr>
                      <w:rFonts w:hint="eastAsia" w:cs="Times New Roman"/>
                      <w:color w:val="000000" w:themeColor="text1"/>
                      <w:u w:val="none"/>
                      <w:lang w:val="en-US" w:eastAsia="zh-CN"/>
                      <w14:textFill>
                        <w14:solidFill>
                          <w14:schemeClr w14:val="tx1"/>
                        </w14:solidFill>
                      </w14:textFill>
                    </w:rPr>
                    <w:t>4</w:t>
                  </w:r>
                  <w:r>
                    <w:rPr>
                      <w:rFonts w:hint="eastAsia" w:cs="Times New Roman"/>
                      <w:color w:val="000000" w:themeColor="text1"/>
                      <w:u w:val="none"/>
                      <w:lang w:eastAsia="zh-CN"/>
                      <w14:textFill>
                        <w14:solidFill>
                          <w14:schemeClr w14:val="tx1"/>
                        </w14:solidFill>
                      </w14:textFill>
                    </w:rPr>
                    <w:t>条生产线。</w:t>
                  </w:r>
                </w:p>
              </w:tc>
              <w:tc>
                <w:tcPr>
                  <w:tcW w:w="841"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现有厂房</w:t>
                  </w:r>
                  <w:r>
                    <w:rPr>
                      <w:rFonts w:hint="eastAsia" w:cs="Times New Roman"/>
                      <w:color w:val="auto"/>
                      <w:u w:val="none"/>
                      <w:lang w:eastAsia="zh-CN"/>
                    </w:rPr>
                    <w:t>扩建生产线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479" w:hRule="atLeast"/>
                <w:jc w:val="center"/>
              </w:trPr>
              <w:tc>
                <w:tcPr>
                  <w:tcW w:w="255"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公用工程</w:t>
                  </w:r>
                </w:p>
              </w:tc>
              <w:tc>
                <w:tcPr>
                  <w:tcW w:w="430"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排水</w:t>
                  </w:r>
                </w:p>
              </w:tc>
              <w:tc>
                <w:tcPr>
                  <w:tcW w:w="3472" w:type="pct"/>
                  <w:tcBorders>
                    <w:tl2br w:val="nil"/>
                    <w:tr2bl w:val="nil"/>
                  </w:tcBorders>
                  <w:shd w:val="clear" w:color="auto" w:fill="auto"/>
                  <w:vAlign w:val="center"/>
                </w:tcPr>
                <w:p>
                  <w:pPr>
                    <w:jc w:val="center"/>
                    <w:rPr>
                      <w:rStyle w:val="35"/>
                      <w:rFonts w:hint="default" w:ascii="Times New Roman" w:hAnsi="Times New Roman" w:cs="Times New Roman"/>
                      <w:u w:val="none"/>
                    </w:rPr>
                  </w:pPr>
                  <w:r>
                    <w:rPr>
                      <w:rFonts w:hint="default" w:ascii="Times New Roman" w:hAnsi="Times New Roman" w:cs="Times New Roman"/>
                      <w:color w:val="000000"/>
                      <w:u w:val="none"/>
                    </w:rPr>
                    <w:t>雨污分流</w:t>
                  </w:r>
                  <w:r>
                    <w:rPr>
                      <w:rFonts w:hint="eastAsia" w:cs="Times New Roman"/>
                      <w:color w:val="000000"/>
                      <w:u w:val="none"/>
                      <w:lang w:eastAsia="zh-CN"/>
                    </w:rPr>
                    <w:t>、污污分流</w:t>
                  </w:r>
                  <w:r>
                    <w:rPr>
                      <w:rFonts w:hint="default" w:ascii="Times New Roman" w:hAnsi="Times New Roman" w:cs="Times New Roman"/>
                      <w:color w:val="000000"/>
                      <w:u w:val="none"/>
                    </w:rPr>
                    <w:t>体制；雨水</w:t>
                  </w:r>
                  <w:r>
                    <w:rPr>
                      <w:rFonts w:hint="eastAsia" w:cs="Times New Roman"/>
                      <w:color w:val="000000"/>
                      <w:u w:val="none"/>
                      <w:lang w:eastAsia="zh-CN"/>
                    </w:rPr>
                    <w:t>进入园区雨水管网，污水为生活废水依托园区的化粪池处理后再进入创新创业园生活污水处理站处理后外排进入澹水，无生产废水产生</w:t>
                  </w:r>
                </w:p>
              </w:tc>
              <w:tc>
                <w:tcPr>
                  <w:tcW w:w="841" w:type="pct"/>
                  <w:tcBorders>
                    <w:tl2br w:val="nil"/>
                    <w:tr2bl w:val="nil"/>
                  </w:tcBorders>
                  <w:shd w:val="clear" w:color="auto" w:fill="auto"/>
                  <w:vAlign w:val="center"/>
                </w:tcPr>
                <w:p>
                  <w:pPr>
                    <w:tabs>
                      <w:tab w:val="left" w:pos="254"/>
                    </w:tabs>
                    <w:jc w:val="center"/>
                    <w:rPr>
                      <w:rFonts w:hint="eastAsia" w:ascii="Times New Roman" w:hAnsi="Times New Roman" w:eastAsia="宋体" w:cs="Times New Roman"/>
                      <w:color w:val="auto"/>
                      <w:u w:val="none"/>
                      <w:lang w:eastAsia="zh-CN"/>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给水</w:t>
                  </w:r>
                </w:p>
              </w:tc>
              <w:tc>
                <w:tcPr>
                  <w:tcW w:w="347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生产生活用水来自</w:t>
                  </w:r>
                  <w:r>
                    <w:rPr>
                      <w:rFonts w:hint="eastAsia" w:ascii="Times New Roman" w:hAnsi="Times New Roman" w:cs="Times New Roman"/>
                      <w:u w:val="none"/>
                      <w:lang w:eastAsia="zh-CN"/>
                    </w:rPr>
                    <w:t>园区</w:t>
                  </w:r>
                  <w:r>
                    <w:rPr>
                      <w:rFonts w:hint="default" w:ascii="Times New Roman" w:hAnsi="Times New Roman" w:cs="Times New Roman"/>
                      <w:u w:val="none"/>
                    </w:rPr>
                    <w:t>自来水管网接入</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供电</w:t>
                  </w:r>
                </w:p>
              </w:tc>
              <w:tc>
                <w:tcPr>
                  <w:tcW w:w="3472" w:type="pct"/>
                  <w:tcBorders>
                    <w:tl2br w:val="nil"/>
                    <w:tr2bl w:val="nil"/>
                  </w:tcBorders>
                  <w:shd w:val="clear" w:color="auto" w:fill="auto"/>
                  <w:vAlign w:val="center"/>
                </w:tcPr>
                <w:p>
                  <w:pPr>
                    <w:jc w:val="center"/>
                    <w:rPr>
                      <w:rFonts w:hint="eastAsia" w:ascii="Times New Roman" w:hAnsi="Times New Roman" w:eastAsia="宋体" w:cs="Times New Roman"/>
                      <w:u w:val="none"/>
                      <w:lang w:eastAsia="zh-CN"/>
                    </w:rPr>
                  </w:pPr>
                  <w:r>
                    <w:rPr>
                      <w:rFonts w:hint="eastAsia" w:cs="Times New Roman"/>
                      <w:u w:val="none"/>
                      <w:lang w:eastAsia="zh-CN"/>
                    </w:rPr>
                    <w:t>园区供电</w:t>
                  </w:r>
                </w:p>
              </w:tc>
              <w:tc>
                <w:tcPr>
                  <w:tcW w:w="841" w:type="pct"/>
                  <w:tcBorders>
                    <w:tl2br w:val="nil"/>
                    <w:tr2bl w:val="nil"/>
                  </w:tcBorders>
                  <w:shd w:val="clear" w:color="auto" w:fill="auto"/>
                  <w:vAlign w:val="center"/>
                </w:tcPr>
                <w:p>
                  <w:pPr>
                    <w:jc w:val="center"/>
                    <w:rPr>
                      <w:rFonts w:hint="eastAsia" w:ascii="Times New Roman" w:hAnsi="Times New Roman" w:eastAsia="宋体" w:cs="Times New Roman"/>
                      <w:color w:val="auto"/>
                      <w:u w:val="none"/>
                      <w:lang w:eastAsia="zh-CN"/>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255"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环保工程</w:t>
                  </w:r>
                </w:p>
              </w:tc>
              <w:tc>
                <w:tcPr>
                  <w:tcW w:w="430"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废水</w:t>
                  </w:r>
                </w:p>
              </w:tc>
              <w:tc>
                <w:tcPr>
                  <w:tcW w:w="347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color w:val="000000"/>
                      <w:u w:val="none"/>
                    </w:rPr>
                    <w:t>雨水</w:t>
                  </w:r>
                  <w:r>
                    <w:rPr>
                      <w:rFonts w:hint="eastAsia" w:cs="Times New Roman"/>
                      <w:color w:val="000000"/>
                      <w:u w:val="none"/>
                      <w:lang w:eastAsia="zh-CN"/>
                    </w:rPr>
                    <w:t>进入园区雨水管网，污水为生活废水依托园区的化粪池处理后再进入创新创业园生活污水处理站处理后外排进入澹水，无生产废水产生</w:t>
                  </w:r>
                  <w:r>
                    <w:rPr>
                      <w:rFonts w:hint="default" w:ascii="Times New Roman" w:hAnsi="Times New Roman" w:cs="Times New Roman"/>
                      <w:color w:val="000000"/>
                      <w:u w:val="none"/>
                    </w:rPr>
                    <w:t>。</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1467"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废气</w:t>
                  </w:r>
                </w:p>
              </w:tc>
              <w:tc>
                <w:tcPr>
                  <w:tcW w:w="3472" w:type="pct"/>
                  <w:tcBorders>
                    <w:tl2br w:val="nil"/>
                    <w:tr2bl w:val="nil"/>
                  </w:tcBorders>
                  <w:shd w:val="clear" w:color="auto" w:fill="auto"/>
                  <w:vAlign w:val="center"/>
                </w:tcPr>
                <w:p>
                  <w:pPr>
                    <w:jc w:val="center"/>
                    <w:rPr>
                      <w:rFonts w:hint="default" w:ascii="Times New Roman" w:hAnsi="Times New Roman" w:cs="Times New Roman"/>
                      <w:color w:val="auto"/>
                      <w:u w:val="none"/>
                      <w:lang w:val="en-US"/>
                    </w:rPr>
                  </w:pPr>
                  <w:r>
                    <w:rPr>
                      <w:rFonts w:hint="eastAsia" w:ascii="Times New Roman" w:hAnsi="Times New Roman" w:eastAsia="宋体" w:cs="Times New Roman"/>
                      <w:color w:val="auto"/>
                      <w:szCs w:val="21"/>
                      <w:highlight w:val="none"/>
                      <w:u w:val="none"/>
                      <w:lang w:val="en-US" w:eastAsia="zh-CN"/>
                    </w:rPr>
                    <w:t>废气为</w:t>
                  </w:r>
                  <w:r>
                    <w:rPr>
                      <w:rFonts w:hint="eastAsia" w:cs="Times New Roman"/>
                      <w:color w:val="auto"/>
                      <w:szCs w:val="21"/>
                      <w:highlight w:val="none"/>
                      <w:u w:val="none"/>
                      <w:lang w:val="en-US" w:eastAsia="zh-CN"/>
                    </w:rPr>
                    <w:t>天然气燃烧及烘干产生的废气经循环燃烧后</w:t>
                  </w:r>
                  <w:r>
                    <w:rPr>
                      <w:rFonts w:hint="eastAsia" w:cs="Times New Roman"/>
                      <w:color w:val="auto"/>
                      <w:szCs w:val="21"/>
                      <w:highlight w:val="none"/>
                      <w:u w:val="none"/>
                      <w:vertAlign w:val="baseline"/>
                      <w:lang w:val="en-US" w:eastAsia="zh-CN"/>
                    </w:rPr>
                    <w:t>厂区内无组织排放；打磨抛光粉尘除尘器处理后无组织排放</w:t>
                  </w:r>
                </w:p>
              </w:tc>
              <w:tc>
                <w:tcPr>
                  <w:tcW w:w="841" w:type="pct"/>
                  <w:tcBorders>
                    <w:tl2br w:val="nil"/>
                    <w:tr2bl w:val="nil"/>
                  </w:tcBorders>
                  <w:shd w:val="clear" w:color="auto" w:fill="auto"/>
                  <w:vAlign w:val="center"/>
                </w:tcPr>
                <w:p>
                  <w:pPr>
                    <w:bidi w:val="0"/>
                    <w:jc w:val="center"/>
                    <w:rPr>
                      <w:rFonts w:hint="default"/>
                      <w:color w:val="C00000"/>
                      <w:u w:val="none"/>
                      <w:lang w:val="en-US" w:eastAsia="zh-CN"/>
                    </w:rPr>
                  </w:pPr>
                  <w:r>
                    <w:rPr>
                      <w:rFonts w:hint="eastAsia" w:cs="Times New Roman"/>
                      <w:color w:val="auto"/>
                      <w:u w:val="none"/>
                      <w:lang w:eastAsia="zh-CN"/>
                    </w:rPr>
                    <w:t>扩建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固废</w:t>
                  </w:r>
                </w:p>
              </w:tc>
              <w:tc>
                <w:tcPr>
                  <w:tcW w:w="3472"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配</w:t>
                  </w:r>
                  <w:r>
                    <w:rPr>
                      <w:rFonts w:hint="eastAsia" w:cs="Times New Roman"/>
                      <w:u w:val="none"/>
                      <w:lang w:eastAsia="zh-CN"/>
                    </w:rPr>
                    <w:t>备</w:t>
                  </w:r>
                  <w:r>
                    <w:rPr>
                      <w:rFonts w:hint="default" w:ascii="Times New Roman" w:hAnsi="Times New Roman" w:cs="Times New Roman"/>
                      <w:u w:val="none"/>
                    </w:rPr>
                    <w:t>垃圾桶，定期</w:t>
                  </w:r>
                  <w:r>
                    <w:rPr>
                      <w:rFonts w:hint="eastAsia" w:cs="Times New Roman"/>
                      <w:u w:val="none"/>
                      <w:lang w:eastAsia="zh-CN"/>
                    </w:rPr>
                    <w:t>交由环卫部门清运处理</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3472" w:type="pct"/>
                  <w:tcBorders>
                    <w:tl2br w:val="nil"/>
                    <w:tr2bl w:val="nil"/>
                  </w:tcBorders>
                  <w:shd w:val="clear" w:color="auto" w:fill="auto"/>
                  <w:vAlign w:val="center"/>
                </w:tcPr>
                <w:p>
                  <w:pPr>
                    <w:jc w:val="center"/>
                    <w:rPr>
                      <w:rStyle w:val="35"/>
                      <w:rFonts w:hint="default" w:ascii="Times New Roman" w:hAnsi="Times New Roman" w:eastAsia="宋体" w:cs="Times New Roman"/>
                      <w:color w:val="auto"/>
                      <w:u w:val="none"/>
                      <w:lang w:eastAsia="zh-CN"/>
                    </w:rPr>
                  </w:pPr>
                  <w:r>
                    <w:rPr>
                      <w:rFonts w:hint="eastAsia" w:cs="Times New Roman"/>
                      <w:color w:val="auto"/>
                      <w:u w:val="none"/>
                      <w:lang w:eastAsia="zh-CN"/>
                    </w:rPr>
                    <w:t>建设固体废物暂存区，袋装储存，进行回收利用</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cs="Times New Roman"/>
                      <w:color w:val="auto"/>
                      <w:u w:val="none"/>
                      <w:lang w:eastAsia="zh-CN"/>
                    </w:rPr>
                    <w:t>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255"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0"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噪声</w:t>
                  </w:r>
                </w:p>
              </w:tc>
              <w:tc>
                <w:tcPr>
                  <w:tcW w:w="347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kern w:val="0"/>
                      <w:u w:val="none"/>
                    </w:rPr>
                    <w:t>合理布局，选用低噪声设备，</w:t>
                  </w:r>
                  <w:r>
                    <w:rPr>
                      <w:rFonts w:hint="eastAsia" w:cs="Times New Roman"/>
                      <w:kern w:val="0"/>
                      <w:u w:val="none"/>
                      <w:lang w:eastAsia="zh-CN"/>
                    </w:rPr>
                    <w:t>厂房封闭</w:t>
                  </w:r>
                  <w:r>
                    <w:rPr>
                      <w:rFonts w:hint="default" w:ascii="Times New Roman" w:hAnsi="Times New Roman" w:cs="Times New Roman"/>
                      <w:kern w:val="0"/>
                      <w:u w:val="none"/>
                    </w:rPr>
                    <w:t>，加强设备管理，在厂区道路种植绿植，禁止夜间作业。</w:t>
                  </w:r>
                </w:p>
              </w:tc>
              <w:tc>
                <w:tcPr>
                  <w:tcW w:w="841" w:type="pct"/>
                  <w:tcBorders>
                    <w:tl2br w:val="nil"/>
                    <w:tr2bl w:val="nil"/>
                  </w:tcBorders>
                  <w:shd w:val="clear" w:color="auto" w:fill="auto"/>
                  <w:vAlign w:val="center"/>
                </w:tcPr>
                <w:p>
                  <w:pPr>
                    <w:jc w:val="center"/>
                    <w:rPr>
                      <w:rFonts w:hint="default" w:ascii="Times New Roman" w:hAnsi="Times New Roman" w:cs="Times New Roman"/>
                      <w:color w:val="auto"/>
                      <w:kern w:val="0"/>
                      <w:u w:val="none"/>
                    </w:rPr>
                  </w:pPr>
                  <w:r>
                    <w:rPr>
                      <w:rFonts w:hint="eastAsia" w:cs="Times New Roman"/>
                      <w:color w:val="auto"/>
                      <w:u w:val="none"/>
                      <w:lang w:eastAsia="zh-CN"/>
                    </w:rPr>
                    <w:t>扩建</w:t>
                  </w:r>
                </w:p>
              </w:tc>
            </w:tr>
          </w:tbl>
          <w:p>
            <w:pPr>
              <w:spacing w:line="240" w:lineRule="auto"/>
              <w:ind w:firstLine="482" w:firstLineChars="200"/>
              <w:jc w:val="left"/>
              <w:rPr>
                <w:rFonts w:hint="default"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3、扩建项目</w:t>
            </w:r>
            <w:r>
              <w:rPr>
                <w:rFonts w:hint="default" w:ascii="Times New Roman" w:hAnsi="Times New Roman" w:eastAsia="宋体" w:cs="Times New Roman"/>
                <w:b/>
                <w:bCs w:val="0"/>
                <w:strike w:val="0"/>
                <w:dstrike w:val="0"/>
                <w:color w:val="auto"/>
                <w:sz w:val="24"/>
                <w:szCs w:val="24"/>
                <w:highlight w:val="none"/>
                <w:u w:val="none"/>
                <w:lang w:val="en-US" w:eastAsia="zh-CN"/>
              </w:rPr>
              <w:t>产品方案</w:t>
            </w:r>
          </w:p>
          <w:p>
            <w:pPr>
              <w:spacing w:line="360" w:lineRule="auto"/>
              <w:ind w:firstLine="480" w:firstLineChars="200"/>
              <w:rPr>
                <w:color w:val="000000" w:themeColor="text1"/>
                <w:sz w:val="24"/>
                <w:szCs w:val="24"/>
                <w:u w:val="none"/>
                <w14:textFill>
                  <w14:solidFill>
                    <w14:schemeClr w14:val="tx1"/>
                  </w14:solidFill>
                </w14:textFill>
              </w:rPr>
            </w:pPr>
            <w:r>
              <w:rPr>
                <w:color w:val="000000" w:themeColor="text1"/>
                <w:sz w:val="24"/>
                <w:szCs w:val="24"/>
                <w:u w:val="none"/>
                <w14:textFill>
                  <w14:solidFill>
                    <w14:schemeClr w14:val="tx1"/>
                  </w14:solidFill>
                </w14:textFill>
              </w:rPr>
              <w:t>本项目</w:t>
            </w:r>
            <w:r>
              <w:rPr>
                <w:rFonts w:hint="eastAsia"/>
                <w:color w:val="000000" w:themeColor="text1"/>
                <w:sz w:val="24"/>
                <w:szCs w:val="24"/>
                <w:u w:val="none"/>
                <w:lang w:eastAsia="zh-CN"/>
                <w14:textFill>
                  <w14:solidFill>
                    <w14:schemeClr w14:val="tx1"/>
                  </w14:solidFill>
                </w14:textFill>
              </w:rPr>
              <w:t>扩建产品方案</w:t>
            </w:r>
            <w:r>
              <w:rPr>
                <w:color w:val="000000" w:themeColor="text1"/>
                <w:sz w:val="24"/>
                <w:szCs w:val="24"/>
                <w:u w:val="none"/>
                <w14:textFill>
                  <w14:solidFill>
                    <w14:schemeClr w14:val="tx1"/>
                  </w14:solidFill>
                </w14:textFill>
              </w:rPr>
              <w:t>详见下表</w:t>
            </w:r>
            <w:r>
              <w:rPr>
                <w:rFonts w:hint="eastAsia"/>
                <w:color w:val="000000" w:themeColor="text1"/>
                <w:sz w:val="24"/>
                <w:szCs w:val="24"/>
                <w:u w:val="none"/>
                <w14:textFill>
                  <w14:solidFill>
                    <w14:schemeClr w14:val="tx1"/>
                  </w14:solidFill>
                </w14:textFill>
              </w:rPr>
              <w:t>2</w:t>
            </w:r>
            <w:r>
              <w:rPr>
                <w:rFonts w:hint="eastAsia"/>
                <w:color w:val="000000" w:themeColor="text1"/>
                <w:sz w:val="24"/>
                <w:szCs w:val="24"/>
                <w:u w:val="none"/>
                <w:lang w:val="en-US" w:eastAsia="zh-CN"/>
                <w14:textFill>
                  <w14:solidFill>
                    <w14:schemeClr w14:val="tx1"/>
                  </w14:solidFill>
                </w14:textFill>
              </w:rPr>
              <w:t>-2</w:t>
            </w:r>
            <w:r>
              <w:rPr>
                <w:color w:val="000000" w:themeColor="text1"/>
                <w:sz w:val="24"/>
                <w:szCs w:val="24"/>
                <w:u w:val="none"/>
                <w14:textFill>
                  <w14:solidFill>
                    <w14:schemeClr w14:val="tx1"/>
                  </w14:solidFill>
                </w14:textFill>
              </w:rPr>
              <w:t>。</w:t>
            </w:r>
          </w:p>
          <w:p>
            <w:pPr>
              <w:pStyle w:val="36"/>
              <w:spacing w:line="240" w:lineRule="auto"/>
              <w:jc w:val="center"/>
              <w:rPr>
                <w:rFonts w:ascii="Times New Roman" w:hAnsi="Times New Roman" w:cs="Times New Roman"/>
                <w:b/>
                <w:bCs/>
                <w:color w:val="auto"/>
                <w:sz w:val="21"/>
                <w:szCs w:val="21"/>
                <w:u w:val="none"/>
                <w:lang w:val="en-GB"/>
              </w:rPr>
            </w:pPr>
            <w:r>
              <w:rPr>
                <w:rFonts w:hint="eastAsia"/>
                <w:color w:val="000000" w:themeColor="text1"/>
                <w:sz w:val="24"/>
                <w:szCs w:val="24"/>
                <w:u w:val="none"/>
                <w:lang w:eastAsia="zh-CN"/>
                <w14:textFill>
                  <w14:solidFill>
                    <w14:schemeClr w14:val="tx1"/>
                  </w14:solidFill>
                </w14:textFill>
              </w:rPr>
              <w:tab/>
            </w:r>
            <w:r>
              <w:rPr>
                <w:rFonts w:ascii="Times New Roman" w:hAnsi="Times New Roman" w:cs="Times New Roman"/>
                <w:b/>
                <w:bCs/>
                <w:color w:val="auto"/>
                <w:sz w:val="21"/>
                <w:szCs w:val="21"/>
                <w:u w:val="none"/>
                <w:lang w:val="en-GB"/>
              </w:rPr>
              <w:t>表</w:t>
            </w:r>
            <w:r>
              <w:rPr>
                <w:rFonts w:ascii="Times New Roman" w:hAnsi="Times New Roman" w:cs="Times New Roman"/>
                <w:b/>
                <w:bCs/>
                <w:color w:val="auto"/>
                <w:sz w:val="21"/>
                <w:szCs w:val="21"/>
                <w:u w:val="none"/>
              </w:rPr>
              <w:t xml:space="preserve"> 2-2</w:t>
            </w:r>
            <w:r>
              <w:rPr>
                <w:rFonts w:ascii="Times New Roman" w:hAnsi="Times New Roman" w:cs="Times New Roman"/>
                <w:b/>
                <w:bCs/>
                <w:color w:val="auto"/>
                <w:sz w:val="21"/>
                <w:szCs w:val="21"/>
                <w:u w:val="none"/>
                <w:lang w:val="en-GB"/>
              </w:rPr>
              <w:t xml:space="preserve"> 产品方案一览表</w:t>
            </w:r>
          </w:p>
          <w:tbl>
            <w:tblPr>
              <w:tblStyle w:val="28"/>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0"/>
              <w:gridCol w:w="1930"/>
              <w:gridCol w:w="1354"/>
              <w:gridCol w:w="1808"/>
              <w:gridCol w:w="19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5"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序号</w:t>
                  </w:r>
                </w:p>
              </w:tc>
              <w:tc>
                <w:tcPr>
                  <w:tcW w:w="1233"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产品</w:t>
                  </w:r>
                </w:p>
              </w:tc>
              <w:tc>
                <w:tcPr>
                  <w:tcW w:w="865"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eastAsia="zh-CN"/>
                      <w14:textFill>
                        <w14:solidFill>
                          <w14:schemeClr w14:val="tx1"/>
                        </w14:solidFill>
                      </w14:textFill>
                    </w:rPr>
                    <w:t>扩建</w:t>
                  </w:r>
                  <w:r>
                    <w:rPr>
                      <w:rFonts w:hint="default" w:ascii="Times New Roman" w:hAnsi="Times New Roman" w:cs="Times New Roman"/>
                      <w:color w:val="000000" w:themeColor="text1"/>
                      <w:sz w:val="21"/>
                      <w:szCs w:val="21"/>
                      <w:u w:val="none"/>
                      <w14:textFill>
                        <w14:solidFill>
                          <w14:schemeClr w14:val="tx1"/>
                        </w14:solidFill>
                      </w14:textFill>
                    </w:rPr>
                    <w:t>规模</w:t>
                  </w:r>
                </w:p>
              </w:tc>
              <w:tc>
                <w:tcPr>
                  <w:tcW w:w="1155"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规格</w:t>
                  </w:r>
                </w:p>
              </w:tc>
              <w:tc>
                <w:tcPr>
                  <w:tcW w:w="1239" w:type="pct"/>
                  <w:tcBorders>
                    <w:tl2br w:val="nil"/>
                    <w:tr2bl w:val="nil"/>
                  </w:tcBorders>
                  <w:vAlign w:val="center"/>
                </w:tcPr>
                <w:p>
                  <w:pPr>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5"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1233" w:type="pct"/>
                  <w:tcBorders>
                    <w:tl2br w:val="nil"/>
                    <w:tr2bl w:val="nil"/>
                  </w:tcBorders>
                  <w:vAlign w:val="center"/>
                </w:tcPr>
                <w:p>
                  <w:pPr>
                    <w:snapToGrid w:val="0"/>
                    <w:jc w:val="center"/>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sz w:val="21"/>
                      <w:szCs w:val="21"/>
                      <w:u w:val="none"/>
                      <w:lang w:val="en-US" w:eastAsia="zh-CN"/>
                    </w:rPr>
                    <w:t>DTY化纤管</w:t>
                  </w:r>
                </w:p>
              </w:tc>
              <w:tc>
                <w:tcPr>
                  <w:tcW w:w="865" w:type="pct"/>
                  <w:tcBorders>
                    <w:tl2br w:val="nil"/>
                    <w:tr2bl w:val="nil"/>
                  </w:tcBorders>
                  <w:vAlign w:val="center"/>
                </w:tcPr>
                <w:p>
                  <w:pPr>
                    <w:snapToGrid w:val="0"/>
                    <w:jc w:val="center"/>
                    <w:rPr>
                      <w:rFonts w:hint="default" w:ascii="Times New Roman" w:hAnsi="Times New Roman" w:cs="Times New Roman"/>
                      <w:color w:val="000000" w:themeColor="text1"/>
                      <w:sz w:val="21"/>
                      <w:szCs w:val="21"/>
                      <w:u w:val="none"/>
                      <w:lang w:val="en-US"/>
                      <w14:textFill>
                        <w14:solidFill>
                          <w14:schemeClr w14:val="tx1"/>
                        </w14:solidFill>
                      </w14:textFill>
                    </w:rPr>
                  </w:pPr>
                  <w:r>
                    <w:rPr>
                      <w:rFonts w:hint="default" w:ascii="Times New Roman" w:hAnsi="Times New Roman" w:eastAsia="宋体" w:cs="Times New Roman"/>
                      <w:sz w:val="21"/>
                      <w:szCs w:val="21"/>
                      <w:u w:val="none"/>
                      <w:lang w:val="en-US" w:eastAsia="zh-CN"/>
                    </w:rPr>
                    <w:t>10</w:t>
                  </w:r>
                  <w:r>
                    <w:rPr>
                      <w:rFonts w:hint="default" w:ascii="Times New Roman" w:hAnsi="Times New Roman" w:cs="Times New Roman"/>
                      <w:sz w:val="21"/>
                      <w:szCs w:val="21"/>
                      <w:u w:val="none"/>
                      <w:lang w:val="en-US" w:eastAsia="zh-CN"/>
                    </w:rPr>
                    <w:t>00万只</w:t>
                  </w:r>
                </w:p>
              </w:tc>
              <w:tc>
                <w:tcPr>
                  <w:tcW w:w="1155" w:type="pct"/>
                  <w:tcBorders>
                    <w:tl2br w:val="nil"/>
                    <w:tr2bl w:val="nil"/>
                  </w:tcBorders>
                  <w:vAlign w:val="center"/>
                </w:tcPr>
                <w:p>
                  <w:pPr>
                    <w:jc w:val="center"/>
                    <w:rPr>
                      <w:rFonts w:hint="default" w:ascii="Times New Roman" w:hAnsi="Times New Roman" w:cs="Times New Roman"/>
                      <w:color w:val="000000" w:themeColor="text1"/>
                      <w:sz w:val="21"/>
                      <w:szCs w:val="21"/>
                      <w:u w:val="none"/>
                      <w:lang w:val="en-US"/>
                      <w14:textFill>
                        <w14:solidFill>
                          <w14:schemeClr w14:val="tx1"/>
                        </w14:solidFill>
                      </w14:textFill>
                    </w:rPr>
                  </w:pPr>
                  <w:r>
                    <w:rPr>
                      <w:rFonts w:hint="default" w:ascii="Times New Roman" w:hAnsi="Times New Roman" w:cs="Times New Roman"/>
                      <w:sz w:val="21"/>
                      <w:szCs w:val="21"/>
                      <w:u w:val="none"/>
                      <w:lang w:val="en-US" w:eastAsia="zh-CN"/>
                    </w:rPr>
                    <w:t>约220g/只</w:t>
                  </w:r>
                </w:p>
              </w:tc>
              <w:tc>
                <w:tcPr>
                  <w:tcW w:w="1239" w:type="pct"/>
                  <w:tcBorders>
                    <w:tl2br w:val="nil"/>
                    <w:tr2bl w:val="nil"/>
                  </w:tcBorders>
                  <w:vAlign w:val="center"/>
                </w:tcPr>
                <w:p>
                  <w:pPr>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共计</w:t>
                  </w:r>
                  <w:r>
                    <w:rPr>
                      <w:rFonts w:hint="eastAsia" w:cs="Times New Roman"/>
                      <w:color w:val="auto"/>
                      <w:sz w:val="21"/>
                      <w:szCs w:val="21"/>
                      <w:u w:val="none"/>
                      <w:lang w:val="en-US" w:eastAsia="zh-CN"/>
                    </w:rPr>
                    <w:t>扩建</w:t>
                  </w:r>
                  <w:r>
                    <w:rPr>
                      <w:rFonts w:hint="default" w:ascii="Times New Roman" w:hAnsi="Times New Roman" w:cs="Times New Roman"/>
                      <w:color w:val="auto"/>
                      <w:sz w:val="21"/>
                      <w:szCs w:val="21"/>
                      <w:u w:val="none"/>
                      <w:lang w:val="en-US" w:eastAsia="zh-CN"/>
                    </w:rPr>
                    <w:t>2200吨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5" w:type="pct"/>
                  <w:tcBorders>
                    <w:tl2br w:val="nil"/>
                    <w:tr2bl w:val="nil"/>
                  </w:tcBorders>
                  <w:vAlign w:val="center"/>
                </w:tcPr>
                <w:p>
                  <w:pPr>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2</w:t>
                  </w:r>
                </w:p>
              </w:tc>
              <w:tc>
                <w:tcPr>
                  <w:tcW w:w="1233" w:type="pct"/>
                  <w:tcBorders>
                    <w:tl2br w:val="nil"/>
                    <w:tr2bl w:val="nil"/>
                  </w:tcBorders>
                  <w:vAlign w:val="center"/>
                </w:tcPr>
                <w:p>
                  <w:pPr>
                    <w:snapToGrid w:val="0"/>
                    <w:jc w:val="center"/>
                    <w:rPr>
                      <w:rFonts w:hint="default" w:ascii="Times New Roman" w:hAnsi="Times New Roman" w:cs="Times New Roman"/>
                      <w:sz w:val="21"/>
                      <w:szCs w:val="21"/>
                      <w:u w:val="none"/>
                      <w:lang w:val="en-US" w:eastAsia="zh-CN"/>
                    </w:rPr>
                  </w:pPr>
                  <w:r>
                    <w:rPr>
                      <w:rFonts w:hint="eastAsia" w:ascii="Times New Roman" w:hAnsi="Times New Roman" w:eastAsia="宋体" w:cs="Times New Roman"/>
                      <w:sz w:val="21"/>
                      <w:szCs w:val="21"/>
                      <w:u w:val="none"/>
                      <w:lang w:val="en-US" w:eastAsia="zh-CN"/>
                    </w:rPr>
                    <w:t>FDY/POY纸管、工业纸管、抛光纸管</w:t>
                  </w:r>
                </w:p>
              </w:tc>
              <w:tc>
                <w:tcPr>
                  <w:tcW w:w="865" w:type="pct"/>
                  <w:tcBorders>
                    <w:tl2br w:val="nil"/>
                    <w:tr2bl w:val="nil"/>
                  </w:tcBorders>
                  <w:vAlign w:val="center"/>
                </w:tcPr>
                <w:p>
                  <w:pPr>
                    <w:snapToGrid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100万米</w:t>
                  </w:r>
                </w:p>
              </w:tc>
              <w:tc>
                <w:tcPr>
                  <w:tcW w:w="1155" w:type="pct"/>
                  <w:tcBorders>
                    <w:tl2br w:val="nil"/>
                    <w:tr2bl w:val="nil"/>
                  </w:tcBorders>
                  <w:vAlign w:val="center"/>
                </w:tcPr>
                <w:p>
                  <w:pPr>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根据客户需求制定，平均约3kg/m</w:t>
                  </w:r>
                </w:p>
              </w:tc>
              <w:tc>
                <w:tcPr>
                  <w:tcW w:w="1239" w:type="pct"/>
                  <w:tcBorders>
                    <w:tl2br w:val="nil"/>
                    <w:tr2bl w:val="nil"/>
                  </w:tcBorders>
                  <w:vAlign w:val="center"/>
                </w:tcPr>
                <w:p>
                  <w:pPr>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共计</w:t>
                  </w:r>
                  <w:r>
                    <w:rPr>
                      <w:rFonts w:hint="eastAsia" w:cs="Times New Roman"/>
                      <w:color w:val="auto"/>
                      <w:sz w:val="21"/>
                      <w:szCs w:val="21"/>
                      <w:u w:val="none"/>
                      <w:lang w:val="en-US" w:eastAsia="zh-CN"/>
                    </w:rPr>
                    <w:t>扩建</w:t>
                  </w:r>
                  <w:r>
                    <w:rPr>
                      <w:rFonts w:hint="eastAsia" w:ascii="Times New Roman" w:hAnsi="Times New Roman" w:cs="Times New Roman"/>
                      <w:color w:val="auto"/>
                      <w:sz w:val="21"/>
                      <w:szCs w:val="21"/>
                      <w:u w:val="none"/>
                      <w:lang w:val="en-US" w:eastAsia="zh-CN"/>
                    </w:rPr>
                    <w:t>3000</w:t>
                  </w:r>
                  <w:r>
                    <w:rPr>
                      <w:rFonts w:hint="default" w:ascii="Times New Roman" w:hAnsi="Times New Roman" w:cs="Times New Roman"/>
                      <w:color w:val="auto"/>
                      <w:sz w:val="21"/>
                      <w:szCs w:val="21"/>
                      <w:u w:val="none"/>
                      <w:lang w:val="en-US" w:eastAsia="zh-CN"/>
                    </w:rPr>
                    <w:t>吨</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4、</w:t>
            </w:r>
            <w:r>
              <w:rPr>
                <w:rFonts w:hint="eastAsia" w:ascii="Times New Roman" w:hAnsi="Times New Roman" w:eastAsia="宋体" w:cs="Times New Roman"/>
                <w:b/>
                <w:bCs w:val="0"/>
                <w:strike w:val="0"/>
                <w:dstrike w:val="0"/>
                <w:color w:val="auto"/>
                <w:sz w:val="24"/>
                <w:szCs w:val="24"/>
                <w:highlight w:val="none"/>
                <w:u w:val="none"/>
                <w:lang w:val="en-US" w:eastAsia="zh-CN"/>
              </w:rPr>
              <w:t>生产设备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ascii="Times New Roman" w:hAnsi="Times New Roman" w:eastAsia="宋体" w:cs="Times New Roman"/>
                <w:bCs/>
                <w:strike w:val="0"/>
                <w:dstrike w:val="0"/>
                <w:color w:val="auto"/>
                <w:sz w:val="24"/>
                <w:szCs w:val="24"/>
                <w:highlight w:val="none"/>
                <w:u w:val="none"/>
                <w:lang w:val="en-US" w:eastAsia="zh-CN"/>
              </w:rPr>
              <w:t>项目</w:t>
            </w:r>
            <w:r>
              <w:rPr>
                <w:rFonts w:hint="eastAsia" w:cs="Times New Roman"/>
                <w:bCs/>
                <w:strike w:val="0"/>
                <w:dstrike w:val="0"/>
                <w:color w:val="auto"/>
                <w:sz w:val="24"/>
                <w:szCs w:val="24"/>
                <w:highlight w:val="none"/>
                <w:u w:val="none"/>
                <w:lang w:val="en-US" w:eastAsia="zh-CN"/>
              </w:rPr>
              <w:t>扩建生产</w:t>
            </w:r>
            <w:r>
              <w:rPr>
                <w:rFonts w:hint="eastAsia" w:ascii="Times New Roman" w:hAnsi="Times New Roman" w:eastAsia="宋体" w:cs="Times New Roman"/>
                <w:bCs/>
                <w:strike w:val="0"/>
                <w:dstrike w:val="0"/>
                <w:color w:val="auto"/>
                <w:sz w:val="24"/>
                <w:szCs w:val="24"/>
                <w:highlight w:val="none"/>
                <w:u w:val="none"/>
                <w:lang w:val="en-US" w:eastAsia="zh-CN"/>
              </w:rPr>
              <w:t>主要设备清单见表2-</w:t>
            </w:r>
            <w:r>
              <w:rPr>
                <w:rFonts w:hint="eastAsia" w:cs="Times New Roman"/>
                <w:bCs/>
                <w:strike w:val="0"/>
                <w:dstrike w:val="0"/>
                <w:color w:val="auto"/>
                <w:sz w:val="24"/>
                <w:szCs w:val="24"/>
                <w:highlight w:val="none"/>
                <w:u w:val="none"/>
                <w:lang w:val="en-US" w:eastAsia="zh-CN"/>
              </w:rPr>
              <w:t>3</w:t>
            </w:r>
            <w:r>
              <w:rPr>
                <w:rFonts w:hint="eastAsia" w:ascii="Times New Roman" w:hAnsi="Times New Roman" w:eastAsia="宋体" w:cs="Times New Roman"/>
                <w:bCs/>
                <w:strike w:val="0"/>
                <w:dstrike w:val="0"/>
                <w:color w:val="auto"/>
                <w:sz w:val="24"/>
                <w:szCs w:val="24"/>
                <w:highlight w:val="none"/>
                <w:u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 xml:space="preserve">表2-3  </w:t>
            </w:r>
            <w:r>
              <w:rPr>
                <w:rFonts w:hint="eastAsia" w:cs="Times New Roman"/>
                <w:b/>
                <w:bCs w:val="0"/>
                <w:strike w:val="0"/>
                <w:dstrike w:val="0"/>
                <w:color w:val="auto"/>
                <w:sz w:val="21"/>
                <w:szCs w:val="21"/>
                <w:highlight w:val="none"/>
                <w:u w:val="none"/>
                <w:lang w:val="en-US" w:eastAsia="zh-CN"/>
              </w:rPr>
              <w:t>扩建</w:t>
            </w:r>
            <w:r>
              <w:rPr>
                <w:rFonts w:hint="eastAsia" w:ascii="Times New Roman" w:hAnsi="Times New Roman" w:eastAsia="宋体" w:cs="Times New Roman"/>
                <w:b/>
                <w:bCs w:val="0"/>
                <w:strike w:val="0"/>
                <w:dstrike w:val="0"/>
                <w:color w:val="auto"/>
                <w:sz w:val="21"/>
                <w:szCs w:val="21"/>
                <w:highlight w:val="none"/>
                <w:u w:val="none"/>
                <w:lang w:val="en-US" w:eastAsia="zh-CN"/>
              </w:rPr>
              <w:t>生产设备一览表</w:t>
            </w:r>
          </w:p>
          <w:tbl>
            <w:tblPr>
              <w:tblStyle w:val="28"/>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1609"/>
              <w:gridCol w:w="798"/>
              <w:gridCol w:w="1022"/>
              <w:gridCol w:w="1857"/>
              <w:gridCol w:w="1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4"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序号</w:t>
                  </w:r>
                </w:p>
              </w:tc>
              <w:tc>
                <w:tcPr>
                  <w:tcW w:w="1028"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设备名称</w:t>
                  </w:r>
                </w:p>
              </w:tc>
              <w:tc>
                <w:tcPr>
                  <w:tcW w:w="510"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数量</w:t>
                  </w:r>
                </w:p>
              </w:tc>
              <w:tc>
                <w:tcPr>
                  <w:tcW w:w="653"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单位</w:t>
                  </w:r>
                </w:p>
              </w:tc>
              <w:tc>
                <w:tcPr>
                  <w:tcW w:w="1186" w:type="pct"/>
                  <w:tcBorders>
                    <w:tl2br w:val="nil"/>
                    <w:tr2bl w:val="nil"/>
                  </w:tcBorders>
                  <w:vAlign w:val="center"/>
                </w:tcPr>
                <w:p>
                  <w:pPr>
                    <w:spacing w:line="240" w:lineRule="auto"/>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设备型号</w:t>
                  </w:r>
                </w:p>
              </w:tc>
              <w:tc>
                <w:tcPr>
                  <w:tcW w:w="1226" w:type="pct"/>
                  <w:tcBorders>
                    <w:tl2br w:val="nil"/>
                    <w:tr2bl w:val="nil"/>
                  </w:tcBorders>
                  <w:vAlign w:val="center"/>
                </w:tcPr>
                <w:p>
                  <w:pPr>
                    <w:snapToGrid w:val="0"/>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val="en-US" w:eastAsia="zh-CN"/>
                    </w:rPr>
                    <w:t>参数（如功率、长宽高等</w:t>
                  </w:r>
                  <w:r>
                    <w:rPr>
                      <w:rFonts w:hint="default" w:ascii="Times New Roman" w:hAnsi="Times New Roman" w:eastAsia="宋体" w:cs="Times New Roman"/>
                      <w:b w:val="0"/>
                      <w:bCs w:val="0"/>
                      <w:color w:val="auto"/>
                      <w:sz w:val="21"/>
                      <w:szCs w:val="21"/>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4"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en-US" w:eastAsia="zh-CN"/>
                    </w:rPr>
                    <w:t>天然气加热器</w:t>
                  </w:r>
                  <w:r>
                    <w:rPr>
                      <w:rFonts w:hint="default" w:ascii="Times New Roman" w:hAnsi="Times New Roman" w:cs="Times New Roman"/>
                      <w:b w:val="0"/>
                      <w:bCs w:val="0"/>
                      <w:kern w:val="0"/>
                      <w:sz w:val="21"/>
                      <w:szCs w:val="21"/>
                      <w:u w:val="none"/>
                      <w:lang w:val="zh-CN"/>
                    </w:rPr>
                    <w:t>烘房（DTY）</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sz w:val="21"/>
                      <w:szCs w:val="21"/>
                      <w:u w:val="none"/>
                    </w:rPr>
                  </w:pPr>
                  <w:r>
                    <w:rPr>
                      <w:rFonts w:hint="eastAsia"/>
                      <w:sz w:val="21"/>
                      <w:szCs w:val="21"/>
                      <w:u w:val="none"/>
                    </w:rPr>
                    <w:t>台</w:t>
                  </w:r>
                </w:p>
              </w:tc>
              <w:tc>
                <w:tcPr>
                  <w:tcW w:w="118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HL-HFDTY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u w:val="none"/>
                      <w:lang w:val="en-US" w:eastAsia="zh-CN"/>
                    </w:rPr>
                    <w:t>15KW,长8米宽4米高4米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394"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2</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en-US" w:eastAsia="zh-CN"/>
                    </w:rPr>
                    <w:t>天然气加热器</w:t>
                  </w:r>
                  <w:r>
                    <w:rPr>
                      <w:rFonts w:hint="default" w:ascii="Times New Roman" w:hAnsi="Times New Roman" w:cs="Times New Roman"/>
                      <w:b w:val="0"/>
                      <w:bCs w:val="0"/>
                      <w:kern w:val="0"/>
                      <w:sz w:val="21"/>
                      <w:szCs w:val="21"/>
                      <w:u w:val="none"/>
                      <w:lang w:val="zh-CN"/>
                    </w:rPr>
                    <w:t>烘房</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sz w:val="21"/>
                      <w:szCs w:val="21"/>
                      <w:u w:val="none"/>
                      <w:lang w:eastAsia="zh-CN"/>
                    </w:rPr>
                    <w:t>个</w:t>
                  </w:r>
                </w:p>
              </w:tc>
              <w:tc>
                <w:tcPr>
                  <w:tcW w:w="118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HL-HFPOY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u w:val="none"/>
                      <w:lang w:val="en-US" w:eastAsia="zh-CN"/>
                    </w:rPr>
                    <w:t>30KW,长20米宽5米高4米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4"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3</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cs="Times New Roman"/>
                      <w:b w:val="0"/>
                      <w:bCs w:val="0"/>
                      <w:kern w:val="0"/>
                      <w:sz w:val="21"/>
                      <w:szCs w:val="21"/>
                      <w:u w:val="none"/>
                      <w:lang w:val="en-US" w:eastAsia="zh-CN"/>
                    </w:rPr>
                    <w:t>空气能</w:t>
                  </w:r>
                  <w:r>
                    <w:rPr>
                      <w:rFonts w:hint="default" w:ascii="Times New Roman" w:hAnsi="Times New Roman" w:cs="Times New Roman"/>
                      <w:b w:val="0"/>
                      <w:bCs w:val="0"/>
                      <w:kern w:val="0"/>
                      <w:sz w:val="21"/>
                      <w:szCs w:val="21"/>
                      <w:u w:val="none"/>
                      <w:lang w:val="zh-CN"/>
                    </w:rPr>
                    <w:t>烘房（工业管）</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2</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HL-HF工业管</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100KW,长15米宽7米高3米</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5、扩建</w:t>
            </w:r>
            <w:r>
              <w:rPr>
                <w:rFonts w:hint="eastAsia" w:ascii="Times New Roman" w:hAnsi="Times New Roman" w:eastAsia="宋体" w:cs="Times New Roman"/>
                <w:b/>
                <w:bCs w:val="0"/>
                <w:strike w:val="0"/>
                <w:dstrike w:val="0"/>
                <w:color w:val="auto"/>
                <w:sz w:val="24"/>
                <w:szCs w:val="24"/>
                <w:highlight w:val="none"/>
                <w:u w:val="none"/>
                <w:lang w:val="en-US" w:eastAsia="zh-CN"/>
              </w:rPr>
              <w:t>项目主要原辅材料消耗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扩建</w:t>
            </w:r>
            <w:r>
              <w:rPr>
                <w:rFonts w:hint="eastAsia" w:ascii="Times New Roman" w:hAnsi="Times New Roman" w:eastAsia="宋体" w:cs="Times New Roman"/>
                <w:bCs/>
                <w:strike w:val="0"/>
                <w:dstrike w:val="0"/>
                <w:color w:val="auto"/>
                <w:sz w:val="24"/>
                <w:szCs w:val="24"/>
                <w:highlight w:val="none"/>
                <w:u w:val="none"/>
                <w:lang w:val="en-US" w:eastAsia="zh-CN"/>
              </w:rPr>
              <w:t>项目原辅材料消耗情况具体见表2-</w:t>
            </w:r>
            <w:r>
              <w:rPr>
                <w:rFonts w:hint="eastAsia" w:cs="Times New Roman"/>
                <w:bCs/>
                <w:strike w:val="0"/>
                <w:dstrike w:val="0"/>
                <w:color w:val="auto"/>
                <w:sz w:val="24"/>
                <w:szCs w:val="24"/>
                <w:highlight w:val="none"/>
                <w:u w:val="none"/>
                <w:lang w:val="en-US" w:eastAsia="zh-CN"/>
              </w:rPr>
              <w:t>4</w:t>
            </w:r>
            <w:r>
              <w:rPr>
                <w:rFonts w:hint="eastAsia" w:ascii="Times New Roman" w:hAnsi="Times New Roman" w:eastAsia="宋体" w:cs="Times New Roman"/>
                <w:bCs/>
                <w:strike w:val="0"/>
                <w:dstrike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表2-</w:t>
            </w:r>
            <w:r>
              <w:rPr>
                <w:rFonts w:hint="eastAsia" w:cs="Times New Roman"/>
                <w:b/>
                <w:bCs w:val="0"/>
                <w:strike w:val="0"/>
                <w:dstrike w:val="0"/>
                <w:color w:val="auto"/>
                <w:sz w:val="21"/>
                <w:szCs w:val="21"/>
                <w:highlight w:val="none"/>
                <w:u w:val="none"/>
                <w:lang w:val="en-US" w:eastAsia="zh-CN"/>
              </w:rPr>
              <w:t>4</w:t>
            </w:r>
            <w:r>
              <w:rPr>
                <w:rFonts w:hint="eastAsia" w:ascii="Times New Roman" w:hAnsi="Times New Roman" w:eastAsia="宋体" w:cs="Times New Roman"/>
                <w:b/>
                <w:bCs w:val="0"/>
                <w:strike w:val="0"/>
                <w:dstrike w:val="0"/>
                <w:color w:val="auto"/>
                <w:sz w:val="21"/>
                <w:szCs w:val="21"/>
                <w:highlight w:val="none"/>
                <w:u w:val="none"/>
                <w:lang w:val="en-US" w:eastAsia="zh-CN"/>
              </w:rPr>
              <w:t xml:space="preserve"> 本项目原辅材料消耗汇总表</w:t>
            </w:r>
          </w:p>
          <w:tbl>
            <w:tblPr>
              <w:tblStyle w:val="28"/>
              <w:tblW w:w="498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735"/>
              <w:gridCol w:w="871"/>
              <w:gridCol w:w="1205"/>
              <w:gridCol w:w="1566"/>
              <w:gridCol w:w="1594"/>
              <w:gridCol w:w="1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top w:val="single" w:color="auto" w:sz="8" w:space="0"/>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序 号</w:t>
                  </w:r>
                </w:p>
              </w:tc>
              <w:tc>
                <w:tcPr>
                  <w:tcW w:w="559" w:type="pct"/>
                  <w:tcBorders>
                    <w:top w:val="single" w:color="auto" w:sz="8" w:space="0"/>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类别</w:t>
                  </w:r>
                </w:p>
              </w:tc>
              <w:tc>
                <w:tcPr>
                  <w:tcW w:w="77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名称</w:t>
                  </w:r>
                </w:p>
              </w:tc>
              <w:tc>
                <w:tcPr>
                  <w:tcW w:w="1005"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总用量</w:t>
                  </w:r>
                  <w:r>
                    <w:rPr>
                      <w:rFonts w:hint="default" w:ascii="Times New Roman" w:hAnsi="Times New Roman" w:cs="Times New Roman"/>
                      <w:u w:val="none"/>
                      <w:lang w:eastAsia="zh-CN"/>
                    </w:rPr>
                    <w:t>（</w:t>
                  </w:r>
                  <w:r>
                    <w:rPr>
                      <w:rFonts w:hint="default" w:ascii="Times New Roman" w:hAnsi="Times New Roman" w:cs="Times New Roman"/>
                      <w:u w:val="none"/>
                    </w:rPr>
                    <w:t>t/a</w:t>
                  </w:r>
                  <w:r>
                    <w:rPr>
                      <w:rFonts w:hint="default" w:ascii="Times New Roman" w:hAnsi="Times New Roman" w:cs="Times New Roman"/>
                      <w:u w:val="none"/>
                      <w:lang w:eastAsia="zh-CN"/>
                    </w:rPr>
                    <w:t>）</w:t>
                  </w:r>
                </w:p>
              </w:tc>
              <w:tc>
                <w:tcPr>
                  <w:tcW w:w="102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储存方式</w:t>
                  </w:r>
                </w:p>
              </w:tc>
              <w:tc>
                <w:tcPr>
                  <w:tcW w:w="1165" w:type="pct"/>
                  <w:tcBorders>
                    <w:top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top w:val="single" w:color="auto" w:sz="8" w:space="0"/>
                    <w:left w:val="single" w:color="auto" w:sz="4" w:space="0"/>
                  </w:tcBorders>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w:t>
                  </w:r>
                </w:p>
              </w:tc>
              <w:tc>
                <w:tcPr>
                  <w:tcW w:w="559" w:type="pct"/>
                  <w:vMerge w:val="restart"/>
                  <w:tcBorders>
                    <w:top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原辅材料</w:t>
                  </w:r>
                </w:p>
              </w:tc>
              <w:tc>
                <w:tcPr>
                  <w:tcW w:w="77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val="en-US" w:eastAsia="zh-CN"/>
                    </w:rPr>
                    <w:t>纱管纸</w:t>
                  </w:r>
                </w:p>
              </w:tc>
              <w:tc>
                <w:tcPr>
                  <w:tcW w:w="1005"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5</w:t>
                  </w:r>
                  <w:r>
                    <w:rPr>
                      <w:rFonts w:hint="eastAsia" w:cs="Times New Roman"/>
                      <w:u w:val="none"/>
                      <w:lang w:val="en-US" w:eastAsia="zh-CN"/>
                    </w:rPr>
                    <w:t>1</w:t>
                  </w:r>
                  <w:r>
                    <w:rPr>
                      <w:rFonts w:hint="default" w:ascii="Times New Roman" w:hAnsi="Times New Roman" w:cs="Times New Roman"/>
                      <w:u w:val="none"/>
                      <w:lang w:val="en-US" w:eastAsia="zh-CN"/>
                    </w:rPr>
                    <w:t>00</w:t>
                  </w:r>
                  <w:r>
                    <w:rPr>
                      <w:rFonts w:hint="default" w:ascii="Times New Roman" w:hAnsi="Times New Roman" w:eastAsia="宋体" w:cs="Times New Roman"/>
                      <w:u w:val="none"/>
                      <w:lang w:val="en-US" w:eastAsia="zh-CN"/>
                    </w:rPr>
                    <w:t>吨</w:t>
                  </w:r>
                </w:p>
              </w:tc>
              <w:tc>
                <w:tcPr>
                  <w:tcW w:w="102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打包成捆</w:t>
                  </w:r>
                </w:p>
              </w:tc>
              <w:tc>
                <w:tcPr>
                  <w:tcW w:w="1165" w:type="pct"/>
                  <w:tcBorders>
                    <w:top w:val="single" w:color="auto" w:sz="8" w:space="0"/>
                    <w:bottom w:val="single" w:color="auto" w:sz="8" w:space="0"/>
                    <w:right w:val="single" w:color="auto" w:sz="8" w:space="0"/>
                  </w:tcBorders>
                  <w:vAlign w:val="center"/>
                </w:tcPr>
                <w:p>
                  <w:pPr>
                    <w:snapToGrid w:val="0"/>
                    <w:jc w:val="center"/>
                    <w:rPr>
                      <w:rFonts w:hint="default" w:ascii="Times New Roman" w:hAnsi="Times New Roman" w:cs="Times New Roman"/>
                      <w:color w:val="auto"/>
                      <w:u w:val="none"/>
                    </w:rPr>
                  </w:pPr>
                  <w:r>
                    <w:rPr>
                      <w:rFonts w:hint="default" w:ascii="Times New Roman" w:hAnsi="Times New Roman" w:cs="Times New Roman"/>
                      <w:u w:val="none"/>
                      <w:lang w:val="en-US" w:eastAsia="zh-CN"/>
                    </w:rPr>
                    <w:t>厂家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top w:val="single" w:color="auto" w:sz="8" w:space="0"/>
                    <w:left w:val="single" w:color="auto" w:sz="4"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559" w:type="pct"/>
                  <w:vMerge w:val="continue"/>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773" w:type="pct"/>
                  <w:tcBorders>
                    <w:top w:val="single" w:color="auto" w:sz="8" w:space="0"/>
                    <w:bottom w:val="single" w:color="auto" w:sz="8" w:space="0"/>
                  </w:tcBorders>
                  <w:vAlign w:val="center"/>
                </w:tcPr>
                <w:p>
                  <w:pPr>
                    <w:snapToGrid w:val="0"/>
                    <w:jc w:val="center"/>
                    <w:rPr>
                      <w:rFonts w:hint="default" w:ascii="Times New Roman" w:hAnsi="Times New Roman" w:cs="Times New Roman"/>
                      <w:u w:val="none"/>
                      <w:lang w:val="en-US" w:eastAsia="zh-CN"/>
                    </w:rPr>
                  </w:pPr>
                  <w:r>
                    <w:rPr>
                      <w:rFonts w:hint="eastAsia" w:cs="Times New Roman"/>
                      <w:u w:val="none"/>
                      <w:lang w:val="en-US" w:eastAsia="zh-CN"/>
                    </w:rPr>
                    <w:t>羊皮纸</w:t>
                  </w:r>
                </w:p>
              </w:tc>
              <w:tc>
                <w:tcPr>
                  <w:tcW w:w="1005" w:type="pct"/>
                  <w:tcBorders>
                    <w:top w:val="single" w:color="auto" w:sz="8" w:space="0"/>
                    <w:bottom w:val="single" w:color="auto" w:sz="8" w:space="0"/>
                  </w:tcBorders>
                  <w:vAlign w:val="center"/>
                </w:tcPr>
                <w:p>
                  <w:pPr>
                    <w:snapToGrid w:val="0"/>
                    <w:jc w:val="center"/>
                    <w:rPr>
                      <w:rFonts w:hint="default" w:ascii="Times New Roman" w:hAnsi="Times New Roman" w:cs="Times New Roman"/>
                      <w:u w:val="none"/>
                      <w:lang w:val="en-US" w:eastAsia="zh-CN"/>
                    </w:rPr>
                  </w:pPr>
                  <w:r>
                    <w:rPr>
                      <w:rFonts w:hint="eastAsia" w:cs="Times New Roman"/>
                      <w:u w:val="none"/>
                      <w:lang w:val="en-US" w:eastAsia="zh-CN"/>
                    </w:rPr>
                    <w:t>100吨</w:t>
                  </w:r>
                </w:p>
              </w:tc>
              <w:tc>
                <w:tcPr>
                  <w:tcW w:w="102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打包成捆</w:t>
                  </w:r>
                </w:p>
              </w:tc>
              <w:tc>
                <w:tcPr>
                  <w:tcW w:w="1165" w:type="pct"/>
                  <w:tcBorders>
                    <w:top w:val="single" w:color="auto" w:sz="8" w:space="0"/>
                    <w:bottom w:val="single" w:color="auto" w:sz="8" w:space="0"/>
                    <w:right w:val="single" w:color="auto" w:sz="8" w:space="0"/>
                  </w:tcBorders>
                  <w:vAlign w:val="center"/>
                </w:tcPr>
                <w:p>
                  <w:pPr>
                    <w:snapToGrid w:val="0"/>
                    <w:jc w:val="center"/>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厂家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left w:val="single" w:color="auto" w:sz="4" w:space="0"/>
                  </w:tcBorders>
                  <w:vAlign w:val="center"/>
                </w:tcPr>
                <w:p>
                  <w:pPr>
                    <w:tabs>
                      <w:tab w:val="center" w:pos="348"/>
                      <w:tab w:val="left" w:pos="530"/>
                    </w:tabs>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2</w:t>
                  </w:r>
                </w:p>
              </w:tc>
              <w:tc>
                <w:tcPr>
                  <w:tcW w:w="559" w:type="pct"/>
                  <w:vMerge w:val="continue"/>
                  <w:vAlign w:val="center"/>
                </w:tcPr>
                <w:p>
                  <w:pPr>
                    <w:jc w:val="center"/>
                    <w:rPr>
                      <w:rFonts w:hint="default" w:ascii="Times New Roman" w:hAnsi="Times New Roman" w:cs="Times New Roman"/>
                      <w:color w:val="000000" w:themeColor="text1"/>
                      <w:u w:val="none"/>
                      <w:lang w:eastAsia="zh-CN"/>
                      <w14:textFill>
                        <w14:solidFill>
                          <w14:schemeClr w14:val="tx1"/>
                        </w14:solidFill>
                      </w14:textFill>
                    </w:rPr>
                  </w:pPr>
                </w:p>
              </w:tc>
              <w:tc>
                <w:tcPr>
                  <w:tcW w:w="77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val="en-US" w:eastAsia="zh-CN"/>
                    </w:rPr>
                    <w:t>纸管胶</w:t>
                  </w:r>
                  <w:r>
                    <w:rPr>
                      <w:rFonts w:hint="eastAsia" w:cs="Times New Roman"/>
                      <w:u w:val="none"/>
                      <w:lang w:val="en-US" w:eastAsia="zh-CN"/>
                    </w:rPr>
                    <w:t>（白乳胶）</w:t>
                  </w:r>
                </w:p>
              </w:tc>
              <w:tc>
                <w:tcPr>
                  <w:tcW w:w="1005"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520</w:t>
                  </w:r>
                  <w:r>
                    <w:rPr>
                      <w:rFonts w:hint="default" w:ascii="Times New Roman" w:hAnsi="Times New Roman" w:eastAsia="宋体" w:cs="Times New Roman"/>
                      <w:u w:val="none"/>
                      <w:lang w:val="en-US" w:eastAsia="zh-CN"/>
                    </w:rPr>
                    <w:t>吨</w:t>
                  </w:r>
                </w:p>
              </w:tc>
              <w:tc>
                <w:tcPr>
                  <w:tcW w:w="102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桶装</w:t>
                  </w:r>
                </w:p>
              </w:tc>
              <w:tc>
                <w:tcPr>
                  <w:tcW w:w="1165" w:type="pct"/>
                  <w:tcBorders>
                    <w:top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u w:val="none"/>
                      <w:lang w:val="en-US" w:eastAsia="zh-CN"/>
                    </w:rPr>
                    <w:t>厂家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top w:val="single" w:color="auto" w:sz="8" w:space="0"/>
                    <w:left w:val="single" w:color="auto" w:sz="4" w:space="0"/>
                    <w:bottom w:val="single" w:color="auto" w:sz="8" w:space="0"/>
                  </w:tcBorders>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t>3</w:t>
                  </w:r>
                </w:p>
              </w:tc>
              <w:tc>
                <w:tcPr>
                  <w:tcW w:w="559" w:type="pct"/>
                  <w:tcBorders>
                    <w:top w:val="single" w:color="auto" w:sz="8" w:space="0"/>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能源</w:t>
                  </w:r>
                </w:p>
              </w:tc>
              <w:tc>
                <w:tcPr>
                  <w:tcW w:w="77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电</w:t>
                  </w:r>
                </w:p>
              </w:tc>
              <w:tc>
                <w:tcPr>
                  <w:tcW w:w="1005"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lang w:val="en-US" w:eastAsia="zh-CN"/>
                    </w:rPr>
                    <w:t>100</w:t>
                  </w:r>
                  <w:r>
                    <w:rPr>
                      <w:rFonts w:hint="default" w:ascii="Times New Roman" w:hAnsi="Times New Roman" w:cs="Times New Roman"/>
                      <w:u w:val="none"/>
                    </w:rPr>
                    <w:t>万KW·h/年</w:t>
                  </w:r>
                </w:p>
              </w:tc>
              <w:tc>
                <w:tcPr>
                  <w:tcW w:w="102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w:t>
                  </w:r>
                </w:p>
              </w:tc>
              <w:tc>
                <w:tcPr>
                  <w:tcW w:w="1165" w:type="pct"/>
                  <w:tcBorders>
                    <w:top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市政电网</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cs="Times New Roman"/>
                <w:b/>
                <w:bCs w:val="0"/>
                <w:strike w:val="0"/>
                <w:dstrike w:val="0"/>
                <w:color w:val="auto"/>
                <w:sz w:val="21"/>
                <w:szCs w:val="21"/>
                <w:highlight w:val="none"/>
                <w:u w:val="none"/>
                <w:lang w:val="en-US" w:eastAsia="zh-CN"/>
              </w:rPr>
            </w:pPr>
            <w:r>
              <w:rPr>
                <w:rFonts w:hint="eastAsia" w:cs="Times New Roman"/>
                <w:b/>
                <w:bCs w:val="0"/>
                <w:strike w:val="0"/>
                <w:dstrike w:val="0"/>
                <w:color w:val="auto"/>
                <w:sz w:val="21"/>
                <w:szCs w:val="21"/>
                <w:highlight w:val="none"/>
                <w:u w:val="none"/>
                <w:lang w:val="en-US" w:eastAsia="zh-CN"/>
              </w:rPr>
              <w:t>表2-5 白乳胶主要成分见下表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25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名称</w:t>
                  </w: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挥发成分</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restar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纸管胶（白乳胶）</w:t>
                  </w: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煅烧高岭土</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continue"/>
                  <w:vAlign w:val="center"/>
                </w:tcPr>
                <w:p>
                  <w:pPr>
                    <w:pStyle w:val="2"/>
                    <w:jc w:val="center"/>
                    <w:rPr>
                      <w:rFonts w:hint="default"/>
                      <w:color w:val="auto"/>
                      <w:sz w:val="21"/>
                      <w:szCs w:val="21"/>
                      <w:u w:val="none"/>
                      <w:vertAlign w:val="baseline"/>
                      <w:lang w:val="en-US" w:eastAsia="zh-CN"/>
                    </w:rPr>
                  </w:pP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玉米淀粉</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continue"/>
                  <w:vAlign w:val="center"/>
                </w:tcPr>
                <w:p>
                  <w:pPr>
                    <w:pStyle w:val="2"/>
                    <w:jc w:val="center"/>
                    <w:rPr>
                      <w:rFonts w:hint="default"/>
                      <w:color w:val="auto"/>
                      <w:sz w:val="21"/>
                      <w:szCs w:val="21"/>
                      <w:u w:val="none"/>
                      <w:vertAlign w:val="baseline"/>
                      <w:lang w:val="en-US" w:eastAsia="zh-CN"/>
                    </w:rPr>
                  </w:pP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乙烯-醋酸乙烯脂溶液</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continue"/>
                  <w:vAlign w:val="center"/>
                </w:tcPr>
                <w:p>
                  <w:pPr>
                    <w:pStyle w:val="2"/>
                    <w:jc w:val="center"/>
                    <w:rPr>
                      <w:rFonts w:hint="default"/>
                      <w:color w:val="auto"/>
                      <w:sz w:val="21"/>
                      <w:szCs w:val="21"/>
                      <w:u w:val="none"/>
                      <w:vertAlign w:val="baseline"/>
                      <w:lang w:val="en-US" w:eastAsia="zh-CN"/>
                    </w:rPr>
                  </w:pP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聚乙烯醇</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continue"/>
                  <w:vAlign w:val="center"/>
                </w:tcPr>
                <w:p>
                  <w:pPr>
                    <w:pStyle w:val="2"/>
                    <w:jc w:val="center"/>
                    <w:rPr>
                      <w:rFonts w:hint="default"/>
                      <w:color w:val="auto"/>
                      <w:sz w:val="21"/>
                      <w:szCs w:val="21"/>
                      <w:u w:val="none"/>
                      <w:vertAlign w:val="baseline"/>
                      <w:lang w:val="en-US" w:eastAsia="zh-CN"/>
                    </w:rPr>
                  </w:pPr>
                </w:p>
              </w:tc>
              <w:tc>
                <w:tcPr>
                  <w:tcW w:w="207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消泡剂</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pct"/>
                  <w:vMerge w:val="continue"/>
                  <w:vAlign w:val="center"/>
                </w:tcPr>
                <w:p>
                  <w:pPr>
                    <w:pStyle w:val="2"/>
                    <w:jc w:val="center"/>
                    <w:rPr>
                      <w:rFonts w:hint="default"/>
                      <w:color w:val="auto"/>
                      <w:sz w:val="21"/>
                      <w:szCs w:val="21"/>
                      <w:u w:val="none"/>
                      <w:vertAlign w:val="baseline"/>
                      <w:lang w:val="en-US" w:eastAsia="zh-CN"/>
                    </w:rPr>
                  </w:pPr>
                </w:p>
              </w:tc>
              <w:tc>
                <w:tcPr>
                  <w:tcW w:w="2077" w:type="pct"/>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水</w:t>
                  </w:r>
                </w:p>
              </w:tc>
              <w:tc>
                <w:tcPr>
                  <w:tcW w:w="1667"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cs="Times New Roman"/>
                <w:b/>
                <w:bCs w:val="0"/>
                <w:strike w:val="0"/>
                <w:dstrike w:val="0"/>
                <w:color w:val="auto"/>
                <w:sz w:val="24"/>
                <w:szCs w:val="24"/>
                <w:highlight w:val="none"/>
                <w:lang w:val="en-US" w:eastAsia="zh-CN"/>
              </w:rPr>
            </w:pPr>
            <w:r>
              <w:rPr>
                <w:rFonts w:hint="eastAsia" w:ascii="Times New Roman" w:hAnsi="Times New Roman" w:cs="Times New Roman"/>
                <w:b/>
                <w:bCs w:val="0"/>
                <w:strike w:val="0"/>
                <w:dstrike w:val="0"/>
                <w:color w:val="auto"/>
                <w:sz w:val="24"/>
                <w:szCs w:val="24"/>
                <w:highlight w:val="none"/>
                <w:lang w:val="en-US" w:eastAsia="zh-CN"/>
              </w:rPr>
              <w:t>6、劳动定员及工作制度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lang w:val="en-US" w:eastAsia="zh-CN"/>
              </w:rPr>
            </w:pPr>
            <w:r>
              <w:rPr>
                <w:rFonts w:hint="eastAsia" w:cs="Times New Roman"/>
                <w:bCs/>
                <w:strike w:val="0"/>
                <w:dstrike w:val="0"/>
                <w:color w:val="auto"/>
                <w:sz w:val="24"/>
                <w:szCs w:val="24"/>
                <w:highlight w:val="none"/>
                <w:lang w:val="en-US" w:eastAsia="zh-CN"/>
              </w:rPr>
              <w:t>扩建项目不新增工作人员</w:t>
            </w:r>
            <w:r>
              <w:rPr>
                <w:rFonts w:hint="eastAsia" w:ascii="Times New Roman" w:hAnsi="Times New Roman" w:eastAsia="宋体" w:cs="Times New Roman"/>
                <w:bCs/>
                <w:strike w:val="0"/>
                <w:dstrike w:val="0"/>
                <w:color w:val="auto"/>
                <w:sz w:val="24"/>
                <w:szCs w:val="24"/>
                <w:highlight w:val="none"/>
                <w:lang w:val="en-US" w:eastAsia="zh-CN"/>
              </w:rPr>
              <w:t>，</w:t>
            </w:r>
            <w:r>
              <w:rPr>
                <w:rFonts w:hint="eastAsia" w:cs="Times New Roman"/>
                <w:bCs/>
                <w:strike w:val="0"/>
                <w:dstrike w:val="0"/>
                <w:color w:val="auto"/>
                <w:sz w:val="24"/>
                <w:szCs w:val="24"/>
                <w:highlight w:val="none"/>
                <w:lang w:val="en-US" w:eastAsia="zh-CN"/>
              </w:rPr>
              <w:t>日</w:t>
            </w:r>
            <w:r>
              <w:rPr>
                <w:rFonts w:hint="eastAsia" w:ascii="Times New Roman" w:hAnsi="Times New Roman" w:eastAsia="宋体" w:cs="Times New Roman"/>
                <w:bCs/>
                <w:strike w:val="0"/>
                <w:dstrike w:val="0"/>
                <w:color w:val="auto"/>
                <w:sz w:val="24"/>
                <w:szCs w:val="24"/>
                <w:highlight w:val="none"/>
                <w:lang w:val="en-US" w:eastAsia="zh-CN"/>
              </w:rPr>
              <w:t>工作</w:t>
            </w:r>
            <w:r>
              <w:rPr>
                <w:rFonts w:hint="eastAsia" w:cs="Times New Roman"/>
                <w:bCs/>
                <w:strike w:val="0"/>
                <w:dstrike w:val="0"/>
                <w:color w:val="auto"/>
                <w:sz w:val="24"/>
                <w:szCs w:val="24"/>
                <w:highlight w:val="none"/>
                <w:lang w:val="en-US" w:eastAsia="zh-CN"/>
              </w:rPr>
              <w:t>8</w:t>
            </w:r>
            <w:r>
              <w:rPr>
                <w:rFonts w:hint="eastAsia" w:ascii="Times New Roman" w:hAnsi="Times New Roman" w:eastAsia="宋体" w:cs="Times New Roman"/>
                <w:bCs/>
                <w:strike w:val="0"/>
                <w:dstrike w:val="0"/>
                <w:color w:val="auto"/>
                <w:sz w:val="24"/>
                <w:szCs w:val="24"/>
                <w:highlight w:val="none"/>
                <w:lang w:val="en-US" w:eastAsia="zh-CN"/>
              </w:rPr>
              <w:t>小时，全年工作天数为</w:t>
            </w:r>
            <w:r>
              <w:rPr>
                <w:rFonts w:hint="eastAsia" w:cs="Times New Roman"/>
                <w:bCs/>
                <w:strike w:val="0"/>
                <w:dstrike w:val="0"/>
                <w:color w:val="auto"/>
                <w:sz w:val="24"/>
                <w:szCs w:val="24"/>
                <w:highlight w:val="none"/>
                <w:lang w:val="en-US" w:eastAsia="zh-CN"/>
              </w:rPr>
              <w:t>300</w:t>
            </w:r>
            <w:r>
              <w:rPr>
                <w:rFonts w:hint="eastAsia" w:ascii="Times New Roman" w:hAnsi="Times New Roman" w:eastAsia="宋体" w:cs="Times New Roman"/>
                <w:bCs/>
                <w:strike w:val="0"/>
                <w:dstrike w:val="0"/>
                <w:color w:val="auto"/>
                <w:sz w:val="24"/>
                <w:szCs w:val="24"/>
                <w:highlight w:val="none"/>
                <w:lang w:val="en-US" w:eastAsia="zh-CN"/>
              </w:rPr>
              <w:t>天</w:t>
            </w:r>
            <w:r>
              <w:rPr>
                <w:rFonts w:hint="eastAsia" w:cs="Times New Roman"/>
                <w:bCs/>
                <w:strike w:val="0"/>
                <w:dstrike w:val="0"/>
                <w:color w:val="auto"/>
                <w:sz w:val="24"/>
                <w:szCs w:val="24"/>
                <w:highlight w:val="none"/>
                <w:lang w:val="en-US" w:eastAsia="zh-CN"/>
              </w:rPr>
              <w:t>，年工作时长为2400h</w:t>
            </w:r>
            <w:r>
              <w:rPr>
                <w:rFonts w:hint="eastAsia" w:ascii="Times New Roman" w:hAnsi="Times New Roman" w:eastAsia="宋体" w:cs="Times New Roman"/>
                <w:bCs/>
                <w:strike w:val="0"/>
                <w:dstrike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eastAsia="宋体" w:cs="Times New Roman"/>
                <w:b/>
                <w:bCs w:val="0"/>
                <w:strike w:val="0"/>
                <w:dstrike w:val="0"/>
                <w:color w:val="auto"/>
                <w:sz w:val="24"/>
                <w:szCs w:val="24"/>
                <w:highlight w:val="none"/>
                <w:lang w:val="en-US" w:eastAsia="zh-CN"/>
              </w:rPr>
            </w:pPr>
            <w:r>
              <w:rPr>
                <w:rFonts w:hint="eastAsia" w:cs="Times New Roman"/>
                <w:b/>
                <w:bCs w:val="0"/>
                <w:strike w:val="0"/>
                <w:dstrike w:val="0"/>
                <w:color w:val="auto"/>
                <w:sz w:val="24"/>
                <w:szCs w:val="24"/>
                <w:highlight w:val="none"/>
                <w:lang w:val="en-US" w:eastAsia="zh-CN"/>
              </w:rPr>
              <w:t>7、</w:t>
            </w:r>
            <w:r>
              <w:rPr>
                <w:rFonts w:hint="eastAsia" w:ascii="Times New Roman" w:hAnsi="Times New Roman" w:eastAsia="宋体" w:cs="Times New Roman"/>
                <w:b/>
                <w:bCs w:val="0"/>
                <w:strike w:val="0"/>
                <w:dstrike w:val="0"/>
                <w:color w:val="auto"/>
                <w:sz w:val="24"/>
                <w:szCs w:val="24"/>
                <w:highlight w:val="none"/>
                <w:lang w:val="en-US" w:eastAsia="zh-CN"/>
              </w:rPr>
              <w:t>厂区平面布置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lang w:val="en-US" w:eastAsia="zh-CN"/>
              </w:rPr>
            </w:pPr>
            <w:r>
              <w:rPr>
                <w:rFonts w:hint="eastAsia" w:cs="Times New Roman"/>
                <w:b w:val="0"/>
                <w:bCs w:val="0"/>
                <w:strike w:val="0"/>
                <w:dstrike w:val="0"/>
                <w:color w:val="auto"/>
                <w:sz w:val="24"/>
                <w:szCs w:val="24"/>
                <w:u w:val="none"/>
                <w:lang w:eastAsia="zh-CN"/>
              </w:rPr>
              <w:t>厂区用地略呈较规则的矩形，主出入口位于厂区北侧，根据项目生产工艺需要，设置有三处原料堆放点，主要原料仓库设置在厂区东北角，中部为产品堆放区</w:t>
            </w:r>
            <w:r>
              <w:rPr>
                <w:rFonts w:hint="eastAsia" w:cs="Times New Roman"/>
                <w:b w:val="0"/>
                <w:bCs w:val="0"/>
                <w:strike w:val="0"/>
                <w:dstrike w:val="0"/>
                <w:color w:val="auto"/>
                <w:sz w:val="24"/>
                <w:szCs w:val="24"/>
                <w:u w:val="none"/>
                <w:lang w:val="en-US" w:eastAsia="zh-CN"/>
              </w:rPr>
              <w:t>，东西侧均为生产区域，靠近出入口设置有固废暂存区，</w:t>
            </w:r>
            <w:r>
              <w:rPr>
                <w:rFonts w:ascii="Times New Roman" w:hAnsi="Times New Roman" w:eastAsia="宋体" w:cs="Times New Roman"/>
                <w:b w:val="0"/>
                <w:bCs w:val="0"/>
                <w:strike w:val="0"/>
                <w:dstrike w:val="0"/>
                <w:color w:val="auto"/>
                <w:sz w:val="24"/>
                <w:szCs w:val="24"/>
                <w:u w:val="none"/>
              </w:rPr>
              <w:t>本项目布局紧凑，功能分区明显</w:t>
            </w:r>
            <w:r>
              <w:rPr>
                <w:rFonts w:hint="eastAsia" w:cs="Times New Roman"/>
                <w:b w:val="0"/>
                <w:bCs w:val="0"/>
                <w:color w:val="auto"/>
                <w:sz w:val="24"/>
                <w:szCs w:val="24"/>
                <w:u w:val="none"/>
                <w:lang w:val="en-US" w:eastAsia="zh-CN"/>
              </w:rPr>
              <w:t>，</w:t>
            </w:r>
            <w:r>
              <w:rPr>
                <w:rFonts w:hint="eastAsia" w:ascii="Times New Roman" w:hAnsi="Times New Roman" w:eastAsia="宋体" w:cs="Times New Roman"/>
                <w:bCs/>
                <w:strike w:val="0"/>
                <w:dstrike w:val="0"/>
                <w:color w:val="auto"/>
                <w:sz w:val="24"/>
                <w:szCs w:val="24"/>
                <w:highlight w:val="none"/>
                <w:lang w:val="en-US" w:eastAsia="zh-CN"/>
              </w:rPr>
              <w:t>本项目建构筑物及主要设备设施的布局具体见总平面布置图</w:t>
            </w:r>
            <w:r>
              <w:rPr>
                <w:rFonts w:hint="default" w:ascii="Times New Roman" w:hAnsi="Times New Roman" w:eastAsia="宋体" w:cs="Times New Roman"/>
                <w:bCs/>
                <w:strike w:val="0"/>
                <w:dstrike w:val="0"/>
                <w:color w:val="auto"/>
                <w:sz w:val="24"/>
                <w:szCs w:val="24"/>
                <w:highlight w:val="none"/>
                <w:lang w:val="en-US" w:eastAsia="zh-CN"/>
              </w:rPr>
              <w:t>。</w:t>
            </w:r>
          </w:p>
          <w:p>
            <w:pPr>
              <w:spacing w:line="360" w:lineRule="auto"/>
              <w:ind w:firstLine="482" w:firstLineChars="200"/>
              <w:rPr>
                <w:rFonts w:hint="default" w:ascii="Times New Roman" w:hAnsi="Times New Roman" w:cs="Times New Roman"/>
                <w:b/>
                <w:bCs/>
                <w:color w:val="000000"/>
                <w:sz w:val="24"/>
                <w:szCs w:val="24"/>
              </w:rPr>
            </w:pPr>
            <w:r>
              <w:rPr>
                <w:rFonts w:hint="eastAsia" w:cs="Times New Roman"/>
                <w:b/>
                <w:bCs/>
                <w:color w:val="000000"/>
                <w:sz w:val="24"/>
                <w:szCs w:val="24"/>
                <w:lang w:val="en-US" w:eastAsia="zh-CN"/>
              </w:rPr>
              <w:t>8、</w:t>
            </w:r>
            <w:r>
              <w:rPr>
                <w:rFonts w:hint="default" w:ascii="Times New Roman" w:hAnsi="Times New Roman" w:eastAsia="宋体" w:cs="Times New Roman"/>
                <w:b/>
                <w:bCs/>
                <w:color w:val="000000"/>
                <w:sz w:val="24"/>
                <w:szCs w:val="24"/>
              </w:rPr>
              <w:t>项</w:t>
            </w:r>
            <w:r>
              <w:rPr>
                <w:rFonts w:hint="default" w:ascii="Times New Roman" w:hAnsi="Times New Roman" w:cs="Times New Roman"/>
                <w:b/>
                <w:bCs/>
                <w:color w:val="000000"/>
                <w:sz w:val="24"/>
                <w:szCs w:val="24"/>
              </w:rPr>
              <w:t>目投资及资金筹措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000000"/>
                <w:sz w:val="21"/>
                <w:szCs w:val="21"/>
                <w:lang w:bidi="ar"/>
              </w:rPr>
            </w:pPr>
            <w:r>
              <w:rPr>
                <w:rFonts w:hint="default" w:ascii="Times New Roman" w:hAnsi="Times New Roman" w:cs="Times New Roman"/>
                <w:color w:val="000000"/>
                <w:sz w:val="24"/>
                <w:szCs w:val="24"/>
              </w:rPr>
              <w:t>项目</w:t>
            </w:r>
            <w:r>
              <w:rPr>
                <w:rFonts w:hint="eastAsia" w:cs="Times New Roman"/>
                <w:color w:val="000000"/>
                <w:sz w:val="24"/>
                <w:szCs w:val="24"/>
                <w:lang w:eastAsia="zh-CN"/>
              </w:rPr>
              <w:t>扩建</w:t>
            </w:r>
            <w:r>
              <w:rPr>
                <w:rFonts w:hint="default" w:ascii="Times New Roman" w:hAnsi="Times New Roman" w:cs="Times New Roman"/>
                <w:color w:val="000000"/>
                <w:sz w:val="24"/>
                <w:szCs w:val="24"/>
              </w:rPr>
              <w:t>总投资</w:t>
            </w:r>
            <w:r>
              <w:rPr>
                <w:rFonts w:hint="eastAsia" w:cs="Times New Roman"/>
                <w:color w:val="000000"/>
                <w:sz w:val="24"/>
                <w:szCs w:val="24"/>
                <w:lang w:val="en-US" w:eastAsia="zh-CN"/>
              </w:rPr>
              <w:t>100</w:t>
            </w:r>
            <w:r>
              <w:rPr>
                <w:rFonts w:hint="default" w:ascii="Times New Roman" w:hAnsi="Times New Roman" w:cs="Times New Roman"/>
                <w:color w:val="000000"/>
                <w:sz w:val="24"/>
                <w:szCs w:val="24"/>
              </w:rPr>
              <w:t>万元，全部由建设单位自筹</w:t>
            </w:r>
            <w:r>
              <w:rPr>
                <w:rFonts w:hint="default" w:ascii="Times New Roman" w:hAnsi="Times New Roman" w:eastAsia="宋体" w:cs="Times New Roman"/>
                <w:bCs/>
                <w:strike w:val="0"/>
                <w:dstrike w:val="0"/>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4" w:hRule="atLeast"/>
          <w:jc w:val="center"/>
        </w:trPr>
        <w:tc>
          <w:tcPr>
            <w:tcW w:w="461" w:type="dxa"/>
            <w:vAlign w:val="center"/>
          </w:tcPr>
          <w:p>
            <w:pPr>
              <w:pStyle w:val="25"/>
              <w:adjustRightInd w:val="0"/>
              <w:snapToGrid w:val="0"/>
              <w:spacing w:before="0" w:beforeAutospacing="0" w:after="0" w:afterAutospacing="0"/>
              <w:jc w:val="center"/>
              <w:rPr>
                <w:rFonts w:cs="宋体"/>
                <w:color w:val="000000"/>
                <w:sz w:val="21"/>
                <w:szCs w:val="21"/>
              </w:rPr>
            </w:pPr>
            <w:r>
              <w:rPr>
                <w:rFonts w:hint="eastAsia" w:cs="宋体"/>
                <w:color w:val="000000"/>
                <w:sz w:val="21"/>
                <w:szCs w:val="21"/>
              </w:rPr>
              <w:t>工艺流程</w:t>
            </w:r>
            <w:r>
              <w:rPr>
                <w:rFonts w:hint="eastAsia" w:cs="宋体"/>
                <w:color w:val="auto"/>
                <w:sz w:val="21"/>
                <w:szCs w:val="21"/>
                <w:lang w:eastAsia="zh-CN"/>
              </w:rPr>
              <w:t>和</w:t>
            </w:r>
            <w:r>
              <w:rPr>
                <w:rFonts w:hint="eastAsia" w:cs="宋体"/>
                <w:color w:val="000000"/>
                <w:sz w:val="21"/>
                <w:szCs w:val="21"/>
              </w:rPr>
              <w:t>产排污环节</w:t>
            </w:r>
          </w:p>
          <w:p>
            <w:pPr>
              <w:pStyle w:val="25"/>
              <w:adjustRightInd w:val="0"/>
              <w:snapToGrid w:val="0"/>
              <w:spacing w:before="0" w:beforeAutospacing="0" w:after="0" w:afterAutospacing="0"/>
              <w:jc w:val="center"/>
              <w:rPr>
                <w:rFonts w:cs="宋体"/>
                <w:color w:val="000000"/>
                <w:sz w:val="21"/>
                <w:szCs w:val="21"/>
              </w:rPr>
            </w:pPr>
          </w:p>
        </w:tc>
        <w:tc>
          <w:tcPr>
            <w:tcW w:w="8061" w:type="dxa"/>
          </w:tcPr>
          <w:p>
            <w:pPr>
              <w:pStyle w:val="111"/>
              <w:ind w:firstLine="480"/>
              <w:jc w:val="left"/>
            </w:pPr>
            <w:r>
              <w:rPr>
                <w:color w:val="auto"/>
                <w:u w:val="none"/>
              </w:rPr>
              <w:t>1</w:t>
            </w:r>
            <w:r>
              <w:rPr>
                <w:rFonts w:hint="eastAsia"/>
                <w:color w:val="auto"/>
                <w:u w:val="none"/>
                <w:lang w:eastAsia="zh-CN"/>
              </w:rPr>
              <w:t>、生产工艺流程</w:t>
            </w:r>
          </w:p>
          <w:p>
            <w:pPr>
              <w:pStyle w:val="111"/>
              <w:ind w:firstLine="480"/>
              <w:jc w:val="left"/>
              <w:rPr>
                <w:rFonts w:hint="eastAsia" w:ascii="宋体" w:hAnsi="宋体" w:eastAsia="宋体" w:cs="宋体"/>
                <w:color w:val="auto"/>
                <w:u w:val="none"/>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1508760</wp:posOffset>
                      </wp:positionH>
                      <wp:positionV relativeFrom="paragraph">
                        <wp:posOffset>108585</wp:posOffset>
                      </wp:positionV>
                      <wp:extent cx="343535" cy="2641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4353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8pt;margin-top:8.55pt;height:20.8pt;width:27.05pt;z-index:251669504;mso-width-relative:page;mso-height-relative:page;" filled="f" stroked="f" coordsize="21600,21600" o:gfxdata="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R0Ca2wAAAAkBAAAPAAAAAAAAAAEAIAAAACIAAABk&#10;cnMvZG93bnJldi54bWxQSwECFAAUAAAACACHTuJAqVT6oDwCAABnBAAADgAAAAAAAAABACAAAAAq&#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1473200</wp:posOffset>
                      </wp:positionH>
                      <wp:positionV relativeFrom="paragraph">
                        <wp:posOffset>161290</wp:posOffset>
                      </wp:positionV>
                      <wp:extent cx="7620" cy="222250"/>
                      <wp:effectExtent l="35560" t="0" r="33020" b="6350"/>
                      <wp:wrapNone/>
                      <wp:docPr id="17" name="直接箭头连接符 17"/>
                      <wp:cNvGraphicFramePr/>
                      <a:graphic xmlns:a="http://schemas.openxmlformats.org/drawingml/2006/main">
                        <a:graphicData uri="http://schemas.microsoft.com/office/word/2010/wordprocessingShape">
                          <wps:wsp>
                            <wps:cNvCnPr/>
                            <wps:spPr>
                              <a:xfrm flipH="1" flipV="1">
                                <a:off x="0" y="0"/>
                                <a:ext cx="7620" cy="22225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16pt;margin-top:12.7pt;height:17.5pt;width:0.6pt;z-index:251668480;mso-width-relative:page;mso-height-relative:page;" filled="f" stroked="t" coordsize="21600,21600" o:gfxdata="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s6YHaAAAA&#10;CQEAAA8AAAAAAAAAAQAgAAAAIgAAAGRycy9kb3ducmV2LnhtbFBLAQIUABQAAAAIAIdO4kAmRkvQ&#10;GwIAAAsEAAAOAAAAAAAAAAEAIAAAACkBAABkcnMvZTJvRG9jLnhtbFBLBQYAAAAABgAGAFkBAAC2&#10;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3110230</wp:posOffset>
                      </wp:positionH>
                      <wp:positionV relativeFrom="paragraph">
                        <wp:posOffset>19685</wp:posOffset>
                      </wp:positionV>
                      <wp:extent cx="581025" cy="3035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8102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S、N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9pt;margin-top:1.55pt;height:23.9pt;width:45.75pt;z-index:251667456;mso-width-relative:page;mso-height-relative:page;" filled="f" stroked="f" coordsize="21600,21600" o:gfxdata="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WYk6zaAAAACAEAAA8AAAAAAAAAAQAgAAAAIgAAAGRy&#10;cy9kb3ducmV2LnhtbFBLAQIUABQAAAAIAIdO4kD1xXWSPAIAAGcEAAAOAAAAAAAAAAEAIAAAACk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S、N</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3173730</wp:posOffset>
                      </wp:positionH>
                      <wp:positionV relativeFrom="paragraph">
                        <wp:posOffset>217805</wp:posOffset>
                      </wp:positionV>
                      <wp:extent cx="7620" cy="182880"/>
                      <wp:effectExtent l="34925" t="0" r="33655" b="7620"/>
                      <wp:wrapNone/>
                      <wp:docPr id="15" name="直接箭头连接符 15"/>
                      <wp:cNvGraphicFramePr/>
                      <a:graphic xmlns:a="http://schemas.openxmlformats.org/drawingml/2006/main">
                        <a:graphicData uri="http://schemas.microsoft.com/office/word/2010/wordprocessingShape">
                          <wps:wsp>
                            <wps:cNvCnPr/>
                            <wps:spPr>
                              <a:xfrm flipH="1" flipV="1">
                                <a:off x="0" y="0"/>
                                <a:ext cx="7620" cy="1828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9.9pt;margin-top:17.15pt;height:14.4pt;width:0.6pt;z-index:251666432;mso-width-relative:page;mso-height-relative:page;" filled="f" stroked="t" coordsize="21600,21600" o:gfxdata="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2xw92gAA&#10;AAkBAAAPAAAAAAAAAAEAIAAAACIAAABkcnMvZG93bnJldi54bWxQSwECFAAUAAAACACHTuJAJ0yt&#10;3BwCAAALBAAADgAAAAAAAAABACAAAAApAQAAZHJzL2Uyb0RvYy54bWxQSwUGAAAAAAYABgBZAQAA&#10;tw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2299335</wp:posOffset>
                      </wp:positionH>
                      <wp:positionV relativeFrom="paragraph">
                        <wp:posOffset>26035</wp:posOffset>
                      </wp:positionV>
                      <wp:extent cx="581025" cy="303530"/>
                      <wp:effectExtent l="0" t="0" r="0" b="0"/>
                      <wp:wrapNone/>
                      <wp:docPr id="11" name="文本框 11"/>
                      <wp:cNvGraphicFramePr/>
                      <a:graphic xmlns:a="http://schemas.openxmlformats.org/drawingml/2006/main">
                        <a:graphicData uri="http://schemas.microsoft.com/office/word/2010/wordprocessingShape">
                          <wps:wsp>
                            <wps:cNvSpPr txBox="1"/>
                            <wps:spPr>
                              <a:xfrm>
                                <a:off x="4018280" y="4869815"/>
                                <a:ext cx="58102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05pt;margin-top:2.05pt;height:23.9pt;width:45.75pt;z-index:251663360;mso-width-relative:page;mso-height-relative:page;" filled="f" stroked="f" coordsize="21600,21600" o:gfxdata="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vc5922wAAAAgBAAAPAAAAAAAA&#10;AAEAIAAAACIAAABkcnMvZG93bnJldi54bWxQSwECFAAUAAAACACHTuJAjH7JCUgCAABzBAAADgAA&#10;AAAAAAABACAAAAAqAQAAZHJzL2Uyb0RvYy54bWxQSwUGAAAAAAYABgBZAQAA5AUAAAAA&#10;">
                      <v:fill on="f" focussize="0,0"/>
                      <v:stroke on="f" weight="0.5pt"/>
                      <v:imagedata o:title=""/>
                      <o:lock v:ext="edit" aspectratio="f"/>
                      <v:textbox>
                        <w:txbxContent>
                          <w:p>
                            <w:pPr>
                              <w:rPr>
                                <w:rFonts w:hint="default" w:eastAsia="宋体"/>
                                <w:lang w:val="en-US" w:eastAsia="zh-CN"/>
                              </w:rPr>
                            </w:pPr>
                            <w:r>
                              <w:rPr>
                                <w:rFonts w:hint="eastAsia"/>
                                <w:lang w:val="en-US" w:eastAsia="zh-CN"/>
                              </w:rPr>
                              <w:t>G、N</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2275205</wp:posOffset>
                      </wp:positionH>
                      <wp:positionV relativeFrom="paragraph">
                        <wp:posOffset>176530</wp:posOffset>
                      </wp:positionV>
                      <wp:extent cx="7620" cy="182880"/>
                      <wp:effectExtent l="34925" t="0" r="33655" b="7620"/>
                      <wp:wrapNone/>
                      <wp:docPr id="10" name="直接箭头连接符 10"/>
                      <wp:cNvGraphicFramePr/>
                      <a:graphic xmlns:a="http://schemas.openxmlformats.org/drawingml/2006/main">
                        <a:graphicData uri="http://schemas.microsoft.com/office/word/2010/wordprocessingShape">
                          <wps:wsp>
                            <wps:cNvCnPr/>
                            <wps:spPr>
                              <a:xfrm flipH="1" flipV="1">
                                <a:off x="3684905" y="4878070"/>
                                <a:ext cx="7620" cy="18288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79.15pt;margin-top:13.9pt;height:14.4pt;width:0.6pt;z-index:251662336;mso-width-relative:page;mso-height-relative:page;" filled="f" stroked="t" coordsize="21600,21600" o:gfxdata="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SG+l2gAAAAkBAAAPAAAAAAAAAAEAIAAAACIAAABkcnMvZG93bnJldi54bWxQSwEC&#10;FAAUAAAACACHTuJAzkFEFSsCAAAXBAAADgAAAAAAAAABACAAAAApAQAAZHJzL2Uyb0RvYy54bWxQ&#10;SwUGAAAAAAYABgBZAQAAxgUAAAAA&#10;">
                      <v:fill on="f" focussize="0,0"/>
                      <v:stroke color="#000000 [3213]" joinstyle="round" dashstyle="dash" endarrow="block"/>
                      <v:imagedata o:title=""/>
                      <o:lock v:ext="edit" aspectratio="f"/>
                    </v:shape>
                  </w:pict>
                </mc:Fallback>
              </mc:AlternateContent>
            </w:r>
            <w:r>
              <w:rPr>
                <w:rFonts w:hint="eastAsia" w:ascii="宋体" w:hAnsi="宋体" w:eastAsia="宋体" w:cs="宋体"/>
                <w:color w:val="auto"/>
                <w:u w:val="none"/>
                <w:lang w:val="en-US" w:eastAsia="zh-CN"/>
              </w:rPr>
              <w:t>1）DTY化纤管</w:t>
            </w:r>
          </w:p>
          <w:p>
            <w:pPr>
              <w:pStyle w:val="111"/>
              <w:ind w:firstLine="482"/>
              <w:jc w:val="center"/>
              <w:rPr>
                <w:b/>
                <w:color w:val="auto"/>
                <w:u w:val="none"/>
              </w:rPr>
            </w:pPr>
            <w:r>
              <w:rPr>
                <w:sz w:val="24"/>
              </w:rPr>
              <mc:AlternateContent>
                <mc:Choice Requires="wps">
                  <w:drawing>
                    <wp:anchor distT="0" distB="0" distL="114300" distR="114300" simplePos="0" relativeHeight="251664384" behindDoc="0" locked="0" layoutInCell="1" allowOverlap="1">
                      <wp:simplePos x="0" y="0"/>
                      <wp:positionH relativeFrom="column">
                        <wp:posOffset>3884930</wp:posOffset>
                      </wp:positionH>
                      <wp:positionV relativeFrom="paragraph">
                        <wp:posOffset>1077595</wp:posOffset>
                      </wp:positionV>
                      <wp:extent cx="1270" cy="244475"/>
                      <wp:effectExtent l="37465" t="0" r="37465" b="3175"/>
                      <wp:wrapNone/>
                      <wp:docPr id="12" name="直接箭头连接符 12"/>
                      <wp:cNvGraphicFramePr/>
                      <a:graphic xmlns:a="http://schemas.openxmlformats.org/drawingml/2006/main">
                        <a:graphicData uri="http://schemas.microsoft.com/office/word/2010/wordprocessingShape">
                          <wps:wsp>
                            <wps:cNvCnPr/>
                            <wps:spPr>
                              <a:xfrm flipH="1">
                                <a:off x="0" y="0"/>
                                <a:ext cx="1270" cy="24447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05.9pt;margin-top:84.85pt;height:19.25pt;width:0.1pt;z-index:251664384;mso-width-relative:page;mso-height-relative:page;" filled="f" stroked="t" coordsize="21600,21600" o:gfxdata="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MbMjVAAAACwEAAA8AAAAA&#10;AAAAAQAgAAAAIgAAAGRycy9kb3ducmV2LnhtbFBLAQIUABQAAAAIAIdO4kB/SGGQFwIAAAEEAAAO&#10;AAAAAAAAAAEAIAAAACQBAABkcnMvZTJvRG9jLnhtbFBLBQYAAAAABgAGAFkBAACt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4046855</wp:posOffset>
                      </wp:positionH>
                      <wp:positionV relativeFrom="paragraph">
                        <wp:posOffset>1135380</wp:posOffset>
                      </wp:positionV>
                      <wp:extent cx="581025" cy="30353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8102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65pt;margin-top:89.4pt;height:23.9pt;width:45.75pt;z-index:251665408;mso-width-relative:page;mso-height-relative:page;" filled="f" stroked="f" coordsize="21600,21600" o:gfxdata="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68Hp2wAAAAsBAAAPAAAAAAAAAAEAIAAAACIAAABk&#10;cnMvZG93bnJldi54bWxQSwECFAAUAAAACACHTuJARUtZbzwCAABnBAAADgAAAAAAAAABACAAAAAq&#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G、N</w:t>
                            </w:r>
                          </w:p>
                        </w:txbxContent>
                      </v:textbox>
                    </v:shape>
                  </w:pict>
                </mc:Fallback>
              </mc:AlternateContent>
            </w:r>
            <w:r>
              <w:drawing>
                <wp:inline distT="0" distB="0" distL="114300" distR="114300">
                  <wp:extent cx="4532630" cy="1350645"/>
                  <wp:effectExtent l="0" t="0" r="127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4532630" cy="1350645"/>
                          </a:xfrm>
                          <a:prstGeom prst="rect">
                            <a:avLst/>
                          </a:prstGeom>
                          <a:noFill/>
                          <a:ln>
                            <a:noFill/>
                          </a:ln>
                        </pic:spPr>
                      </pic:pic>
                    </a:graphicData>
                  </a:graphic>
                </wp:inline>
              </w:drawing>
            </w:r>
          </w:p>
          <w:p>
            <w:pPr>
              <w:pStyle w:val="111"/>
              <w:ind w:firstLine="482"/>
              <w:jc w:val="center"/>
              <w:rPr>
                <w:rFonts w:hint="eastAsia" w:ascii="宋体" w:hAnsi="宋体" w:eastAsia="宋体" w:cs="宋体"/>
                <w:color w:val="auto"/>
                <w:sz w:val="21"/>
                <w:szCs w:val="21"/>
                <w:u w:val="none"/>
                <w:lang w:val="en-US" w:eastAsia="zh-CN"/>
              </w:rPr>
            </w:pPr>
            <w:r>
              <w:rPr>
                <w:b/>
                <w:color w:val="auto"/>
                <w:sz w:val="21"/>
                <w:szCs w:val="21"/>
                <w:u w:val="none"/>
              </w:rPr>
              <w:t>图</w:t>
            </w:r>
            <w:r>
              <w:rPr>
                <w:rFonts w:hint="eastAsia"/>
                <w:b/>
                <w:color w:val="auto"/>
                <w:sz w:val="21"/>
                <w:szCs w:val="21"/>
                <w:u w:val="none"/>
                <w:lang w:val="en-US" w:eastAsia="zh-CN"/>
              </w:rPr>
              <w:t>3</w:t>
            </w:r>
            <w:r>
              <w:rPr>
                <w:b/>
                <w:color w:val="auto"/>
                <w:sz w:val="21"/>
                <w:szCs w:val="21"/>
                <w:u w:val="none"/>
              </w:rPr>
              <w:t xml:space="preserve">-1 </w:t>
            </w:r>
            <w:r>
              <w:rPr>
                <w:rFonts w:hint="eastAsia"/>
                <w:b/>
                <w:color w:val="auto"/>
                <w:sz w:val="21"/>
                <w:szCs w:val="21"/>
                <w:u w:val="none"/>
                <w:lang w:val="en-US" w:eastAsia="zh-CN"/>
              </w:rPr>
              <w:t>DTY化纤管</w:t>
            </w:r>
            <w:r>
              <w:rPr>
                <w:rFonts w:hint="eastAsia"/>
                <w:b/>
                <w:color w:val="auto"/>
                <w:sz w:val="21"/>
                <w:szCs w:val="21"/>
                <w:u w:val="none"/>
                <w:lang w:eastAsia="zh-CN"/>
              </w:rPr>
              <w:t>生产</w:t>
            </w:r>
            <w:r>
              <w:rPr>
                <w:b/>
                <w:color w:val="auto"/>
                <w:sz w:val="21"/>
                <w:szCs w:val="21"/>
                <w:u w:val="none"/>
              </w:rPr>
              <w:t>流程及产污环节图</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工艺流程说明：</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分纸机分纸:按照工艺生产要求选择合适的纱管纸，用抱车将纱管纸运送到分纸机按照工艺要求将刀片调整到合适尺寸，检查切刀间距是不是正确，查验纱管纸的各项指标。裁剪合格证留存，把纱管纸从传动穿过切刀，最后固定到卷取纸管上。之后打开开关，转动速冻调节按钮。分纸完成后停止机器，对分好的纸进行标识。</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上纸架上纸:用手推液压叉车将需要的分条纸送到上纸架，用上纸架上的电动吊钩把纸以此放置在纸架。检查纸的各种标识，没问题后将纸条穿过导向滚、胶水盒、方向导向杆。</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涂胶机过胶:用叉车将桶装胶水运送到胶水架附近，打开胶水阀门，将胶水输送到胶水盆，打开胶水循环泵。</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卷管机卷管:将纱管纸从底纸和面纸绕过卷管磨具缠入卷管皮带，打开卷管机控制开关，启动速度控制器，设置切管长度。</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天然气加热器烘干房预烘干:开启天然气加热器烘干房烘干循环电机和烘干房推杆控制开关,与卷管机保持一致速度。</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精切机切管:开启精切机控制开关，调整刀片距离到合适位置，检查切刀速度。对纸管精切。</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磨头机磨头:开启磨头机控制开关，检查磨头磨具是不是对应的规格，检查磨头机运转速度。</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天然气加热器烘干房烘干:再次通过传送带输送纸管进行天然气加热器烘干房烘干。</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冷却传送带：启动冷却传送带开关，与天然气加热器烘干房保持一致速度。对纸管进行自动冷却。</w:t>
            </w:r>
          </w:p>
          <w:p>
            <w:pPr>
              <w:pStyle w:val="111"/>
              <w:ind w:firstLine="480"/>
              <w:jc w:val="left"/>
              <w:rPr>
                <w:rFonts w:hint="eastAsia" w:ascii="宋体" w:hAnsi="宋体" w:eastAsia="宋体" w:cs="宋体"/>
                <w:color w:val="auto"/>
                <w:u w:val="none"/>
                <w:lang w:val="en-US" w:eastAsia="zh-CN"/>
              </w:rPr>
            </w:pPr>
            <w:r>
              <w:rPr>
                <w:rFonts w:hint="eastAsia" w:ascii="宋体" w:hAnsi="宋体" w:cs="宋体"/>
                <w:color w:val="auto"/>
                <w:u w:val="none"/>
                <w:lang w:val="en-US" w:eastAsia="zh-CN"/>
              </w:rPr>
              <w:t>检验包装入库:对产品进行检验，检验合格的产品即可打包入库，外售。</w:t>
            </w:r>
          </w:p>
          <w:p>
            <w:pPr>
              <w:pStyle w:val="111"/>
              <w:ind w:firstLine="480"/>
              <w:jc w:val="left"/>
              <w:rPr>
                <w:rFonts w:hint="default" w:ascii="宋体" w:hAnsi="宋体" w:eastAsia="宋体" w:cs="宋体"/>
                <w:color w:val="auto"/>
                <w:u w:val="none"/>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2367915</wp:posOffset>
                      </wp:positionH>
                      <wp:positionV relativeFrom="paragraph">
                        <wp:posOffset>166370</wp:posOffset>
                      </wp:positionV>
                      <wp:extent cx="468630" cy="2641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45pt;margin-top:13.1pt;height:20.8pt;width:36.9pt;z-index:251673600;mso-width-relative:page;mso-height-relative:page;" filled="f" stroked="f" coordsize="21600,21600" o:gfxdata="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TDMdsAAAAJAQAADwAAAAAAAAABACAAAAAiAAAA&#10;ZHJzL2Rvd25yZXYueG1sUEsBAhQAFAAAAAgAh07iQPEwdAA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G、S</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2332355</wp:posOffset>
                      </wp:positionH>
                      <wp:positionV relativeFrom="paragraph">
                        <wp:posOffset>248920</wp:posOffset>
                      </wp:positionV>
                      <wp:extent cx="8890" cy="241935"/>
                      <wp:effectExtent l="35560" t="0" r="31750" b="5715"/>
                      <wp:wrapNone/>
                      <wp:docPr id="22" name="直接箭头连接符 22"/>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83.65pt;margin-top:19.6pt;height:19.05pt;width:0.7pt;z-index:251672576;mso-width-relative:page;mso-height-relative:page;" filled="f" stroked="t" coordsize="21600,21600" o:gfxdata="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EeDR9oA&#10;AAAJAQAADwAAAAAAAAABACAAAAAiAAAAZHJzL2Rvd25yZXYueG1sUEsBAhQAFAAAAAgAh07iQAjx&#10;7d8dAgAACwQAAA4AAAAAAAAAAQAgAAAAKQEAAGRycy9lMm9Eb2MueG1sUEsFBgAAAAAGAAYAWQEA&#10;ALgFA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1517015</wp:posOffset>
                      </wp:positionH>
                      <wp:positionV relativeFrom="paragraph">
                        <wp:posOffset>188595</wp:posOffset>
                      </wp:positionV>
                      <wp:extent cx="468630" cy="2641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45pt;margin-top:14.85pt;height:20.8pt;width:36.9pt;z-index:251671552;mso-width-relative:page;mso-height-relative:page;" filled="f" stroked="f" coordsize="21600,21600" o:gfxdata="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tLcI/aAAAACQEAAA8AAAAAAAAAAQAgAAAAIgAAAGRy&#10;cy9kb3ducmV2LnhtbFBLAQIUABQAAAAIAIdO4kAEyIMKPAIAAGcEAAAOAAAAAAAAAAEAIAAAACk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rFonts w:hint="eastAsia" w:ascii="宋体" w:hAnsi="宋体" w:eastAsia="宋体" w:cs="宋体"/>
                <w:color w:val="auto"/>
                <w:u w:val="none"/>
                <w:lang w:val="en-US" w:eastAsia="zh-CN"/>
              </w:rPr>
              <w:t>2）FDY/POY纸管生产工艺流程图:</w:t>
            </w:r>
          </w:p>
          <w:p>
            <w:pPr>
              <w:pStyle w:val="111"/>
              <w:ind w:firstLine="482"/>
              <w:jc w:val="center"/>
              <w:rPr>
                <w:b/>
                <w:color w:val="auto"/>
                <w:u w:val="none"/>
              </w:rPr>
            </w:pPr>
            <w:r>
              <w:rPr>
                <w:sz w:val="24"/>
              </w:rPr>
              <mc:AlternateContent>
                <mc:Choice Requires="wps">
                  <w:drawing>
                    <wp:anchor distT="0" distB="0" distL="114300" distR="114300" simplePos="0" relativeHeight="251677696" behindDoc="0" locked="0" layoutInCell="1" allowOverlap="1">
                      <wp:simplePos x="0" y="0"/>
                      <wp:positionH relativeFrom="column">
                        <wp:posOffset>4077970</wp:posOffset>
                      </wp:positionH>
                      <wp:positionV relativeFrom="paragraph">
                        <wp:posOffset>1054735</wp:posOffset>
                      </wp:positionV>
                      <wp:extent cx="468630" cy="2641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1pt;margin-top:83.05pt;height:20.8pt;width:36.9pt;z-index:251677696;mso-width-relative:page;mso-height-relative:page;" filled="f" stroked="f" coordsize="21600,21600" o:gfxdata="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&#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9tL9sAAAALAQAADwAAAAAAAAABACAAAAAiAAAA&#10;ZHJzL2Rvd25yZXYueG1sUEsBAhQAFAAAAAgAh07iQBvBmxU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N</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4066540</wp:posOffset>
                      </wp:positionH>
                      <wp:positionV relativeFrom="paragraph">
                        <wp:posOffset>1046480</wp:posOffset>
                      </wp:positionV>
                      <wp:extent cx="11430" cy="225425"/>
                      <wp:effectExtent l="30480" t="0" r="34290" b="3175"/>
                      <wp:wrapNone/>
                      <wp:docPr id="26" name="直接箭头连接符 26"/>
                      <wp:cNvGraphicFramePr/>
                      <a:graphic xmlns:a="http://schemas.openxmlformats.org/drawingml/2006/main">
                        <a:graphicData uri="http://schemas.microsoft.com/office/word/2010/wordprocessingShape">
                          <wps:wsp>
                            <wps:cNvCnPr/>
                            <wps:spPr>
                              <a:xfrm>
                                <a:off x="0" y="0"/>
                                <a:ext cx="11430" cy="22542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0.2pt;margin-top:82.4pt;height:17.75pt;width:0.9pt;z-index:251676672;mso-width-relative:page;mso-height-relative:page;" filled="f" stroked="t" coordsize="21600,21600" o:gfxdata="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Xeqh1gAAAAsBAAAPAAAAAAAAAAEA&#10;IAAAACIAAABkcnMvZG93bnJldi54bWxQSwECFAAUAAAACACHTuJAKUeYkBECAAD4AwAADgAAAAAA&#10;AAABACAAAAAlAQAAZHJzL2Uyb0RvYy54bWxQSwUGAAAAAAYABgBZAQAAqA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3322320</wp:posOffset>
                      </wp:positionH>
                      <wp:positionV relativeFrom="paragraph">
                        <wp:posOffset>1037590</wp:posOffset>
                      </wp:positionV>
                      <wp:extent cx="468630" cy="2641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6pt;margin-top:81.7pt;height:20.8pt;width:36.9pt;z-index:251674624;mso-width-relative:page;mso-height-relative:page;" filled="f" stroked="f" coordsize="21600,21600" o:gfxdata="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9D/H/cAAAACwEAAA8AAAAAAAAAAQAgAAAAIgAA&#10;AGRycy9kb3ducmV2LnhtbFBLAQIUABQAAAAIAIdO4kC0Rq/3PQIAAGcEAAAOAAAAAAAAAAEAIAAA&#10;ACsBAABkcnMvZTJvRG9jLnhtbFBLBQYAAAAABgAGAFkBAADaBQ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3263265</wp:posOffset>
                      </wp:positionH>
                      <wp:positionV relativeFrom="paragraph">
                        <wp:posOffset>1021080</wp:posOffset>
                      </wp:positionV>
                      <wp:extent cx="11430" cy="225425"/>
                      <wp:effectExtent l="30480" t="0" r="34290" b="3175"/>
                      <wp:wrapNone/>
                      <wp:docPr id="25" name="直接箭头连接符 25"/>
                      <wp:cNvGraphicFramePr/>
                      <a:graphic xmlns:a="http://schemas.openxmlformats.org/drawingml/2006/main">
                        <a:graphicData uri="http://schemas.microsoft.com/office/word/2010/wordprocessingShape">
                          <wps:wsp>
                            <wps:cNvCnPr/>
                            <wps:spPr>
                              <a:xfrm>
                                <a:off x="0" y="0"/>
                                <a:ext cx="11430" cy="22542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95pt;margin-top:80.4pt;height:17.75pt;width:0.9pt;z-index:251675648;mso-width-relative:page;mso-height-relative:page;" filled="f" stroked="t" coordsize="21600,21600" o:gfxdata="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pasv/XAAAACwEAAA8AAAAAAAAAAQAg&#10;AAAAIgAAAGRycy9kb3ducmV2LnhtbFBLAQIUABQAAAAIAIdO4kAKT7RfDwIAAPgDAAAOAAAAAAAA&#10;AAEAIAAAACYBAABkcnMvZTJvRG9jLnhtbFBLBQYAAAAABgAGAFkBAACn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1449705</wp:posOffset>
                      </wp:positionH>
                      <wp:positionV relativeFrom="paragraph">
                        <wp:posOffset>5715</wp:posOffset>
                      </wp:positionV>
                      <wp:extent cx="8890" cy="241935"/>
                      <wp:effectExtent l="35560" t="0" r="31750" b="5715"/>
                      <wp:wrapNone/>
                      <wp:docPr id="20" name="直接箭头连接符 20"/>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14.15pt;margin-top:0.45pt;height:19.05pt;width:0.7pt;z-index:251670528;mso-width-relative:page;mso-height-relative:page;" filled="f" stroked="t" coordsize="21600,21600" o:gfxdata="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Em8v9cAAAAH&#10;AQAADwAAAAAAAAABACAAAAAiAAAAZHJzL2Rvd25yZXYueG1sUEsBAhQAFAAAAAgAh07iQDyhc0Yd&#10;AgAACwQAAA4AAAAAAAAAAQAgAAAAJgEAAGRycy9lMm9Eb2MueG1sUEsFBgAAAAAGAAYAWQEAALUF&#10;AAAAAA==&#10;">
                      <v:fill on="f" focussize="0,0"/>
                      <v:stroke color="#000000 [3213]" joinstyle="round" dashstyle="dash" endarrow="block"/>
                      <v:imagedata o:title=""/>
                      <o:lock v:ext="edit" aspectratio="f"/>
                    </v:shape>
                  </w:pict>
                </mc:Fallback>
              </mc:AlternateContent>
            </w:r>
            <w:r>
              <w:drawing>
                <wp:inline distT="0" distB="0" distL="114300" distR="114300">
                  <wp:extent cx="4517390" cy="1088390"/>
                  <wp:effectExtent l="0" t="0" r="16510"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4517390" cy="1088390"/>
                          </a:xfrm>
                          <a:prstGeom prst="rect">
                            <a:avLst/>
                          </a:prstGeom>
                          <a:noFill/>
                          <a:ln>
                            <a:noFill/>
                          </a:ln>
                        </pic:spPr>
                      </pic:pic>
                    </a:graphicData>
                  </a:graphic>
                </wp:inline>
              </w:drawing>
            </w:r>
          </w:p>
          <w:p>
            <w:pPr>
              <w:pStyle w:val="111"/>
              <w:ind w:firstLine="482"/>
              <w:jc w:val="center"/>
              <w:rPr>
                <w:rFonts w:ascii="Times New Roman" w:hAnsi="Times New Roman" w:eastAsia="宋体" w:cs="Times New Roman"/>
                <w:b/>
                <w:color w:val="auto"/>
                <w:sz w:val="21"/>
                <w:szCs w:val="21"/>
                <w:u w:val="none"/>
              </w:rPr>
            </w:pPr>
            <w:r>
              <w:rPr>
                <w:rFonts w:ascii="Times New Roman" w:hAnsi="Times New Roman" w:eastAsia="宋体" w:cs="Times New Roman"/>
                <w:b/>
                <w:color w:val="auto"/>
                <w:sz w:val="21"/>
                <w:szCs w:val="21"/>
                <w:u w:val="none"/>
              </w:rPr>
              <w:t>图</w:t>
            </w:r>
            <w:r>
              <w:rPr>
                <w:rFonts w:hint="eastAsia" w:ascii="Times New Roman" w:hAnsi="Times New Roman" w:eastAsia="宋体" w:cs="Times New Roman"/>
                <w:b/>
                <w:color w:val="auto"/>
                <w:sz w:val="21"/>
                <w:szCs w:val="21"/>
                <w:u w:val="none"/>
                <w:lang w:val="en-US" w:eastAsia="zh-CN"/>
              </w:rPr>
              <w:t>3</w:t>
            </w:r>
            <w:r>
              <w:rPr>
                <w:rFonts w:ascii="Times New Roman" w:hAnsi="Times New Roman" w:eastAsia="宋体" w:cs="Times New Roman"/>
                <w:b/>
                <w:color w:val="auto"/>
                <w:sz w:val="21"/>
                <w:szCs w:val="21"/>
                <w:u w:val="none"/>
              </w:rPr>
              <w:t>-</w:t>
            </w:r>
            <w:r>
              <w:rPr>
                <w:rFonts w:hint="eastAsia" w:ascii="Times New Roman" w:hAnsi="Times New Roman" w:eastAsia="宋体" w:cs="Times New Roman"/>
                <w:b/>
                <w:color w:val="auto"/>
                <w:sz w:val="21"/>
                <w:szCs w:val="21"/>
                <w:u w:val="none"/>
                <w:lang w:val="en-US" w:eastAsia="zh-CN"/>
              </w:rPr>
              <w:t>2  FDY/POY纸管</w:t>
            </w:r>
            <w:r>
              <w:rPr>
                <w:rFonts w:hint="eastAsia" w:ascii="Times New Roman" w:hAnsi="Times New Roman" w:eastAsia="宋体" w:cs="Times New Roman"/>
                <w:b/>
                <w:color w:val="auto"/>
                <w:sz w:val="21"/>
                <w:szCs w:val="21"/>
                <w:u w:val="none"/>
                <w:lang w:eastAsia="zh-CN"/>
              </w:rPr>
              <w:t>生产</w:t>
            </w:r>
            <w:r>
              <w:rPr>
                <w:rFonts w:ascii="Times New Roman" w:hAnsi="Times New Roman" w:eastAsia="宋体" w:cs="Times New Roman"/>
                <w:b/>
                <w:color w:val="auto"/>
                <w:sz w:val="21"/>
                <w:szCs w:val="21"/>
                <w:u w:val="none"/>
              </w:rPr>
              <w:t>流程及产污环节图</w:t>
            </w:r>
          </w:p>
          <w:p>
            <w:pPr>
              <w:pStyle w:val="111"/>
              <w:spacing w:line="240" w:lineRule="auto"/>
              <w:ind w:firstLine="480"/>
              <w:jc w:val="center"/>
              <w:rPr>
                <w:rFonts w:hint="eastAsia" w:ascii="宋体" w:hAnsi="宋体" w:cs="宋体"/>
                <w:b/>
                <w:bCs/>
                <w:color w:val="auto"/>
                <w:sz w:val="21"/>
                <w:szCs w:val="21"/>
                <w:u w:val="none"/>
                <w:lang w:val="en-US" w:eastAsia="zh-CN"/>
              </w:rPr>
            </w:pPr>
            <w:r>
              <w:rPr>
                <w:rFonts w:hint="eastAsia" w:ascii="宋体" w:hAnsi="宋体" w:cs="宋体"/>
                <w:b/>
                <w:bCs/>
                <w:color w:val="auto"/>
                <w:sz w:val="21"/>
                <w:szCs w:val="21"/>
                <w:u w:val="none"/>
                <w:lang w:val="en-US" w:eastAsia="zh-CN"/>
              </w:rPr>
              <w:t>（N-噪声，G-废气，W-废水，S-固废）</w:t>
            </w:r>
          </w:p>
          <w:p>
            <w:pPr>
              <w:pStyle w:val="111"/>
              <w:ind w:firstLine="480"/>
              <w:jc w:val="left"/>
              <w:rPr>
                <w:rFonts w:hint="eastAsia" w:ascii="宋体" w:hAnsi="宋体" w:cs="宋体"/>
                <w:color w:val="auto"/>
                <w:u w:val="none"/>
                <w:lang w:val="en-US" w:eastAsia="zh-CN"/>
              </w:rPr>
            </w:pPr>
            <w:r>
              <w:rPr>
                <w:rFonts w:hint="eastAsia" w:ascii="宋体" w:hAnsi="宋体" w:cs="宋体"/>
                <w:color w:val="auto"/>
                <w:u w:val="none"/>
                <w:lang w:val="en-US" w:eastAsia="zh-CN"/>
              </w:rPr>
              <w:t>工艺流程说明：</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分纸机分纸:按照工艺生产要求选择合适的纱管纸，用抱车将纱管纸运送到分纸机，按照工艺要求将刀片调整到合适尺寸，检查切刀间距是不是正确，查验纱管纸的各项指标。裁剪合格证留存，把纱管纸从传动穿过切</w:t>
            </w:r>
            <w:r>
              <w:rPr>
                <w:rFonts w:hint="eastAsia" w:ascii="宋体" w:hAnsi="宋体" w:cs="宋体"/>
                <w:color w:val="auto"/>
                <w:kern w:val="2"/>
                <w:sz w:val="24"/>
                <w:szCs w:val="24"/>
                <w:u w:val="none"/>
                <w:lang w:val="en-US" w:eastAsia="zh-CN" w:bidi="ar-SA"/>
              </w:rPr>
              <w:t>刀</w:t>
            </w:r>
            <w:r>
              <w:rPr>
                <w:rFonts w:hint="eastAsia" w:ascii="宋体" w:hAnsi="宋体" w:eastAsia="宋体" w:cs="宋体"/>
                <w:color w:val="auto"/>
                <w:kern w:val="2"/>
                <w:sz w:val="24"/>
                <w:szCs w:val="24"/>
                <w:u w:val="none"/>
                <w:lang w:val="en-US" w:eastAsia="zh-CN" w:bidi="ar-SA"/>
              </w:rPr>
              <w:t>，最后固定到卷取纸管上。之后打开开关，转动速冻调节按钮。分纸完成后停止机器，对分好的纸进行标识。</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上纸架上纸:用手推液压叉车将需要的分条纸送到上纸架，用上纸架上的电动吊钩把纸以此放置在纸架。检查纸的各种标识，没问题后将纸条穿过导向滚、胶水盒、方向导向杆。</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涂胶机过胶:用叉车将桶装胶水运送到胶水架附近，打开胶水阀门，将胶水输送到胶水盆，打开胶水循环泵。</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卷管机卷管:将纱管纸从底纸和面纸绕过卷管磨具缠入卷管皮带，打开卷管机控制开关，启动速度控制器，设置切管长度。</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天然气加热器烘干房预烘干:开启天然气加热器烘干房烘干循环电机和烘干房推杆控制开关，与卷管机保持一致速度</w:t>
            </w:r>
            <w:r>
              <w:rPr>
                <w:rFonts w:hint="eastAsia" w:ascii="宋体" w:hAnsi="宋体" w:cs="宋体"/>
                <w:color w:val="auto"/>
                <w:kern w:val="2"/>
                <w:sz w:val="24"/>
                <w:szCs w:val="24"/>
                <w:u w:val="none"/>
                <w:lang w:val="en-US" w:eastAsia="zh-CN" w:bidi="ar-SA"/>
              </w:rPr>
              <w:t>，烘干温度控制在80℃，烘干时长为8h</w:t>
            </w:r>
            <w:r>
              <w:rPr>
                <w:rFonts w:hint="eastAsia" w:ascii="宋体" w:hAnsi="宋体" w:eastAsia="宋体" w:cs="宋体"/>
                <w:color w:val="auto"/>
                <w:kern w:val="2"/>
                <w:sz w:val="24"/>
                <w:szCs w:val="24"/>
                <w:u w:val="none"/>
                <w:lang w:val="en-US" w:eastAsia="zh-CN" w:bidi="ar-SA"/>
              </w:rPr>
              <w:t>。</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精切机切管:开启精切机控制开关，调整刀片距离到合适位置，检查切刀速度。对纸管进行精切。</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磨头机磨头:开启磨头机控制开关，检查磨头磨具是不是对应的规格，检查磨头机运转速度。对纸管两端进行磨头处理。</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检验包装入库:对产品进行检验，检验合格的产品即可打包入库，外售。</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sz w:val="24"/>
              </w:rPr>
              <mc:AlternateContent>
                <mc:Choice Requires="wps">
                  <w:drawing>
                    <wp:anchor distT="0" distB="0" distL="114300" distR="114300" simplePos="0" relativeHeight="251679744" behindDoc="0" locked="0" layoutInCell="1" allowOverlap="1">
                      <wp:simplePos x="0" y="0"/>
                      <wp:positionH relativeFrom="column">
                        <wp:posOffset>3331845</wp:posOffset>
                      </wp:positionH>
                      <wp:positionV relativeFrom="paragraph">
                        <wp:posOffset>216535</wp:posOffset>
                      </wp:positionV>
                      <wp:extent cx="538480" cy="26416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3848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35pt;margin-top:17.05pt;height:20.8pt;width:42.4pt;z-index:251679744;mso-width-relative:page;mso-height-relative:page;" filled="f" stroked="f" coordsize="21600,21600" o:gfxdata="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&#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Jw8R2wAAAAkBAAAPAAAAAAAAAAEAIAAAACIAAABk&#10;cnMvZG93bnJldi54bWxQSwECFAAUAAAACACHTuJAvlLKyzwCAABnBAAADgAAAAAAAAABACAAAAAq&#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N、G</w:t>
                            </w:r>
                          </w:p>
                        </w:txbxContent>
                      </v:textbox>
                    </v:shape>
                  </w:pict>
                </mc:Fallback>
              </mc:AlternateContent>
            </w:r>
            <w:r>
              <w:rPr>
                <w:rFonts w:hint="eastAsia" w:ascii="宋体" w:hAnsi="宋体" w:eastAsia="宋体" w:cs="宋体"/>
                <w:color w:val="auto"/>
                <w:kern w:val="2"/>
                <w:sz w:val="24"/>
                <w:szCs w:val="24"/>
                <w:u w:val="none"/>
                <w:lang w:val="en-US" w:eastAsia="zh-CN" w:bidi="ar-SA"/>
              </w:rPr>
              <w:t>3、工业纸管生产工艺流程图:</w:t>
            </w:r>
          </w:p>
          <w:p>
            <w:pPr>
              <w:snapToGrid w:val="0"/>
              <w:spacing w:line="360" w:lineRule="auto"/>
              <w:ind w:firstLine="480" w:firstLineChars="200"/>
              <w:rPr>
                <w:rFonts w:hint="eastAsia"/>
                <w:b/>
                <w:bCs/>
                <w:color w:val="C00000"/>
                <w:kern w:val="0"/>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1972945</wp:posOffset>
                      </wp:positionH>
                      <wp:positionV relativeFrom="paragraph">
                        <wp:posOffset>95885</wp:posOffset>
                      </wp:positionV>
                      <wp:extent cx="468630" cy="26416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35pt;margin-top:7.55pt;height:20.8pt;width:36.9pt;z-index:251685888;mso-width-relative:page;mso-height-relative:page;" filled="f" stroked="f" coordsize="21600,21600" o:gfxdata="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&#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8Pa82gAAAAkBAAAPAAAAAAAAAAEAIAAAACIAAABk&#10;cnMvZG93bnJldi54bWxQSwECFAAUAAAACACHTuJAjrrNnj0CAABnBAAADgAAAAAAAAABACAAAAAp&#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2030730</wp:posOffset>
                      </wp:positionH>
                      <wp:positionV relativeFrom="paragraph">
                        <wp:posOffset>335915</wp:posOffset>
                      </wp:positionV>
                      <wp:extent cx="8890" cy="241935"/>
                      <wp:effectExtent l="35560" t="0" r="31750" b="5715"/>
                      <wp:wrapNone/>
                      <wp:docPr id="36" name="直接箭头连接符 36"/>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59.9pt;margin-top:26.45pt;height:19.05pt;width:0.7pt;z-index:251684864;mso-width-relative:page;mso-height-relative:page;" filled="f" stroked="t" coordsize="21600,21600" o:gfxdata="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Lq4t3a&#10;AAAACQEAAA8AAAAAAAAAAQAgAAAAIgAAAGRycy9kb3ducmV2LnhtbFBLAQIUABQAAAAIAIdO4kBz&#10;YY7KHgIAAAsEAAAOAAAAAAAAAAEAIAAAACkBAABkcnMvZTJvRG9jLnhtbFBLBQYAAAAABgAGAFkB&#10;AAC5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4234815</wp:posOffset>
                      </wp:positionH>
                      <wp:positionV relativeFrom="paragraph">
                        <wp:posOffset>866140</wp:posOffset>
                      </wp:positionV>
                      <wp:extent cx="468630" cy="2641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45pt;margin-top:68.2pt;height:20.8pt;width:36.9pt;z-index:251683840;mso-width-relative:page;mso-height-relative:page;" filled="f" stroked="f" coordsize="21600,21600" o:gfxdata="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Y+lndsAAAALAQAADwAAAAAAAAABACAAAAAiAAAA&#10;ZHJzL2Rvd25yZXYueG1sUEsBAhQAFAAAAAgAh07iQHtCOpQ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4168775</wp:posOffset>
                      </wp:positionH>
                      <wp:positionV relativeFrom="paragraph">
                        <wp:posOffset>857250</wp:posOffset>
                      </wp:positionV>
                      <wp:extent cx="24765" cy="224155"/>
                      <wp:effectExtent l="21590" t="635" r="29845" b="3810"/>
                      <wp:wrapNone/>
                      <wp:docPr id="34" name="直接箭头连接符 34"/>
                      <wp:cNvGraphicFramePr/>
                      <a:graphic xmlns:a="http://schemas.openxmlformats.org/drawingml/2006/main">
                        <a:graphicData uri="http://schemas.microsoft.com/office/word/2010/wordprocessingShape">
                          <wps:wsp>
                            <wps:cNvCnPr/>
                            <wps:spPr>
                              <a:xfrm>
                                <a:off x="0" y="0"/>
                                <a:ext cx="24765" cy="22415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8.25pt;margin-top:67.5pt;height:17.65pt;width:1.95pt;z-index:251682816;mso-width-relative:page;mso-height-relative:page;" filled="f" stroked="t" coordsize="21600,21600" o:gfxdata="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Nepa1gAAAAsBAAAPAAAAAAAAAAEA&#10;IAAAACIAAABkcnMvZG93bnJldi54bWxQSwECFAAUAAAACACHTuJADL3iTRECAAD4AwAADgAAAAAA&#10;AAABACAAAAAlAQAAZHJzL2Uyb0RvYy54bWxQSwUGAAAAAAYABgBZAQAAqA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3385185</wp:posOffset>
                      </wp:positionH>
                      <wp:positionV relativeFrom="paragraph">
                        <wp:posOffset>509270</wp:posOffset>
                      </wp:positionV>
                      <wp:extent cx="495300" cy="2641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9530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55pt;margin-top:40.1pt;height:20.8pt;width:39pt;z-index:251681792;mso-width-relative:page;mso-height-relative:page;" filled="f" stroked="f" coordsize="21600,21600" o:gfxdata="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xGs+02gAAAAoBAAAPAAAAAAAAAAEAIAAAACIAAABk&#10;cnMvZG93bnJldi54bWxQSwECFAAUAAAACACHTuJAz6Kc5T0CAABnBAAADgAAAAAAAAABACAAAAAp&#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N、G</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3380105</wp:posOffset>
                      </wp:positionH>
                      <wp:positionV relativeFrom="paragraph">
                        <wp:posOffset>605790</wp:posOffset>
                      </wp:positionV>
                      <wp:extent cx="8890" cy="241935"/>
                      <wp:effectExtent l="35560" t="0" r="31750" b="5715"/>
                      <wp:wrapNone/>
                      <wp:docPr id="32" name="直接箭头连接符 32"/>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6.15pt;margin-top:47.7pt;height:19.05pt;width:0.7pt;z-index:251680768;mso-width-relative:page;mso-height-relative:page;" filled="f" stroked="t" coordsize="21600,21600" o:gfxdata="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mMLNnb&#10;AAAACgEAAA8AAAAAAAAAAQAgAAAAIgAAAGRycy9kb3ducmV2LnhtbFBLAQIUABQAAAAIAIdO4kBa&#10;x8MiHQIAAAsEAAAOAAAAAAAAAAEAIAAAACoBAABkcnMvZTJvRG9jLnhtbFBLBQYAAAAABgAGAFkB&#10;AAC5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3354705</wp:posOffset>
                      </wp:positionH>
                      <wp:positionV relativeFrom="paragraph">
                        <wp:posOffset>24765</wp:posOffset>
                      </wp:positionV>
                      <wp:extent cx="8890" cy="241935"/>
                      <wp:effectExtent l="35560" t="0" r="31750" b="5715"/>
                      <wp:wrapNone/>
                      <wp:docPr id="30" name="直接箭头连接符 30"/>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4.15pt;margin-top:1.95pt;height:19.05pt;width:0.7pt;z-index:251678720;mso-width-relative:page;mso-height-relative:page;" filled="f" stroked="t" coordsize="21600,21600" o:gfxdata="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Kx9oA&#10;AAAIAQAADwAAAAAAAAABACAAAAAiAAAAZHJzL2Rvd25yZXYueG1sUEsBAhQAFAAAAAgAh07iQG6X&#10;XbsdAgAACwQAAA4AAAAAAAAAAQAgAAAAKQEAAGRycy9lMm9Eb2MueG1sUEsFBgAAAAAGAAYAWQEA&#10;ALgFAAAAAA==&#10;">
                      <v:fill on="f" focussize="0,0"/>
                      <v:stroke color="#000000 [3213]" joinstyle="round" dashstyle="dash" endarrow="block"/>
                      <v:imagedata o:title=""/>
                      <o:lock v:ext="edit" aspectratio="f"/>
                    </v:shape>
                  </w:pict>
                </mc:Fallback>
              </mc:AlternateContent>
            </w:r>
            <w:r>
              <w:drawing>
                <wp:inline distT="0" distB="0" distL="114300" distR="114300">
                  <wp:extent cx="4685665" cy="1195705"/>
                  <wp:effectExtent l="0" t="0" r="635" b="44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4685665" cy="1195705"/>
                          </a:xfrm>
                          <a:prstGeom prst="rect">
                            <a:avLst/>
                          </a:prstGeom>
                          <a:noFill/>
                          <a:ln>
                            <a:noFill/>
                          </a:ln>
                        </pic:spPr>
                      </pic:pic>
                    </a:graphicData>
                  </a:graphic>
                </wp:inline>
              </w:drawing>
            </w:r>
          </w:p>
          <w:p>
            <w:pPr>
              <w:pStyle w:val="111"/>
              <w:spacing w:line="240" w:lineRule="auto"/>
              <w:ind w:firstLine="480"/>
              <w:jc w:val="center"/>
              <w:rPr>
                <w:rFonts w:ascii="Times New Roman" w:hAnsi="Times New Roman" w:eastAsia="宋体" w:cs="Times New Roman"/>
                <w:b/>
                <w:color w:val="auto"/>
                <w:sz w:val="21"/>
                <w:szCs w:val="21"/>
                <w:u w:val="none"/>
              </w:rPr>
            </w:pPr>
            <w:r>
              <w:rPr>
                <w:rFonts w:ascii="Times New Roman" w:hAnsi="Times New Roman" w:eastAsia="宋体" w:cs="Times New Roman"/>
                <w:b/>
                <w:color w:val="auto"/>
                <w:sz w:val="21"/>
                <w:szCs w:val="21"/>
                <w:u w:val="none"/>
              </w:rPr>
              <w:t>图</w:t>
            </w:r>
            <w:r>
              <w:rPr>
                <w:rFonts w:hint="eastAsia" w:ascii="Times New Roman" w:hAnsi="Times New Roman" w:eastAsia="宋体" w:cs="Times New Roman"/>
                <w:b/>
                <w:color w:val="auto"/>
                <w:sz w:val="21"/>
                <w:szCs w:val="21"/>
                <w:u w:val="none"/>
                <w:lang w:val="en-US" w:eastAsia="zh-CN"/>
              </w:rPr>
              <w:t>3</w:t>
            </w:r>
            <w:r>
              <w:rPr>
                <w:rFonts w:ascii="Times New Roman" w:hAnsi="Times New Roman" w:eastAsia="宋体" w:cs="Times New Roman"/>
                <w:b/>
                <w:color w:val="auto"/>
                <w:sz w:val="21"/>
                <w:szCs w:val="21"/>
                <w:u w:val="none"/>
              </w:rPr>
              <w:t>-</w:t>
            </w:r>
            <w:r>
              <w:rPr>
                <w:rFonts w:hint="eastAsia" w:ascii="Times New Roman" w:hAnsi="Times New Roman" w:eastAsia="宋体" w:cs="Times New Roman"/>
                <w:b/>
                <w:color w:val="auto"/>
                <w:sz w:val="21"/>
                <w:szCs w:val="21"/>
                <w:u w:val="none"/>
                <w:lang w:val="en-US" w:eastAsia="zh-CN"/>
              </w:rPr>
              <w:t>3  工业纸管</w:t>
            </w:r>
            <w:r>
              <w:rPr>
                <w:rFonts w:hint="eastAsia" w:ascii="Times New Roman" w:hAnsi="Times New Roman" w:eastAsia="宋体" w:cs="Times New Roman"/>
                <w:b/>
                <w:color w:val="auto"/>
                <w:sz w:val="21"/>
                <w:szCs w:val="21"/>
                <w:u w:val="none"/>
                <w:lang w:eastAsia="zh-CN"/>
              </w:rPr>
              <w:t>生产</w:t>
            </w:r>
            <w:r>
              <w:rPr>
                <w:rFonts w:ascii="Times New Roman" w:hAnsi="Times New Roman" w:eastAsia="宋体" w:cs="Times New Roman"/>
                <w:b/>
                <w:color w:val="auto"/>
                <w:sz w:val="21"/>
                <w:szCs w:val="21"/>
                <w:u w:val="none"/>
              </w:rPr>
              <w:t>流程及产污环节图</w:t>
            </w:r>
          </w:p>
          <w:p>
            <w:pPr>
              <w:pStyle w:val="111"/>
              <w:spacing w:line="240" w:lineRule="auto"/>
              <w:ind w:firstLine="480"/>
              <w:jc w:val="center"/>
              <w:rPr>
                <w:rFonts w:hint="eastAsia"/>
                <w:b/>
                <w:bCs/>
                <w:color w:val="C00000"/>
                <w:kern w:val="0"/>
                <w:sz w:val="24"/>
              </w:rPr>
            </w:pPr>
            <w:r>
              <w:rPr>
                <w:rFonts w:hint="eastAsia" w:ascii="宋体" w:hAnsi="宋体" w:cs="宋体"/>
                <w:b/>
                <w:bCs/>
                <w:color w:val="auto"/>
                <w:sz w:val="21"/>
                <w:szCs w:val="21"/>
                <w:u w:val="none"/>
                <w:lang w:val="en-US" w:eastAsia="zh-CN"/>
              </w:rPr>
              <w:t>（N-噪声，G-废气，W-废水，S-固废）</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分纸机分纸:按照工艺生产要求选择合适的纱管纸，用抱车将纱管纸运送到分纸机，按照工艺要求将刀片调整到合适尺寸，检查切刀间距是不是正确，查验纱管纸的各项指标。裁翦合格证留存</w:t>
            </w:r>
            <w:r>
              <w:rPr>
                <w:rFonts w:hint="eastAsia" w:ascii="宋体" w:hAnsi="宋体" w:eastAsia="宋体" w:cs="宋体"/>
                <w:color w:val="C00000"/>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把纱管纸从传动穿过切</w:t>
            </w:r>
            <w:r>
              <w:rPr>
                <w:rFonts w:hint="eastAsia" w:ascii="宋体" w:hAnsi="宋体" w:cs="宋体"/>
                <w:color w:val="auto"/>
                <w:kern w:val="2"/>
                <w:sz w:val="24"/>
                <w:szCs w:val="24"/>
                <w:u w:val="none"/>
                <w:lang w:val="en-US" w:eastAsia="zh-CN" w:bidi="ar-SA"/>
              </w:rPr>
              <w:t>刀</w:t>
            </w:r>
            <w:r>
              <w:rPr>
                <w:rFonts w:hint="eastAsia" w:ascii="宋体" w:hAnsi="宋体" w:eastAsia="宋体" w:cs="宋体"/>
                <w:color w:val="auto"/>
                <w:kern w:val="2"/>
                <w:sz w:val="24"/>
                <w:szCs w:val="24"/>
                <w:u w:val="none"/>
                <w:lang w:val="en-US" w:eastAsia="zh-CN" w:bidi="ar-SA"/>
              </w:rPr>
              <w:t>，最后固定到卷取纸管上。之后打开开关，转动速冻调节按钮。分纸完成后停止机器，对分好的纸进行标识。</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上纸架上纸:用手推液压叉车将需要的分条纸送到上纸架，用上纸架上的电动吊铃把纸以此放置在纸架。检查纸的各种标识，没问题后将纸条穿过导向滚、胶水盒、方向导向杆。</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涂胶机过胶:用叉车将桶装胶水运送到胶水架附近，打开胶水阀门，将胶水输送到胶水盆，打开胶水循环泵。</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卷管机卷管:将纱管纸从底纸和面纸绕过卷管磨具缠入卷管皮带，打开卷管机控制开关，启动速度控制器，设置切管长度。</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卧式烘干架/挂式烘干架:按照客户的不同要求选择卧式烘干架/挂式烘干架把纸管码放整齐。开启空气能烘干房烘干。</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精切机切管:开启精切机控制开关，调整刀片距离到合适位置，检查切刀速度，对</w:t>
            </w:r>
            <w:r>
              <w:rPr>
                <w:rFonts w:hint="eastAsia" w:ascii="宋体" w:hAnsi="宋体" w:cs="宋体"/>
                <w:color w:val="auto"/>
                <w:kern w:val="2"/>
                <w:sz w:val="24"/>
                <w:szCs w:val="24"/>
                <w:u w:val="none"/>
                <w:lang w:val="en-US" w:eastAsia="zh-CN" w:bidi="ar-SA"/>
              </w:rPr>
              <w:t>纸管精切。</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检验包装入库:对产品进行检验，检验合格的产品即可打包入库，外售。</w:t>
            </w: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p>
          <w:p>
            <w:pPr>
              <w:snapToGrid w:val="0"/>
              <w:spacing w:line="360" w:lineRule="auto"/>
              <w:ind w:firstLine="480" w:firstLineChars="200"/>
              <w:rPr>
                <w:rFonts w:hint="eastAsia" w:ascii="宋体" w:hAnsi="宋体" w:eastAsia="宋体" w:cs="宋体"/>
                <w:color w:val="auto"/>
                <w:kern w:val="2"/>
                <w:sz w:val="24"/>
                <w:szCs w:val="24"/>
                <w:u w:val="none"/>
                <w:lang w:val="en-US" w:eastAsia="zh-CN" w:bidi="ar-SA"/>
              </w:rPr>
            </w:pPr>
            <w:r>
              <w:rPr>
                <w:sz w:val="24"/>
              </w:rPr>
              <mc:AlternateContent>
                <mc:Choice Requires="wps">
                  <w:drawing>
                    <wp:anchor distT="0" distB="0" distL="114300" distR="114300" simplePos="0" relativeHeight="251696128" behindDoc="0" locked="0" layoutInCell="1" allowOverlap="1">
                      <wp:simplePos x="0" y="0"/>
                      <wp:positionH relativeFrom="column">
                        <wp:posOffset>767715</wp:posOffset>
                      </wp:positionH>
                      <wp:positionV relativeFrom="paragraph">
                        <wp:posOffset>179705</wp:posOffset>
                      </wp:positionV>
                      <wp:extent cx="468630" cy="2641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45pt;margin-top:14.15pt;height:20.8pt;width:36.9pt;z-index:251696128;mso-width-relative:page;mso-height-relative:page;" filled="f" stroked="f" coordsize="21600,21600" o:gfxdata="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yQwUPaAAAACQEAAA8AAAAAAAAAAQAgAAAAIgAAAGRy&#10;cy9kb3ducmV2LnhtbFBLAQIUABQAAAAIAIdO4kB2QYhEPAIAAGcEAAAOAAAAAAAAAAEAIAAAACk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w:t>
                            </w:r>
                          </w:p>
                        </w:txbxContent>
                      </v:textbox>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730250</wp:posOffset>
                      </wp:positionH>
                      <wp:positionV relativeFrom="paragraph">
                        <wp:posOffset>238125</wp:posOffset>
                      </wp:positionV>
                      <wp:extent cx="8890" cy="241935"/>
                      <wp:effectExtent l="35560" t="0" r="31750" b="5715"/>
                      <wp:wrapNone/>
                      <wp:docPr id="47" name="直接箭头连接符 47"/>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7.5pt;margin-top:18.75pt;height:19.05pt;width:0.7pt;z-index:251695104;mso-width-relative:page;mso-height-relative:page;" filled="f" stroked="t" coordsize="21600,21600" o:gfxdata="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iE6SLa&#10;AAAACQEAAA8AAAAAAAAAAQAgAAAAIgAAAGRycy9kb3ducmV2LnhtbFBLAQIUABQAAAAIAIdO4kAU&#10;wBgYHgIAAAsEAAAOAAAAAAAAAAEAIAAAACkBAABkcnMvZTJvRG9jLnhtbFBLBQYAAAAABgAGAFkB&#10;AAC5BQ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3373120</wp:posOffset>
                      </wp:positionH>
                      <wp:positionV relativeFrom="paragraph">
                        <wp:posOffset>285750</wp:posOffset>
                      </wp:positionV>
                      <wp:extent cx="8890" cy="241935"/>
                      <wp:effectExtent l="35560" t="0" r="31750" b="5715"/>
                      <wp:wrapNone/>
                      <wp:docPr id="41" name="直接箭头连接符 41"/>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5.6pt;margin-top:22.5pt;height:19.05pt;width:0.7pt;z-index:251688960;mso-width-relative:page;mso-height-relative:page;" filled="f" stroked="t" coordsize="21600,21600" o:gfxdata="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3/WG9oA&#10;AAAJAQAADwAAAAAAAAABACAAAAAiAAAAZHJzL2Rvd25yZXYueG1sUEsBAhQAFAAAAAgAh07iQAk2&#10;y2kdAgAACwQAAA4AAAAAAAAAAQAgAAAAKQEAAGRycy9lMm9Eb2MueG1sUEsFBgAAAAAGAAYAWQEA&#10;ALgFA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3395345</wp:posOffset>
                      </wp:positionH>
                      <wp:positionV relativeFrom="paragraph">
                        <wp:posOffset>195580</wp:posOffset>
                      </wp:positionV>
                      <wp:extent cx="468630" cy="2641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35pt;margin-top:15.4pt;height:20.8pt;width:36.9pt;z-index:251689984;mso-width-relative:page;mso-height-relative:page;" filled="f" stroked="f" coordsize="21600,21600" o:gfxdata="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&#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VLiptsAAAAJAQAADwAAAAAAAAABACAAAAAiAAAA&#10;ZHJzL2Rvd25yZXYueG1sUEsBAhQAFAAAAAgAh07iQFdaoGU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N、G</w:t>
                            </w:r>
                          </w:p>
                        </w:txbxContent>
                      </v:textbox>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2099945</wp:posOffset>
                      </wp:positionH>
                      <wp:positionV relativeFrom="paragraph">
                        <wp:posOffset>226060</wp:posOffset>
                      </wp:positionV>
                      <wp:extent cx="468630" cy="2641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17.8pt;height:20.8pt;width:36.9pt;z-index:251687936;mso-width-relative:page;mso-height-relative:page;" filled="f" stroked="f" coordsize="21600,21600" o:gfxdata="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CYnvbAAAACQEAAA8AAAAAAAAAAQAgAAAAIgAAAGRy&#10;cy9kb3ducmV2LnhtbFBLAQIUABQAAAAIAIdO4kCioldvOwIAAGc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rFonts w:hint="eastAsia" w:ascii="宋体" w:hAnsi="宋体" w:eastAsia="宋体" w:cs="宋体"/>
                <w:color w:val="auto"/>
                <w:kern w:val="2"/>
                <w:sz w:val="24"/>
                <w:szCs w:val="24"/>
                <w:u w:val="none"/>
                <w:lang w:val="en-US" w:eastAsia="zh-CN" w:bidi="ar-SA"/>
              </w:rPr>
              <w:t>4、抛光纸管生产工艺流程图:</w:t>
            </w:r>
          </w:p>
          <w:p>
            <w:pPr>
              <w:snapToGrid w:val="0"/>
              <w:spacing w:line="360" w:lineRule="auto"/>
              <w:ind w:firstLine="480" w:firstLineChars="200"/>
              <w:rPr>
                <w:rFonts w:hint="eastAsia" w:eastAsia="宋体"/>
                <w:b/>
                <w:bCs/>
                <w:color w:val="C00000"/>
                <w:kern w:val="0"/>
                <w:sz w:val="24"/>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3533140</wp:posOffset>
                      </wp:positionH>
                      <wp:positionV relativeFrom="paragraph">
                        <wp:posOffset>1115060</wp:posOffset>
                      </wp:positionV>
                      <wp:extent cx="667385" cy="26416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6738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2pt;margin-top:87.8pt;height:20.8pt;width:52.55pt;z-index:251692032;mso-width-relative:page;mso-height-relative:page;" filled="f" stroked="f" coordsize="21600,21600" o:gfxdata="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T3WJdsAAAALAQAADwAAAAAAAAABACAAAAAiAAAA&#10;ZHJzL2Rvd25yZXYueG1sUEsBAhQAFAAAAAgAh07iQE1tFGk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N、S、G</w:t>
                            </w:r>
                          </w:p>
                        </w:txbxContent>
                      </v:textbox>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3460750</wp:posOffset>
                      </wp:positionH>
                      <wp:positionV relativeFrom="paragraph">
                        <wp:posOffset>1106805</wp:posOffset>
                      </wp:positionV>
                      <wp:extent cx="7620" cy="233045"/>
                      <wp:effectExtent l="33020" t="0" r="35560" b="14605"/>
                      <wp:wrapNone/>
                      <wp:docPr id="43" name="直接箭头连接符 43"/>
                      <wp:cNvGraphicFramePr/>
                      <a:graphic xmlns:a="http://schemas.openxmlformats.org/drawingml/2006/main">
                        <a:graphicData uri="http://schemas.microsoft.com/office/word/2010/wordprocessingShape">
                          <wps:wsp>
                            <wps:cNvCnPr/>
                            <wps:spPr>
                              <a:xfrm>
                                <a:off x="0" y="0"/>
                                <a:ext cx="7620" cy="2330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2.5pt;margin-top:87.15pt;height:18.35pt;width:0.6pt;z-index:251691008;mso-width-relative:page;mso-height-relative:page;" filled="f" stroked="t" coordsize="21600,21600" o:gfxdata="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nisN1gAAAAsBAAAPAAAAAAAAAAEA&#10;IAAAACIAAABkcnMvZG93bnJldi54bWxQSwECFAAUAAAACACHTuJA+LCb+xECAAD3AwAADgAAAAAA&#10;AAABACAAAAAlAQAAZHJzL2Uyb0RvYy54bWxQSwUGAAAAAAYABgBZAQAAqA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1049020</wp:posOffset>
                      </wp:positionH>
                      <wp:positionV relativeFrom="paragraph">
                        <wp:posOffset>1172845</wp:posOffset>
                      </wp:positionV>
                      <wp:extent cx="701040" cy="2641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70104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pt;margin-top:92.35pt;height:20.8pt;width:55.2pt;z-index:251694080;mso-width-relative:page;mso-height-relative:page;" filled="f" stroked="f" coordsize="21600,21600" o:gfxdata="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FpAe7bAAAACwEAAA8AAAAAAAAAAQAgAAAAIgAAAGRy&#10;cy9kb3ducmV2LnhtbFBLAQIUABQAAAAIAIdO4kC8FDhVOwIAAGc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N、S、G</w:t>
                            </w:r>
                          </w:p>
                        </w:txbxContent>
                      </v:textbox>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1083310</wp:posOffset>
                      </wp:positionH>
                      <wp:positionV relativeFrom="paragraph">
                        <wp:posOffset>1115060</wp:posOffset>
                      </wp:positionV>
                      <wp:extent cx="7620" cy="233045"/>
                      <wp:effectExtent l="33020" t="0" r="35560" b="14605"/>
                      <wp:wrapNone/>
                      <wp:docPr id="45" name="直接箭头连接符 45"/>
                      <wp:cNvGraphicFramePr/>
                      <a:graphic xmlns:a="http://schemas.openxmlformats.org/drawingml/2006/main">
                        <a:graphicData uri="http://schemas.microsoft.com/office/word/2010/wordprocessingShape">
                          <wps:wsp>
                            <wps:cNvCnPr/>
                            <wps:spPr>
                              <a:xfrm>
                                <a:off x="0" y="0"/>
                                <a:ext cx="7620" cy="23304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5.3pt;margin-top:87.8pt;height:18.35pt;width:0.6pt;z-index:251693056;mso-width-relative:page;mso-height-relative:page;" filled="f" stroked="t" coordsize="21600,21600" o:gfxdata="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iGo71AAAAAsBAAAPAAAAAAAAAAEAIAAA&#10;ACIAAABkcnMvZG93bnJldi54bWxQSwECFAAUAAAACACHTuJA1cLRDRACAAD3AwAADgAAAAAAAAAB&#10;ACAAAAAjAQAAZHJzL2Uyb0RvYy54bWxQSwUGAAAAAAYABgBZAQAApQ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2101850</wp:posOffset>
                      </wp:positionH>
                      <wp:positionV relativeFrom="paragraph">
                        <wp:posOffset>11430</wp:posOffset>
                      </wp:positionV>
                      <wp:extent cx="8890" cy="241935"/>
                      <wp:effectExtent l="35560" t="0" r="31750" b="5715"/>
                      <wp:wrapNone/>
                      <wp:docPr id="38" name="直接箭头连接符 38"/>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5.5pt;margin-top:0.9pt;height:19.05pt;width:0.7pt;z-index:251686912;mso-width-relative:page;mso-height-relative:page;" filled="f" stroked="t" coordsize="21600,21600" o:gfxdata="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DY0rYAAAA&#10;CAEAAA8AAAAAAAAAAQAgAAAAIgAAAGRycy9kb3ducmV2LnhtbFBLAQIUABQAAAAIAIdO4kB93bew&#10;HQIAAAsEAAAOAAAAAAAAAAEAIAAAACcBAABkcnMvZTJvRG9jLnhtbFBLBQYAAAAABgAGAFkBAAC2&#10;BQAAAAA=&#10;">
                      <v:fill on="f" focussize="0,0"/>
                      <v:stroke color="#000000 [3213]" joinstyle="round" dashstyle="dash" endarrow="block"/>
                      <v:imagedata o:title=""/>
                      <o:lock v:ext="edit" aspectratio="f"/>
                    </v:shape>
                  </w:pict>
                </mc:Fallback>
              </mc:AlternateContent>
            </w:r>
            <w:r>
              <w:drawing>
                <wp:inline distT="0" distB="0" distL="114300" distR="114300">
                  <wp:extent cx="4602480" cy="1245235"/>
                  <wp:effectExtent l="0" t="0" r="7620" b="1206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4602480" cy="1245235"/>
                          </a:xfrm>
                          <a:prstGeom prst="rect">
                            <a:avLst/>
                          </a:prstGeom>
                          <a:noFill/>
                          <a:ln>
                            <a:noFill/>
                          </a:ln>
                        </pic:spPr>
                      </pic:pic>
                    </a:graphicData>
                  </a:graphic>
                </wp:inline>
              </w:drawing>
            </w:r>
          </w:p>
          <w:p>
            <w:pPr>
              <w:snapToGrid w:val="0"/>
              <w:spacing w:line="360" w:lineRule="auto"/>
              <w:ind w:firstLine="422" w:firstLineChars="200"/>
              <w:jc w:val="center"/>
              <w:rPr>
                <w:rFonts w:hint="eastAsia"/>
                <w:b/>
                <w:bCs/>
                <w:color w:val="C00000"/>
                <w:kern w:val="0"/>
                <w:sz w:val="24"/>
              </w:rPr>
            </w:pPr>
            <w:r>
              <w:rPr>
                <w:rFonts w:ascii="Times New Roman" w:hAnsi="Times New Roman" w:eastAsia="宋体" w:cs="Times New Roman"/>
                <w:b/>
                <w:color w:val="auto"/>
                <w:sz w:val="21"/>
                <w:szCs w:val="21"/>
                <w:u w:val="none"/>
              </w:rPr>
              <w:t>图</w:t>
            </w:r>
            <w:r>
              <w:rPr>
                <w:rFonts w:hint="eastAsia" w:ascii="Times New Roman" w:hAnsi="Times New Roman" w:eastAsia="宋体" w:cs="Times New Roman"/>
                <w:b/>
                <w:color w:val="auto"/>
                <w:sz w:val="21"/>
                <w:szCs w:val="21"/>
                <w:u w:val="none"/>
                <w:lang w:val="en-US" w:eastAsia="zh-CN"/>
              </w:rPr>
              <w:t>3</w:t>
            </w:r>
            <w:r>
              <w:rPr>
                <w:rFonts w:ascii="Times New Roman" w:hAnsi="Times New Roman" w:eastAsia="宋体" w:cs="Times New Roman"/>
                <w:b/>
                <w:color w:val="auto"/>
                <w:sz w:val="21"/>
                <w:szCs w:val="21"/>
                <w:u w:val="none"/>
              </w:rPr>
              <w:t>-</w:t>
            </w:r>
            <w:r>
              <w:rPr>
                <w:rFonts w:hint="eastAsia" w:ascii="Times New Roman" w:hAnsi="Times New Roman" w:eastAsia="宋体" w:cs="Times New Roman"/>
                <w:b/>
                <w:color w:val="auto"/>
                <w:sz w:val="21"/>
                <w:szCs w:val="21"/>
                <w:u w:val="none"/>
                <w:lang w:val="en-US" w:eastAsia="zh-CN"/>
              </w:rPr>
              <w:t>4 抛光纸管</w:t>
            </w:r>
            <w:r>
              <w:rPr>
                <w:rFonts w:hint="eastAsia" w:ascii="Times New Roman" w:hAnsi="Times New Roman" w:eastAsia="宋体" w:cs="Times New Roman"/>
                <w:b/>
                <w:color w:val="auto"/>
                <w:sz w:val="21"/>
                <w:szCs w:val="21"/>
                <w:u w:val="none"/>
                <w:lang w:eastAsia="zh-CN"/>
              </w:rPr>
              <w:t>生产</w:t>
            </w:r>
            <w:r>
              <w:rPr>
                <w:rFonts w:ascii="Times New Roman" w:hAnsi="Times New Roman" w:eastAsia="宋体" w:cs="Times New Roman"/>
                <w:b/>
                <w:color w:val="auto"/>
                <w:sz w:val="21"/>
                <w:szCs w:val="21"/>
                <w:u w:val="none"/>
              </w:rPr>
              <w:t>流程及产污环节图</w:t>
            </w:r>
          </w:p>
          <w:p>
            <w:pPr>
              <w:pStyle w:val="111"/>
              <w:spacing w:line="240" w:lineRule="auto"/>
              <w:ind w:firstLine="480"/>
              <w:jc w:val="center"/>
              <w:rPr>
                <w:rFonts w:hint="eastAsia" w:ascii="Times New Roman" w:hAnsi="Times New Roman"/>
                <w:color w:val="auto"/>
                <w:sz w:val="24"/>
                <w:lang w:eastAsia="zh-CN"/>
              </w:rPr>
            </w:pPr>
            <w:r>
              <w:rPr>
                <w:rFonts w:hint="eastAsia" w:ascii="宋体" w:hAnsi="宋体" w:cs="宋体"/>
                <w:b/>
                <w:bCs/>
                <w:color w:val="auto"/>
                <w:sz w:val="21"/>
                <w:szCs w:val="21"/>
                <w:u w:val="none"/>
                <w:lang w:val="en-US" w:eastAsia="zh-CN"/>
              </w:rPr>
              <w:t>（N-噪声，G-废气，W-废水，S-固废）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工艺流程说明：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分纸机分纸:按照工艺生产要求选择合适的纱管纸，用抱车将纱管纸运送到分纸机，按照工艺要求将刀片调整到合适尺寸，检查切刀间距是不是正确，查验纱管纸的各项指标。裁剪合格证留存，把纱管纸从传动穿过切到，最后固定到卷取纸管上。之后打开开关，转动速冻调节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分纸完成后停止机器，对分好的纸进行标识。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上纸架上纸:用手推液压叉车将需要的分条纸送到上纸架，用上纸架上的电动吊钩把纸以此放置在纸架。检查纸的各种标识，没问题后将纸条穿过导向滚、胶水盒、方向导向杆。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涂胶机过胶</w:t>
            </w:r>
            <w:r>
              <w:rPr>
                <w:rFonts w:hint="eastAsia"/>
                <w:color w:val="auto"/>
                <w:sz w:val="24"/>
                <w:lang w:eastAsia="zh-CN"/>
              </w:rPr>
              <w:t>：</w:t>
            </w:r>
            <w:r>
              <w:rPr>
                <w:rFonts w:hint="eastAsia" w:ascii="Times New Roman" w:hAnsi="Times New Roman"/>
                <w:color w:val="auto"/>
                <w:sz w:val="24"/>
                <w:lang w:eastAsia="zh-CN"/>
              </w:rPr>
              <w:t>用叉车将桶装胶水运送到胶水架附近，打开胶水阀门，将胶水输送到胶水盆，打开胶水循环泵。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卷管机卷管</w:t>
            </w:r>
            <w:r>
              <w:rPr>
                <w:rFonts w:hint="eastAsia"/>
                <w:color w:val="auto"/>
                <w:sz w:val="24"/>
                <w:lang w:eastAsia="zh-CN"/>
              </w:rPr>
              <w:t>：</w:t>
            </w:r>
            <w:r>
              <w:rPr>
                <w:rFonts w:hint="eastAsia" w:ascii="Times New Roman" w:hAnsi="Times New Roman"/>
                <w:color w:val="auto"/>
                <w:sz w:val="24"/>
                <w:lang w:eastAsia="zh-CN"/>
              </w:rPr>
              <w:t>将纱管纸从底纸和面纸绕过卷管磨具缠入卷管皮带，打开卷管机控制开关，启动速度控制器，设置切管长度。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挂式烘干架</w:t>
            </w:r>
            <w:r>
              <w:rPr>
                <w:rFonts w:hint="eastAsia"/>
                <w:color w:val="auto"/>
                <w:sz w:val="24"/>
                <w:lang w:eastAsia="zh-CN"/>
              </w:rPr>
              <w:t>：</w:t>
            </w:r>
            <w:r>
              <w:rPr>
                <w:rFonts w:hint="eastAsia" w:ascii="Times New Roman" w:hAnsi="Times New Roman"/>
                <w:color w:val="auto"/>
                <w:sz w:val="24"/>
                <w:lang w:eastAsia="zh-CN"/>
              </w:rPr>
              <w:t>按照客户的不同要求选择卧式烘干架/挂式烘干架把纸管码放整齐。开启空气能烘干房烘干。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抛光机抛光</w:t>
            </w:r>
            <w:r>
              <w:rPr>
                <w:rFonts w:hint="eastAsia"/>
                <w:color w:val="auto"/>
                <w:sz w:val="24"/>
                <w:lang w:eastAsia="zh-CN"/>
              </w:rPr>
              <w:t>：</w:t>
            </w:r>
            <w:r>
              <w:rPr>
                <w:rFonts w:hint="eastAsia" w:ascii="Times New Roman" w:hAnsi="Times New Roman"/>
                <w:color w:val="auto"/>
                <w:sz w:val="24"/>
                <w:lang w:eastAsia="zh-CN"/>
              </w:rPr>
              <w:t>开启纸管抛光机开关，调整抛光带距离和转速，对纸管进行抛光打磨。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精切机切管</w:t>
            </w:r>
            <w:r>
              <w:rPr>
                <w:rFonts w:hint="eastAsia"/>
                <w:color w:val="auto"/>
                <w:sz w:val="24"/>
                <w:lang w:eastAsia="zh-CN"/>
              </w:rPr>
              <w:t>：</w:t>
            </w:r>
            <w:r>
              <w:rPr>
                <w:rFonts w:hint="eastAsia" w:ascii="Times New Roman" w:hAnsi="Times New Roman"/>
                <w:color w:val="auto"/>
                <w:sz w:val="24"/>
                <w:lang w:eastAsia="zh-CN"/>
              </w:rPr>
              <w:t>开启精切机控制开关，调整刀片距离到合适位置，检查切刀速度，对纸管精切。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color w:val="auto"/>
                <w:sz w:val="24"/>
                <w:lang w:eastAsia="zh-CN"/>
              </w:rPr>
            </w:pPr>
            <w:r>
              <w:rPr>
                <w:rFonts w:hint="eastAsia" w:ascii="Times New Roman" w:hAnsi="Times New Roman"/>
                <w:color w:val="auto"/>
                <w:sz w:val="24"/>
                <w:lang w:eastAsia="zh-CN"/>
              </w:rPr>
              <w:t>磨头机磨头:开启磨头机控制开关，检查磨头磨具是不是对应的规格，检查磨头机运转速度。对纸管两端进行磨头处理。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color w:val="auto"/>
                <w:kern w:val="2"/>
                <w:sz w:val="24"/>
                <w:szCs w:val="24"/>
                <w:u w:val="none"/>
                <w:lang w:val="en-US" w:eastAsia="zh-CN" w:bidi="ar-SA"/>
              </w:rPr>
              <w:t>检验包装入库:对产品进行检验，检验合格的产品即可打包入库，外售。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废水：本项目无生产废水产生，主要为工作人员的生活废水。</w:t>
            </w:r>
          </w:p>
          <w:p>
            <w:pPr>
              <w:keepNext w:val="0"/>
              <w:keepLines w:val="0"/>
              <w:pageBreakBefore w:val="0"/>
              <w:widowControl w:val="0"/>
              <w:tabs>
                <w:tab w:val="left" w:pos="347"/>
              </w:tabs>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废气：本项目经营过程中废气主要为天然气燃烧废气、烘干工序产生的挥发性有机物（以非甲烷总烃计）、抛光工序产生的颗粒物。</w:t>
            </w:r>
          </w:p>
          <w:p>
            <w:pPr>
              <w:spacing w:line="360" w:lineRule="auto"/>
              <w:ind w:firstLine="480" w:firstLineChars="200"/>
              <w:jc w:val="left"/>
              <w:rPr>
                <w:color w:val="auto"/>
                <w:sz w:val="24"/>
                <w:szCs w:val="24"/>
                <w:u w:val="none"/>
              </w:rPr>
            </w:pPr>
            <w:r>
              <w:rPr>
                <w:rFonts w:hint="eastAsia"/>
                <w:color w:val="auto"/>
                <w:sz w:val="24"/>
                <w:szCs w:val="24"/>
                <w:lang w:val="en-US" w:eastAsia="zh-CN"/>
              </w:rPr>
              <w:t>固废：本项目生产产生的固体废弃物为废边角料、废纸管、除尘器颗粒物</w:t>
            </w:r>
            <w:r>
              <w:rPr>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噪声：本项目噪声主要是生产线各设备运行过程中产生的噪声。</w:t>
            </w:r>
          </w:p>
          <w:p>
            <w:pPr>
              <w:pStyle w:val="25"/>
              <w:widowControl w:val="0"/>
              <w:autoSpaceDE w:val="0"/>
              <w:autoSpaceDN w:val="0"/>
              <w:adjustRightInd w:val="0"/>
              <w:snapToGrid w:val="0"/>
              <w:spacing w:before="0" w:beforeAutospacing="0" w:after="0" w:afterAutospacing="0" w:line="360" w:lineRule="auto"/>
              <w:ind w:left="420" w:leftChars="200"/>
              <w:rPr>
                <w:rFonts w:ascii="Times New Roman" w:hAnsi="Times New Roman"/>
                <w:color w:val="000000"/>
                <w:sz w:val="21"/>
                <w:szCs w:val="21"/>
                <w:lang w:bidi="ar"/>
              </w:rPr>
            </w:pPr>
          </w:p>
          <w:p>
            <w:pPr>
              <w:pStyle w:val="25"/>
              <w:widowControl w:val="0"/>
              <w:autoSpaceDE w:val="0"/>
              <w:autoSpaceDN w:val="0"/>
              <w:adjustRightInd w:val="0"/>
              <w:snapToGrid w:val="0"/>
              <w:spacing w:before="0" w:beforeAutospacing="0" w:after="0" w:afterAutospacing="0" w:line="360" w:lineRule="auto"/>
              <w:ind w:left="420" w:leftChars="200"/>
              <w:rPr>
                <w:rFonts w:ascii="Times New Roman" w:hAnsi="Times New Roman"/>
                <w:color w:val="000000"/>
                <w:sz w:val="21"/>
                <w:szCs w:val="21"/>
                <w:lang w:bidi="ar"/>
              </w:rPr>
            </w:pPr>
          </w:p>
          <w:p>
            <w:pPr>
              <w:pStyle w:val="25"/>
              <w:widowControl w:val="0"/>
              <w:autoSpaceDE w:val="0"/>
              <w:autoSpaceDN w:val="0"/>
              <w:adjustRightInd w:val="0"/>
              <w:snapToGrid w:val="0"/>
              <w:spacing w:before="0" w:beforeAutospacing="0" w:after="0" w:afterAutospacing="0" w:line="360" w:lineRule="auto"/>
              <w:ind w:left="420" w:leftChars="200"/>
              <w:rPr>
                <w:rFonts w:ascii="Times New Roman" w:hAnsi="Times New Roman"/>
                <w:color w:val="000000"/>
                <w:sz w:val="21"/>
                <w:szCs w:val="21"/>
                <w:lang w:bidi="ar"/>
              </w:rPr>
            </w:pPr>
          </w:p>
          <w:p>
            <w:pPr>
              <w:pStyle w:val="25"/>
              <w:widowControl w:val="0"/>
              <w:autoSpaceDE w:val="0"/>
              <w:autoSpaceDN w:val="0"/>
              <w:adjustRightInd w:val="0"/>
              <w:snapToGrid w:val="0"/>
              <w:spacing w:before="0" w:beforeAutospacing="0" w:after="0" w:afterAutospacing="0" w:line="360" w:lineRule="auto"/>
              <w:ind w:firstLine="420" w:firstLineChars="200"/>
              <w:rPr>
                <w:rFonts w:ascii="Times New Roman" w:hAnsi="Times New Roman"/>
                <w:color w:val="000000"/>
                <w:sz w:val="21"/>
                <w:szCs w:val="21"/>
                <w:lang w:bidi="ar"/>
              </w:rPr>
            </w:pPr>
          </w:p>
          <w:p>
            <w:pPr>
              <w:pStyle w:val="25"/>
              <w:widowControl w:val="0"/>
              <w:autoSpaceDE w:val="0"/>
              <w:autoSpaceDN w:val="0"/>
              <w:adjustRightInd w:val="0"/>
              <w:spacing w:before="0" w:beforeAutospacing="0" w:after="0" w:afterAutospacing="0" w:line="360" w:lineRule="auto"/>
              <w:ind w:firstLine="480" w:firstLineChars="200"/>
              <w:rPr>
                <w:rFonts w:ascii="Times New Roman" w:hAnsi="Times New Roman"/>
                <w:color w:val="000000"/>
                <w:szCs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461" w:type="dxa"/>
            <w:vAlign w:val="center"/>
          </w:tcPr>
          <w:p>
            <w:pPr>
              <w:pStyle w:val="25"/>
              <w:adjustRightInd w:val="0"/>
              <w:snapToGrid w:val="0"/>
              <w:spacing w:before="0" w:beforeAutospacing="0" w:after="0" w:afterAutospacing="0"/>
              <w:jc w:val="center"/>
              <w:rPr>
                <w:rFonts w:hint="eastAsia" w:eastAsia="宋体" w:cs="宋体"/>
                <w:color w:val="000000"/>
                <w:sz w:val="21"/>
                <w:szCs w:val="21"/>
                <w:lang w:val="en-US" w:eastAsia="zh-CN"/>
              </w:rPr>
            </w:pPr>
            <w:r>
              <w:rPr>
                <w:rFonts w:hint="eastAsia" w:cs="宋体"/>
                <w:color w:val="000000"/>
                <w:sz w:val="21"/>
                <w:szCs w:val="21"/>
              </w:rPr>
              <w:t>与</w:t>
            </w:r>
            <w:r>
              <w:rPr>
                <w:rFonts w:hint="eastAsia" w:cs="宋体"/>
                <w:color w:val="000000"/>
                <w:sz w:val="21"/>
                <w:szCs w:val="21"/>
                <w:lang w:eastAsia="zh-CN"/>
              </w:rPr>
              <w:t>项目有关的原有环境</w:t>
            </w:r>
          </w:p>
        </w:tc>
        <w:tc>
          <w:tcPr>
            <w:tcW w:w="806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trike w:val="0"/>
                <w:dstrike w:val="0"/>
                <w:color w:val="auto"/>
                <w:kern w:val="2"/>
                <w:sz w:val="24"/>
                <w:szCs w:val="24"/>
                <w:highlight w:val="none"/>
                <w:u w:val="none"/>
                <w:lang w:val="en-US" w:eastAsia="zh-CN" w:bidi="ar-SA"/>
              </w:rPr>
            </w:pPr>
            <w:r>
              <w:rPr>
                <w:rFonts w:hint="eastAsia" w:ascii="Times New Roman" w:hAnsi="Times New Roman" w:eastAsia="宋体" w:cs="Times New Roman"/>
                <w:bCs/>
                <w:strike w:val="0"/>
                <w:dstrike w:val="0"/>
                <w:color w:val="auto"/>
                <w:kern w:val="2"/>
                <w:sz w:val="24"/>
                <w:szCs w:val="24"/>
                <w:highlight w:val="none"/>
                <w:u w:val="none"/>
                <w:lang w:val="en-US" w:eastAsia="zh-CN" w:bidi="ar-SA"/>
              </w:rPr>
              <w:t>1、</w:t>
            </w:r>
            <w:r>
              <w:rPr>
                <w:rFonts w:hint="eastAsia" w:cs="Times New Roman"/>
                <w:bCs/>
                <w:strike w:val="0"/>
                <w:dstrike w:val="0"/>
                <w:color w:val="auto"/>
                <w:kern w:val="2"/>
                <w:sz w:val="24"/>
                <w:szCs w:val="24"/>
                <w:highlight w:val="none"/>
                <w:u w:val="none"/>
                <w:lang w:val="en-US" w:eastAsia="zh-CN" w:bidi="ar-SA"/>
              </w:rPr>
              <w:t>现有</w:t>
            </w:r>
            <w:r>
              <w:rPr>
                <w:rFonts w:hint="eastAsia" w:ascii="Times New Roman" w:hAnsi="Times New Roman" w:eastAsia="宋体" w:cs="Times New Roman"/>
                <w:bCs/>
                <w:strike w:val="0"/>
                <w:dstrike w:val="0"/>
                <w:color w:val="auto"/>
                <w:kern w:val="2"/>
                <w:sz w:val="24"/>
                <w:szCs w:val="24"/>
                <w:highlight w:val="none"/>
                <w:u w:val="none"/>
                <w:lang w:val="en-US" w:eastAsia="zh-CN" w:bidi="ar-SA"/>
              </w:rPr>
              <w:t>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kern w:val="2"/>
                <w:sz w:val="24"/>
                <w:szCs w:val="24"/>
                <w:highlight w:val="none"/>
                <w:u w:val="none"/>
                <w:lang w:val="en-US" w:eastAsia="zh-CN" w:bidi="ar-SA"/>
              </w:rPr>
            </w:pPr>
            <w:r>
              <w:rPr>
                <w:rFonts w:hint="eastAsia" w:ascii="Times New Roman" w:hAnsi="Times New Roman" w:eastAsia="宋体" w:cs="Times New Roman"/>
                <w:bCs/>
                <w:strike w:val="0"/>
                <w:dstrike w:val="0"/>
                <w:color w:val="auto"/>
                <w:kern w:val="2"/>
                <w:sz w:val="24"/>
                <w:szCs w:val="24"/>
                <w:highlight w:val="none"/>
                <w:u w:val="none"/>
                <w:lang w:val="en-US" w:eastAsia="zh-CN" w:bidi="ar-SA"/>
              </w:rPr>
              <w:t>1）建设内容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kern w:val="2"/>
                <w:sz w:val="24"/>
                <w:szCs w:val="24"/>
                <w:highlight w:val="none"/>
                <w:u w:val="none"/>
                <w:lang w:val="en-US" w:eastAsia="zh-CN" w:bidi="ar-SA"/>
              </w:rPr>
            </w:pPr>
            <w:r>
              <w:rPr>
                <w:rFonts w:hint="eastAsia" w:ascii="Times New Roman" w:hAnsi="Times New Roman" w:eastAsia="宋体" w:cs="Times New Roman"/>
                <w:bCs/>
                <w:strike w:val="0"/>
                <w:dstrike w:val="0"/>
                <w:color w:val="auto"/>
                <w:kern w:val="2"/>
                <w:sz w:val="24"/>
                <w:szCs w:val="24"/>
                <w:highlight w:val="none"/>
                <w:u w:val="none"/>
                <w:lang w:val="en-US" w:eastAsia="zh-CN" w:bidi="ar-SA"/>
              </w:rPr>
              <w:t>澧县天成包装材料有限公司在</w:t>
            </w:r>
            <w:r>
              <w:rPr>
                <w:rFonts w:hint="eastAsia" w:cs="Times New Roman"/>
                <w:bCs/>
                <w:strike w:val="0"/>
                <w:dstrike w:val="0"/>
                <w:color w:val="auto"/>
                <w:kern w:val="2"/>
                <w:sz w:val="24"/>
                <w:szCs w:val="24"/>
                <w:highlight w:val="none"/>
                <w:u w:val="none"/>
                <w:lang w:val="en-US" w:eastAsia="zh-CN" w:bidi="ar-SA"/>
              </w:rPr>
              <w:t>澧县经济开发区创新创业园建设了纸管加工建设项目</w:t>
            </w:r>
            <w:r>
              <w:rPr>
                <w:rFonts w:hint="eastAsia" w:ascii="Times New Roman" w:hAnsi="Times New Roman" w:eastAsia="宋体" w:cs="Times New Roman"/>
                <w:bCs/>
                <w:strike w:val="0"/>
                <w:dstrike w:val="0"/>
                <w:color w:val="auto"/>
                <w:kern w:val="2"/>
                <w:sz w:val="24"/>
                <w:szCs w:val="24"/>
                <w:highlight w:val="none"/>
                <w:u w:val="none"/>
                <w:lang w:val="en-US" w:eastAsia="zh-CN" w:bidi="ar-SA"/>
              </w:rPr>
              <w:t>，</w:t>
            </w:r>
            <w:r>
              <w:rPr>
                <w:rFonts w:hint="eastAsia" w:cs="Times New Roman"/>
                <w:bCs/>
                <w:strike w:val="0"/>
                <w:dstrike w:val="0"/>
                <w:color w:val="auto"/>
                <w:kern w:val="2"/>
                <w:sz w:val="24"/>
                <w:szCs w:val="24"/>
                <w:highlight w:val="none"/>
                <w:u w:val="none"/>
                <w:lang w:val="en-US" w:eastAsia="zh-CN" w:bidi="ar-SA"/>
              </w:rPr>
              <w:t>总投资450万元</w:t>
            </w:r>
            <w:r>
              <w:rPr>
                <w:rFonts w:hint="eastAsia" w:ascii="Times New Roman" w:hAnsi="Times New Roman" w:eastAsia="宋体" w:cs="Times New Roman"/>
                <w:bCs/>
                <w:strike w:val="0"/>
                <w:dstrike w:val="0"/>
                <w:color w:val="auto"/>
                <w:kern w:val="2"/>
                <w:sz w:val="24"/>
                <w:szCs w:val="24"/>
                <w:highlight w:val="none"/>
                <w:u w:val="none"/>
                <w:lang w:val="en-US" w:eastAsia="zh-CN" w:bidi="ar-SA"/>
              </w:rPr>
              <w:t>，</w:t>
            </w:r>
            <w:r>
              <w:rPr>
                <w:rFonts w:hint="eastAsia" w:cs="Times New Roman"/>
                <w:bCs/>
                <w:strike w:val="0"/>
                <w:dstrike w:val="0"/>
                <w:color w:val="auto"/>
                <w:kern w:val="2"/>
                <w:sz w:val="24"/>
                <w:szCs w:val="24"/>
                <w:highlight w:val="none"/>
                <w:u w:val="none"/>
                <w:lang w:val="en-US" w:eastAsia="zh-CN" w:bidi="ar-SA"/>
              </w:rPr>
              <w:t>建筑面积3000</w:t>
            </w:r>
            <w:r>
              <w:rPr>
                <w:rFonts w:hint="eastAsia" w:ascii="Times New Roman" w:hAnsi="Times New Roman" w:eastAsia="宋体" w:cs="Times New Roman"/>
                <w:bCs/>
                <w:strike w:val="0"/>
                <w:dstrike w:val="0"/>
                <w:color w:val="auto"/>
                <w:kern w:val="2"/>
                <w:sz w:val="24"/>
                <w:szCs w:val="24"/>
                <w:highlight w:val="none"/>
                <w:u w:val="none"/>
                <w:lang w:val="en-US" w:eastAsia="zh-CN" w:bidi="ar-SA"/>
              </w:rPr>
              <w:t>m</w:t>
            </w:r>
            <w:r>
              <w:rPr>
                <w:rFonts w:hint="eastAsia" w:ascii="Times New Roman" w:hAnsi="Times New Roman" w:eastAsia="宋体" w:cs="Times New Roman"/>
                <w:bCs/>
                <w:strike w:val="0"/>
                <w:dstrike w:val="0"/>
                <w:color w:val="auto"/>
                <w:kern w:val="2"/>
                <w:sz w:val="24"/>
                <w:szCs w:val="24"/>
                <w:highlight w:val="none"/>
                <w:u w:val="none"/>
                <w:vertAlign w:val="superscript"/>
                <w:lang w:val="en-US" w:eastAsia="zh-CN" w:bidi="ar-SA"/>
              </w:rPr>
              <w:t>2</w:t>
            </w:r>
            <w:r>
              <w:rPr>
                <w:rFonts w:hint="eastAsia" w:ascii="Times New Roman" w:hAnsi="Times New Roman" w:eastAsia="宋体" w:cs="Times New Roman"/>
                <w:bCs/>
                <w:strike w:val="0"/>
                <w:dstrike w:val="0"/>
                <w:color w:val="auto"/>
                <w:kern w:val="2"/>
                <w:sz w:val="24"/>
                <w:szCs w:val="24"/>
                <w:highlight w:val="none"/>
                <w:u w:val="none"/>
                <w:lang w:val="en-US" w:eastAsia="zh-CN" w:bidi="ar-SA"/>
              </w:rPr>
              <w:t>，</w:t>
            </w:r>
            <w:r>
              <w:rPr>
                <w:rFonts w:hint="eastAsia" w:cs="Times New Roman"/>
                <w:bCs/>
                <w:strike w:val="0"/>
                <w:dstrike w:val="0"/>
                <w:color w:val="auto"/>
                <w:kern w:val="2"/>
                <w:sz w:val="24"/>
                <w:szCs w:val="24"/>
                <w:highlight w:val="none"/>
                <w:u w:val="none"/>
                <w:lang w:val="en-US" w:eastAsia="zh-CN" w:bidi="ar-SA"/>
              </w:rPr>
              <w:t>生产产品约8000t/a。</w:t>
            </w:r>
            <w:r>
              <w:rPr>
                <w:rFonts w:hint="eastAsia" w:ascii="Times New Roman" w:hAnsi="Times New Roman" w:eastAsia="宋体" w:cs="Times New Roman"/>
                <w:bCs/>
                <w:strike w:val="0"/>
                <w:dstrike w:val="0"/>
                <w:color w:val="auto"/>
                <w:kern w:val="2"/>
                <w:sz w:val="24"/>
                <w:szCs w:val="24"/>
                <w:highlight w:val="none"/>
                <w:u w:val="none"/>
                <w:lang w:val="en-US" w:eastAsia="zh-CN" w:bidi="ar-SA"/>
              </w:rPr>
              <w:t>主要内容分为</w:t>
            </w:r>
            <w:r>
              <w:rPr>
                <w:rFonts w:hint="eastAsia" w:cs="Times New Roman"/>
                <w:bCs/>
                <w:strike w:val="0"/>
                <w:dstrike w:val="0"/>
                <w:color w:val="auto"/>
                <w:kern w:val="2"/>
                <w:sz w:val="24"/>
                <w:szCs w:val="24"/>
                <w:highlight w:val="none"/>
                <w:u w:val="none"/>
                <w:lang w:val="en-US" w:eastAsia="zh-CN" w:bidi="ar-SA"/>
              </w:rPr>
              <w:t>生产区、产品堆放区、原料堆放区、办公区</w:t>
            </w:r>
            <w:r>
              <w:rPr>
                <w:rFonts w:hint="eastAsia" w:ascii="Times New Roman" w:hAnsi="Times New Roman" w:eastAsia="宋体" w:cs="Times New Roman"/>
                <w:bCs/>
                <w:strike w:val="0"/>
                <w:dstrike w:val="0"/>
                <w:color w:val="auto"/>
                <w:kern w:val="2"/>
                <w:sz w:val="24"/>
                <w:szCs w:val="24"/>
                <w:highlight w:val="none"/>
                <w:u w:val="none"/>
                <w:lang w:val="en-US" w:eastAsia="zh-CN" w:bidi="ar-SA"/>
              </w:rPr>
              <w:t>等。</w:t>
            </w:r>
            <w:r>
              <w:rPr>
                <w:rFonts w:hint="eastAsia" w:cs="Times New Roman"/>
                <w:bCs/>
                <w:strike w:val="0"/>
                <w:dstrike w:val="0"/>
                <w:color w:val="auto"/>
                <w:kern w:val="2"/>
                <w:sz w:val="24"/>
                <w:szCs w:val="24"/>
                <w:highlight w:val="none"/>
                <w:u w:val="none"/>
                <w:lang w:val="en-US" w:eastAsia="zh-CN" w:bidi="ar-SA"/>
              </w:rPr>
              <w:t>项目于2016年11月建设，于2017年2月进行生产</w:t>
            </w:r>
            <w:r>
              <w:rPr>
                <w:rFonts w:hint="eastAsia" w:ascii="Times New Roman" w:hAnsi="Times New Roman" w:eastAsia="宋体" w:cs="Times New Roman"/>
                <w:bCs/>
                <w:strike w:val="0"/>
                <w:dstrike w:val="0"/>
                <w:color w:val="auto"/>
                <w:kern w:val="2"/>
                <w:sz w:val="24"/>
                <w:szCs w:val="24"/>
                <w:highlight w:val="none"/>
                <w:u w:val="none"/>
                <w:lang w:val="en-US" w:eastAsia="zh-CN" w:bidi="ar-SA"/>
              </w:rPr>
              <w:t>。</w:t>
            </w:r>
          </w:p>
          <w:p>
            <w:pPr>
              <w:pStyle w:val="111"/>
              <w:ind w:firstLine="480"/>
              <w:rPr>
                <w:color w:val="auto"/>
                <w:sz w:val="24"/>
                <w:szCs w:val="24"/>
                <w:highlight w:val="none"/>
                <w:u w:val="none"/>
              </w:rPr>
            </w:pPr>
            <w:r>
              <w:rPr>
                <w:rFonts w:hint="eastAsia" w:cs="Times New Roman"/>
                <w:bCs/>
                <w:strike w:val="0"/>
                <w:dstrike w:val="0"/>
                <w:color w:val="auto"/>
                <w:sz w:val="24"/>
                <w:szCs w:val="24"/>
                <w:highlight w:val="none"/>
                <w:u w:val="none"/>
                <w:lang w:val="en-US" w:eastAsia="zh-CN"/>
              </w:rPr>
              <w:t>《纸管加工建设项目环境影响登记表》于2016年10月25日由澧县环境保护局进行备案，备案文号为澧环审（备）[2016]17号（批复见附件），与2017年7月4日完成</w:t>
            </w:r>
            <w:r>
              <w:rPr>
                <w:rFonts w:hint="eastAsia" w:ascii="Times New Roman" w:hAnsi="Times New Roman" w:eastAsia="宋体" w:cs="Times New Roman"/>
                <w:bCs/>
                <w:strike w:val="0"/>
                <w:dstrike w:val="0"/>
                <w:color w:val="auto"/>
                <w:kern w:val="2"/>
                <w:sz w:val="24"/>
                <w:szCs w:val="24"/>
                <w:highlight w:val="none"/>
                <w:u w:val="none"/>
                <w:lang w:val="en-US" w:eastAsia="zh-CN" w:bidi="ar-SA"/>
              </w:rPr>
              <w:t>澧县天成包装材料有限公司</w:t>
            </w:r>
            <w:r>
              <w:rPr>
                <w:rFonts w:hint="eastAsia" w:cs="Times New Roman"/>
                <w:bCs/>
                <w:strike w:val="0"/>
                <w:dstrike w:val="0"/>
                <w:color w:val="auto"/>
                <w:kern w:val="2"/>
                <w:sz w:val="24"/>
                <w:szCs w:val="24"/>
                <w:highlight w:val="none"/>
                <w:u w:val="none"/>
                <w:lang w:val="en-US" w:eastAsia="zh-CN" w:bidi="ar-SA"/>
              </w:rPr>
              <w:t>纸管加工建设项目竣工环境保护验收申请登记</w:t>
            </w:r>
            <w:r>
              <w:rPr>
                <w:rFonts w:hint="eastAsia" w:cs="Times New Roman"/>
                <w:bCs/>
                <w:strike w:val="0"/>
                <w:dstrike w:val="0"/>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2）原有项目产品方案</w:t>
            </w:r>
          </w:p>
          <w:p>
            <w:pPr>
              <w:pStyle w:val="36"/>
              <w:spacing w:line="240" w:lineRule="auto"/>
              <w:jc w:val="center"/>
              <w:rPr>
                <w:rFonts w:ascii="Times New Roman" w:hAnsi="Times New Roman" w:cs="Times New Roman"/>
                <w:b/>
                <w:bCs/>
                <w:color w:val="auto"/>
                <w:sz w:val="21"/>
                <w:szCs w:val="21"/>
                <w:u w:val="none"/>
                <w:lang w:val="en-GB"/>
              </w:rPr>
            </w:pPr>
            <w:r>
              <w:rPr>
                <w:rFonts w:ascii="Times New Roman" w:hAnsi="Times New Roman" w:cs="Times New Roman"/>
                <w:b/>
                <w:bCs/>
                <w:color w:val="auto"/>
                <w:sz w:val="21"/>
                <w:szCs w:val="21"/>
                <w:u w:val="none"/>
                <w:lang w:val="en-GB"/>
              </w:rPr>
              <w:t>表</w:t>
            </w:r>
            <w:r>
              <w:rPr>
                <w:rFonts w:ascii="Times New Roman" w:hAnsi="Times New Roman" w:cs="Times New Roman"/>
                <w:b/>
                <w:bCs/>
                <w:color w:val="auto"/>
                <w:sz w:val="21"/>
                <w:szCs w:val="21"/>
                <w:u w:val="none"/>
              </w:rPr>
              <w:t xml:space="preserve"> 2-</w:t>
            </w:r>
            <w:r>
              <w:rPr>
                <w:rFonts w:hint="eastAsia" w:ascii="Times New Roman" w:cs="Times New Roman"/>
                <w:b/>
                <w:bCs/>
                <w:color w:val="auto"/>
                <w:sz w:val="21"/>
                <w:szCs w:val="21"/>
                <w:u w:val="none"/>
                <w:lang w:val="en-US" w:eastAsia="zh-CN"/>
              </w:rPr>
              <w:t>6</w:t>
            </w:r>
            <w:r>
              <w:rPr>
                <w:rFonts w:ascii="Times New Roman" w:hAnsi="Times New Roman" w:cs="Times New Roman"/>
                <w:b/>
                <w:bCs/>
                <w:color w:val="auto"/>
                <w:sz w:val="21"/>
                <w:szCs w:val="21"/>
                <w:u w:val="none"/>
                <w:lang w:val="en-GB"/>
              </w:rPr>
              <w:t xml:space="preserve"> 产品方案一览表</w:t>
            </w:r>
          </w:p>
          <w:tbl>
            <w:tblPr>
              <w:tblStyle w:val="28"/>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98"/>
              <w:gridCol w:w="3888"/>
              <w:gridCol w:w="23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021"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序号</w:t>
                  </w:r>
                </w:p>
              </w:tc>
              <w:tc>
                <w:tcPr>
                  <w:tcW w:w="2484"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产品</w:t>
                  </w:r>
                </w:p>
              </w:tc>
              <w:tc>
                <w:tcPr>
                  <w:tcW w:w="1493"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规模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21" w:type="pct"/>
                  <w:tcBorders>
                    <w:tl2br w:val="nil"/>
                    <w:tr2bl w:val="nil"/>
                  </w:tcBorders>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484" w:type="pct"/>
                  <w:tcBorders>
                    <w:tl2br w:val="nil"/>
                    <w:tr2bl w:val="nil"/>
                  </w:tcBorders>
                  <w:vAlign w:val="center"/>
                </w:tcPr>
                <w:p>
                  <w:pPr>
                    <w:snapToGrid w:val="0"/>
                    <w:jc w:val="center"/>
                    <w:rPr>
                      <w:rFonts w:hint="default"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eastAsia="宋体" w:cs="Times New Roman"/>
                      <w:sz w:val="21"/>
                      <w:szCs w:val="21"/>
                      <w:u w:val="none"/>
                      <w:lang w:val="en-US" w:eastAsia="zh-CN"/>
                    </w:rPr>
                    <w:t>FDY纸管</w:t>
                  </w:r>
                </w:p>
              </w:tc>
              <w:tc>
                <w:tcPr>
                  <w:tcW w:w="1493" w:type="pct"/>
                  <w:tcBorders>
                    <w:tl2br w:val="nil"/>
                    <w:tr2bl w:val="nil"/>
                  </w:tcBorders>
                  <w:vAlign w:val="center"/>
                </w:tcPr>
                <w:p>
                  <w:pPr>
                    <w:snapToGrid w:val="0"/>
                    <w:jc w:val="center"/>
                    <w:rPr>
                      <w:rFonts w:hint="default" w:ascii="Times New Roman" w:hAnsi="Times New Roman" w:cs="Times New Roman"/>
                      <w:color w:val="000000" w:themeColor="text1"/>
                      <w:sz w:val="21"/>
                      <w:szCs w:val="21"/>
                      <w:u w:val="none"/>
                      <w:lang w:val="en-US"/>
                      <w14:textFill>
                        <w14:solidFill>
                          <w14:schemeClr w14:val="tx1"/>
                        </w14:solidFill>
                      </w14:textFill>
                    </w:rPr>
                  </w:pPr>
                  <w:r>
                    <w:rPr>
                      <w:rFonts w:hint="eastAsia" w:cs="Times New Roman"/>
                      <w:sz w:val="21"/>
                      <w:szCs w:val="21"/>
                      <w:u w:val="none"/>
                      <w:lang w:val="en-US" w:eastAsia="zh-CN"/>
                    </w:rPr>
                    <w:t>5000</w:t>
                  </w:r>
                  <w:r>
                    <w:rPr>
                      <w:rFonts w:hint="default" w:ascii="Times New Roman" w:hAnsi="Times New Roman" w:cs="Times New Roman"/>
                      <w:sz w:val="21"/>
                      <w:szCs w:val="21"/>
                      <w:u w:val="none"/>
                      <w:lang w:val="en-US" w:eastAsia="zh-CN"/>
                    </w:rPr>
                    <w:t>万只</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3）原辅材料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表2-</w:t>
            </w:r>
            <w:r>
              <w:rPr>
                <w:rFonts w:hint="eastAsia" w:cs="Times New Roman"/>
                <w:b/>
                <w:bCs w:val="0"/>
                <w:strike w:val="0"/>
                <w:dstrike w:val="0"/>
                <w:color w:val="auto"/>
                <w:sz w:val="21"/>
                <w:szCs w:val="21"/>
                <w:highlight w:val="none"/>
                <w:u w:val="none"/>
                <w:lang w:val="en-US" w:eastAsia="zh-CN"/>
              </w:rPr>
              <w:t>7 原有项目</w:t>
            </w:r>
            <w:r>
              <w:rPr>
                <w:rFonts w:hint="eastAsia" w:ascii="Times New Roman" w:hAnsi="Times New Roman" w:eastAsia="宋体" w:cs="Times New Roman"/>
                <w:b/>
                <w:bCs w:val="0"/>
                <w:strike w:val="0"/>
                <w:dstrike w:val="0"/>
                <w:color w:val="auto"/>
                <w:sz w:val="21"/>
                <w:szCs w:val="21"/>
                <w:highlight w:val="none"/>
                <w:u w:val="none"/>
                <w:lang w:val="en-US" w:eastAsia="zh-CN"/>
              </w:rPr>
              <w:t>原辅材料消耗汇总表</w:t>
            </w:r>
          </w:p>
          <w:tbl>
            <w:tblPr>
              <w:tblStyle w:val="28"/>
              <w:tblW w:w="497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735"/>
              <w:gridCol w:w="868"/>
              <w:gridCol w:w="1203"/>
              <w:gridCol w:w="1564"/>
              <w:gridCol w:w="1592"/>
              <w:gridCol w:w="1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PrEx>
              <w:tc>
                <w:tcPr>
                  <w:tcW w:w="472" w:type="pct"/>
                  <w:tcBorders>
                    <w:top w:val="single" w:color="auto" w:sz="8" w:space="0"/>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序 号</w:t>
                  </w:r>
                </w:p>
              </w:tc>
              <w:tc>
                <w:tcPr>
                  <w:tcW w:w="558" w:type="pct"/>
                  <w:tcBorders>
                    <w:top w:val="single" w:color="auto" w:sz="8" w:space="0"/>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类别</w:t>
                  </w:r>
                </w:p>
              </w:tc>
              <w:tc>
                <w:tcPr>
                  <w:tcW w:w="77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名称</w:t>
                  </w:r>
                </w:p>
              </w:tc>
              <w:tc>
                <w:tcPr>
                  <w:tcW w:w="1005"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总用量</w:t>
                  </w:r>
                  <w:r>
                    <w:rPr>
                      <w:rFonts w:hint="default" w:ascii="Times New Roman" w:hAnsi="Times New Roman" w:cs="Times New Roman"/>
                      <w:u w:val="none"/>
                      <w:lang w:eastAsia="zh-CN"/>
                    </w:rPr>
                    <w:t>（</w:t>
                  </w:r>
                  <w:r>
                    <w:rPr>
                      <w:rFonts w:hint="default" w:ascii="Times New Roman" w:hAnsi="Times New Roman" w:cs="Times New Roman"/>
                      <w:u w:val="none"/>
                    </w:rPr>
                    <w:t>t/a</w:t>
                  </w:r>
                  <w:r>
                    <w:rPr>
                      <w:rFonts w:hint="default" w:ascii="Times New Roman" w:hAnsi="Times New Roman" w:cs="Times New Roman"/>
                      <w:u w:val="none"/>
                      <w:lang w:eastAsia="zh-CN"/>
                    </w:rPr>
                    <w:t>）</w:t>
                  </w:r>
                </w:p>
              </w:tc>
              <w:tc>
                <w:tcPr>
                  <w:tcW w:w="102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储存方式</w:t>
                  </w:r>
                </w:p>
              </w:tc>
              <w:tc>
                <w:tcPr>
                  <w:tcW w:w="1165" w:type="pct"/>
                  <w:tcBorders>
                    <w:top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top w:val="single" w:color="auto" w:sz="8" w:space="0"/>
                    <w:left w:val="single" w:color="auto" w:sz="4" w:space="0"/>
                  </w:tcBorders>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1</w:t>
                  </w:r>
                </w:p>
              </w:tc>
              <w:tc>
                <w:tcPr>
                  <w:tcW w:w="558" w:type="pct"/>
                  <w:vMerge w:val="restart"/>
                  <w:tcBorders>
                    <w:top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原辅材料</w:t>
                  </w:r>
                </w:p>
              </w:tc>
              <w:tc>
                <w:tcPr>
                  <w:tcW w:w="77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val="en-US" w:eastAsia="zh-CN"/>
                    </w:rPr>
                    <w:t>纱管纸</w:t>
                  </w:r>
                </w:p>
              </w:tc>
              <w:tc>
                <w:tcPr>
                  <w:tcW w:w="1005"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eastAsia" w:cs="Times New Roman"/>
                      <w:u w:val="none"/>
                      <w:lang w:val="en-US" w:eastAsia="zh-CN"/>
                    </w:rPr>
                    <w:t>8000</w:t>
                  </w:r>
                  <w:r>
                    <w:rPr>
                      <w:rFonts w:hint="default" w:ascii="Times New Roman" w:hAnsi="Times New Roman" w:eastAsia="宋体" w:cs="Times New Roman"/>
                      <w:u w:val="none"/>
                      <w:lang w:val="en-US" w:eastAsia="zh-CN"/>
                    </w:rPr>
                    <w:t>吨</w:t>
                  </w:r>
                </w:p>
              </w:tc>
              <w:tc>
                <w:tcPr>
                  <w:tcW w:w="102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打包成捆</w:t>
                  </w:r>
                </w:p>
              </w:tc>
              <w:tc>
                <w:tcPr>
                  <w:tcW w:w="1165" w:type="pct"/>
                  <w:tcBorders>
                    <w:top w:val="single" w:color="auto" w:sz="8" w:space="0"/>
                    <w:bottom w:val="single" w:color="auto" w:sz="8" w:space="0"/>
                    <w:right w:val="single" w:color="auto" w:sz="8" w:space="0"/>
                  </w:tcBorders>
                  <w:vAlign w:val="center"/>
                </w:tcPr>
                <w:p>
                  <w:pPr>
                    <w:snapToGrid w:val="0"/>
                    <w:jc w:val="center"/>
                    <w:rPr>
                      <w:rFonts w:hint="default" w:ascii="Times New Roman" w:hAnsi="Times New Roman" w:cs="Times New Roman"/>
                      <w:color w:val="auto"/>
                      <w:u w:val="none"/>
                    </w:rPr>
                  </w:pPr>
                  <w:r>
                    <w:rPr>
                      <w:rFonts w:hint="default" w:ascii="Times New Roman" w:hAnsi="Times New Roman" w:cs="Times New Roman"/>
                      <w:u w:val="none"/>
                      <w:lang w:val="en-US" w:eastAsia="zh-CN"/>
                    </w:rPr>
                    <w:t>厂家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tcBorders>
                    <w:left w:val="single" w:color="auto" w:sz="4" w:space="0"/>
                  </w:tcBorders>
                  <w:vAlign w:val="center"/>
                </w:tcPr>
                <w:p>
                  <w:pPr>
                    <w:tabs>
                      <w:tab w:val="center" w:pos="348"/>
                      <w:tab w:val="left" w:pos="530"/>
                    </w:tabs>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eastAsia="宋体" w:cs="Times New Roman"/>
                      <w:color w:val="000000" w:themeColor="text1"/>
                      <w:u w:val="none"/>
                      <w:lang w:val="en-US" w:eastAsia="zh-CN"/>
                      <w14:textFill>
                        <w14:solidFill>
                          <w14:schemeClr w14:val="tx1"/>
                        </w14:solidFill>
                      </w14:textFill>
                    </w:rPr>
                    <w:t>2</w:t>
                  </w:r>
                </w:p>
              </w:tc>
              <w:tc>
                <w:tcPr>
                  <w:tcW w:w="558" w:type="pct"/>
                  <w:vMerge w:val="continue"/>
                  <w:vAlign w:val="center"/>
                </w:tcPr>
                <w:p>
                  <w:pPr>
                    <w:jc w:val="center"/>
                    <w:rPr>
                      <w:rFonts w:hint="default" w:ascii="Times New Roman" w:hAnsi="Times New Roman" w:cs="Times New Roman"/>
                      <w:color w:val="000000" w:themeColor="text1"/>
                      <w:u w:val="none"/>
                      <w:lang w:eastAsia="zh-CN"/>
                      <w14:textFill>
                        <w14:solidFill>
                          <w14:schemeClr w14:val="tx1"/>
                        </w14:solidFill>
                      </w14:textFill>
                    </w:rPr>
                  </w:pPr>
                </w:p>
              </w:tc>
              <w:tc>
                <w:tcPr>
                  <w:tcW w:w="77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val="en-US" w:eastAsia="zh-CN"/>
                    </w:rPr>
                    <w:t>纸管胶</w:t>
                  </w:r>
                </w:p>
              </w:tc>
              <w:tc>
                <w:tcPr>
                  <w:tcW w:w="1005"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val="en-US" w:eastAsia="zh-CN"/>
                    </w:rPr>
                  </w:pPr>
                  <w:r>
                    <w:rPr>
                      <w:rFonts w:hint="eastAsia" w:cs="Times New Roman"/>
                      <w:u w:val="none"/>
                      <w:lang w:val="en-US" w:eastAsia="zh-CN"/>
                    </w:rPr>
                    <w:t>800</w:t>
                  </w:r>
                  <w:r>
                    <w:rPr>
                      <w:rFonts w:hint="default" w:ascii="Times New Roman" w:hAnsi="Times New Roman" w:eastAsia="宋体" w:cs="Times New Roman"/>
                      <w:u w:val="none"/>
                      <w:lang w:val="en-US" w:eastAsia="zh-CN"/>
                    </w:rPr>
                    <w:t>吨</w:t>
                  </w:r>
                </w:p>
              </w:tc>
              <w:tc>
                <w:tcPr>
                  <w:tcW w:w="1023" w:type="pct"/>
                  <w:tcBorders>
                    <w:top w:val="single" w:color="auto" w:sz="8" w:space="0"/>
                    <w:bottom w:val="single" w:color="auto" w:sz="8" w:space="0"/>
                  </w:tcBorders>
                  <w:vAlign w:val="center"/>
                </w:tcPr>
                <w:p>
                  <w:pPr>
                    <w:snapToGrid w:val="0"/>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桶装</w:t>
                  </w:r>
                </w:p>
              </w:tc>
              <w:tc>
                <w:tcPr>
                  <w:tcW w:w="1165" w:type="pct"/>
                  <w:tcBorders>
                    <w:top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u w:val="none"/>
                      <w:lang w:eastAsia="zh-CN"/>
                    </w:rPr>
                  </w:pPr>
                  <w:r>
                    <w:rPr>
                      <w:rFonts w:hint="default" w:ascii="Times New Roman" w:hAnsi="Times New Roman" w:cs="Times New Roman"/>
                      <w:u w:val="none"/>
                      <w:lang w:val="en-US" w:eastAsia="zh-CN"/>
                    </w:rPr>
                    <w:t>厂家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vMerge w:val="restart"/>
                  <w:tcBorders>
                    <w:top w:val="single" w:color="auto" w:sz="8" w:space="0"/>
                    <w:left w:val="single" w:color="auto" w:sz="4" w:space="0"/>
                  </w:tcBorders>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eastAsia" w:cs="Times New Roman"/>
                      <w:color w:val="000000" w:themeColor="text1"/>
                      <w:u w:val="none"/>
                      <w:lang w:val="en-US" w:eastAsia="zh-CN"/>
                      <w14:textFill>
                        <w14:solidFill>
                          <w14:schemeClr w14:val="tx1"/>
                        </w14:solidFill>
                      </w14:textFill>
                    </w:rPr>
                    <w:t>3</w:t>
                  </w:r>
                </w:p>
              </w:tc>
              <w:tc>
                <w:tcPr>
                  <w:tcW w:w="558" w:type="pct"/>
                  <w:vMerge w:val="restart"/>
                  <w:tcBorders>
                    <w:top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能源</w:t>
                  </w:r>
                </w:p>
              </w:tc>
              <w:tc>
                <w:tcPr>
                  <w:tcW w:w="77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电</w:t>
                  </w:r>
                </w:p>
              </w:tc>
              <w:tc>
                <w:tcPr>
                  <w:tcW w:w="1005"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eastAsia" w:cs="Times New Roman"/>
                      <w:u w:val="none"/>
                      <w:lang w:val="en-US" w:eastAsia="zh-CN"/>
                    </w:rPr>
                    <w:t>120</w:t>
                  </w:r>
                  <w:r>
                    <w:rPr>
                      <w:rFonts w:hint="default" w:ascii="Times New Roman" w:hAnsi="Times New Roman" w:cs="Times New Roman"/>
                      <w:u w:val="none"/>
                    </w:rPr>
                    <w:t>万KW·h/年</w:t>
                  </w:r>
                </w:p>
              </w:tc>
              <w:tc>
                <w:tcPr>
                  <w:tcW w:w="102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w:t>
                  </w:r>
                </w:p>
              </w:tc>
              <w:tc>
                <w:tcPr>
                  <w:tcW w:w="1165" w:type="pct"/>
                  <w:tcBorders>
                    <w:top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u w:val="none"/>
                      <w:lang w:eastAsia="zh-CN"/>
                    </w:rPr>
                  </w:pPr>
                  <w:r>
                    <w:rPr>
                      <w:rFonts w:hint="default" w:ascii="Times New Roman" w:hAnsi="Times New Roman" w:cs="Times New Roman"/>
                      <w:u w:val="none"/>
                      <w:lang w:eastAsia="zh-CN"/>
                    </w:rPr>
                    <w:t>市政电网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2" w:type="pct"/>
                  <w:vMerge w:val="continue"/>
                  <w:tcBorders>
                    <w:left w:val="single" w:color="auto" w:sz="4" w:space="0"/>
                    <w:bottom w:val="single" w:color="auto" w:sz="8" w:space="0"/>
                  </w:tcBorders>
                  <w:vAlign w:val="center"/>
                </w:tcPr>
                <w:p>
                  <w:pPr>
                    <w:jc w:val="center"/>
                    <w:rPr>
                      <w:rFonts w:hint="eastAsia" w:cs="Times New Roman"/>
                      <w:color w:val="000000" w:themeColor="text1"/>
                      <w:u w:val="none"/>
                      <w:lang w:val="en-US" w:eastAsia="zh-CN"/>
                      <w14:textFill>
                        <w14:solidFill>
                          <w14:schemeClr w14:val="tx1"/>
                        </w14:solidFill>
                      </w14:textFill>
                    </w:rPr>
                  </w:pPr>
                </w:p>
              </w:tc>
              <w:tc>
                <w:tcPr>
                  <w:tcW w:w="558" w:type="pct"/>
                  <w:vMerge w:val="continue"/>
                  <w:tcBorders>
                    <w:bottom w:val="single" w:color="auto" w:sz="8" w:space="0"/>
                  </w:tcBorders>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773" w:type="pct"/>
                  <w:tcBorders>
                    <w:top w:val="single" w:color="auto" w:sz="8" w:space="0"/>
                    <w:bottom w:val="single" w:color="auto" w:sz="8" w:space="0"/>
                  </w:tcBorders>
                  <w:vAlign w:val="center"/>
                </w:tcPr>
                <w:p>
                  <w:pPr>
                    <w:jc w:val="center"/>
                    <w:rPr>
                      <w:rFonts w:hint="eastAsia" w:ascii="Times New Roman" w:hAnsi="Times New Roman" w:eastAsia="宋体" w:cs="Times New Roman"/>
                      <w:u w:val="none"/>
                      <w:lang w:eastAsia="zh-CN"/>
                    </w:rPr>
                  </w:pPr>
                  <w:r>
                    <w:rPr>
                      <w:rFonts w:hint="eastAsia" w:cs="Times New Roman"/>
                      <w:u w:val="none"/>
                      <w:lang w:eastAsia="zh-CN"/>
                    </w:rPr>
                    <w:t>水</w:t>
                  </w:r>
                </w:p>
              </w:tc>
              <w:tc>
                <w:tcPr>
                  <w:tcW w:w="1005" w:type="pct"/>
                  <w:tcBorders>
                    <w:top w:val="single" w:color="auto" w:sz="8" w:space="0"/>
                    <w:bottom w:val="single" w:color="auto" w:sz="8" w:space="0"/>
                  </w:tcBorders>
                  <w:vAlign w:val="center"/>
                </w:tcPr>
                <w:p>
                  <w:pPr>
                    <w:jc w:val="center"/>
                    <w:rPr>
                      <w:rFonts w:hint="default" w:cs="Times New Roman"/>
                      <w:u w:val="none"/>
                      <w:lang w:val="en-US" w:eastAsia="zh-CN"/>
                    </w:rPr>
                  </w:pPr>
                  <w:r>
                    <w:rPr>
                      <w:rFonts w:hint="eastAsia" w:cs="Times New Roman"/>
                      <w:u w:val="none"/>
                      <w:lang w:val="en-US" w:eastAsia="zh-CN"/>
                    </w:rPr>
                    <w:t>960t/a</w:t>
                  </w:r>
                </w:p>
              </w:tc>
              <w:tc>
                <w:tcPr>
                  <w:tcW w:w="1023" w:type="pct"/>
                  <w:tcBorders>
                    <w:top w:val="single" w:color="auto" w:sz="8" w:space="0"/>
                    <w:bottom w:val="single" w:color="auto" w:sz="8" w:space="0"/>
                  </w:tcBorders>
                  <w:vAlign w:val="center"/>
                </w:tcPr>
                <w:p>
                  <w:pPr>
                    <w:jc w:val="center"/>
                    <w:rPr>
                      <w:rFonts w:hint="default" w:ascii="Times New Roman" w:hAnsi="Times New Roman" w:cs="Times New Roman"/>
                      <w:u w:val="none"/>
                    </w:rPr>
                  </w:pPr>
                  <w:r>
                    <w:rPr>
                      <w:rFonts w:hint="default" w:ascii="Times New Roman" w:hAnsi="Times New Roman" w:cs="Times New Roman"/>
                      <w:u w:val="none"/>
                    </w:rPr>
                    <w:t>/</w:t>
                  </w:r>
                </w:p>
              </w:tc>
              <w:tc>
                <w:tcPr>
                  <w:tcW w:w="1165" w:type="pct"/>
                  <w:tcBorders>
                    <w:top w:val="single" w:color="auto" w:sz="8" w:space="0"/>
                    <w:bottom w:val="single" w:color="auto" w:sz="8" w:space="0"/>
                    <w:right w:val="single" w:color="auto" w:sz="8" w:space="0"/>
                  </w:tcBorders>
                  <w:vAlign w:val="center"/>
                </w:tcPr>
                <w:p>
                  <w:pPr>
                    <w:jc w:val="center"/>
                    <w:rPr>
                      <w:rFonts w:hint="default" w:ascii="Times New Roman" w:hAnsi="Times New Roman" w:cs="Times New Roman"/>
                      <w:u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4）原有项目生产设备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表2-</w:t>
            </w:r>
            <w:r>
              <w:rPr>
                <w:rFonts w:hint="eastAsia" w:cs="Times New Roman"/>
                <w:b/>
                <w:bCs w:val="0"/>
                <w:strike w:val="0"/>
                <w:dstrike w:val="0"/>
                <w:color w:val="auto"/>
                <w:sz w:val="21"/>
                <w:szCs w:val="21"/>
                <w:highlight w:val="none"/>
                <w:u w:val="none"/>
                <w:lang w:val="en-US" w:eastAsia="zh-CN"/>
              </w:rPr>
              <w:t>8</w:t>
            </w:r>
            <w:r>
              <w:rPr>
                <w:rFonts w:hint="eastAsia" w:ascii="Times New Roman" w:hAnsi="Times New Roman" w:eastAsia="宋体" w:cs="Times New Roman"/>
                <w:b/>
                <w:bCs w:val="0"/>
                <w:strike w:val="0"/>
                <w:dstrike w:val="0"/>
                <w:color w:val="auto"/>
                <w:sz w:val="21"/>
                <w:szCs w:val="21"/>
                <w:highlight w:val="none"/>
                <w:u w:val="none"/>
                <w:lang w:val="en-US" w:eastAsia="zh-CN"/>
              </w:rPr>
              <w:t xml:space="preserve"> 生产设备一览表</w:t>
            </w:r>
          </w:p>
          <w:tbl>
            <w:tblPr>
              <w:tblStyle w:val="28"/>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4"/>
              <w:gridCol w:w="1609"/>
              <w:gridCol w:w="798"/>
              <w:gridCol w:w="1022"/>
              <w:gridCol w:w="1859"/>
              <w:gridCol w:w="19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序号</w:t>
                  </w:r>
                </w:p>
              </w:tc>
              <w:tc>
                <w:tcPr>
                  <w:tcW w:w="1028"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设备名称</w:t>
                  </w:r>
                </w:p>
              </w:tc>
              <w:tc>
                <w:tcPr>
                  <w:tcW w:w="510"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数量</w:t>
                  </w:r>
                </w:p>
              </w:tc>
              <w:tc>
                <w:tcPr>
                  <w:tcW w:w="653"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单位</w:t>
                  </w:r>
                </w:p>
              </w:tc>
              <w:tc>
                <w:tcPr>
                  <w:tcW w:w="1187" w:type="pct"/>
                  <w:tcBorders>
                    <w:tl2br w:val="nil"/>
                    <w:tr2bl w:val="nil"/>
                  </w:tcBorders>
                  <w:vAlign w:val="center"/>
                </w:tcPr>
                <w:p>
                  <w:pPr>
                    <w:spacing w:line="240" w:lineRule="auto"/>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设备型号</w:t>
                  </w:r>
                </w:p>
              </w:tc>
              <w:tc>
                <w:tcPr>
                  <w:tcW w:w="1226" w:type="pct"/>
                  <w:tcBorders>
                    <w:tl2br w:val="nil"/>
                    <w:tr2bl w:val="nil"/>
                  </w:tcBorders>
                  <w:vAlign w:val="center"/>
                </w:tcPr>
                <w:p>
                  <w:pPr>
                    <w:snapToGrid w:val="0"/>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val="en-US" w:eastAsia="zh-CN"/>
                    </w:rPr>
                    <w:t>参数（如功率、长宽高等</w:t>
                  </w:r>
                  <w:r>
                    <w:rPr>
                      <w:rFonts w:hint="default" w:ascii="Times New Roman" w:hAnsi="Times New Roman" w:eastAsia="宋体" w:cs="Times New Roman"/>
                      <w:b w:val="0"/>
                      <w:bCs w:val="0"/>
                      <w:color w:val="auto"/>
                      <w:sz w:val="21"/>
                      <w:szCs w:val="21"/>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1</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高速分纸机</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FZ-BNC1.6</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u w:val="none"/>
                      <w:lang w:val="en-US" w:eastAsia="zh-CN"/>
                    </w:rPr>
                    <w:t>22KW,长3米宽3米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2</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纸管</w:t>
                  </w:r>
                  <w:r>
                    <w:rPr>
                      <w:rFonts w:hint="default" w:ascii="Times New Roman" w:hAnsi="Times New Roman" w:cs="Times New Roman"/>
                      <w:b w:val="0"/>
                      <w:bCs w:val="0"/>
                      <w:kern w:val="0"/>
                      <w:sz w:val="21"/>
                      <w:szCs w:val="21"/>
                      <w:u w:val="none"/>
                      <w:lang w:val="en-US" w:eastAsia="zh-CN"/>
                    </w:rPr>
                    <w:t>卷管</w:t>
                  </w:r>
                  <w:r>
                    <w:rPr>
                      <w:rFonts w:hint="default" w:ascii="Times New Roman" w:hAnsi="Times New Roman" w:cs="Times New Roman"/>
                      <w:b w:val="0"/>
                      <w:bCs w:val="0"/>
                      <w:kern w:val="0"/>
                      <w:sz w:val="21"/>
                      <w:szCs w:val="21"/>
                      <w:u w:val="none"/>
                      <w:lang w:val="zh-CN"/>
                    </w:rPr>
                    <w:t>机（DTY）</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LJT-4DNC(DTY)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val="en-US" w:eastAsia="zh-CN"/>
                    </w:rPr>
                    <w:t>22KW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3</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eastAsia" w:cs="Times New Roman"/>
                      <w:b w:val="0"/>
                      <w:bCs w:val="0"/>
                      <w:color w:val="000000" w:themeColor="text1"/>
                      <w:sz w:val="21"/>
                      <w:szCs w:val="21"/>
                      <w:u w:val="none"/>
                      <w:lang w:eastAsia="zh-CN"/>
                      <w14:textFill>
                        <w14:solidFill>
                          <w14:schemeClr w14:val="tx1"/>
                        </w14:solidFill>
                      </w14:textFill>
                    </w:rPr>
                    <w:t>生物质锅炉</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b/>
                      <w:bCs/>
                      <w:kern w:val="0"/>
                      <w:sz w:val="21"/>
                      <w:szCs w:val="21"/>
                      <w:u w:val="none"/>
                      <w:lang w:val="en-US" w:eastAsia="zh-CN"/>
                    </w:rPr>
                    <w:t>2</w:t>
                  </w:r>
                </w:p>
              </w:tc>
              <w:tc>
                <w:tcPr>
                  <w:tcW w:w="653" w:type="pct"/>
                  <w:tcBorders>
                    <w:tl2br w:val="nil"/>
                    <w:tr2bl w:val="nil"/>
                  </w:tcBorders>
                  <w:vAlign w:val="center"/>
                </w:tcPr>
                <w:p>
                  <w:pPr>
                    <w:jc w:val="center"/>
                    <w:rPr>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kern w:val="0"/>
                      <w:sz w:val="21"/>
                      <w:szCs w:val="21"/>
                      <w:u w:val="none"/>
                      <w:lang w:val="en-US" w:eastAsia="zh-CN"/>
                    </w:rPr>
                    <w:t>/</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eastAsia" w:cs="Times New Roman"/>
                      <w:b w:val="0"/>
                      <w:bCs w:val="0"/>
                      <w:color w:val="auto"/>
                      <w:kern w:val="0"/>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4</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DTY</w:t>
                  </w:r>
                  <w:r>
                    <w:rPr>
                      <w:rFonts w:hint="default" w:ascii="Times New Roman" w:hAnsi="Times New Roman" w:cs="Times New Roman"/>
                      <w:b w:val="0"/>
                      <w:bCs w:val="0"/>
                      <w:kern w:val="0"/>
                      <w:sz w:val="21"/>
                      <w:szCs w:val="21"/>
                      <w:u w:val="none"/>
                      <w:lang w:val="en-US" w:eastAsia="zh-CN"/>
                    </w:rPr>
                    <w:t>磨头</w:t>
                  </w:r>
                  <w:r>
                    <w:rPr>
                      <w:rFonts w:hint="default" w:ascii="Times New Roman" w:hAnsi="Times New Roman" w:cs="Times New Roman"/>
                      <w:b w:val="0"/>
                      <w:bCs w:val="0"/>
                      <w:kern w:val="0"/>
                      <w:sz w:val="21"/>
                      <w:szCs w:val="21"/>
                      <w:u w:val="none"/>
                      <w:lang w:val="zh-CN"/>
                    </w:rPr>
                    <w:t>生产线</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HL-SCXDTY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u w:val="none"/>
                      <w:lang w:val="en-US" w:eastAsia="zh-CN"/>
                    </w:rPr>
                    <w:t>电机8KW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5</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cs="Times New Roman"/>
                      <w:b w:val="0"/>
                      <w:bCs w:val="0"/>
                      <w:kern w:val="0"/>
                      <w:sz w:val="21"/>
                      <w:szCs w:val="21"/>
                      <w:u w:val="none"/>
                      <w:lang w:val="zh-CN"/>
                    </w:rPr>
                    <w:t>纸管</w:t>
                  </w:r>
                  <w:r>
                    <w:rPr>
                      <w:rFonts w:hint="default" w:ascii="Times New Roman" w:hAnsi="Times New Roman" w:cs="Times New Roman"/>
                      <w:b w:val="0"/>
                      <w:bCs w:val="0"/>
                      <w:kern w:val="0"/>
                      <w:sz w:val="21"/>
                      <w:szCs w:val="21"/>
                      <w:u w:val="none"/>
                      <w:lang w:val="en-US" w:eastAsia="zh-CN"/>
                    </w:rPr>
                    <w:t>卷管</w:t>
                  </w:r>
                  <w:r>
                    <w:rPr>
                      <w:rFonts w:hint="default" w:ascii="Times New Roman" w:hAnsi="Times New Roman" w:cs="Times New Roman"/>
                      <w:b w:val="0"/>
                      <w:bCs w:val="0"/>
                      <w:kern w:val="0"/>
                      <w:sz w:val="21"/>
                      <w:szCs w:val="21"/>
                      <w:u w:val="none"/>
                      <w:lang w:val="zh-CN"/>
                    </w:rPr>
                    <w:t>机（POY）</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zh-CN"/>
                    </w:rPr>
                    <w:t>LJT-4DNC(POY)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 xml:space="preserve">22KW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6</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POY</w:t>
                  </w:r>
                  <w:r>
                    <w:rPr>
                      <w:rFonts w:hint="default" w:ascii="Times New Roman" w:hAnsi="Times New Roman" w:cs="Times New Roman"/>
                      <w:b w:val="0"/>
                      <w:bCs w:val="0"/>
                      <w:kern w:val="0"/>
                      <w:sz w:val="21"/>
                      <w:szCs w:val="21"/>
                      <w:u w:val="none"/>
                      <w:lang w:val="en-US" w:eastAsia="zh-CN"/>
                    </w:rPr>
                    <w:t>磨头</w:t>
                  </w:r>
                  <w:r>
                    <w:rPr>
                      <w:rFonts w:hint="default" w:ascii="Times New Roman" w:hAnsi="Times New Roman" w:cs="Times New Roman"/>
                      <w:b w:val="0"/>
                      <w:bCs w:val="0"/>
                      <w:kern w:val="0"/>
                      <w:sz w:val="21"/>
                      <w:szCs w:val="21"/>
                      <w:u w:val="none"/>
                      <w:lang w:val="zh-CN"/>
                    </w:rPr>
                    <w:t>生产线</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sz w:val="21"/>
                      <w:szCs w:val="21"/>
                      <w:u w:val="none"/>
                      <w:lang w:eastAsia="zh-CN"/>
                    </w:rPr>
                    <w:t>个</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HL-SCXPOY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u w:val="none"/>
                      <w:lang w:val="en-US" w:eastAsia="zh-CN"/>
                    </w:rPr>
                    <w:t>40KW，长10米，高5米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pct"/>
                  <w:tcBorders>
                    <w:tl2br w:val="nil"/>
                    <w:tr2bl w:val="nil"/>
                  </w:tcBorders>
                  <w:vAlign w:val="center"/>
                </w:tcPr>
                <w:p>
                  <w:pPr>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7</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纸管</w:t>
                  </w:r>
                  <w:r>
                    <w:rPr>
                      <w:rFonts w:hint="default" w:ascii="Times New Roman" w:hAnsi="Times New Roman" w:cs="Times New Roman"/>
                      <w:b w:val="0"/>
                      <w:bCs w:val="0"/>
                      <w:kern w:val="0"/>
                      <w:sz w:val="21"/>
                      <w:szCs w:val="21"/>
                      <w:u w:val="none"/>
                      <w:lang w:val="en-US" w:eastAsia="zh-CN"/>
                    </w:rPr>
                    <w:t>卷管</w:t>
                  </w:r>
                  <w:r>
                    <w:rPr>
                      <w:rFonts w:hint="default" w:ascii="Times New Roman" w:hAnsi="Times New Roman" w:cs="Times New Roman"/>
                      <w:b w:val="0"/>
                      <w:bCs w:val="0"/>
                      <w:kern w:val="0"/>
                      <w:sz w:val="21"/>
                      <w:szCs w:val="21"/>
                      <w:u w:val="none"/>
                      <w:lang w:val="zh-CN"/>
                    </w:rPr>
                    <w:t>机（FDY）</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color w:val="000000" w:themeColor="text1"/>
                      <w:sz w:val="21"/>
                      <w:szCs w:val="21"/>
                      <w:u w:val="none"/>
                      <w14:textFill>
                        <w14:solidFill>
                          <w14:schemeClr w14:val="tx1"/>
                        </w14:solidFill>
                      </w14:textFill>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LJT-4DNC(FDY)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22KW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auto"/>
                      <w:sz w:val="21"/>
                      <w:szCs w:val="21"/>
                      <w:u w:val="none"/>
                      <w:lang w:val="en-US" w:eastAsia="zh-CN"/>
                    </w:rPr>
                  </w:pPr>
                  <w:r>
                    <w:rPr>
                      <w:rFonts w:hint="eastAsia"/>
                      <w:color w:val="auto"/>
                      <w:sz w:val="21"/>
                      <w:szCs w:val="21"/>
                      <w:u w:val="none"/>
                      <w:lang w:val="en-US" w:eastAsia="zh-CN"/>
                    </w:rPr>
                    <w:t>8</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kern w:val="0"/>
                      <w:sz w:val="21"/>
                      <w:szCs w:val="21"/>
                      <w:u w:val="none"/>
                      <w:lang w:val="zh-CN"/>
                    </w:rPr>
                    <w:t>FDY</w:t>
                  </w:r>
                  <w:r>
                    <w:rPr>
                      <w:rFonts w:hint="default" w:ascii="Times New Roman" w:hAnsi="Times New Roman" w:cs="Times New Roman"/>
                      <w:b w:val="0"/>
                      <w:bCs w:val="0"/>
                      <w:kern w:val="0"/>
                      <w:sz w:val="21"/>
                      <w:szCs w:val="21"/>
                      <w:u w:val="none"/>
                      <w:lang w:val="en-US" w:eastAsia="zh-CN"/>
                    </w:rPr>
                    <w:t>磨头</w:t>
                  </w:r>
                  <w:r>
                    <w:rPr>
                      <w:rFonts w:hint="default" w:ascii="Times New Roman" w:hAnsi="Times New Roman" w:cs="Times New Roman"/>
                      <w:b w:val="0"/>
                      <w:bCs w:val="0"/>
                      <w:kern w:val="0"/>
                      <w:sz w:val="21"/>
                      <w:szCs w:val="21"/>
                      <w:u w:val="none"/>
                      <w:lang w:val="zh-CN"/>
                    </w:rPr>
                    <w:t>生产线</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HL-SCXFDY</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15KW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9</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zh-CN"/>
                    </w:rPr>
                    <w:t>工业纸管</w:t>
                  </w:r>
                  <w:r>
                    <w:rPr>
                      <w:rFonts w:hint="default" w:ascii="Times New Roman" w:hAnsi="Times New Roman" w:cs="Times New Roman"/>
                      <w:b w:val="0"/>
                      <w:bCs w:val="0"/>
                      <w:kern w:val="0"/>
                      <w:sz w:val="21"/>
                      <w:szCs w:val="21"/>
                      <w:u w:val="none"/>
                      <w:lang w:val="en-US" w:eastAsia="zh-CN"/>
                    </w:rPr>
                    <w:t>卷管</w:t>
                  </w:r>
                  <w:r>
                    <w:rPr>
                      <w:rFonts w:hint="default" w:ascii="Times New Roman" w:hAnsi="Times New Roman" w:cs="Times New Roman"/>
                      <w:b w:val="0"/>
                      <w:bCs w:val="0"/>
                      <w:kern w:val="0"/>
                      <w:sz w:val="21"/>
                      <w:szCs w:val="21"/>
                      <w:u w:val="none"/>
                      <w:lang w:val="zh-CN"/>
                    </w:rPr>
                    <w:t>机</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2</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HL-4DNC(工业管)</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22KW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10</w:t>
                  </w:r>
                </w:p>
              </w:tc>
              <w:tc>
                <w:tcPr>
                  <w:tcW w:w="1028" w:type="pct"/>
                  <w:tcBorders>
                    <w:tl2br w:val="nil"/>
                    <w:tr2bl w:val="nil"/>
                  </w:tcBorders>
                  <w:vAlign w:val="center"/>
                </w:tcPr>
                <w:p>
                  <w:pPr>
                    <w:autoSpaceDE w:val="0"/>
                    <w:autoSpaceDN w:val="0"/>
                    <w:adjustRightInd w:val="0"/>
                    <w:jc w:val="center"/>
                    <w:rPr>
                      <w:rFonts w:hint="default" w:ascii="Times New Roman" w:hAnsi="Times New Roman" w:cs="Times New Roman"/>
                      <w:b w:val="0"/>
                      <w:bCs w:val="0"/>
                      <w:sz w:val="21"/>
                      <w:szCs w:val="21"/>
                      <w:u w:val="none"/>
                      <w:lang w:eastAsia="zh-CN"/>
                    </w:rPr>
                  </w:pPr>
                  <w:r>
                    <w:rPr>
                      <w:rFonts w:hint="default" w:ascii="Times New Roman" w:hAnsi="Times New Roman" w:cs="Times New Roman"/>
                      <w:b w:val="0"/>
                      <w:bCs w:val="0"/>
                      <w:kern w:val="0"/>
                      <w:sz w:val="21"/>
                      <w:szCs w:val="21"/>
                      <w:u w:val="none"/>
                      <w:lang w:val="zh-CN"/>
                    </w:rPr>
                    <w:t>三轴精切机</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zh-CN"/>
                    </w:rPr>
                    <w:t>HL-4DNC精切机</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3KW，长6米宽3米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11</w:t>
                  </w:r>
                </w:p>
              </w:tc>
              <w:tc>
                <w:tcPr>
                  <w:tcW w:w="1028" w:type="pct"/>
                  <w:tcBorders>
                    <w:tl2br w:val="nil"/>
                    <w:tr2bl w:val="nil"/>
                  </w:tcBorders>
                  <w:vAlign w:val="center"/>
                </w:tcPr>
                <w:p>
                  <w:pPr>
                    <w:autoSpaceDE w:val="0"/>
                    <w:autoSpaceDN w:val="0"/>
                    <w:adjustRightInd w:val="0"/>
                    <w:jc w:val="center"/>
                    <w:rPr>
                      <w:rFonts w:hint="default" w:ascii="Times New Roman" w:hAnsi="Times New Roman" w:cs="Times New Roman"/>
                      <w:b w:val="0"/>
                      <w:bCs w:val="0"/>
                      <w:sz w:val="21"/>
                      <w:szCs w:val="21"/>
                      <w:u w:val="none"/>
                      <w:lang w:eastAsia="zh-CN"/>
                    </w:rPr>
                  </w:pPr>
                  <w:r>
                    <w:rPr>
                      <w:rFonts w:hint="default" w:ascii="Times New Roman" w:hAnsi="Times New Roman" w:cs="Times New Roman"/>
                      <w:b w:val="0"/>
                      <w:bCs w:val="0"/>
                      <w:kern w:val="0"/>
                      <w:sz w:val="21"/>
                      <w:szCs w:val="21"/>
                      <w:u w:val="none"/>
                      <w:lang w:val="en-US" w:eastAsia="zh-CN"/>
                    </w:rPr>
                    <w:t>抛光机</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cs="Times New Roman"/>
                      <w:b w:val="0"/>
                      <w:bCs w:val="0"/>
                      <w:kern w:val="0"/>
                      <w:sz w:val="21"/>
                      <w:szCs w:val="21"/>
                      <w:u w:val="none"/>
                      <w:lang w:val="en-US" w:eastAsia="zh-CN"/>
                    </w:rPr>
                    <w:t>PG-10</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10W,长15米宽3米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12</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纸带磨边机</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M-160</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2.2W,长5米宽2米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13</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单轴精切机</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b/>
                      <w:bCs/>
                      <w:kern w:val="0"/>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JQ-250-3000</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1.1W,长6米宽3米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14</w:t>
                  </w:r>
                </w:p>
              </w:tc>
              <w:tc>
                <w:tcPr>
                  <w:tcW w:w="1028" w:type="pct"/>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工业管磨头机</w:t>
                  </w:r>
                </w:p>
              </w:tc>
              <w:tc>
                <w:tcPr>
                  <w:tcW w:w="510" w:type="pct"/>
                  <w:tcBorders>
                    <w:tl2br w:val="nil"/>
                    <w:tr2bl w:val="nil"/>
                  </w:tcBorders>
                  <w:vAlign w:val="center"/>
                </w:tcPr>
                <w:p>
                  <w:pPr>
                    <w:autoSpaceDE w:val="0"/>
                    <w:autoSpaceDN w:val="0"/>
                    <w:adjustRightInd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en-US" w:eastAsia="zh-CN"/>
                    </w:rPr>
                    <w:t>MG-1600</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u w:val="none"/>
                      <w:lang w:val="en-US" w:eastAsia="zh-CN"/>
                    </w:rPr>
                    <w:t>15W,长5米宽4米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2" w:type="pct"/>
                  <w:tcBorders>
                    <w:tl2br w:val="nil"/>
                    <w:tr2bl w:val="nil"/>
                  </w:tcBorders>
                  <w:vAlign w:val="center"/>
                </w:tcPr>
                <w:p>
                  <w:pPr>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15</w:t>
                  </w:r>
                </w:p>
              </w:tc>
              <w:tc>
                <w:tcPr>
                  <w:tcW w:w="1028" w:type="pct"/>
                  <w:tcBorders>
                    <w:tl2br w:val="nil"/>
                    <w:tr2bl w:val="nil"/>
                  </w:tcBorders>
                  <w:vAlign w:val="center"/>
                </w:tcPr>
                <w:p>
                  <w:pPr>
                    <w:autoSpaceDE w:val="0"/>
                    <w:autoSpaceDN w:val="0"/>
                    <w:adjustRightInd w:val="0"/>
                    <w:jc w:val="center"/>
                    <w:rPr>
                      <w:rFonts w:hint="default" w:ascii="Times New Roman" w:hAnsi="Times New Roman" w:cs="Times New Roman"/>
                      <w:b w:val="0"/>
                      <w:bCs w:val="0"/>
                      <w:kern w:val="0"/>
                      <w:sz w:val="21"/>
                      <w:szCs w:val="21"/>
                      <w:u w:val="none"/>
                      <w:lang w:val="en-US" w:eastAsia="zh-CN"/>
                    </w:rPr>
                  </w:pPr>
                  <w:r>
                    <w:rPr>
                      <w:rFonts w:hint="eastAsia" w:cs="Times New Roman"/>
                      <w:b w:val="0"/>
                      <w:bCs w:val="0"/>
                      <w:kern w:val="0"/>
                      <w:sz w:val="21"/>
                      <w:szCs w:val="21"/>
                      <w:u w:val="none"/>
                      <w:lang w:val="en-US" w:eastAsia="zh-CN"/>
                    </w:rPr>
                    <w:t>无轴精切机</w:t>
                  </w:r>
                </w:p>
              </w:tc>
              <w:tc>
                <w:tcPr>
                  <w:tcW w:w="510" w:type="pct"/>
                  <w:tcBorders>
                    <w:tl2br w:val="nil"/>
                    <w:tr2bl w:val="nil"/>
                  </w:tcBorders>
                  <w:vAlign w:val="center"/>
                </w:tcPr>
                <w:p>
                  <w:pPr>
                    <w:autoSpaceDE w:val="0"/>
                    <w:autoSpaceDN w:val="0"/>
                    <w:adjustRightInd w:val="0"/>
                    <w:jc w:val="center"/>
                    <w:rPr>
                      <w:rFonts w:hint="default" w:ascii="Times New Roman" w:hAnsi="Times New Roman" w:cs="Times New Roman"/>
                      <w:sz w:val="21"/>
                      <w:szCs w:val="21"/>
                      <w:u w:val="none"/>
                      <w:lang w:val="en-US" w:eastAsia="zh-CN"/>
                    </w:rPr>
                  </w:pPr>
                  <w:r>
                    <w:rPr>
                      <w:rFonts w:hint="eastAsia" w:cs="Times New Roman"/>
                      <w:sz w:val="21"/>
                      <w:szCs w:val="21"/>
                      <w:u w:val="none"/>
                      <w:lang w:val="en-US" w:eastAsia="zh-CN"/>
                    </w:rPr>
                    <w:t>1</w:t>
                  </w:r>
                </w:p>
              </w:tc>
              <w:tc>
                <w:tcPr>
                  <w:tcW w:w="653" w:type="pct"/>
                  <w:tcBorders>
                    <w:tl2br w:val="nil"/>
                    <w:tr2bl w:val="nil"/>
                  </w:tcBorders>
                  <w:vAlign w:val="center"/>
                </w:tcPr>
                <w:p>
                  <w:pPr>
                    <w:jc w:val="center"/>
                    <w:rPr>
                      <w:rFonts w:hint="eastAsia"/>
                      <w:sz w:val="21"/>
                      <w:szCs w:val="21"/>
                      <w:u w:val="none"/>
                    </w:rPr>
                  </w:pPr>
                  <w:r>
                    <w:rPr>
                      <w:rFonts w:hint="eastAsia"/>
                      <w:sz w:val="21"/>
                      <w:szCs w:val="21"/>
                      <w:u w:val="none"/>
                    </w:rPr>
                    <w:t>台</w:t>
                  </w:r>
                </w:p>
              </w:tc>
              <w:tc>
                <w:tcPr>
                  <w:tcW w:w="1187"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kern w:val="0"/>
                      <w:sz w:val="21"/>
                      <w:szCs w:val="21"/>
                      <w:u w:val="none"/>
                      <w:lang w:val="en-US" w:eastAsia="zh-CN"/>
                    </w:rPr>
                  </w:pPr>
                  <w:r>
                    <w:rPr>
                      <w:rFonts w:hint="eastAsia" w:cs="Times New Roman"/>
                      <w:b w:val="0"/>
                      <w:bCs w:val="0"/>
                      <w:kern w:val="0"/>
                      <w:sz w:val="21"/>
                      <w:szCs w:val="21"/>
                      <w:u w:val="none"/>
                      <w:lang w:val="en-US" w:eastAsia="zh-CN"/>
                    </w:rPr>
                    <w:t>/</w:t>
                  </w:r>
                </w:p>
              </w:tc>
              <w:tc>
                <w:tcPr>
                  <w:tcW w:w="1226" w:type="pct"/>
                  <w:tcBorders>
                    <w:tl2br w:val="nil"/>
                    <w:tr2bl w:val="nil"/>
                  </w:tcBorders>
                  <w:vAlign w:val="center"/>
                </w:tcPr>
                <w:p>
                  <w:pPr>
                    <w:autoSpaceDE w:val="0"/>
                    <w:autoSpaceDN w:val="0"/>
                    <w:adjustRightInd w:val="0"/>
                    <w:spacing w:line="240" w:lineRule="auto"/>
                    <w:jc w:val="center"/>
                    <w:rPr>
                      <w:rFonts w:hint="default" w:ascii="Times New Roman" w:hAnsi="Times New Roman" w:cs="Times New Roman"/>
                      <w:b w:val="0"/>
                      <w:bCs w:val="0"/>
                      <w:color w:val="auto"/>
                      <w:kern w:val="0"/>
                      <w:sz w:val="21"/>
                      <w:szCs w:val="21"/>
                      <w:u w:val="none"/>
                      <w:lang w:val="en-US" w:eastAsia="zh-CN"/>
                    </w:rPr>
                  </w:pPr>
                  <w:r>
                    <w:rPr>
                      <w:rFonts w:hint="eastAsia" w:cs="Times New Roman"/>
                      <w:b w:val="0"/>
                      <w:bCs w:val="0"/>
                      <w:color w:val="auto"/>
                      <w:kern w:val="0"/>
                      <w:sz w:val="21"/>
                      <w:szCs w:val="21"/>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2、现有项目工程分析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sz w:val="21"/>
                <w:szCs w:val="21"/>
                <w:lang w:val="en-US" w:eastAsia="zh-CN"/>
              </w:rPr>
            </w:pPr>
            <w:r>
              <w:rPr>
                <w:rFonts w:hint="eastAsia"/>
                <w:b/>
                <w:bCs/>
                <w:sz w:val="21"/>
                <w:szCs w:val="21"/>
                <w:lang w:val="en-US" w:eastAsia="zh-CN"/>
              </w:rPr>
              <w:t>（1）工艺流程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sz w:val="21"/>
                <w:szCs w:val="21"/>
                <w:lang w:val="en-US" w:eastAsia="zh-CN"/>
              </w:rPr>
            </w:pPr>
            <w:r>
              <w:rPr>
                <w:rFonts w:hint="eastAsia"/>
                <w:b/>
                <w:bCs/>
                <w:sz w:val="21"/>
                <w:szCs w:val="21"/>
                <w:lang w:val="en-US" w:eastAsia="zh-CN"/>
              </w:rPr>
              <mc:AlternateContent>
                <mc:Choice Requires="wps">
                  <w:drawing>
                    <wp:anchor distT="0" distB="0" distL="114300" distR="114300" simplePos="0" relativeHeight="251700224" behindDoc="0" locked="0" layoutInCell="1" allowOverlap="1">
                      <wp:simplePos x="0" y="0"/>
                      <wp:positionH relativeFrom="column">
                        <wp:posOffset>3338195</wp:posOffset>
                      </wp:positionH>
                      <wp:positionV relativeFrom="paragraph">
                        <wp:posOffset>76835</wp:posOffset>
                      </wp:positionV>
                      <wp:extent cx="468630" cy="26416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85pt;margin-top:6.05pt;height:20.8pt;width:36.9pt;z-index:251700224;mso-width-relative:page;mso-height-relative:page;" filled="f" stroked="f" coordsize="21600,21600" o:gfxdata="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&#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KaYv2gAAAAkBAAAPAAAAAAAAAAEAIAAAACIAAABk&#10;cnMvZG93bnJldi54bWxQSwECFAAUAAAACACHTuJAuUUdJz0CAABnBAAADgAAAAAAAAABACAAAAAp&#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N、G</w:t>
                            </w:r>
                          </w:p>
                        </w:txbxContent>
                      </v:textbox>
                    </v:shape>
                  </w:pict>
                </mc:Fallback>
              </mc:AlternateContent>
            </w:r>
            <w:r>
              <w:rPr>
                <w:rFonts w:hint="eastAsia"/>
                <w:b/>
                <w:bCs/>
                <w:sz w:val="21"/>
                <w:szCs w:val="21"/>
                <w:lang w:val="en-US" w:eastAsia="zh-CN"/>
              </w:rPr>
              <w:t>1）工业纸管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bCs/>
                <w:strike w:val="0"/>
                <w:dstrike w:val="0"/>
                <w:color w:val="auto"/>
                <w:sz w:val="24"/>
                <w:szCs w:val="24"/>
                <w:highlight w:val="none"/>
                <w:u w:val="none"/>
                <w:lang w:val="en-US" w:eastAsia="zh-CN"/>
              </w:rPr>
            </w:pPr>
            <w:r>
              <w:rPr>
                <w:sz w:val="24"/>
              </w:rPr>
              <mc:AlternateContent>
                <mc:Choice Requires="wps">
                  <w:drawing>
                    <wp:anchor distT="0" distB="0" distL="114300" distR="114300" simplePos="0" relativeHeight="251702272" behindDoc="0" locked="0" layoutInCell="1" allowOverlap="1">
                      <wp:simplePos x="0" y="0"/>
                      <wp:positionH relativeFrom="column">
                        <wp:posOffset>3411220</wp:posOffset>
                      </wp:positionH>
                      <wp:positionV relativeFrom="paragraph">
                        <wp:posOffset>1205865</wp:posOffset>
                      </wp:positionV>
                      <wp:extent cx="468630" cy="2641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6pt;margin-top:94.95pt;height:20.8pt;width:36.9pt;z-index:251702272;mso-width-relative:page;mso-height-relative:page;" filled="f" stroked="f" coordsize="21600,21600" o:gfxdata="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8FAat3AAAAAsBAAAPAAAAAAAAAAEAIAAAACIAAABk&#10;cnMvZG93bnJldi54bWxQSwECFAAUAAAACACHTuJAkyxJSjsCAABn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N、G</w:t>
                            </w:r>
                          </w:p>
                        </w:txbxContent>
                      </v:textbox>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3364865</wp:posOffset>
                      </wp:positionH>
                      <wp:positionV relativeFrom="paragraph">
                        <wp:posOffset>1146810</wp:posOffset>
                      </wp:positionV>
                      <wp:extent cx="1270" cy="274320"/>
                      <wp:effectExtent l="37465" t="0" r="37465" b="11430"/>
                      <wp:wrapNone/>
                      <wp:docPr id="60" name="直接箭头连接符 60"/>
                      <wp:cNvGraphicFramePr/>
                      <a:graphic xmlns:a="http://schemas.openxmlformats.org/drawingml/2006/main">
                        <a:graphicData uri="http://schemas.microsoft.com/office/word/2010/wordprocessingShape">
                          <wps:wsp>
                            <wps:cNvCnPr/>
                            <wps:spPr>
                              <a:xfrm flipH="1">
                                <a:off x="0" y="0"/>
                                <a:ext cx="1270" cy="27432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4.95pt;margin-top:90.3pt;height:21.6pt;width:0.1pt;z-index:251701248;mso-width-relative:page;mso-height-relative:page;" filled="f" stroked="t" coordsize="21600,21600" o:gfxdata="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YuxntYAAAALAQAADwAA&#10;AAAAAAABACAAAAAiAAAAZHJzL2Rvd25yZXYueG1sUEsBAhQAFAAAAAgAh07iQHGsTwgYAgAAAQQA&#10;AA4AAAAAAAAAAQAgAAAAJQEAAGRycy9lMm9Eb2MueG1sUEsFBgAAAAAGAAYAWQEAAK8FA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4075430</wp:posOffset>
                      </wp:positionH>
                      <wp:positionV relativeFrom="paragraph">
                        <wp:posOffset>1188085</wp:posOffset>
                      </wp:positionV>
                      <wp:extent cx="468630" cy="26416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9pt;margin-top:93.55pt;height:20.8pt;width:36.9pt;z-index:251704320;mso-width-relative:page;mso-height-relative:page;" filled="f" stroked="f" coordsize="21600,21600" o:gfxdata="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yEIPPbAAAACwEAAA8AAAAAAAAAAQAgAAAAIgAAAGRy&#10;cy9kb3ducmV2LnhtbFBLAQIUABQAAAAIAIdO4kBm1L5AOwIAAGc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4053840</wp:posOffset>
                      </wp:positionH>
                      <wp:positionV relativeFrom="paragraph">
                        <wp:posOffset>951230</wp:posOffset>
                      </wp:positionV>
                      <wp:extent cx="1270" cy="274320"/>
                      <wp:effectExtent l="37465" t="0" r="37465" b="11430"/>
                      <wp:wrapNone/>
                      <wp:docPr id="62" name="直接箭头连接符 62"/>
                      <wp:cNvGraphicFramePr/>
                      <a:graphic xmlns:a="http://schemas.openxmlformats.org/drawingml/2006/main">
                        <a:graphicData uri="http://schemas.microsoft.com/office/word/2010/wordprocessingShape">
                          <wps:wsp>
                            <wps:cNvCnPr/>
                            <wps:spPr>
                              <a:xfrm flipH="1">
                                <a:off x="0" y="0"/>
                                <a:ext cx="1270" cy="27432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9.2pt;margin-top:74.9pt;height:21.6pt;width:0.1pt;z-index:251703296;mso-width-relative:page;mso-height-relative:page;" filled="f" stroked="t" coordsize="21600,21600" o:gfxdata="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qcb7tUAAAALAQAADwAA&#10;AAAAAAABACAAAAAiAAAAZHJzL2Rvd25yZXYueG1sUEsBAhQAFAAAAAgAh07iQCLCTEEZAgAAAQQA&#10;AA4AAAAAAAAAAQAgAAAAJAEAAGRycy9lMm9Eb2MueG1sUEsFBgAAAAAGAAYAWQEAAK8FA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1860550</wp:posOffset>
                      </wp:positionH>
                      <wp:positionV relativeFrom="paragraph">
                        <wp:posOffset>193675</wp:posOffset>
                      </wp:positionV>
                      <wp:extent cx="468630" cy="26416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86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15.25pt;height:20.8pt;width:36.9pt;z-index:251699200;mso-width-relative:page;mso-height-relative:page;" filled="f" stroked="f" coordsize="21600,21600" o:gfxdata="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&#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LDNpNsAAAAJAQAADwAAAAAAAAABACAAAAAiAAAA&#10;ZHJzL2Rvd25yZXYueG1sUEsBAhQAFAAAAAgAh07iQOM63s89AgAAZwQAAA4AAAAAAAAAAQAgAAAA&#10;KgEAAGRycy9lMm9Eb2MueG1sUEsFBgAAAAAGAAYAWQEAANkFAAAAAA==&#10;">
                      <v:fill on="f" focussize="0,0"/>
                      <v:stroke on="f" weight="0.5pt"/>
                      <v:imagedata o:title=""/>
                      <o:lock v:ext="edit" aspectratio="f"/>
                      <v:textbox>
                        <w:txbxContent>
                          <w:p>
                            <w:pPr>
                              <w:rPr>
                                <w:rFonts w:hint="default" w:eastAsia="宋体"/>
                                <w:lang w:val="en-US" w:eastAsia="zh-CN"/>
                              </w:rPr>
                            </w:pPr>
                            <w:r>
                              <w:rPr>
                                <w:rFonts w:hint="eastAsia"/>
                                <w:lang w:val="en-US" w:eastAsia="zh-CN"/>
                              </w:rPr>
                              <w:t>N、S</w:t>
                            </w:r>
                          </w:p>
                        </w:txbxContent>
                      </v:textbox>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3352165</wp:posOffset>
                      </wp:positionH>
                      <wp:positionV relativeFrom="paragraph">
                        <wp:posOffset>109855</wp:posOffset>
                      </wp:positionV>
                      <wp:extent cx="8890" cy="241935"/>
                      <wp:effectExtent l="35560" t="0" r="31750" b="5715"/>
                      <wp:wrapNone/>
                      <wp:docPr id="57" name="直接箭头连接符 57"/>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3.95pt;margin-top:8.65pt;height:19.05pt;width:0.7pt;z-index:251698176;mso-width-relative:page;mso-height-relative:page;" filled="f" stroked="t" coordsize="21600,21600" o:gfxdata="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2H0v22QAA&#10;AAkBAAAPAAAAAAAAAAEAIAAAACIAAABkcnMvZG93bnJldi54bWxQSwECFAAUAAAACACHTuJARvY2&#10;5R0CAAALBAAADgAAAAAAAAABACAAAAAoAQAAZHJzL2Uyb0RvYy54bWxQSwUGAAAAAAYABgBZAQAA&#10;twUAAAAA&#10;">
                      <v:fill on="f" focussize="0,0"/>
                      <v:stroke color="#000000 [3213]"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2004695</wp:posOffset>
                      </wp:positionH>
                      <wp:positionV relativeFrom="paragraph">
                        <wp:posOffset>389890</wp:posOffset>
                      </wp:positionV>
                      <wp:extent cx="8890" cy="241935"/>
                      <wp:effectExtent l="35560" t="0" r="31750" b="5715"/>
                      <wp:wrapNone/>
                      <wp:docPr id="56" name="直接箭头连接符 56"/>
                      <wp:cNvGraphicFramePr/>
                      <a:graphic xmlns:a="http://schemas.openxmlformats.org/drawingml/2006/main">
                        <a:graphicData uri="http://schemas.microsoft.com/office/word/2010/wordprocessingShape">
                          <wps:wsp>
                            <wps:cNvCnPr/>
                            <wps:spPr>
                              <a:xfrm flipH="1" flipV="1">
                                <a:off x="0" y="0"/>
                                <a:ext cx="8890" cy="24193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57.85pt;margin-top:30.7pt;height:19.05pt;width:0.7pt;z-index:251697152;mso-width-relative:page;mso-height-relative:page;" filled="f" stroked="t" coordsize="21600,21600" o:gfxdata="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21fBNoA&#10;AAAJAQAADwAAAAAAAAABACAAAAAiAAAAZHJzL2Rvd25yZXYueG1sUEsBAhQAFAAAAAgAh07iQFze&#10;+akdAgAACwQAAA4AAAAAAAAAAQAgAAAAKQEAAGRycy9lMm9Eb2MueG1sUEsFBgAAAAAGAAYAWQEA&#10;ALgFAAAAAA==&#10;">
                      <v:fill on="f" focussize="0,0"/>
                      <v:stroke color="#000000 [3213]" joinstyle="round" dashstyle="dash" endarrow="block"/>
                      <v:imagedata o:title=""/>
                      <o:lock v:ext="edit" aspectratio="f"/>
                    </v:shape>
                  </w:pict>
                </mc:Fallback>
              </mc:AlternateContent>
            </w:r>
            <w:r>
              <w:drawing>
                <wp:inline distT="0" distB="0" distL="114300" distR="114300">
                  <wp:extent cx="4685665" cy="1195705"/>
                  <wp:effectExtent l="0" t="0" r="635" b="4445"/>
                  <wp:docPr id="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pic:cNvPicPr>
                            <a:picLocks noChangeAspect="1"/>
                          </pic:cNvPicPr>
                        </pic:nvPicPr>
                        <pic:blipFill>
                          <a:blip r:embed="rId9"/>
                          <a:stretch>
                            <a:fillRect/>
                          </a:stretch>
                        </pic:blipFill>
                        <pic:spPr>
                          <a:xfrm>
                            <a:off x="0" y="0"/>
                            <a:ext cx="4685665" cy="1195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b/>
                <w:bCs/>
                <w:sz w:val="21"/>
                <w:szCs w:val="21"/>
                <w:lang w:val="en-US" w:eastAsia="zh-CN"/>
              </w:rPr>
            </w:pPr>
            <w:r>
              <w:rPr>
                <w:rFonts w:hint="eastAsia"/>
                <w:b/>
                <w:bCs/>
                <w:sz w:val="21"/>
                <w:szCs w:val="21"/>
                <w:lang w:val="en-US" w:eastAsia="zh-CN"/>
              </w:rPr>
              <w:t>2）抛光纸管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strike w:val="0"/>
                <w:dstrike w:val="0"/>
                <w:color w:val="auto"/>
                <w:sz w:val="24"/>
                <w:szCs w:val="24"/>
                <w:highlight w:val="none"/>
                <w:u w:val="none"/>
                <w:lang w:val="en-US" w:eastAsia="zh-CN"/>
              </w:rPr>
            </w:pPr>
            <w:r>
              <w:drawing>
                <wp:inline distT="0" distB="0" distL="114300" distR="114300">
                  <wp:extent cx="4685030" cy="1560830"/>
                  <wp:effectExtent l="0" t="0" r="1270" b="1270"/>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ChangeAspect="1"/>
                          </pic:cNvPicPr>
                        </pic:nvPicPr>
                        <pic:blipFill>
                          <a:blip r:embed="rId11"/>
                          <a:srcRect b="1641"/>
                          <a:stretch>
                            <a:fillRect/>
                          </a:stretch>
                        </pic:blipFill>
                        <pic:spPr>
                          <a:xfrm>
                            <a:off x="0" y="0"/>
                            <a:ext cx="4685030" cy="15608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（2）污染源分析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1）废气</w:t>
            </w:r>
          </w:p>
          <w:p>
            <w:pPr>
              <w:shd w:val="clear" w:color="auto" w:fill="auto"/>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本项目废气主要为粘胶制管烘干过程中会产生挥发性有机物（本项目以非甲烷总烃计）</w:t>
            </w:r>
            <w:r>
              <w:rPr>
                <w:rFonts w:hint="eastAsia" w:cs="Times New Roman"/>
                <w:color w:val="auto"/>
                <w:kern w:val="2"/>
                <w:sz w:val="24"/>
                <w:szCs w:val="24"/>
                <w:lang w:val="en-US" w:eastAsia="zh-CN" w:bidi="ar-SA"/>
              </w:rPr>
              <w:t>、生物质颗粒燃烧</w:t>
            </w:r>
            <w:r>
              <w:rPr>
                <w:rFonts w:hint="eastAsia" w:ascii="Times New Roman" w:hAnsi="Times New Roman" w:eastAsia="宋体" w:cs="Times New Roman"/>
                <w:color w:val="auto"/>
                <w:kern w:val="2"/>
                <w:sz w:val="24"/>
                <w:szCs w:val="24"/>
                <w:lang w:val="en-US" w:eastAsia="zh-CN" w:bidi="ar-SA"/>
              </w:rPr>
              <w:t>产生的颗粒物、SO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w:t>
            </w:r>
            <w:r>
              <w:rPr>
                <w:rFonts w:hint="eastAsia" w:ascii="Times New Roman" w:hAnsi="Times New Roman" w:eastAsia="宋体" w:cs="Times New Roman"/>
                <w:color w:val="auto"/>
                <w:kern w:val="2"/>
                <w:sz w:val="24"/>
                <w:szCs w:val="24"/>
                <w:vertAlign w:val="subscript"/>
                <w:lang w:val="en-US" w:eastAsia="zh-CN" w:bidi="ar-SA"/>
              </w:rPr>
              <w:t>X</w:t>
            </w:r>
            <w:r>
              <w:rPr>
                <w:rFonts w:hint="eastAsia" w:cs="Times New Roman"/>
                <w:color w:val="auto"/>
                <w:kern w:val="2"/>
                <w:sz w:val="24"/>
                <w:szCs w:val="24"/>
                <w:vertAlign w:val="baseline"/>
                <w:lang w:val="en-US" w:eastAsia="zh-CN" w:bidi="ar-SA"/>
              </w:rPr>
              <w:t>以及抛光打磨工序产生的颗粒物</w:t>
            </w:r>
            <w:r>
              <w:rPr>
                <w:rFonts w:hint="eastAsia" w:ascii="Times New Roman" w:hAnsi="Times New Roman" w:eastAsia="宋体" w:cs="Times New Roman"/>
                <w:color w:val="auto"/>
                <w:kern w:val="2"/>
                <w:sz w:val="24"/>
                <w:szCs w:val="24"/>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lang w:eastAsia="zh-CN"/>
              </w:rPr>
            </w:pPr>
            <w:r>
              <w:rPr>
                <w:rFonts w:hint="eastAsia" w:cs="Times New Roman"/>
                <w:color w:val="auto"/>
                <w:sz w:val="24"/>
                <w:szCs w:val="24"/>
                <w:lang w:eastAsia="zh-CN"/>
              </w:rPr>
              <w:t>①生物质颗粒燃烧废气（</w:t>
            </w:r>
            <w:r>
              <w:rPr>
                <w:rFonts w:hint="eastAsia" w:cs="Times New Roman"/>
                <w:color w:val="auto"/>
                <w:sz w:val="24"/>
                <w:szCs w:val="24"/>
                <w:lang w:val="en-US" w:eastAsia="zh-CN"/>
              </w:rPr>
              <w:t>G1</w:t>
            </w:r>
            <w:r>
              <w:rPr>
                <w:rFonts w:hint="eastAsia" w:cs="Times New Roman"/>
                <w:color w:val="auto"/>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原有项目供热能源采用生物质颗粒物，设置有两个加热炉，管道连通后通过水雾除尘处理后通过22m排气筒（DA001）外排，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根据企业介绍，生物质颗粒物使用量为400kg/d，因此生物质颗粒物年使用量为120t/a。</w:t>
            </w:r>
          </w:p>
          <w:p>
            <w:pPr>
              <w:tabs>
                <w:tab w:val="left" w:pos="8820"/>
              </w:tabs>
              <w:spacing w:line="360" w:lineRule="auto"/>
              <w:ind w:firstLine="480" w:firstLineChars="200"/>
              <w:rPr>
                <w:rFonts w:hint="default" w:ascii="Times New Roman" w:hAnsi="Times New Roman" w:eastAsia="宋体" w:cs="Times New Roman"/>
                <w:bCs/>
                <w:color w:val="auto"/>
                <w:sz w:val="24"/>
                <w:szCs w:val="24"/>
                <w:highlight w:val="none"/>
                <w:u w:val="none"/>
              </w:rPr>
            </w:pPr>
            <w:r>
              <w:rPr>
                <w:rFonts w:hint="default" w:ascii="Times New Roman" w:hAnsi="Times New Roman" w:eastAsia="宋体" w:cs="Times New Roman"/>
                <w:bCs/>
                <w:color w:val="auto"/>
                <w:sz w:val="24"/>
                <w:szCs w:val="24"/>
                <w:highlight w:val="none"/>
                <w:u w:val="none"/>
              </w:rPr>
              <w:t>根据《排污许可证申请与核发技术规范  锅炉》中经验公式估算法计算燃</w:t>
            </w:r>
            <w:r>
              <w:rPr>
                <w:rFonts w:hint="default" w:ascii="Times New Roman" w:hAnsi="Times New Roman" w:eastAsia="宋体" w:cs="Times New Roman"/>
                <w:bCs/>
                <w:color w:val="auto"/>
                <w:sz w:val="24"/>
                <w:szCs w:val="24"/>
                <w:highlight w:val="none"/>
                <w:u w:val="none"/>
                <w:lang w:eastAsia="zh-CN"/>
              </w:rPr>
              <w:t>生物质</w:t>
            </w:r>
            <w:r>
              <w:rPr>
                <w:rFonts w:hint="default" w:ascii="Times New Roman" w:hAnsi="Times New Roman" w:eastAsia="宋体" w:cs="Times New Roman"/>
                <w:bCs/>
                <w:color w:val="auto"/>
                <w:sz w:val="24"/>
                <w:szCs w:val="24"/>
                <w:highlight w:val="none"/>
                <w:u w:val="none"/>
              </w:rPr>
              <w:t>锅炉基准烟气量以及表F.3</w:t>
            </w:r>
            <w:r>
              <w:rPr>
                <w:rFonts w:hint="default" w:ascii="Times New Roman" w:hAnsi="Times New Roman" w:eastAsia="宋体" w:cs="Times New Roman"/>
                <w:bCs/>
                <w:color w:val="auto"/>
                <w:sz w:val="24"/>
                <w:szCs w:val="24"/>
                <w:highlight w:val="none"/>
                <w:u w:val="none"/>
                <w:lang w:eastAsia="zh-CN"/>
              </w:rPr>
              <w:t>生物质</w:t>
            </w:r>
            <w:r>
              <w:rPr>
                <w:rFonts w:hint="default" w:ascii="Times New Roman" w:hAnsi="Times New Roman" w:eastAsia="宋体" w:cs="Times New Roman"/>
                <w:bCs/>
                <w:color w:val="auto"/>
                <w:sz w:val="24"/>
                <w:szCs w:val="24"/>
                <w:highlight w:val="none"/>
                <w:u w:val="none"/>
              </w:rPr>
              <w:t>工业锅炉的废气产排污系数中燃天</w:t>
            </w:r>
            <w:r>
              <w:rPr>
                <w:rFonts w:hint="default" w:ascii="Times New Roman" w:hAnsi="Times New Roman" w:eastAsia="宋体" w:cs="Times New Roman"/>
                <w:bCs/>
                <w:color w:val="auto"/>
                <w:sz w:val="24"/>
                <w:szCs w:val="24"/>
                <w:highlight w:val="none"/>
                <w:u w:val="none"/>
                <w:lang w:eastAsia="zh-CN"/>
              </w:rPr>
              <w:t>生物质</w:t>
            </w:r>
            <w:r>
              <w:rPr>
                <w:rFonts w:hint="default" w:ascii="Times New Roman" w:hAnsi="Times New Roman" w:eastAsia="宋体" w:cs="Times New Roman"/>
                <w:bCs/>
                <w:color w:val="auto"/>
                <w:sz w:val="24"/>
                <w:szCs w:val="24"/>
                <w:highlight w:val="none"/>
                <w:u w:val="none"/>
              </w:rPr>
              <w:t>锅炉的产污系数，计算</w:t>
            </w:r>
            <w:r>
              <w:rPr>
                <w:rFonts w:hint="default" w:ascii="Times New Roman" w:hAnsi="Times New Roman" w:eastAsia="宋体" w:cs="Times New Roman"/>
                <w:bCs/>
                <w:color w:val="auto"/>
                <w:sz w:val="24"/>
                <w:szCs w:val="24"/>
                <w:highlight w:val="none"/>
                <w:u w:val="none"/>
                <w:lang w:eastAsia="zh-CN"/>
              </w:rPr>
              <w:t>生物质</w:t>
            </w:r>
            <w:r>
              <w:rPr>
                <w:rFonts w:hint="default" w:ascii="Times New Roman" w:hAnsi="Times New Roman" w:eastAsia="宋体" w:cs="Times New Roman"/>
                <w:bCs/>
                <w:color w:val="auto"/>
                <w:sz w:val="24"/>
                <w:szCs w:val="24"/>
                <w:highlight w:val="none"/>
                <w:u w:val="none"/>
              </w:rPr>
              <w:t>燃烧废气中污染物排放情况。</w:t>
            </w:r>
          </w:p>
          <w:p>
            <w:pPr>
              <w:spacing w:line="360" w:lineRule="auto"/>
              <w:ind w:firstLine="480" w:firstLineChars="200"/>
              <w:jc w:val="center"/>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bCs/>
                <w:color w:val="auto"/>
                <w:sz w:val="24"/>
                <w:szCs w:val="24"/>
                <w:highlight w:val="none"/>
                <w:u w:val="none"/>
              </w:rPr>
              <w:t>基准烟气量V</w:t>
            </w:r>
            <w:r>
              <w:rPr>
                <w:rFonts w:hint="default" w:ascii="Times New Roman" w:hAnsi="Times New Roman" w:eastAsia="宋体" w:cs="Times New Roman"/>
                <w:bCs/>
                <w:color w:val="auto"/>
                <w:sz w:val="24"/>
                <w:szCs w:val="24"/>
                <w:highlight w:val="none"/>
                <w:u w:val="none"/>
                <w:vertAlign w:val="subscript"/>
              </w:rPr>
              <w:t>gy</w:t>
            </w:r>
            <w:r>
              <w:rPr>
                <w:rFonts w:hint="default" w:ascii="Times New Roman" w:hAnsi="Times New Roman" w:eastAsia="宋体" w:cs="Times New Roman"/>
                <w:bCs/>
                <w:color w:val="auto"/>
                <w:sz w:val="24"/>
                <w:szCs w:val="24"/>
                <w:highlight w:val="none"/>
                <w:u w:val="none"/>
              </w:rPr>
              <w:t>=0.</w:t>
            </w:r>
            <w:r>
              <w:rPr>
                <w:rFonts w:hint="default" w:ascii="Times New Roman" w:hAnsi="Times New Roman" w:eastAsia="宋体" w:cs="Times New Roman"/>
                <w:bCs/>
                <w:color w:val="auto"/>
                <w:sz w:val="24"/>
                <w:szCs w:val="24"/>
                <w:highlight w:val="none"/>
                <w:u w:val="none"/>
                <w:lang w:val="en-US" w:eastAsia="zh-CN"/>
              </w:rPr>
              <w:t>393</w:t>
            </w:r>
            <w:r>
              <w:rPr>
                <w:rFonts w:hint="default" w:ascii="Times New Roman" w:hAnsi="Times New Roman" w:eastAsia="宋体" w:cs="Times New Roman"/>
                <w:bCs/>
                <w:color w:val="auto"/>
                <w:sz w:val="24"/>
                <w:szCs w:val="24"/>
                <w:highlight w:val="none"/>
                <w:u w:val="none"/>
              </w:rPr>
              <w:t>Q</w:t>
            </w:r>
            <w:r>
              <w:rPr>
                <w:rFonts w:hint="default" w:ascii="Times New Roman" w:hAnsi="Times New Roman" w:eastAsia="宋体" w:cs="Times New Roman"/>
                <w:bCs/>
                <w:color w:val="auto"/>
                <w:sz w:val="24"/>
                <w:szCs w:val="24"/>
                <w:highlight w:val="none"/>
                <w:u w:val="none"/>
                <w:vertAlign w:val="subscript"/>
              </w:rPr>
              <w:t>net</w:t>
            </w:r>
            <w:r>
              <w:rPr>
                <w:rFonts w:hint="default" w:ascii="Times New Roman" w:hAnsi="Times New Roman" w:eastAsia="宋体" w:cs="Times New Roman"/>
                <w:bCs/>
                <w:color w:val="auto"/>
                <w:sz w:val="24"/>
                <w:szCs w:val="24"/>
                <w:highlight w:val="none"/>
                <w:u w:val="none"/>
                <w:vertAlign w:val="subscript"/>
                <w:lang w:val="en-US" w:eastAsia="zh-CN"/>
              </w:rPr>
              <w:t>,ar</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u w:val="none"/>
                <w:lang w:val="en-US" w:eastAsia="zh-CN"/>
              </w:rPr>
              <w:t>0.876</w:t>
            </w:r>
            <w:r>
              <w:rPr>
                <w:rFonts w:hint="default" w:ascii="Times New Roman" w:hAnsi="Times New Roman" w:eastAsia="宋体" w:cs="Times New Roman"/>
                <w:bCs/>
                <w:color w:val="auto"/>
                <w:sz w:val="24"/>
                <w:szCs w:val="24"/>
                <w:highlight w:val="none"/>
                <w:u w:val="none"/>
              </w:rPr>
              <w:t>Nm</w:t>
            </w:r>
            <w:r>
              <w:rPr>
                <w:rFonts w:hint="default" w:ascii="Times New Roman" w:hAnsi="Times New Roman" w:eastAsia="宋体" w:cs="Times New Roman"/>
                <w:bCs/>
                <w:color w:val="auto"/>
                <w:sz w:val="24"/>
                <w:szCs w:val="24"/>
                <w:highlight w:val="none"/>
                <w:u w:val="none"/>
                <w:vertAlign w:val="superscript"/>
              </w:rPr>
              <w:t>3</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u w:val="none"/>
                <w:lang w:val="en-US" w:eastAsia="zh-CN"/>
              </w:rPr>
              <w:t>kg</w:t>
            </w:r>
          </w:p>
          <w:p>
            <w:pPr>
              <w:spacing w:line="360" w:lineRule="auto"/>
              <w:ind w:firstLine="480" w:firstLineChars="200"/>
              <w:rPr>
                <w:rFonts w:hint="default" w:ascii="Times New Roman" w:hAnsi="Times New Roman" w:eastAsia="宋体" w:cs="Times New Roman"/>
                <w:bCs/>
                <w:color w:val="000000"/>
                <w:sz w:val="24"/>
                <w:u w:val="none"/>
                <w:lang w:val="en-US" w:eastAsia="zh-CN"/>
              </w:rPr>
            </w:pPr>
            <w:r>
              <w:rPr>
                <w:rFonts w:hint="default" w:ascii="Times New Roman" w:hAnsi="Times New Roman" w:eastAsia="宋体" w:cs="Times New Roman"/>
                <w:bCs/>
                <w:color w:val="auto"/>
                <w:sz w:val="24"/>
                <w:szCs w:val="24"/>
                <w:highlight w:val="none"/>
                <w:u w:val="none"/>
              </w:rPr>
              <w:t>Q</w:t>
            </w:r>
            <w:r>
              <w:rPr>
                <w:rFonts w:hint="default" w:ascii="Times New Roman" w:hAnsi="Times New Roman" w:eastAsia="宋体" w:cs="Times New Roman"/>
                <w:bCs/>
                <w:color w:val="auto"/>
                <w:sz w:val="24"/>
                <w:szCs w:val="24"/>
                <w:highlight w:val="none"/>
                <w:u w:val="none"/>
                <w:vertAlign w:val="subscript"/>
              </w:rPr>
              <w:t>net</w:t>
            </w:r>
            <w:r>
              <w:rPr>
                <w:rFonts w:hint="default" w:ascii="Times New Roman" w:hAnsi="Times New Roman" w:eastAsia="宋体" w:cs="Times New Roman"/>
                <w:bCs/>
                <w:color w:val="auto"/>
                <w:sz w:val="24"/>
                <w:szCs w:val="24"/>
                <w:highlight w:val="none"/>
                <w:u w:val="none"/>
                <w:vertAlign w:val="subscript"/>
                <w:lang w:val="en-US" w:eastAsia="zh-CN"/>
              </w:rPr>
              <w:t>,ar</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u w:val="none"/>
                <w:lang w:eastAsia="zh-CN"/>
              </w:rPr>
              <w:t>固体</w:t>
            </w:r>
            <w:r>
              <w:rPr>
                <w:rFonts w:hint="default" w:ascii="Times New Roman" w:hAnsi="Times New Roman" w:eastAsia="宋体" w:cs="Times New Roman"/>
                <w:bCs/>
                <w:color w:val="auto"/>
                <w:sz w:val="24"/>
                <w:szCs w:val="24"/>
                <w:highlight w:val="none"/>
                <w:u w:val="none"/>
                <w:lang w:val="en-US" w:eastAsia="zh-CN"/>
              </w:rPr>
              <w:t>/液体</w:t>
            </w:r>
            <w:r>
              <w:rPr>
                <w:rFonts w:hint="default" w:ascii="Times New Roman" w:hAnsi="Times New Roman" w:eastAsia="宋体" w:cs="Times New Roman"/>
                <w:bCs/>
                <w:color w:val="auto"/>
                <w:sz w:val="24"/>
                <w:szCs w:val="24"/>
                <w:highlight w:val="none"/>
                <w:u w:val="none"/>
              </w:rPr>
              <w:t>燃料低位发热量（MJ/</w:t>
            </w:r>
            <w:r>
              <w:rPr>
                <w:rFonts w:hint="default" w:ascii="Times New Roman" w:hAnsi="Times New Roman" w:eastAsia="宋体" w:cs="Times New Roman"/>
                <w:bCs/>
                <w:color w:val="auto"/>
                <w:sz w:val="24"/>
                <w:szCs w:val="24"/>
                <w:highlight w:val="none"/>
                <w:u w:val="none"/>
                <w:lang w:val="en-US" w:eastAsia="zh-CN"/>
              </w:rPr>
              <w:t>kg</w:t>
            </w:r>
            <w:r>
              <w:rPr>
                <w:rFonts w:hint="default" w:ascii="Times New Roman" w:hAnsi="Times New Roman" w:eastAsia="宋体" w:cs="Times New Roman"/>
                <w:bCs/>
                <w:color w:val="auto"/>
                <w:sz w:val="24"/>
                <w:szCs w:val="24"/>
                <w:highlight w:val="none"/>
                <w:u w:val="none"/>
              </w:rPr>
              <w:t>），经查询建设单位所用</w:t>
            </w:r>
            <w:r>
              <w:rPr>
                <w:rFonts w:hint="default" w:ascii="Times New Roman" w:hAnsi="Times New Roman" w:eastAsia="宋体" w:cs="Times New Roman"/>
                <w:bCs/>
                <w:color w:val="auto"/>
                <w:sz w:val="24"/>
                <w:szCs w:val="24"/>
                <w:highlight w:val="none"/>
                <w:u w:val="none"/>
                <w:lang w:eastAsia="zh-CN"/>
              </w:rPr>
              <w:t>生物质</w:t>
            </w:r>
            <w:r>
              <w:rPr>
                <w:rFonts w:hint="default" w:ascii="Times New Roman" w:hAnsi="Times New Roman" w:eastAsia="宋体" w:cs="Times New Roman"/>
                <w:bCs/>
                <w:color w:val="auto"/>
                <w:sz w:val="24"/>
                <w:szCs w:val="24"/>
                <w:highlight w:val="none"/>
                <w:u w:val="none"/>
              </w:rPr>
              <w:t>的低位发热量为</w:t>
            </w:r>
            <w:r>
              <w:rPr>
                <w:rFonts w:hint="default" w:ascii="Times New Roman" w:hAnsi="Times New Roman" w:eastAsia="宋体" w:cs="Times New Roman"/>
                <w:bCs/>
                <w:color w:val="auto"/>
                <w:sz w:val="24"/>
                <w:szCs w:val="24"/>
                <w:highlight w:val="none"/>
                <w:u w:val="none"/>
                <w:lang w:val="en-US" w:eastAsia="zh-CN"/>
              </w:rPr>
              <w:t>16.07</w:t>
            </w:r>
            <w:r>
              <w:rPr>
                <w:rFonts w:hint="default" w:ascii="Times New Roman" w:hAnsi="Times New Roman" w:eastAsia="宋体" w:cs="Times New Roman"/>
                <w:bCs/>
                <w:color w:val="auto"/>
                <w:sz w:val="24"/>
                <w:szCs w:val="24"/>
                <w:highlight w:val="none"/>
                <w:u w:val="none"/>
              </w:rPr>
              <w:t>MJ/</w:t>
            </w:r>
            <w:r>
              <w:rPr>
                <w:rFonts w:hint="default" w:ascii="Times New Roman" w:hAnsi="Times New Roman" w:eastAsia="宋体" w:cs="Times New Roman"/>
                <w:bCs/>
                <w:color w:val="auto"/>
                <w:sz w:val="24"/>
                <w:szCs w:val="24"/>
                <w:highlight w:val="none"/>
                <w:u w:val="none"/>
                <w:lang w:val="en-US" w:eastAsia="zh-CN"/>
              </w:rPr>
              <w:t>kg，</w:t>
            </w:r>
            <w:r>
              <w:rPr>
                <w:rFonts w:hint="default" w:ascii="Times New Roman" w:hAnsi="Times New Roman" w:eastAsia="宋体" w:cs="Times New Roman"/>
                <w:bCs/>
                <w:color w:val="auto"/>
                <w:sz w:val="24"/>
                <w:szCs w:val="24"/>
                <w:highlight w:val="none"/>
                <w:u w:val="none"/>
              </w:rPr>
              <w:t>则基准烟气量V</w:t>
            </w:r>
            <w:r>
              <w:rPr>
                <w:rFonts w:hint="default" w:ascii="Times New Roman" w:hAnsi="Times New Roman" w:eastAsia="宋体" w:cs="Times New Roman"/>
                <w:bCs/>
                <w:color w:val="auto"/>
                <w:sz w:val="24"/>
                <w:szCs w:val="24"/>
                <w:highlight w:val="none"/>
                <w:u w:val="none"/>
                <w:vertAlign w:val="subscript"/>
              </w:rPr>
              <w:t>gy</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u w:val="none"/>
                <w:lang w:val="en-US" w:eastAsia="zh-CN"/>
              </w:rPr>
              <w:t>7.19</w:t>
            </w:r>
            <w:r>
              <w:rPr>
                <w:rFonts w:hint="default" w:ascii="Times New Roman" w:hAnsi="Times New Roman" w:eastAsia="宋体" w:cs="Times New Roman"/>
                <w:bCs/>
                <w:color w:val="auto"/>
                <w:sz w:val="24"/>
                <w:szCs w:val="24"/>
                <w:highlight w:val="none"/>
                <w:u w:val="none"/>
              </w:rPr>
              <w:t>Nm</w:t>
            </w:r>
            <w:r>
              <w:rPr>
                <w:rFonts w:hint="default" w:ascii="Times New Roman" w:hAnsi="Times New Roman" w:eastAsia="宋体" w:cs="Times New Roman"/>
                <w:bCs/>
                <w:color w:val="auto"/>
                <w:sz w:val="24"/>
                <w:szCs w:val="24"/>
                <w:highlight w:val="none"/>
                <w:u w:val="none"/>
                <w:vertAlign w:val="superscript"/>
              </w:rPr>
              <w:t>3</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u w:val="none"/>
                <w:lang w:val="en-US" w:eastAsia="zh-CN"/>
              </w:rPr>
              <w:t>kg</w:t>
            </w:r>
            <w:r>
              <w:rPr>
                <w:rFonts w:hint="default" w:ascii="Times New Roman" w:hAnsi="Times New Roman" w:eastAsia="宋体" w:cs="Times New Roman"/>
                <w:bCs/>
                <w:color w:val="000000"/>
                <w:sz w:val="24"/>
                <w:u w:val="none"/>
                <w:lang w:val="en-US" w:eastAsia="zh-CN"/>
              </w:rPr>
              <w:t>：</w:t>
            </w:r>
          </w:p>
          <w:p>
            <w:pPr>
              <w:pStyle w:val="8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center"/>
              <w:textAlignment w:val="auto"/>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eastAsia="宋体" w:cs="Times New Roman"/>
                <w:b/>
                <w:bCs w:val="0"/>
                <w:color w:val="000000"/>
                <w:sz w:val="21"/>
                <w:szCs w:val="21"/>
                <w:u w:val="none"/>
                <w:lang w:val="en-US" w:eastAsia="zh-CN"/>
              </w:rPr>
              <w:t>表</w:t>
            </w:r>
            <w:r>
              <w:rPr>
                <w:rFonts w:hint="eastAsia" w:ascii="Times New Roman" w:hAnsi="Times New Roman" w:cs="Times New Roman"/>
                <w:b/>
                <w:bCs w:val="0"/>
                <w:color w:val="000000"/>
                <w:sz w:val="21"/>
                <w:szCs w:val="21"/>
                <w:u w:val="none"/>
                <w:lang w:val="en-US" w:eastAsia="zh-CN"/>
              </w:rPr>
              <w:t>2-6</w:t>
            </w:r>
            <w:r>
              <w:rPr>
                <w:rFonts w:hint="default" w:ascii="Times New Roman" w:hAnsi="Times New Roman" w:eastAsia="宋体" w:cs="Times New Roman"/>
                <w:b/>
                <w:bCs w:val="0"/>
                <w:color w:val="000000"/>
                <w:sz w:val="21"/>
                <w:szCs w:val="21"/>
                <w:u w:val="none"/>
                <w:lang w:val="en-US" w:eastAsia="zh-CN"/>
              </w:rPr>
              <w:t xml:space="preserve"> 项目燃料废气污染物产生情况</w:t>
            </w:r>
          </w:p>
          <w:tbl>
            <w:tblPr>
              <w:tblStyle w:val="28"/>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968"/>
              <w:gridCol w:w="1007"/>
              <w:gridCol w:w="1733"/>
              <w:gridCol w:w="126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eastAsia="zh-CN"/>
                    </w:rPr>
                  </w:pPr>
                  <w:r>
                    <w:rPr>
                      <w:rFonts w:hint="default" w:ascii="Times New Roman" w:hAnsi="Times New Roman" w:eastAsia="宋体" w:cs="Times New Roman"/>
                      <w:bCs/>
                      <w:color w:val="auto"/>
                      <w:spacing w:val="-10"/>
                      <w:sz w:val="21"/>
                      <w:szCs w:val="21"/>
                      <w:highlight w:val="none"/>
                      <w:u w:val="none"/>
                      <w:lang w:eastAsia="zh-CN"/>
                    </w:rPr>
                    <w:t>燃料名称</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年用</w:t>
                  </w:r>
                  <w:r>
                    <w:rPr>
                      <w:rFonts w:hint="default" w:ascii="Times New Roman" w:hAnsi="Times New Roman" w:eastAsia="宋体" w:cs="Times New Roman"/>
                      <w:bCs/>
                      <w:color w:val="auto"/>
                      <w:spacing w:val="-10"/>
                      <w:sz w:val="21"/>
                      <w:szCs w:val="21"/>
                      <w:highlight w:val="none"/>
                      <w:u w:val="none"/>
                      <w:lang w:eastAsia="zh-CN"/>
                    </w:rPr>
                    <w:t>生物质</w:t>
                  </w:r>
                  <w:r>
                    <w:rPr>
                      <w:rFonts w:hint="default" w:ascii="Times New Roman" w:hAnsi="Times New Roman" w:eastAsia="宋体" w:cs="Times New Roman"/>
                      <w:bCs/>
                      <w:color w:val="auto"/>
                      <w:spacing w:val="-10"/>
                      <w:sz w:val="21"/>
                      <w:szCs w:val="21"/>
                      <w:highlight w:val="none"/>
                      <w:u w:val="none"/>
                    </w:rPr>
                    <w:t>量（</w:t>
                  </w:r>
                  <w:r>
                    <w:rPr>
                      <w:rFonts w:hint="default" w:ascii="Times New Roman" w:hAnsi="Times New Roman" w:eastAsia="宋体" w:cs="Times New Roman"/>
                      <w:bCs/>
                      <w:color w:val="auto"/>
                      <w:spacing w:val="-10"/>
                      <w:sz w:val="21"/>
                      <w:szCs w:val="21"/>
                      <w:highlight w:val="none"/>
                      <w:u w:val="none"/>
                      <w:lang w:val="en-US" w:eastAsia="zh-CN"/>
                    </w:rPr>
                    <w:t>t/a</w:t>
                  </w:r>
                  <w:r>
                    <w:rPr>
                      <w:rFonts w:hint="default" w:ascii="Times New Roman" w:hAnsi="Times New Roman" w:eastAsia="宋体" w:cs="Times New Roman"/>
                      <w:bCs/>
                      <w:color w:val="auto"/>
                      <w:spacing w:val="-10"/>
                      <w:sz w:val="21"/>
                      <w:szCs w:val="21"/>
                      <w:highlight w:val="none"/>
                      <w:u w:val="none"/>
                    </w:rPr>
                    <w:t>）</w:t>
                  </w:r>
                </w:p>
              </w:tc>
              <w:tc>
                <w:tcPr>
                  <w:tcW w:w="56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污染物产生情况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污染物</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排污系数</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污染物浓度</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年产污量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eastAsia="zh-CN"/>
                    </w:rPr>
                  </w:pPr>
                  <w:r>
                    <w:rPr>
                      <w:rFonts w:hint="default" w:ascii="Times New Roman" w:hAnsi="Times New Roman" w:eastAsia="宋体" w:cs="Times New Roman"/>
                      <w:bCs/>
                      <w:color w:val="auto"/>
                      <w:spacing w:val="-10"/>
                      <w:sz w:val="21"/>
                      <w:szCs w:val="21"/>
                      <w:highlight w:val="none"/>
                      <w:u w:val="none"/>
                      <w:lang w:eastAsia="zh-CN"/>
                    </w:rPr>
                    <w:t>生物质</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val="en-US"/>
                    </w:rPr>
                  </w:pPr>
                  <w:r>
                    <w:rPr>
                      <w:rFonts w:hint="eastAsia" w:cs="Times New Roman"/>
                      <w:bCs/>
                      <w:color w:val="auto"/>
                      <w:spacing w:val="-10"/>
                      <w:sz w:val="21"/>
                      <w:szCs w:val="21"/>
                      <w:highlight w:val="none"/>
                      <w:u w:val="none"/>
                      <w:lang w:val="en-US" w:eastAsia="zh-CN"/>
                    </w:rPr>
                    <w:t>120</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烟气量</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eastAsia="zh-CN"/>
                    </w:rPr>
                  </w:pPr>
                  <w:r>
                    <w:rPr>
                      <w:rFonts w:hint="default" w:ascii="Times New Roman" w:hAnsi="Times New Roman" w:eastAsia="宋体" w:cs="Times New Roman"/>
                      <w:bCs/>
                      <w:color w:val="auto"/>
                      <w:spacing w:val="-10"/>
                      <w:sz w:val="21"/>
                      <w:szCs w:val="21"/>
                      <w:highlight w:val="none"/>
                      <w:u w:val="none"/>
                      <w:lang w:val="en-US" w:eastAsia="zh-CN"/>
                    </w:rPr>
                    <w:t>7.19</w:t>
                  </w:r>
                  <w:r>
                    <w:rPr>
                      <w:rFonts w:hint="default" w:ascii="Times New Roman" w:hAnsi="Times New Roman" w:eastAsia="宋体" w:cs="Times New Roman"/>
                      <w:bCs/>
                      <w:color w:val="auto"/>
                      <w:spacing w:val="-10"/>
                      <w:sz w:val="21"/>
                      <w:szCs w:val="21"/>
                      <w:highlight w:val="none"/>
                      <w:u w:val="none"/>
                    </w:rPr>
                    <w:t>Nm</w:t>
                  </w:r>
                  <w:r>
                    <w:rPr>
                      <w:rFonts w:hint="default" w:ascii="Times New Roman" w:hAnsi="Times New Roman" w:eastAsia="宋体" w:cs="Times New Roman"/>
                      <w:bCs/>
                      <w:color w:val="auto"/>
                      <w:spacing w:val="-10"/>
                      <w:sz w:val="21"/>
                      <w:szCs w:val="21"/>
                      <w:highlight w:val="none"/>
                      <w:u w:val="none"/>
                      <w:vertAlign w:val="superscript"/>
                    </w:rPr>
                    <w:t>3</w:t>
                  </w:r>
                  <w:r>
                    <w:rPr>
                      <w:rFonts w:hint="default" w:ascii="Times New Roman" w:hAnsi="Times New Roman" w:eastAsia="宋体" w:cs="Times New Roman"/>
                      <w:bCs/>
                      <w:color w:val="auto"/>
                      <w:spacing w:val="-10"/>
                      <w:sz w:val="21"/>
                      <w:szCs w:val="21"/>
                      <w:highlight w:val="none"/>
                      <w:u w:val="none"/>
                    </w:rPr>
                    <w:t xml:space="preserve">/ </w:t>
                  </w:r>
                  <w:r>
                    <w:rPr>
                      <w:rFonts w:hint="default" w:ascii="Times New Roman" w:hAnsi="Times New Roman" w:eastAsia="宋体" w:cs="Times New Roman"/>
                      <w:bCs/>
                      <w:color w:val="auto"/>
                      <w:spacing w:val="-10"/>
                      <w:sz w:val="21"/>
                      <w:szCs w:val="21"/>
                      <w:highlight w:val="none"/>
                      <w:u w:val="none"/>
                      <w:lang w:val="en-US" w:eastAsia="zh-CN"/>
                    </w:rPr>
                    <w:t>kg</w:t>
                  </w:r>
                  <w:r>
                    <w:rPr>
                      <w:rFonts w:hint="default" w:ascii="Times New Roman" w:hAnsi="Times New Roman" w:eastAsia="宋体" w:cs="Times New Roman"/>
                      <w:bCs/>
                      <w:color w:val="auto"/>
                      <w:spacing w:val="-10"/>
                      <w:sz w:val="21"/>
                      <w:szCs w:val="21"/>
                      <w:highlight w:val="none"/>
                      <w:u w:val="none"/>
                    </w:rPr>
                    <w:t>-</w:t>
                  </w:r>
                  <w:r>
                    <w:rPr>
                      <w:rFonts w:hint="default" w:ascii="Times New Roman" w:hAnsi="Times New Roman" w:eastAsia="宋体" w:cs="Times New Roman"/>
                      <w:bCs/>
                      <w:color w:val="auto"/>
                      <w:spacing w:val="-10"/>
                      <w:sz w:val="21"/>
                      <w:szCs w:val="21"/>
                      <w:highlight w:val="none"/>
                      <w:u w:val="none"/>
                      <w:lang w:eastAsia="zh-CN"/>
                    </w:rPr>
                    <w:t>原料</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auto"/>
                      <w:spacing w:val="-10"/>
                      <w:sz w:val="21"/>
                      <w:szCs w:val="21"/>
                      <w:highlight w:val="none"/>
                      <w:u w:val="none"/>
                    </w:rPr>
                    <w:t>----</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eastAsia" w:cs="Times New Roman"/>
                      <w:color w:val="auto"/>
                      <w:szCs w:val="21"/>
                      <w:u w:val="none"/>
                      <w:lang w:val="en-US" w:eastAsia="zh-CN"/>
                    </w:rPr>
                    <w:t>86.28</w:t>
                  </w:r>
                  <w:r>
                    <w:rPr>
                      <w:rFonts w:hint="default" w:ascii="Times New Roman" w:hAnsi="Times New Roman" w:eastAsia="宋体" w:cs="Times New Roman"/>
                      <w:color w:val="auto"/>
                      <w:szCs w:val="21"/>
                      <w:u w:val="none"/>
                    </w:rPr>
                    <w:t>×10</w:t>
                  </w:r>
                  <w:r>
                    <w:rPr>
                      <w:rFonts w:hint="eastAsia" w:ascii="Times New Roman" w:hAnsi="Times New Roman" w:cs="Times New Roman"/>
                      <w:color w:val="auto"/>
                      <w:szCs w:val="21"/>
                      <w:u w:val="none"/>
                      <w:vertAlign w:val="superscript"/>
                      <w:lang w:val="en-US" w:eastAsia="zh-CN"/>
                    </w:rPr>
                    <w:t>4</w:t>
                  </w:r>
                  <w:r>
                    <w:rPr>
                      <w:rFonts w:hint="default" w:ascii="Times New Roman" w:hAnsi="Times New Roman" w:eastAsia="宋体" w:cs="Times New Roman"/>
                      <w:bCs/>
                      <w:color w:val="auto"/>
                      <w:spacing w:val="-10"/>
                      <w:sz w:val="21"/>
                      <w:szCs w:val="21"/>
                      <w:highlight w:val="none"/>
                      <w:u w:val="none"/>
                    </w:rPr>
                    <w:t>N m</w:t>
                  </w:r>
                  <w:r>
                    <w:rPr>
                      <w:rFonts w:hint="default" w:ascii="Times New Roman" w:hAnsi="Times New Roman" w:eastAsia="宋体" w:cs="Times New Roman"/>
                      <w:bCs/>
                      <w:color w:val="auto"/>
                      <w:spacing w:val="-10"/>
                      <w:sz w:val="21"/>
                      <w:szCs w:val="21"/>
                      <w:highlight w:val="none"/>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000000"/>
                      <w:sz w:val="21"/>
                      <w:szCs w:val="21"/>
                      <w:u w:val="none"/>
                      <w:vertAlign w:val="baseline"/>
                      <w:lang w:eastAsia="zh-CN"/>
                    </w:rPr>
                    <w:t>二氧化硫</w:t>
                  </w:r>
                </w:p>
              </w:tc>
              <w:tc>
                <w:tcPr>
                  <w:tcW w:w="1733"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000000"/>
                      <w:sz w:val="21"/>
                      <w:szCs w:val="21"/>
                      <w:u w:val="none"/>
                      <w:vertAlign w:val="baseline"/>
                      <w:lang w:val="en-US" w:eastAsia="zh-CN"/>
                    </w:rPr>
                    <w:t>17S</w:t>
                  </w:r>
                  <w:r>
                    <w:rPr>
                      <w:rFonts w:hint="default" w:ascii="Times New Roman" w:hAnsi="Times New Roman" w:eastAsia="宋体" w:cs="Times New Roman"/>
                      <w:bCs/>
                      <w:color w:val="000000"/>
                      <w:sz w:val="21"/>
                      <w:szCs w:val="21"/>
                      <w:u w:val="none"/>
                      <w:vertAlign w:val="baseline"/>
                      <w:lang w:eastAsia="zh-CN"/>
                    </w:rPr>
                    <w:t>千克</w:t>
                  </w:r>
                  <w:r>
                    <w:rPr>
                      <w:rFonts w:hint="default" w:ascii="Times New Roman" w:hAnsi="Times New Roman" w:eastAsia="宋体" w:cs="Times New Roman"/>
                      <w:bCs/>
                      <w:color w:val="000000"/>
                      <w:sz w:val="21"/>
                      <w:szCs w:val="21"/>
                      <w:u w:val="none"/>
                      <w:vertAlign w:val="baseline"/>
                      <w:lang w:val="en-US" w:eastAsia="zh-CN"/>
                    </w:rPr>
                    <w:t>/吨-原料</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eastAsia" w:ascii="Times New Roman" w:hAnsi="Times New Roman" w:cs="Times New Roman"/>
                      <w:bCs/>
                      <w:color w:val="auto"/>
                      <w:spacing w:val="-10"/>
                      <w:sz w:val="21"/>
                      <w:szCs w:val="21"/>
                      <w:highlight w:val="none"/>
                      <w:u w:val="none"/>
                      <w:lang w:val="en-US" w:eastAsia="zh-CN"/>
                    </w:rPr>
                    <w:t>46.36</w:t>
                  </w:r>
                  <w:r>
                    <w:rPr>
                      <w:rFonts w:hint="default" w:ascii="Times New Roman" w:hAnsi="Times New Roman" w:eastAsia="宋体" w:cs="Times New Roman"/>
                      <w:bCs/>
                      <w:color w:val="auto"/>
                      <w:spacing w:val="-10"/>
                      <w:sz w:val="21"/>
                      <w:szCs w:val="21"/>
                      <w:highlight w:val="none"/>
                      <w:u w:val="none"/>
                    </w:rPr>
                    <w:t>mg/ m</w:t>
                  </w:r>
                  <w:r>
                    <w:rPr>
                      <w:rFonts w:hint="default" w:ascii="Times New Roman" w:hAnsi="Times New Roman" w:eastAsia="宋体" w:cs="Times New Roman"/>
                      <w:bCs/>
                      <w:color w:val="auto"/>
                      <w:spacing w:val="-10"/>
                      <w:sz w:val="21"/>
                      <w:szCs w:val="21"/>
                      <w:highlight w:val="none"/>
                      <w:u w:val="none"/>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val="en-US"/>
                    </w:rPr>
                  </w:pPr>
                  <w:r>
                    <w:rPr>
                      <w:rFonts w:hint="eastAsia" w:cs="Times New Roman"/>
                      <w:bCs/>
                      <w:color w:val="auto"/>
                      <w:spacing w:val="-10"/>
                      <w:sz w:val="21"/>
                      <w:szCs w:val="21"/>
                      <w:highlight w:val="none"/>
                      <w:u w:val="none"/>
                      <w:lang w:val="en-US" w:eastAsia="zh-CN"/>
                    </w:rPr>
                    <w:t>0.04</w:t>
                  </w:r>
                  <w:r>
                    <w:rPr>
                      <w:rFonts w:hint="default" w:ascii="Times New Roman" w:hAnsi="Times New Roman" w:eastAsia="宋体" w:cs="Times New Roman"/>
                      <w:bCs/>
                      <w:color w:val="auto"/>
                      <w:spacing w:val="-10"/>
                      <w:sz w:val="21"/>
                      <w:szCs w:val="21"/>
                      <w:highlight w:val="none"/>
                      <w:u w:val="none"/>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000000"/>
                      <w:sz w:val="21"/>
                      <w:szCs w:val="21"/>
                      <w:u w:val="none"/>
                      <w:vertAlign w:val="baseline"/>
                      <w:lang w:eastAsia="zh-CN"/>
                    </w:rPr>
                    <w:t>颗粒物</w:t>
                  </w:r>
                </w:p>
              </w:tc>
              <w:tc>
                <w:tcPr>
                  <w:tcW w:w="1733"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auto"/>
                      <w:spacing w:val="-10"/>
                      <w:sz w:val="21"/>
                      <w:szCs w:val="21"/>
                      <w:highlight w:val="none"/>
                      <w:u w:val="none"/>
                    </w:rPr>
                  </w:pPr>
                  <w:r>
                    <w:rPr>
                      <w:rFonts w:hint="default" w:ascii="Times New Roman" w:hAnsi="Times New Roman" w:eastAsia="宋体" w:cs="Times New Roman"/>
                      <w:bCs/>
                      <w:color w:val="000000"/>
                      <w:sz w:val="21"/>
                      <w:szCs w:val="21"/>
                      <w:u w:val="none"/>
                      <w:vertAlign w:val="baseline"/>
                      <w:lang w:val="en-US" w:eastAsia="zh-CN"/>
                    </w:rPr>
                    <w:t>0.5</w:t>
                  </w:r>
                  <w:r>
                    <w:rPr>
                      <w:rFonts w:hint="default" w:ascii="Times New Roman" w:hAnsi="Times New Roman" w:eastAsia="宋体" w:cs="Times New Roman"/>
                      <w:bCs/>
                      <w:color w:val="000000"/>
                      <w:sz w:val="21"/>
                      <w:szCs w:val="21"/>
                      <w:u w:val="none"/>
                      <w:vertAlign w:val="baseline"/>
                      <w:lang w:eastAsia="zh-CN"/>
                    </w:rPr>
                    <w:t>千克</w:t>
                  </w:r>
                  <w:r>
                    <w:rPr>
                      <w:rFonts w:hint="default" w:ascii="Times New Roman" w:hAnsi="Times New Roman" w:eastAsia="宋体" w:cs="Times New Roman"/>
                      <w:bCs/>
                      <w:color w:val="000000"/>
                      <w:sz w:val="21"/>
                      <w:szCs w:val="21"/>
                      <w:u w:val="none"/>
                      <w:vertAlign w:val="baseline"/>
                      <w:lang w:val="en-US" w:eastAsia="zh-CN"/>
                    </w:rPr>
                    <w:t>/吨-原料</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eastAsia" w:ascii="Times New Roman" w:hAnsi="Times New Roman" w:cs="Times New Roman"/>
                      <w:bCs/>
                      <w:color w:val="auto"/>
                      <w:spacing w:val="-10"/>
                      <w:sz w:val="21"/>
                      <w:szCs w:val="21"/>
                      <w:highlight w:val="none"/>
                      <w:u w:val="none"/>
                      <w:lang w:val="en-US" w:eastAsia="zh-CN"/>
                    </w:rPr>
                    <w:t>69.54</w:t>
                  </w:r>
                  <w:r>
                    <w:rPr>
                      <w:rFonts w:hint="default" w:ascii="Times New Roman" w:hAnsi="Times New Roman" w:eastAsia="宋体" w:cs="Times New Roman"/>
                      <w:bCs/>
                      <w:color w:val="auto"/>
                      <w:spacing w:val="-10"/>
                      <w:sz w:val="21"/>
                      <w:szCs w:val="21"/>
                      <w:highlight w:val="none"/>
                      <w:u w:val="none"/>
                    </w:rPr>
                    <w:t>mg/ m</w:t>
                  </w:r>
                  <w:r>
                    <w:rPr>
                      <w:rFonts w:hint="default" w:ascii="Times New Roman" w:hAnsi="Times New Roman" w:eastAsia="宋体" w:cs="Times New Roman"/>
                      <w:bCs/>
                      <w:color w:val="auto"/>
                      <w:spacing w:val="-10"/>
                      <w:sz w:val="21"/>
                      <w:szCs w:val="21"/>
                      <w:highlight w:val="none"/>
                      <w:u w:val="none"/>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val="en-US"/>
                    </w:rPr>
                  </w:pPr>
                  <w:r>
                    <w:rPr>
                      <w:rFonts w:hint="eastAsia" w:cs="Times New Roman"/>
                      <w:bCs/>
                      <w:color w:val="auto"/>
                      <w:spacing w:val="-10"/>
                      <w:sz w:val="21"/>
                      <w:szCs w:val="21"/>
                      <w:highlight w:val="none"/>
                      <w:u w:val="none"/>
                      <w:lang w:val="en-US" w:eastAsia="zh-CN"/>
                    </w:rPr>
                    <w:t>0.06</w:t>
                  </w:r>
                  <w:r>
                    <w:rPr>
                      <w:rFonts w:hint="default" w:ascii="Times New Roman" w:hAnsi="Times New Roman" w:eastAsia="宋体" w:cs="Times New Roman"/>
                      <w:bCs/>
                      <w:color w:val="auto"/>
                      <w:spacing w:val="-10"/>
                      <w:sz w:val="21"/>
                      <w:szCs w:val="21"/>
                      <w:highlight w:val="none"/>
                      <w:u w:val="none"/>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000000"/>
                      <w:sz w:val="21"/>
                      <w:szCs w:val="21"/>
                      <w:u w:val="none"/>
                      <w:vertAlign w:val="baseline"/>
                      <w:lang w:eastAsia="zh-CN"/>
                    </w:rPr>
                  </w:pPr>
                  <w:r>
                    <w:rPr>
                      <w:rFonts w:hint="default" w:ascii="Times New Roman" w:hAnsi="Times New Roman" w:eastAsia="宋体" w:cs="Times New Roman"/>
                      <w:bCs/>
                      <w:color w:val="000000"/>
                      <w:sz w:val="21"/>
                      <w:szCs w:val="21"/>
                      <w:u w:val="none"/>
                      <w:vertAlign w:val="baseline"/>
                      <w:lang w:eastAsia="zh-CN"/>
                    </w:rPr>
                    <w:t>氮氧化物</w:t>
                  </w:r>
                </w:p>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000000"/>
                      <w:sz w:val="21"/>
                      <w:szCs w:val="21"/>
                      <w:u w:val="none"/>
                      <w:vertAlign w:val="baseline"/>
                      <w:lang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Cs/>
                      <w:color w:val="auto"/>
                      <w:spacing w:val="-10"/>
                      <w:sz w:val="21"/>
                      <w:szCs w:val="21"/>
                      <w:highlight w:val="none"/>
                      <w:u w:val="none"/>
                    </w:rPr>
                  </w:pPr>
                  <w:r>
                    <w:rPr>
                      <w:rFonts w:hint="eastAsia"/>
                      <w:bCs/>
                      <w:color w:val="000000"/>
                      <w:sz w:val="21"/>
                      <w:szCs w:val="21"/>
                      <w:u w:val="none"/>
                      <w:vertAlign w:val="baseline"/>
                      <w:lang w:val="en-US" w:eastAsia="zh-CN"/>
                    </w:rPr>
                    <w:t>1.02</w:t>
                  </w:r>
                  <w:r>
                    <w:rPr>
                      <w:rFonts w:hint="eastAsia"/>
                      <w:bCs/>
                      <w:color w:val="000000"/>
                      <w:sz w:val="21"/>
                      <w:szCs w:val="21"/>
                      <w:u w:val="none"/>
                      <w:vertAlign w:val="baseline"/>
                      <w:lang w:eastAsia="zh-CN"/>
                    </w:rPr>
                    <w:t>千克</w:t>
                  </w:r>
                  <w:r>
                    <w:rPr>
                      <w:rFonts w:hint="eastAsia"/>
                      <w:bCs/>
                      <w:color w:val="000000"/>
                      <w:sz w:val="21"/>
                      <w:szCs w:val="21"/>
                      <w:u w:val="none"/>
                      <w:vertAlign w:val="baseline"/>
                      <w:lang w:val="en-US" w:eastAsia="zh-CN"/>
                    </w:rPr>
                    <w:t>/吨-原料</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rPr>
                  </w:pPr>
                  <w:r>
                    <w:rPr>
                      <w:rFonts w:hint="eastAsia" w:ascii="Times New Roman" w:hAnsi="Times New Roman" w:cs="Times New Roman"/>
                      <w:bCs/>
                      <w:color w:val="auto"/>
                      <w:spacing w:val="-10"/>
                      <w:sz w:val="21"/>
                      <w:szCs w:val="21"/>
                      <w:highlight w:val="none"/>
                      <w:u w:val="none"/>
                      <w:lang w:val="en-US" w:eastAsia="zh-CN"/>
                    </w:rPr>
                    <w:t>141.40</w:t>
                  </w:r>
                  <w:r>
                    <w:rPr>
                      <w:rFonts w:hint="default" w:ascii="Times New Roman" w:hAnsi="Times New Roman" w:eastAsia="宋体" w:cs="Times New Roman"/>
                      <w:bCs/>
                      <w:color w:val="auto"/>
                      <w:spacing w:val="-10"/>
                      <w:sz w:val="21"/>
                      <w:szCs w:val="21"/>
                      <w:highlight w:val="none"/>
                      <w:u w:val="none"/>
                    </w:rPr>
                    <w:t>mg/ m</w:t>
                  </w:r>
                  <w:r>
                    <w:rPr>
                      <w:rFonts w:hint="default" w:ascii="Times New Roman" w:hAnsi="Times New Roman" w:eastAsia="宋体" w:cs="Times New Roman"/>
                      <w:bCs/>
                      <w:color w:val="auto"/>
                      <w:spacing w:val="-10"/>
                      <w:sz w:val="21"/>
                      <w:szCs w:val="21"/>
                      <w:highlight w:val="none"/>
                      <w:u w:val="none"/>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pacing w:val="-10"/>
                      <w:sz w:val="21"/>
                      <w:szCs w:val="21"/>
                      <w:highlight w:val="none"/>
                      <w:u w:val="none"/>
                      <w:lang w:val="en-US"/>
                    </w:rPr>
                  </w:pPr>
                  <w:r>
                    <w:rPr>
                      <w:rFonts w:hint="eastAsia" w:cs="Times New Roman"/>
                      <w:bCs/>
                      <w:color w:val="auto"/>
                      <w:spacing w:val="-10"/>
                      <w:sz w:val="21"/>
                      <w:szCs w:val="21"/>
                      <w:highlight w:val="none"/>
                      <w:u w:val="none"/>
                      <w:lang w:val="en-US" w:eastAsia="zh-CN"/>
                    </w:rPr>
                    <w:t>0.122</w:t>
                  </w:r>
                  <w:r>
                    <w:rPr>
                      <w:rFonts w:hint="eastAsia" w:ascii="Times New Roman" w:hAnsi="Times New Roman" w:eastAsia="宋体" w:cs="Times New Roman"/>
                      <w:bCs/>
                      <w:color w:val="auto"/>
                      <w:spacing w:val="-10"/>
                      <w:sz w:val="21"/>
                      <w:szCs w:val="21"/>
                      <w:highlight w:val="none"/>
                      <w:u w:val="none"/>
                      <w:lang w:val="en-US" w:eastAsia="zh-CN"/>
                    </w:rPr>
                    <w:t>t</w:t>
                  </w:r>
                </w:p>
              </w:tc>
            </w:tr>
          </w:tbl>
          <w:p>
            <w:pPr>
              <w:pStyle w:val="8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default" w:ascii="Times New Roman" w:hAnsi="Times New Roman" w:eastAsia="宋体" w:cs="Times New Roman"/>
                <w:b w:val="0"/>
                <w:bCs/>
                <w:color w:val="000000"/>
                <w:sz w:val="24"/>
                <w:u w:val="none"/>
                <w:lang w:val="en-US" w:eastAsia="zh-CN"/>
              </w:rPr>
            </w:pPr>
            <w:r>
              <w:rPr>
                <w:rFonts w:hint="default" w:ascii="Times New Roman" w:hAnsi="Times New Roman" w:eastAsia="宋体" w:cs="Times New Roman"/>
                <w:b/>
                <w:bCs w:val="0"/>
                <w:color w:val="000000"/>
                <w:sz w:val="21"/>
                <w:szCs w:val="21"/>
                <w:u w:val="none"/>
                <w:lang w:eastAsia="zh-CN"/>
              </w:rPr>
              <w:t>注：</w:t>
            </w:r>
            <w:r>
              <w:rPr>
                <w:rFonts w:hint="default" w:ascii="Times New Roman" w:hAnsi="Times New Roman" w:eastAsia="宋体" w:cs="Times New Roman"/>
                <w:b/>
                <w:bCs w:val="0"/>
                <w:sz w:val="21"/>
                <w:szCs w:val="21"/>
                <w:u w:val="none"/>
              </w:rPr>
              <w:t>二氧化硫的产排污系数是以含硫量（S％）的形式表示的，其中含硫量（S％）是指生物质收到基硫分含量，以质量百分数的形式表示。生物质</w:t>
            </w:r>
            <w:r>
              <w:rPr>
                <w:rFonts w:hint="default" w:ascii="Times New Roman" w:hAnsi="Times New Roman" w:eastAsia="宋体" w:cs="Times New Roman"/>
                <w:b/>
                <w:bCs w:val="0"/>
                <w:sz w:val="21"/>
                <w:szCs w:val="21"/>
                <w:u w:val="none"/>
                <w:lang w:eastAsia="zh-CN"/>
              </w:rPr>
              <w:t>颗粒</w:t>
            </w:r>
            <w:r>
              <w:rPr>
                <w:rFonts w:hint="default" w:ascii="Times New Roman" w:hAnsi="Times New Roman" w:eastAsia="宋体" w:cs="Times New Roman"/>
                <w:b/>
                <w:bCs w:val="0"/>
                <w:sz w:val="21"/>
                <w:szCs w:val="21"/>
                <w:u w:val="none"/>
              </w:rPr>
              <w:t>中含硫量（S％）为0.1％，则S=0.1</w:t>
            </w:r>
            <w:r>
              <w:rPr>
                <w:rFonts w:hint="default" w:ascii="Times New Roman" w:hAnsi="Times New Roman" w:eastAsia="宋体" w:cs="Times New Roman"/>
                <w:b/>
                <w:bCs w:val="0"/>
                <w:color w:val="000000"/>
                <w:sz w:val="21"/>
                <w:szCs w:val="21"/>
                <w:u w:val="none"/>
                <w:lang w:eastAsia="zh-CN"/>
              </w:rPr>
              <w:t>。</w:t>
            </w:r>
            <w:r>
              <w:rPr>
                <w:rFonts w:hint="default" w:ascii="Times New Roman" w:hAnsi="Times New Roman" w:eastAsia="宋体" w:cs="Times New Roman"/>
                <w:b w:val="0"/>
                <w:bCs/>
                <w:color w:val="000000"/>
                <w:sz w:val="24"/>
                <w:u w:val="none"/>
                <w:lang w:eastAsia="zh-CN"/>
              </w:rPr>
              <w:t>根据业主提供资料，本项目使用的生物质颗粒含硫量为</w:t>
            </w:r>
            <w:r>
              <w:rPr>
                <w:rFonts w:hint="default" w:ascii="Times New Roman" w:hAnsi="Times New Roman" w:eastAsia="宋体" w:cs="Times New Roman"/>
                <w:b w:val="0"/>
                <w:bCs/>
                <w:color w:val="000000"/>
                <w:sz w:val="24"/>
                <w:u w:val="none"/>
                <w:lang w:val="en-US" w:eastAsia="zh-CN"/>
              </w:rPr>
              <w:t>0.02%，则S=0.02。</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highlight w:val="none"/>
                <w:u w:val="none"/>
                <w:lang w:eastAsia="zh-CN"/>
              </w:rPr>
              <w:t>经过上表计算可知</w:t>
            </w:r>
            <w:r>
              <w:rPr>
                <w:rFonts w:hint="default" w:ascii="Times New Roman" w:hAnsi="Times New Roman" w:eastAsia="宋体" w:cs="Times New Roman"/>
                <w:color w:val="auto"/>
                <w:sz w:val="24"/>
                <w:szCs w:val="24"/>
                <w:highlight w:val="none"/>
                <w:u w:val="none"/>
              </w:rPr>
              <w:t>SO</w:t>
            </w:r>
            <w:r>
              <w:rPr>
                <w:rFonts w:hint="default" w:ascii="Times New Roman" w:hAnsi="Times New Roman" w:eastAsia="宋体" w:cs="Times New Roman"/>
                <w:color w:val="auto"/>
                <w:sz w:val="24"/>
                <w:szCs w:val="24"/>
                <w:highlight w:val="none"/>
                <w:u w:val="none"/>
                <w:vertAlign w:val="subscript"/>
              </w:rPr>
              <w:t>2</w:t>
            </w:r>
            <w:r>
              <w:rPr>
                <w:rFonts w:hint="default" w:ascii="Times New Roman" w:hAnsi="Times New Roman" w:eastAsia="宋体" w:cs="Times New Roman"/>
                <w:color w:val="auto"/>
                <w:sz w:val="24"/>
                <w:szCs w:val="24"/>
                <w:highlight w:val="none"/>
                <w:u w:val="none"/>
                <w:vertAlign w:val="baseline"/>
                <w:lang w:eastAsia="zh-CN"/>
              </w:rPr>
              <w:t>、</w:t>
            </w:r>
            <w:r>
              <w:rPr>
                <w:rFonts w:hint="eastAsia" w:ascii="Times New Roman" w:hAnsi="Times New Roman" w:cs="Times New Roman"/>
                <w:color w:val="auto"/>
                <w:sz w:val="24"/>
                <w:szCs w:val="24"/>
                <w:highlight w:val="none"/>
                <w:u w:val="none"/>
                <w:lang w:eastAsia="zh-CN"/>
              </w:rPr>
              <w:t>颗粒物</w:t>
            </w:r>
            <w:r>
              <w:rPr>
                <w:rFonts w:hint="default" w:ascii="Times New Roman" w:hAnsi="Times New Roman" w:eastAsia="宋体" w:cs="Times New Roman"/>
                <w:color w:val="auto"/>
                <w:sz w:val="24"/>
                <w:szCs w:val="24"/>
                <w:highlight w:val="none"/>
                <w:u w:val="none"/>
                <w:lang w:eastAsia="zh-CN"/>
              </w:rPr>
              <w:t>排放浓度能满足</w:t>
            </w:r>
            <w:r>
              <w:rPr>
                <w:rFonts w:hint="eastAsia" w:ascii="Times New Roman" w:hAnsi="Times New Roman" w:eastAsia="宋体" w:cs="Times New Roman"/>
                <w:color w:val="auto"/>
                <w:sz w:val="24"/>
                <w:szCs w:val="24"/>
                <w:highlight w:val="none"/>
                <w:u w:val="none"/>
                <w:lang w:val="en-US" w:eastAsia="zh-CN"/>
              </w:rPr>
              <w:t>《工业炉窑大气污染物排放标准》（GB9078-1996）二级排放标准限值（SO</w:t>
            </w:r>
            <w:r>
              <w:rPr>
                <w:rFonts w:hint="eastAsia" w:ascii="Times New Roman" w:hAnsi="Times New Roman" w:eastAsia="宋体" w:cs="Times New Roman"/>
                <w:color w:val="auto"/>
                <w:sz w:val="24"/>
                <w:szCs w:val="24"/>
                <w:highlight w:val="none"/>
                <w:u w:val="none"/>
                <w:vertAlign w:val="subscript"/>
                <w:lang w:val="en-US" w:eastAsia="zh-CN"/>
              </w:rPr>
              <w:t>2</w:t>
            </w:r>
            <w:r>
              <w:rPr>
                <w:rFonts w:hint="eastAsia" w:ascii="Times New Roman" w:hAnsi="Times New Roman" w:eastAsia="宋体" w:cs="Times New Roman"/>
                <w:color w:val="auto"/>
                <w:sz w:val="24"/>
                <w:szCs w:val="24"/>
                <w:highlight w:val="none"/>
                <w:u w:val="none"/>
                <w:lang w:val="en-US" w:eastAsia="zh-CN"/>
              </w:rPr>
              <w:t>≤850mg/m</w:t>
            </w:r>
            <w:r>
              <w:rPr>
                <w:rFonts w:hint="eastAsia" w:ascii="Times New Roman" w:hAnsi="Times New Roman" w:eastAsia="宋体" w:cs="Times New Roman"/>
                <w:color w:val="auto"/>
                <w:sz w:val="24"/>
                <w:szCs w:val="24"/>
                <w:highlight w:val="none"/>
                <w:u w:val="none"/>
                <w:vertAlign w:val="superscript"/>
                <w:lang w:val="en-US" w:eastAsia="zh-CN"/>
              </w:rPr>
              <w:t>3</w:t>
            </w:r>
            <w:r>
              <w:rPr>
                <w:rFonts w:hint="eastAsia" w:ascii="Times New Roman" w:hAnsi="Times New Roman" w:eastAsia="宋体" w:cs="Times New Roman"/>
                <w:color w:val="auto"/>
                <w:sz w:val="24"/>
                <w:szCs w:val="24"/>
                <w:highlight w:val="none"/>
                <w:u w:val="none"/>
                <w:lang w:val="en-US" w:eastAsia="zh-CN"/>
              </w:rPr>
              <w:t>、颗粒物≤250mg/m</w:t>
            </w:r>
            <w:r>
              <w:rPr>
                <w:rFonts w:hint="eastAsia" w:ascii="Times New Roman" w:hAnsi="Times New Roman" w:eastAsia="宋体" w:cs="Times New Roman"/>
                <w:color w:val="auto"/>
                <w:sz w:val="24"/>
                <w:szCs w:val="24"/>
                <w:highlight w:val="none"/>
                <w:u w:val="none"/>
                <w:vertAlign w:val="superscript"/>
                <w:lang w:val="en-US" w:eastAsia="zh-CN"/>
              </w:rPr>
              <w:t>3</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，颗粒物</w:t>
            </w:r>
            <w:r>
              <w:rPr>
                <w:rFonts w:hint="eastAsia" w:ascii="Times New Roman" w:hAnsi="Times New Roman" w:eastAsia="宋体" w:cs="Times New Roman"/>
                <w:color w:val="auto"/>
                <w:sz w:val="24"/>
                <w:szCs w:val="24"/>
                <w:highlight w:val="none"/>
                <w:u w:val="none"/>
                <w:lang w:val="en-US" w:eastAsia="zh-CN"/>
              </w:rPr>
              <w:t>采取水雾除尘措施</w:t>
            </w:r>
            <w:r>
              <w:rPr>
                <w:rFonts w:hint="default" w:ascii="Times New Roman" w:hAnsi="Times New Roman" w:eastAsia="宋体" w:cs="Times New Roman"/>
                <w:color w:val="auto"/>
                <w:sz w:val="24"/>
                <w:szCs w:val="24"/>
                <w:highlight w:val="none"/>
                <w:u w:val="none"/>
                <w:lang w:eastAsia="zh-CN"/>
              </w:rPr>
              <w:t>，</w:t>
            </w:r>
            <w:r>
              <w:rPr>
                <w:rFonts w:hint="eastAsia" w:cs="Times New Roman"/>
                <w:sz w:val="24"/>
                <w:szCs w:val="24"/>
                <w:lang w:val="en-US" w:eastAsia="zh-CN"/>
              </w:rPr>
              <w:t>NO</w:t>
            </w:r>
            <w:r>
              <w:rPr>
                <w:rFonts w:hint="eastAsia" w:cs="Times New Roman"/>
                <w:sz w:val="24"/>
                <w:szCs w:val="24"/>
                <w:vertAlign w:val="subscript"/>
                <w:lang w:val="en-US" w:eastAsia="zh-CN"/>
              </w:rPr>
              <w:t>X</w:t>
            </w:r>
            <w:r>
              <w:rPr>
                <w:rFonts w:hint="eastAsia" w:cs="Times New Roman"/>
                <w:sz w:val="24"/>
                <w:szCs w:val="24"/>
                <w:vertAlign w:val="baseline"/>
                <w:lang w:val="en-US" w:eastAsia="zh-CN"/>
              </w:rPr>
              <w:t>能够满足</w:t>
            </w:r>
            <w:r>
              <w:rPr>
                <w:rFonts w:hint="eastAsia" w:cs="Times New Roman"/>
                <w:sz w:val="24"/>
                <w:szCs w:val="24"/>
                <w:lang w:eastAsia="zh-CN"/>
              </w:rPr>
              <w:t>《大气污染物综合排放标准》二级排放标准限值（</w:t>
            </w:r>
            <w:r>
              <w:rPr>
                <w:rFonts w:hint="eastAsia" w:ascii="Times New Roman" w:hAnsi="Times New Roman" w:eastAsia="宋体" w:cs="Times New Roman"/>
                <w:color w:val="auto"/>
                <w:sz w:val="24"/>
                <w:szCs w:val="24"/>
                <w:highlight w:val="none"/>
                <w:u w:val="none"/>
                <w:lang w:val="en-US" w:eastAsia="zh-CN"/>
              </w:rPr>
              <w:t>NO</w:t>
            </w:r>
            <w:r>
              <w:rPr>
                <w:rFonts w:hint="eastAsia" w:ascii="Times New Roman" w:hAnsi="Times New Roman" w:eastAsia="宋体" w:cs="Times New Roman"/>
                <w:color w:val="auto"/>
                <w:sz w:val="24"/>
                <w:szCs w:val="24"/>
                <w:highlight w:val="none"/>
                <w:u w:val="none"/>
                <w:vertAlign w:val="subscript"/>
                <w:lang w:val="en-US" w:eastAsia="zh-CN"/>
              </w:rPr>
              <w:t>X</w:t>
            </w:r>
            <w:r>
              <w:rPr>
                <w:rFonts w:hint="eastAsia" w:ascii="Times New Roman" w:hAnsi="Times New Roman" w:eastAsia="宋体" w:cs="Times New Roman"/>
                <w:color w:val="auto"/>
                <w:sz w:val="24"/>
                <w:szCs w:val="24"/>
                <w:highlight w:val="none"/>
                <w:u w:val="none"/>
                <w:lang w:val="en-US" w:eastAsia="zh-CN"/>
              </w:rPr>
              <w:t>≤240mg/m</w:t>
            </w:r>
            <w:r>
              <w:rPr>
                <w:rFonts w:hint="eastAsia" w:ascii="Times New Roman" w:hAnsi="Times New Roman" w:eastAsia="宋体" w:cs="Times New Roman"/>
                <w:color w:val="auto"/>
                <w:sz w:val="24"/>
                <w:szCs w:val="24"/>
                <w:highlight w:val="none"/>
                <w:u w:val="none"/>
                <w:vertAlign w:val="superscript"/>
                <w:lang w:val="en-US" w:eastAsia="zh-CN"/>
              </w:rPr>
              <w:t>3</w:t>
            </w:r>
            <w:r>
              <w:rPr>
                <w:rFonts w:hint="eastAsia" w:cs="Times New Roman"/>
                <w:sz w:val="24"/>
                <w:szCs w:val="24"/>
                <w:lang w:eastAsia="zh-CN"/>
              </w:rPr>
              <w:t>）</w:t>
            </w:r>
            <w:r>
              <w:rPr>
                <w:rFonts w:hint="default" w:ascii="Times New Roman" w:hAnsi="Times New Roman" w:eastAsia="宋体" w:cs="Times New Roman"/>
                <w:b w:val="0"/>
                <w:bCs/>
                <w:color w:val="auto"/>
                <w:sz w:val="24"/>
                <w:szCs w:val="24"/>
                <w:highlight w:val="none"/>
                <w:u w:val="none"/>
                <w:lang w:val="en-US" w:eastAsia="zh-CN"/>
              </w:rPr>
              <w:t>，经处理后的锅炉燃烧废气经</w:t>
            </w:r>
            <w:r>
              <w:rPr>
                <w:rFonts w:hint="eastAsia" w:ascii="Times New Roman" w:hAnsi="Times New Roman" w:cs="Times New Roman"/>
                <w:b w:val="0"/>
                <w:bCs/>
                <w:color w:val="auto"/>
                <w:sz w:val="24"/>
                <w:szCs w:val="24"/>
                <w:highlight w:val="none"/>
                <w:u w:val="none"/>
                <w:lang w:val="en-US" w:eastAsia="zh-CN"/>
              </w:rPr>
              <w:t>22</w:t>
            </w:r>
            <w:r>
              <w:rPr>
                <w:rFonts w:hint="default" w:ascii="Times New Roman" w:hAnsi="Times New Roman" w:eastAsia="宋体" w:cs="Times New Roman"/>
                <w:b w:val="0"/>
                <w:bCs/>
                <w:color w:val="auto"/>
                <w:sz w:val="24"/>
                <w:szCs w:val="24"/>
                <w:highlight w:val="none"/>
                <w:u w:val="none"/>
                <w:lang w:val="en-US" w:eastAsia="zh-CN"/>
              </w:rPr>
              <w:t>m高排气筒DA001高空排放</w:t>
            </w:r>
            <w:r>
              <w:rPr>
                <w:rFonts w:hint="default" w:ascii="Times New Roman" w:hAnsi="Times New Roman" w:eastAsia="宋体" w:cs="Times New Roman"/>
                <w:color w:val="000000"/>
                <w:sz w:val="24"/>
                <w:szCs w:val="24"/>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C00000"/>
                <w:sz w:val="24"/>
                <w:szCs w:val="24"/>
                <w:u w:val="single"/>
                <w:lang w:eastAsia="zh-CN"/>
              </w:rPr>
            </w:pPr>
            <w:r>
              <w:rPr>
                <w:rFonts w:hint="eastAsia" w:cs="Times New Roman"/>
                <w:color w:val="C00000"/>
                <w:sz w:val="24"/>
                <w:szCs w:val="24"/>
                <w:u w:val="single"/>
                <w:lang w:eastAsia="zh-CN"/>
              </w:rPr>
              <w:t>②制管烘干工序废气（</w:t>
            </w:r>
            <w:r>
              <w:rPr>
                <w:rFonts w:hint="eastAsia" w:cs="Times New Roman"/>
                <w:color w:val="C00000"/>
                <w:sz w:val="24"/>
                <w:szCs w:val="24"/>
                <w:u w:val="single"/>
                <w:lang w:val="en-US" w:eastAsia="zh-CN"/>
              </w:rPr>
              <w:t>G2</w:t>
            </w:r>
            <w:r>
              <w:rPr>
                <w:rFonts w:hint="eastAsia" w:cs="Times New Roman"/>
                <w:color w:val="C00000"/>
                <w:sz w:val="24"/>
                <w:szCs w:val="24"/>
                <w:u w:val="singl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C00000"/>
                <w:sz w:val="24"/>
                <w:szCs w:val="24"/>
                <w:u w:val="single"/>
                <w:lang w:val="en-US" w:eastAsia="zh-CN"/>
              </w:rPr>
            </w:pPr>
            <w:r>
              <w:rPr>
                <w:rFonts w:hint="eastAsia" w:cs="Times New Roman"/>
                <w:color w:val="C00000"/>
                <w:sz w:val="24"/>
                <w:szCs w:val="24"/>
                <w:u w:val="single"/>
                <w:lang w:val="en-US" w:eastAsia="zh-CN"/>
              </w:rPr>
              <w:t>根据《胶粘剂挥发性有机化合物限量》中本体型胶粘剂VOC含量其他类为50g/kg，原有纸管胶用量为800t/a，则VOC</w:t>
            </w:r>
            <w:r>
              <w:rPr>
                <w:rFonts w:hint="eastAsia" w:cs="Times New Roman"/>
                <w:color w:val="C00000"/>
                <w:sz w:val="24"/>
                <w:szCs w:val="24"/>
                <w:u w:val="single"/>
                <w:vertAlign w:val="subscript"/>
                <w:lang w:val="en-US" w:eastAsia="zh-CN"/>
              </w:rPr>
              <w:t>S</w:t>
            </w:r>
            <w:r>
              <w:rPr>
                <w:rFonts w:hint="eastAsia" w:cs="Times New Roman"/>
                <w:color w:val="C00000"/>
                <w:sz w:val="24"/>
                <w:szCs w:val="24"/>
                <w:u w:val="single"/>
                <w:lang w:val="en-US" w:eastAsia="zh-CN"/>
              </w:rPr>
              <w:t>排放量为40t/a，为无组织排放。建议企业从源头替代，更换环保型胶粘剂。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③抛光打磨颗粒物（G3）</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本项目抛光纸管在抛光打磨过程中会产生一定量的颗粒物，</w:t>
            </w:r>
            <w:r>
              <w:rPr>
                <w:rFonts w:hint="eastAsia" w:ascii="宋体" w:hAnsi="宋体" w:eastAsia="宋体" w:cs="宋体"/>
                <w:b w:val="0"/>
                <w:bCs w:val="0"/>
                <w:i w:val="0"/>
                <w:iCs w:val="0"/>
                <w:color w:val="000000"/>
                <w:kern w:val="0"/>
                <w:sz w:val="24"/>
                <w:szCs w:val="24"/>
                <w:lang w:val="en-US" w:eastAsia="zh-CN" w:bidi="ar"/>
              </w:rPr>
              <w:t>本项目采取封闭式抛光机，抛光机配备一套袋式除尘器</w:t>
            </w:r>
            <w:r>
              <w:rPr>
                <w:rFonts w:hint="eastAsia" w:ascii="宋体" w:hAnsi="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bidi="ar"/>
              </w:rPr>
              <w:t>风机</w:t>
            </w:r>
            <w:r>
              <w:rPr>
                <w:rFonts w:hint="eastAsia" w:ascii="宋体" w:hAnsi="宋体" w:cs="宋体"/>
                <w:b w:val="0"/>
                <w:bCs w:val="0"/>
                <w:i w:val="0"/>
                <w:iCs w:val="0"/>
                <w:color w:val="000000"/>
                <w:kern w:val="0"/>
                <w:sz w:val="24"/>
                <w:szCs w:val="24"/>
                <w:lang w:val="en-US" w:eastAsia="zh-CN" w:bidi="ar"/>
              </w:rPr>
              <w:t>风量</w:t>
            </w:r>
            <w:r>
              <w:rPr>
                <w:rFonts w:hint="eastAsia" w:cs="Times New Roman"/>
                <w:b w:val="0"/>
                <w:bCs w:val="0"/>
                <w:i w:val="0"/>
                <w:iCs w:val="0"/>
                <w:color w:val="000000"/>
                <w:kern w:val="0"/>
                <w:sz w:val="24"/>
                <w:szCs w:val="24"/>
                <w:lang w:val="en-US" w:eastAsia="zh-CN" w:bidi="ar"/>
              </w:rPr>
              <w:t>30</w:t>
            </w:r>
            <w:r>
              <w:rPr>
                <w:rFonts w:hint="default" w:ascii="Times New Roman" w:hAnsi="Times New Roman" w:eastAsia="宋体" w:cs="Times New Roman"/>
                <w:b w:val="0"/>
                <w:bCs w:val="0"/>
                <w:i w:val="0"/>
                <w:iCs w:val="0"/>
                <w:color w:val="000000"/>
                <w:kern w:val="0"/>
                <w:sz w:val="24"/>
                <w:szCs w:val="24"/>
                <w:lang w:val="en-US" w:eastAsia="zh-CN" w:bidi="ar"/>
              </w:rPr>
              <w:t>00m</w:t>
            </w:r>
            <w:r>
              <w:rPr>
                <w:rFonts w:hint="default" w:ascii="Times New Roman" w:hAnsi="Times New Roman" w:eastAsia="宋体" w:cs="Times New Roman"/>
                <w:b w:val="0"/>
                <w:bCs w:val="0"/>
                <w:i w:val="0"/>
                <w:iCs w:val="0"/>
                <w:color w:val="000000"/>
                <w:kern w:val="0"/>
                <w:sz w:val="24"/>
                <w:szCs w:val="24"/>
                <w:vertAlign w:val="superscript"/>
                <w:lang w:val="en-US" w:eastAsia="zh-CN" w:bidi="ar"/>
              </w:rPr>
              <w:t>3</w:t>
            </w:r>
            <w:r>
              <w:rPr>
                <w:rFonts w:hint="default" w:ascii="Times New Roman" w:hAnsi="Times New Roman" w:eastAsia="宋体" w:cs="Times New Roman"/>
                <w:b w:val="0"/>
                <w:bCs w:val="0"/>
                <w:i w:val="0"/>
                <w:iCs w:val="0"/>
                <w:color w:val="000000"/>
                <w:kern w:val="0"/>
                <w:sz w:val="24"/>
                <w:szCs w:val="24"/>
                <w:lang w:val="en-US" w:eastAsia="zh-CN" w:bidi="ar"/>
              </w:rPr>
              <w:t>/h</w:t>
            </w:r>
            <w:r>
              <w:rPr>
                <w:rFonts w:hint="eastAsia" w:ascii="宋体" w:hAnsi="宋体" w:eastAsia="宋体" w:cs="宋体"/>
                <w:b w:val="0"/>
                <w:bCs w:val="0"/>
                <w:i w:val="0"/>
                <w:iCs w:val="0"/>
                <w:color w:val="000000"/>
                <w:kern w:val="0"/>
                <w:sz w:val="24"/>
                <w:szCs w:val="24"/>
                <w:lang w:val="en-US" w:eastAsia="zh-CN" w:bidi="ar"/>
              </w:rPr>
              <w:t>，抛光粉尘经袋式除尘器处理后排放。抛光下来的粉尘被风机吹入布袋中，</w:t>
            </w:r>
            <w:r>
              <w:rPr>
                <w:rFonts w:hint="eastAsia" w:ascii="宋体" w:hAnsi="宋体" w:cs="宋体"/>
                <w:b w:val="0"/>
                <w:bCs w:val="0"/>
                <w:i w:val="0"/>
                <w:iCs w:val="0"/>
                <w:color w:val="000000"/>
                <w:kern w:val="0"/>
                <w:sz w:val="24"/>
                <w:szCs w:val="24"/>
                <w:lang w:val="en-US" w:eastAsia="zh-CN" w:bidi="ar"/>
              </w:rPr>
              <w:t>收集后外售，</w:t>
            </w:r>
            <w:r>
              <w:rPr>
                <w:rFonts w:hint="eastAsia" w:ascii="宋体" w:hAnsi="宋体" w:eastAsia="宋体" w:cs="宋体"/>
                <w:b w:val="0"/>
                <w:bCs w:val="0"/>
                <w:i w:val="0"/>
                <w:iCs w:val="0"/>
                <w:color w:val="000000"/>
                <w:kern w:val="0"/>
                <w:sz w:val="24"/>
                <w:szCs w:val="24"/>
                <w:lang w:val="en-US" w:eastAsia="zh-CN" w:bidi="ar"/>
              </w:rPr>
              <w:t>本项目粉尘产生率通过卷筒纸破损计算公式计算，公式如下</w:t>
            </w:r>
            <w:r>
              <w:rPr>
                <w:rFonts w:hint="eastAsia" w:ascii="宋体" w:hAnsi="宋体" w:cs="宋体"/>
                <w:b w:val="0"/>
                <w:bCs w:val="0"/>
                <w:i w:val="0"/>
                <w:iCs w:val="0"/>
                <w:color w:val="000000"/>
                <w:kern w:val="0"/>
                <w:sz w:val="24"/>
                <w:szCs w:val="24"/>
                <w:lang w:val="en-US" w:eastAsia="zh-CN" w:bidi="ar"/>
              </w:rPr>
              <w:t>：</w:t>
            </w:r>
          </w:p>
          <w:p>
            <w:pPr>
              <w:keepNext w:val="0"/>
              <w:keepLines w:val="0"/>
              <w:widowControl/>
              <w:suppressLineNumbers w:val="0"/>
              <w:jc w:val="center"/>
              <w:rPr>
                <w:rFonts w:hint="eastAsia" w:eastAsia="宋体"/>
                <w:lang w:eastAsia="zh-CN"/>
              </w:rPr>
            </w:pPr>
            <w:r>
              <w:rPr>
                <w:rFonts w:hint="eastAsia" w:eastAsia="宋体"/>
                <w:lang w:eastAsia="zh-CN"/>
              </w:rPr>
              <w:drawing>
                <wp:inline distT="0" distB="0" distL="114300" distR="114300">
                  <wp:extent cx="1824355" cy="512445"/>
                  <wp:effectExtent l="0" t="0" r="4445" b="1905"/>
                  <wp:docPr id="66" name="图片 66" descr="073606bcbf0ed7bfb946e8268e11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073606bcbf0ed7bfb946e8268e119b6"/>
                          <pic:cNvPicPr>
                            <a:picLocks noChangeAspect="1"/>
                          </pic:cNvPicPr>
                        </pic:nvPicPr>
                        <pic:blipFill>
                          <a:blip r:embed="rId12"/>
                          <a:stretch>
                            <a:fillRect/>
                          </a:stretch>
                        </pic:blipFill>
                        <pic:spPr>
                          <a:xfrm>
                            <a:off x="0" y="0"/>
                            <a:ext cx="1824355" cy="51244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b w:val="0"/>
                <w:bCs w:val="0"/>
                <w:i w:val="0"/>
                <w:iCs w:val="0"/>
                <w:color w:val="000000"/>
                <w:kern w:val="0"/>
                <w:sz w:val="24"/>
                <w:szCs w:val="24"/>
                <w:lang w:val="en-US" w:eastAsia="zh-CN" w:bidi="ar"/>
              </w:rPr>
              <w:t>D</w:t>
            </w:r>
            <w:r>
              <w:rPr>
                <w:rFonts w:hint="eastAsia" w:ascii="宋体" w:hAnsi="宋体" w:eastAsia="宋体" w:cs="宋体"/>
                <w:b w:val="0"/>
                <w:bCs w:val="0"/>
                <w:i w:val="0"/>
                <w:iCs w:val="0"/>
                <w:color w:val="000000"/>
                <w:kern w:val="0"/>
                <w:sz w:val="24"/>
                <w:szCs w:val="24"/>
                <w:lang w:val="en-US" w:eastAsia="zh-CN" w:bidi="ar"/>
              </w:rPr>
              <w:t xml:space="preserve">：纸管外径，本项目取 </w:t>
            </w:r>
            <w:r>
              <w:rPr>
                <w:rFonts w:hint="default" w:ascii="Times New Roman" w:hAnsi="Times New Roman" w:eastAsia="宋体" w:cs="Times New Roman"/>
                <w:b w:val="0"/>
                <w:bCs w:val="0"/>
                <w:i w:val="0"/>
                <w:iCs w:val="0"/>
                <w:color w:val="000000"/>
                <w:kern w:val="0"/>
                <w:sz w:val="24"/>
                <w:szCs w:val="24"/>
                <w:lang w:val="en-US" w:eastAsia="zh-CN" w:bidi="ar"/>
              </w:rPr>
              <w:t>30mm</w:t>
            </w:r>
            <w:r>
              <w:rPr>
                <w:rFonts w:hint="eastAsia" w:ascii="宋体" w:hAnsi="宋体" w:eastAsia="宋体" w:cs="宋体"/>
                <w:b w:val="0"/>
                <w:bCs w:val="0"/>
                <w:i w:val="0"/>
                <w:iCs w:val="0"/>
                <w:color w:val="000000"/>
                <w:kern w:val="0"/>
                <w:sz w:val="24"/>
                <w:szCs w:val="24"/>
                <w:lang w:val="en-US" w:eastAsia="zh-CN" w:bidi="ar"/>
              </w:rPr>
              <w:t>（</w:t>
            </w:r>
            <w:r>
              <w:rPr>
                <w:rFonts w:hint="default" w:ascii="Times New Roman" w:hAnsi="Times New Roman" w:eastAsia="宋体" w:cs="Times New Roman"/>
                <w:b w:val="0"/>
                <w:bCs w:val="0"/>
                <w:i w:val="0"/>
                <w:iCs w:val="0"/>
                <w:color w:val="000000"/>
                <w:kern w:val="0"/>
                <w:sz w:val="24"/>
                <w:szCs w:val="24"/>
                <w:lang w:val="en-US" w:eastAsia="zh-CN" w:bidi="ar"/>
              </w:rPr>
              <w:t>30</w:t>
            </w:r>
            <w:r>
              <w:rPr>
                <w:rFonts w:hint="default" w:ascii="Times New Roman" w:hAnsi="Times New Roman" w:eastAsia="宋体" w:cs="Times New Roman"/>
                <w:b w:val="0"/>
                <w:bCs w:val="0"/>
                <w:i w:val="0"/>
                <w:iCs w:val="0"/>
                <w:color w:val="000000"/>
                <w:kern w:val="0"/>
                <w:sz w:val="18"/>
                <w:szCs w:val="18"/>
                <w:lang w:val="en-US" w:eastAsia="zh-CN" w:bidi="ar"/>
              </w:rPr>
              <w:t>~</w:t>
            </w:r>
            <w:r>
              <w:rPr>
                <w:rFonts w:hint="default" w:ascii="Times New Roman" w:hAnsi="Times New Roman" w:eastAsia="宋体" w:cs="Times New Roman"/>
                <w:b w:val="0"/>
                <w:bCs w:val="0"/>
                <w:i w:val="0"/>
                <w:iCs w:val="0"/>
                <w:color w:val="000000"/>
                <w:kern w:val="0"/>
                <w:sz w:val="24"/>
                <w:szCs w:val="24"/>
                <w:lang w:val="en-US" w:eastAsia="zh-CN" w:bidi="ar"/>
              </w:rPr>
              <w:t>150mm</w:t>
            </w:r>
            <w:r>
              <w:rPr>
                <w:rFonts w:hint="eastAsia" w:cs="Times New Roman"/>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bidi="ar"/>
              </w:rPr>
              <w:t>，产品直径越小损耗率越高</w:t>
            </w:r>
            <w:r>
              <w:rPr>
                <w:rFonts w:hint="eastAsia" w:ascii="宋体" w:hAnsi="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bidi="ar"/>
              </w:rPr>
              <w:t>本次评价保守按最小产品直径取值）。</w:t>
            </w:r>
            <w:r>
              <w:rPr>
                <w:rFonts w:hint="eastAsia" w:ascii="宋体" w:hAnsi="宋体" w:eastAsia="宋体" w:cs="宋体"/>
                <w:b w:val="0"/>
                <w:bCs w:val="0"/>
                <w:i w:val="0"/>
                <w:iCs w:val="0"/>
                <w:color w:val="000000"/>
                <w:kern w:val="0"/>
                <w:sz w:val="24"/>
                <w:szCs w:val="24"/>
                <w:lang w:val="en-US" w:eastAsia="zh-CN" w:bidi="ar"/>
              </w:rPr>
              <w:br w:type="textWrapping"/>
            </w:r>
            <w:r>
              <w:rPr>
                <w:rFonts w:hint="eastAsia" w:ascii="宋体" w:hAnsi="宋体" w:cs="宋体"/>
                <w:b w:val="0"/>
                <w:bCs w:val="0"/>
                <w:i w:val="0"/>
                <w:iCs w:val="0"/>
                <w:color w:val="000000"/>
                <w:kern w:val="0"/>
                <w:sz w:val="24"/>
                <w:szCs w:val="24"/>
                <w:lang w:val="en-US" w:eastAsia="zh-CN" w:bidi="ar"/>
              </w:rPr>
              <w:t xml:space="preserve">    </w:t>
            </w:r>
            <w:r>
              <w:rPr>
                <w:rFonts w:hint="default" w:ascii="Times New Roman" w:hAnsi="Times New Roman" w:eastAsia="宋体" w:cs="Times New Roman"/>
                <w:b w:val="0"/>
                <w:bCs w:val="0"/>
                <w:i w:val="0"/>
                <w:iCs w:val="0"/>
                <w:color w:val="000000"/>
                <w:kern w:val="0"/>
                <w:sz w:val="24"/>
                <w:szCs w:val="24"/>
                <w:lang w:val="en-US" w:eastAsia="zh-CN" w:bidi="ar"/>
              </w:rPr>
              <w:t>T</w:t>
            </w:r>
            <w:r>
              <w:rPr>
                <w:rFonts w:hint="eastAsia" w:ascii="Times New Roman" w:hAnsi="Times New Roman" w:eastAsia="宋体" w:cs="Times New Roman"/>
                <w:b w:val="0"/>
                <w:bCs w:val="0"/>
                <w:i w:val="0"/>
                <w:iCs w:val="0"/>
                <w:color w:val="000000"/>
                <w:kern w:val="0"/>
                <w:sz w:val="24"/>
                <w:szCs w:val="24"/>
                <w:lang w:val="en-US" w:eastAsia="zh-CN" w:bidi="ar"/>
              </w:rPr>
              <w:t>：破损厚度，本项目为抛光厚度，取</w:t>
            </w:r>
            <w:r>
              <w:rPr>
                <w:rFonts w:hint="default" w:ascii="Times New Roman" w:hAnsi="Times New Roman" w:eastAsia="宋体" w:cs="Times New Roman"/>
                <w:b w:val="0"/>
                <w:bCs w:val="0"/>
                <w:i w:val="0"/>
                <w:iCs w:val="0"/>
                <w:color w:val="000000"/>
                <w:kern w:val="0"/>
                <w:sz w:val="24"/>
                <w:szCs w:val="24"/>
                <w:lang w:val="en-US" w:eastAsia="zh-CN" w:bidi="ar"/>
              </w:rPr>
              <w:t>0.5mm</w:t>
            </w:r>
            <w:r>
              <w:rPr>
                <w:rFonts w:hint="eastAsia" w:cs="Times New Roman"/>
                <w:b w:val="0"/>
                <w:bCs w:val="0"/>
                <w:i w:val="0"/>
                <w:iCs w:val="0"/>
                <w:color w:val="000000"/>
                <w:kern w:val="0"/>
                <w:sz w:val="24"/>
                <w:szCs w:val="24"/>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olor w:val="auto"/>
                <w:sz w:val="24"/>
                <w:szCs w:val="24"/>
                <w:lang w:val="en-US" w:eastAsia="zh-CN"/>
              </w:rPr>
            </w:pPr>
            <w:r>
              <w:rPr>
                <w:rFonts w:hint="eastAsia" w:cs="Times New Roman"/>
                <w:color w:val="auto"/>
                <w:sz w:val="24"/>
                <w:szCs w:val="24"/>
                <w:lang w:val="en-US" w:eastAsia="zh-CN"/>
              </w:rPr>
              <w:t>经上式计算，产品破损比率为</w:t>
            </w:r>
            <w:r>
              <w:rPr>
                <w:rFonts w:hint="default" w:cs="Times New Roman"/>
                <w:color w:val="auto"/>
                <w:sz w:val="24"/>
                <w:szCs w:val="24"/>
                <w:lang w:val="en-US" w:eastAsia="zh-CN"/>
              </w:rPr>
              <w:t>3.3%</w:t>
            </w:r>
            <w:r>
              <w:rPr>
                <w:rFonts w:hint="eastAsia" w:cs="Times New Roman"/>
                <w:color w:val="auto"/>
                <w:sz w:val="24"/>
                <w:szCs w:val="24"/>
                <w:lang w:val="en-US" w:eastAsia="zh-CN"/>
              </w:rPr>
              <w:t>。本项目抛光产品约50</w:t>
            </w:r>
            <w:r>
              <w:rPr>
                <w:rFonts w:hint="default" w:cs="Times New Roman"/>
                <w:color w:val="auto"/>
                <w:sz w:val="24"/>
                <w:szCs w:val="24"/>
                <w:lang w:val="en-US" w:eastAsia="zh-CN"/>
              </w:rPr>
              <w:t>0t</w:t>
            </w:r>
            <w:r>
              <w:rPr>
                <w:rFonts w:hint="eastAsia" w:cs="Times New Roman"/>
                <w:color w:val="auto"/>
                <w:sz w:val="24"/>
                <w:szCs w:val="24"/>
                <w:lang w:val="en-US" w:eastAsia="zh-CN"/>
              </w:rPr>
              <w:t>，通过上述公示计算，粉尘产生量为16.5</w:t>
            </w:r>
            <w:r>
              <w:rPr>
                <w:rFonts w:hint="default" w:cs="Times New Roman"/>
                <w:color w:val="auto"/>
                <w:sz w:val="24"/>
                <w:szCs w:val="24"/>
                <w:lang w:val="en-US" w:eastAsia="zh-CN"/>
              </w:rPr>
              <w:t>t/a</w:t>
            </w:r>
            <w:r>
              <w:rPr>
                <w:rFonts w:hint="eastAsia" w:cs="Times New Roman"/>
                <w:color w:val="auto"/>
                <w:sz w:val="24"/>
                <w:szCs w:val="24"/>
                <w:lang w:val="en-US" w:eastAsia="zh-CN"/>
              </w:rPr>
              <w:t>，年工作日</w:t>
            </w:r>
            <w:r>
              <w:rPr>
                <w:rFonts w:hint="default" w:cs="Times New Roman"/>
                <w:color w:val="auto"/>
                <w:sz w:val="24"/>
                <w:szCs w:val="24"/>
                <w:lang w:val="en-US" w:eastAsia="zh-CN"/>
              </w:rPr>
              <w:t>300</w:t>
            </w:r>
            <w:r>
              <w:rPr>
                <w:rFonts w:hint="eastAsia" w:cs="Times New Roman"/>
                <w:color w:val="auto"/>
                <w:sz w:val="24"/>
                <w:szCs w:val="24"/>
                <w:lang w:val="en-US" w:eastAsia="zh-CN"/>
              </w:rPr>
              <w:t>天，日工作</w:t>
            </w:r>
            <w:r>
              <w:rPr>
                <w:rFonts w:hint="default" w:cs="Times New Roman"/>
                <w:color w:val="auto"/>
                <w:sz w:val="24"/>
                <w:szCs w:val="24"/>
                <w:lang w:val="en-US" w:eastAsia="zh-CN"/>
              </w:rPr>
              <w:t>8</w:t>
            </w:r>
            <w:r>
              <w:rPr>
                <w:rFonts w:hint="eastAsia" w:cs="Times New Roman"/>
                <w:color w:val="auto"/>
                <w:sz w:val="24"/>
                <w:szCs w:val="24"/>
                <w:lang w:val="en-US" w:eastAsia="zh-CN"/>
              </w:rPr>
              <w:t>小时，则小时产生速率为6.88</w:t>
            </w:r>
            <w:r>
              <w:rPr>
                <w:rFonts w:hint="default" w:cs="Times New Roman"/>
                <w:color w:val="auto"/>
                <w:sz w:val="24"/>
                <w:szCs w:val="24"/>
                <w:lang w:val="en-US" w:eastAsia="zh-CN"/>
              </w:rPr>
              <w:t>kg/h</w:t>
            </w:r>
            <w:r>
              <w:rPr>
                <w:rFonts w:hint="eastAsia" w:cs="Times New Roman"/>
                <w:color w:val="auto"/>
                <w:sz w:val="24"/>
                <w:szCs w:val="24"/>
                <w:lang w:val="en-US" w:eastAsia="zh-CN"/>
              </w:rPr>
              <w:t>，袋式除尘去除效率一般可达</w:t>
            </w:r>
            <w:r>
              <w:rPr>
                <w:rFonts w:hint="default" w:cs="Times New Roman"/>
                <w:color w:val="auto"/>
                <w:sz w:val="24"/>
                <w:szCs w:val="24"/>
                <w:lang w:val="en-US" w:eastAsia="zh-CN"/>
              </w:rPr>
              <w:t>9</w:t>
            </w:r>
            <w:r>
              <w:rPr>
                <w:rFonts w:hint="eastAsia" w:cs="Times New Roman"/>
                <w:color w:val="auto"/>
                <w:sz w:val="24"/>
                <w:szCs w:val="24"/>
                <w:lang w:val="en-US" w:eastAsia="zh-CN"/>
              </w:rPr>
              <w:t>9</w:t>
            </w:r>
            <w:r>
              <w:rPr>
                <w:rFonts w:hint="default" w:cs="Times New Roman"/>
                <w:color w:val="auto"/>
                <w:sz w:val="24"/>
                <w:szCs w:val="24"/>
                <w:lang w:val="en-US" w:eastAsia="zh-CN"/>
              </w:rPr>
              <w:t>%</w:t>
            </w:r>
            <w:r>
              <w:rPr>
                <w:rFonts w:hint="eastAsia" w:cs="Times New Roman"/>
                <w:color w:val="auto"/>
                <w:sz w:val="24"/>
                <w:szCs w:val="24"/>
                <w:lang w:val="en-US" w:eastAsia="zh-CN"/>
              </w:rPr>
              <w:t>以上，本次评价按</w:t>
            </w:r>
            <w:r>
              <w:rPr>
                <w:rFonts w:hint="default" w:cs="Times New Roman"/>
                <w:color w:val="auto"/>
                <w:sz w:val="24"/>
                <w:szCs w:val="24"/>
                <w:lang w:val="en-US" w:eastAsia="zh-CN"/>
              </w:rPr>
              <w:t>9</w:t>
            </w:r>
            <w:r>
              <w:rPr>
                <w:rFonts w:hint="eastAsia" w:cs="Times New Roman"/>
                <w:color w:val="auto"/>
                <w:sz w:val="24"/>
                <w:szCs w:val="24"/>
                <w:lang w:val="en-US" w:eastAsia="zh-CN"/>
              </w:rPr>
              <w:t>9</w:t>
            </w:r>
            <w:r>
              <w:rPr>
                <w:rFonts w:hint="default" w:cs="Times New Roman"/>
                <w:color w:val="auto"/>
                <w:sz w:val="24"/>
                <w:szCs w:val="24"/>
                <w:lang w:val="en-US" w:eastAsia="zh-CN"/>
              </w:rPr>
              <w:t>%</w:t>
            </w:r>
            <w:r>
              <w:rPr>
                <w:rFonts w:hint="eastAsia" w:cs="Times New Roman"/>
                <w:color w:val="auto"/>
                <w:sz w:val="24"/>
                <w:szCs w:val="24"/>
                <w:lang w:val="en-US" w:eastAsia="zh-CN"/>
              </w:rPr>
              <w:t>计，则粉尘年排放量0.165</w:t>
            </w:r>
            <w:r>
              <w:rPr>
                <w:rFonts w:hint="default" w:cs="Times New Roman"/>
                <w:color w:val="auto"/>
                <w:sz w:val="24"/>
                <w:szCs w:val="24"/>
                <w:lang w:val="en-US" w:eastAsia="zh-CN"/>
              </w:rPr>
              <w:t>t/a</w:t>
            </w:r>
            <w:r>
              <w:rPr>
                <w:rFonts w:hint="eastAsia" w:cs="Times New Roman"/>
                <w:color w:val="auto"/>
                <w:sz w:val="24"/>
                <w:szCs w:val="24"/>
                <w:lang w:val="en-US" w:eastAsia="zh-CN"/>
              </w:rPr>
              <w:t>，排放速率0.069</w:t>
            </w:r>
            <w:r>
              <w:rPr>
                <w:rFonts w:hint="default" w:cs="Times New Roman"/>
                <w:color w:val="auto"/>
                <w:sz w:val="24"/>
                <w:szCs w:val="24"/>
                <w:lang w:val="en-US" w:eastAsia="zh-CN"/>
              </w:rPr>
              <w:t>kg/h</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FF"/>
                <w:kern w:val="2"/>
                <w:sz w:val="24"/>
                <w:szCs w:val="24"/>
                <w:lang w:val="en-US" w:eastAsia="zh-CN" w:bidi="ar-SA"/>
              </w:rPr>
            </w:pPr>
            <w:r>
              <w:rPr>
                <w:rFonts w:hint="eastAsia" w:cs="Times New Roman"/>
                <w:bCs/>
                <w:strike w:val="0"/>
                <w:dstrike w:val="0"/>
                <w:color w:val="auto"/>
                <w:sz w:val="24"/>
                <w:szCs w:val="24"/>
                <w:highlight w:val="none"/>
                <w:u w:val="none"/>
                <w:lang w:val="en-US" w:eastAsia="zh-CN"/>
              </w:rPr>
              <w:t>由上可知原有项目已办理完成了环评及环保竣工验收手续，由于本项目有组织废气产污设备已停用，无法进行监测，本项目委托湖南鑫韵检测技术有限公司于2023年3月27日本项目进行了污染源监测，对厂区无组织废气进行了检测，检测因子为颗粒物、非甲烷总烃。</w:t>
            </w:r>
          </w:p>
          <w:p>
            <w:pPr>
              <w:pStyle w:val="23"/>
              <w:spacing w:line="240" w:lineRule="auto"/>
              <w:jc w:val="center"/>
              <w:rPr>
                <w:rFonts w:hint="default"/>
                <w:b/>
                <w:bCs/>
                <w:sz w:val="21"/>
                <w:szCs w:val="21"/>
                <w:lang w:val="en-US" w:eastAsia="zh-CN"/>
              </w:rPr>
            </w:pPr>
            <w:r>
              <w:rPr>
                <w:rFonts w:hint="eastAsia" w:ascii="Times New Roman" w:hAnsi="Times New Roman" w:eastAsia="宋体" w:cs="Times New Roman"/>
                <w:b/>
                <w:bCs/>
                <w:color w:val="auto"/>
                <w:sz w:val="21"/>
                <w:szCs w:val="21"/>
                <w:highlight w:val="none"/>
                <w:u w:val="none"/>
                <w:lang w:val="en-US" w:eastAsia="zh-CN"/>
              </w:rPr>
              <w:t>表2-7无组织废气检测结果一览表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957"/>
              <w:gridCol w:w="1095"/>
              <w:gridCol w:w="1095"/>
              <w:gridCol w:w="10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53" w:type="pct"/>
                  <w:vMerge w:val="restar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检测点位</w:t>
                  </w:r>
                </w:p>
              </w:tc>
              <w:tc>
                <w:tcPr>
                  <w:tcW w:w="1249" w:type="pct"/>
                  <w:vMerge w:val="restar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检测项目</w:t>
                  </w:r>
                </w:p>
              </w:tc>
              <w:tc>
                <w:tcPr>
                  <w:tcW w:w="2098" w:type="pct"/>
                  <w:gridSpan w:val="3"/>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检测结果</w:t>
                  </w:r>
                </w:p>
              </w:tc>
              <w:tc>
                <w:tcPr>
                  <w:tcW w:w="699" w:type="pct"/>
                  <w:vMerge w:val="restar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参考标准值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3" w:type="pct"/>
                  <w:vMerge w:val="continue"/>
                  <w:vAlign w:val="center"/>
                </w:tcPr>
                <w:p>
                  <w:pPr>
                    <w:widowControl/>
                    <w:jc w:val="center"/>
                    <w:textAlignment w:val="center"/>
                  </w:pPr>
                </w:p>
              </w:tc>
              <w:tc>
                <w:tcPr>
                  <w:tcW w:w="1249" w:type="pct"/>
                  <w:vMerge w:val="continue"/>
                  <w:vAlign w:val="center"/>
                </w:tcPr>
                <w:p>
                  <w:pPr>
                    <w:widowControl/>
                    <w:jc w:val="center"/>
                    <w:textAlignment w:val="center"/>
                  </w:pPr>
                </w:p>
              </w:tc>
              <w:tc>
                <w:tcPr>
                  <w:tcW w:w="2098" w:type="pct"/>
                  <w:gridSpan w:val="3"/>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2023年03月27日</w:t>
                  </w:r>
                </w:p>
              </w:tc>
              <w:tc>
                <w:tcPr>
                  <w:tcW w:w="699" w:type="pct"/>
                  <w:vMerge w:val="continue"/>
                  <w:vAlign w:val="center"/>
                </w:tcPr>
                <w:p>
                  <w:pPr>
                    <w:widowControl/>
                    <w:jc w:val="center"/>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3" w:type="pct"/>
                  <w:vMerge w:val="continue"/>
                  <w:vAlign w:val="center"/>
                </w:tcPr>
                <w:p>
                  <w:pPr>
                    <w:widowControl/>
                    <w:jc w:val="center"/>
                    <w:textAlignment w:val="center"/>
                    <w:rPr>
                      <w:rFonts w:hint="eastAsia" w:ascii="宋体" w:hAnsi="宋体" w:eastAsia="宋体" w:cs="宋体"/>
                      <w:szCs w:val="21"/>
                    </w:rPr>
                  </w:pPr>
                </w:p>
              </w:tc>
              <w:tc>
                <w:tcPr>
                  <w:tcW w:w="1249" w:type="pct"/>
                  <w:vMerge w:val="continue"/>
                  <w:vAlign w:val="center"/>
                </w:tcPr>
                <w:p>
                  <w:pPr>
                    <w:widowControl/>
                    <w:jc w:val="center"/>
                    <w:textAlignment w:val="center"/>
                    <w:rPr>
                      <w:rFonts w:hint="eastAsia" w:ascii="宋体" w:hAnsi="宋体" w:eastAsia="宋体" w:cs="宋体"/>
                      <w:szCs w:val="21"/>
                    </w:rPr>
                  </w:pPr>
                </w:p>
              </w:tc>
              <w:tc>
                <w:tcPr>
                  <w:tcW w:w="699" w:type="pc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第一次</w:t>
                  </w:r>
                </w:p>
              </w:tc>
              <w:tc>
                <w:tcPr>
                  <w:tcW w:w="699" w:type="pc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第二次</w:t>
                  </w:r>
                </w:p>
              </w:tc>
              <w:tc>
                <w:tcPr>
                  <w:tcW w:w="699" w:type="pc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第三次</w:t>
                  </w:r>
                </w:p>
              </w:tc>
              <w:tc>
                <w:tcPr>
                  <w:tcW w:w="699" w:type="pct"/>
                  <w:vMerge w:val="continue"/>
                  <w:vAlign w:val="center"/>
                </w:tcPr>
                <w:p>
                  <w:pPr>
                    <w:widowControl/>
                    <w:jc w:val="center"/>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Q1</w:t>
                  </w:r>
                </w:p>
              </w:tc>
              <w:tc>
                <w:tcPr>
                  <w:tcW w:w="1249" w:type="pct"/>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rPr>
                    <w:t>总悬浮颗粒物</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0.150</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0.124</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0.169</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eastAsia" w:ascii="宋体" w:hAnsi="宋体" w:eastAsia="宋体" w:cs="宋体"/>
                      <w:szCs w:val="21"/>
                    </w:rPr>
                  </w:pPr>
                </w:p>
              </w:tc>
              <w:tc>
                <w:tcPr>
                  <w:tcW w:w="1249" w:type="pc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非甲烷总烃</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1.03</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0.99</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0.60</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Q2</w:t>
                  </w:r>
                </w:p>
              </w:tc>
              <w:tc>
                <w:tcPr>
                  <w:tcW w:w="1249" w:type="pc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rPr>
                    <w:t>总悬浮颗粒物</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0.231</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0.259</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0.242</w:t>
                  </w:r>
                </w:p>
              </w:tc>
              <w:tc>
                <w:tcPr>
                  <w:tcW w:w="699" w:type="pct"/>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default" w:ascii="宋体" w:hAnsi="宋体" w:eastAsia="宋体" w:cs="宋体"/>
                      <w:szCs w:val="21"/>
                      <w:lang w:val="en-US" w:eastAsia="zh-CN"/>
                    </w:rPr>
                  </w:pPr>
                </w:p>
              </w:tc>
              <w:tc>
                <w:tcPr>
                  <w:tcW w:w="1249" w:type="pct"/>
                  <w:vAlign w:val="center"/>
                </w:tcPr>
                <w:p>
                  <w:pPr>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非甲烷总烃</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1.54</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2.34</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1.43</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Q3</w:t>
                  </w:r>
                </w:p>
              </w:tc>
              <w:tc>
                <w:tcPr>
                  <w:tcW w:w="1249" w:type="pc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rPr>
                    <w:t>总悬浮颗粒物</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0.222</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0.205</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0.197</w:t>
                  </w:r>
                </w:p>
              </w:tc>
              <w:tc>
                <w:tcPr>
                  <w:tcW w:w="699" w:type="pct"/>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eastAsia" w:ascii="宋体" w:hAnsi="宋体" w:eastAsia="宋体" w:cs="宋体"/>
                      <w:szCs w:val="21"/>
                    </w:rPr>
                  </w:pPr>
                </w:p>
              </w:tc>
              <w:tc>
                <w:tcPr>
                  <w:tcW w:w="1249" w:type="pc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非甲烷总烃</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1.86</w:t>
                  </w:r>
                </w:p>
              </w:tc>
              <w:tc>
                <w:tcPr>
                  <w:tcW w:w="699"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1.94</w:t>
                  </w:r>
                </w:p>
              </w:tc>
              <w:tc>
                <w:tcPr>
                  <w:tcW w:w="699" w:type="pct"/>
                  <w:vAlign w:val="center"/>
                </w:tcPr>
                <w:p>
                  <w:pPr>
                    <w:widowControl/>
                    <w:jc w:val="center"/>
                    <w:textAlignment w:val="center"/>
                    <w:rPr>
                      <w:rFonts w:hint="eastAsia" w:ascii="宋体" w:hAnsi="宋体" w:eastAsia="宋体" w:cs="宋体"/>
                      <w:szCs w:val="21"/>
                    </w:rPr>
                  </w:pP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5000" w:type="pct"/>
                  <w:gridSpan w:val="6"/>
                  <w:vAlign w:val="center"/>
                </w:tcPr>
                <w:p>
                  <w:pPr>
                    <w:jc w:val="left"/>
                    <w:rPr>
                      <w:rFonts w:hint="default" w:ascii="宋体" w:hAnsi="宋体" w:eastAsia="宋体" w:cs="宋体"/>
                      <w:szCs w:val="21"/>
                      <w:lang w:val="en-US" w:eastAsia="zh-CN"/>
                    </w:rPr>
                  </w:pPr>
                  <w:r>
                    <w:rPr>
                      <w:rFonts w:hint="eastAsia" w:ascii="宋体" w:hAnsi="宋体" w:eastAsia="宋体" w:cs="宋体"/>
                      <w:szCs w:val="21"/>
                    </w:rPr>
                    <w:t>备注：1、Q1-Q</w:t>
                  </w:r>
                  <w:r>
                    <w:rPr>
                      <w:rFonts w:hint="eastAsia" w:ascii="宋体" w:hAnsi="宋体" w:eastAsia="宋体" w:cs="宋体"/>
                      <w:szCs w:val="21"/>
                      <w:lang w:val="en-US" w:eastAsia="zh-CN"/>
                    </w:rPr>
                    <w:t>3</w:t>
                  </w:r>
                  <w:r>
                    <w:rPr>
                      <w:rFonts w:hint="eastAsia" w:ascii="宋体" w:hAnsi="宋体" w:eastAsia="宋体" w:cs="宋体"/>
                      <w:szCs w:val="21"/>
                    </w:rPr>
                    <w:t>均为无组织排放废气检测点位：Q1为厂界</w:t>
                  </w:r>
                  <w:r>
                    <w:rPr>
                      <w:rFonts w:hint="eastAsia" w:ascii="宋体" w:hAnsi="宋体" w:eastAsia="宋体" w:cs="宋体"/>
                      <w:szCs w:val="21"/>
                      <w:lang w:eastAsia="zh-CN"/>
                    </w:rPr>
                    <w:t>上风向</w:t>
                  </w:r>
                  <w:r>
                    <w:rPr>
                      <w:rFonts w:hint="eastAsia" w:ascii="宋体" w:hAnsi="宋体" w:eastAsia="宋体" w:cs="宋体"/>
                      <w:szCs w:val="21"/>
                    </w:rPr>
                    <w:t>，Q2为厂界</w:t>
                  </w:r>
                  <w:r>
                    <w:rPr>
                      <w:rFonts w:hint="eastAsia" w:ascii="宋体" w:hAnsi="宋体" w:eastAsia="宋体" w:cs="宋体"/>
                      <w:szCs w:val="21"/>
                      <w:lang w:eastAsia="zh-CN"/>
                    </w:rPr>
                    <w:t>下风向</w:t>
                  </w:r>
                  <w:r>
                    <w:rPr>
                      <w:rFonts w:hint="eastAsia" w:ascii="宋体" w:hAnsi="宋体" w:eastAsia="宋体" w:cs="宋体"/>
                      <w:szCs w:val="21"/>
                      <w:lang w:val="en-US" w:eastAsia="zh-CN"/>
                    </w:rPr>
                    <w:t>1#</w:t>
                  </w:r>
                  <w:r>
                    <w:rPr>
                      <w:rFonts w:hint="eastAsia" w:ascii="宋体" w:hAnsi="宋体" w:eastAsia="宋体" w:cs="宋体"/>
                      <w:szCs w:val="21"/>
                    </w:rPr>
                    <w:t>，Q3为厂界</w:t>
                  </w:r>
                  <w:r>
                    <w:rPr>
                      <w:rFonts w:hint="eastAsia" w:ascii="宋体" w:hAnsi="宋体" w:eastAsia="宋体" w:cs="宋体"/>
                      <w:szCs w:val="21"/>
                      <w:lang w:eastAsia="zh-CN"/>
                    </w:rPr>
                    <w:t>下风向</w:t>
                  </w:r>
                  <w:r>
                    <w:rPr>
                      <w:rFonts w:hint="eastAsia" w:ascii="宋体" w:hAnsi="宋体" w:eastAsia="宋体" w:cs="宋体"/>
                      <w:szCs w:val="21"/>
                      <w:lang w:val="en-US" w:eastAsia="zh-CN"/>
                    </w:rPr>
                    <w:t>2#；</w:t>
                  </w:r>
                </w:p>
                <w:p>
                  <w:pPr>
                    <w:numPr>
                      <w:ilvl w:val="0"/>
                      <w:numId w:val="1"/>
                    </w:numPr>
                    <w:jc w:val="left"/>
                    <w:rPr>
                      <w:rFonts w:hint="default" w:ascii="宋体" w:hAnsi="宋体" w:eastAsia="宋体" w:cs="宋体"/>
                      <w:szCs w:val="21"/>
                      <w:lang w:val="en-US" w:eastAsia="zh-CN"/>
                    </w:rPr>
                  </w:pPr>
                  <w:r>
                    <w:rPr>
                      <w:rFonts w:hint="eastAsia" w:ascii="宋体" w:hAnsi="宋体" w:eastAsia="宋体" w:cs="宋体"/>
                      <w:b w:val="0"/>
                      <w:bCs w:val="0"/>
                      <w:color w:val="000000" w:themeColor="text1"/>
                      <w:szCs w:val="21"/>
                      <w:lang w:eastAsia="zh-CN"/>
                      <w14:textFill>
                        <w14:solidFill>
                          <w14:schemeClr w14:val="tx1"/>
                        </w14:solidFill>
                      </w14:textFill>
                    </w:rPr>
                    <w:t>标</w:t>
                  </w:r>
                  <w:r>
                    <w:rPr>
                      <w:rFonts w:hint="eastAsia" w:ascii="宋体" w:hAnsi="宋体" w:eastAsia="宋体" w:cs="宋体"/>
                      <w:b w:val="0"/>
                      <w:bCs w:val="0"/>
                      <w:color w:val="000000" w:themeColor="text1"/>
                      <w:szCs w:val="21"/>
                      <w14:textFill>
                        <w14:solidFill>
                          <w14:schemeClr w14:val="tx1"/>
                        </w14:solidFill>
                      </w14:textFill>
                    </w:rPr>
                    <w:t>准值</w:t>
                  </w:r>
                  <w:r>
                    <w:rPr>
                      <w:rFonts w:hint="eastAsia" w:ascii="宋体" w:hAnsi="宋体" w:eastAsia="宋体" w:cs="宋体"/>
                      <w:b w:val="0"/>
                      <w:bCs w:val="0"/>
                      <w:color w:val="000000" w:themeColor="text1"/>
                      <w:szCs w:val="21"/>
                      <w:lang w:eastAsia="zh-CN"/>
                      <w14:textFill>
                        <w14:solidFill>
                          <w14:schemeClr w14:val="tx1"/>
                        </w14:solidFill>
                      </w14:textFill>
                    </w:rPr>
                    <w:t>参</w:t>
                  </w:r>
                  <w:r>
                    <w:rPr>
                      <w:rFonts w:hint="eastAsia" w:ascii="宋体" w:hAnsi="宋体" w:eastAsia="宋体" w:cs="宋体"/>
                      <w:b w:val="0"/>
                      <w:bCs w:val="0"/>
                      <w:color w:val="auto"/>
                      <w:szCs w:val="21"/>
                      <w:lang w:eastAsia="zh-CN"/>
                    </w:rPr>
                    <w:t>考</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eastAsia="zh-CN"/>
                    </w:rPr>
                    <w:t>大气污染物综合排放标准</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GB16297-96)表2中无组织排放监控浓度限值；</w:t>
                  </w:r>
                  <w:r>
                    <w:rPr>
                      <w:rFonts w:hint="eastAsia" w:ascii="宋体" w:hAnsi="宋体" w:eastAsia="宋体" w:cs="宋体"/>
                      <w:color w:val="auto"/>
                      <w:kern w:val="0"/>
                      <w:szCs w:val="21"/>
                      <w:lang w:bidi="ar"/>
                    </w:rPr>
                    <w:t>非甲烷总烃</w:t>
                  </w:r>
                  <w:r>
                    <w:rPr>
                      <w:rFonts w:hint="eastAsia" w:ascii="宋体" w:hAnsi="宋体" w:eastAsia="宋体" w:cs="宋体"/>
                      <w:b w:val="0"/>
                      <w:bCs w:val="0"/>
                      <w:color w:val="auto"/>
                      <w:szCs w:val="21"/>
                      <w:lang w:eastAsia="zh-CN"/>
                    </w:rPr>
                    <w:t>标</w:t>
                  </w:r>
                  <w:r>
                    <w:rPr>
                      <w:rFonts w:hint="eastAsia" w:ascii="宋体" w:hAnsi="宋体" w:eastAsia="宋体" w:cs="宋体"/>
                      <w:b w:val="0"/>
                      <w:bCs w:val="0"/>
                      <w:color w:val="auto"/>
                      <w:szCs w:val="21"/>
                    </w:rPr>
                    <w:t>准值</w:t>
                  </w:r>
                  <w:r>
                    <w:rPr>
                      <w:rFonts w:hint="eastAsia" w:ascii="宋体" w:hAnsi="宋体" w:eastAsia="宋体" w:cs="宋体"/>
                      <w:b w:val="0"/>
                      <w:bCs w:val="0"/>
                      <w:color w:val="auto"/>
                      <w:szCs w:val="21"/>
                      <w:lang w:eastAsia="zh-CN"/>
                    </w:rPr>
                    <w:t>参考</w:t>
                  </w:r>
                  <w:r>
                    <w:rPr>
                      <w:rFonts w:hint="eastAsia" w:ascii="宋体" w:hAnsi="宋体" w:eastAsia="宋体" w:cs="宋体"/>
                      <w:b w:val="0"/>
                      <w:bCs w:val="0"/>
                      <w:color w:val="auto"/>
                      <w:szCs w:val="21"/>
                      <w:lang w:val="en-US" w:eastAsia="zh-CN"/>
                    </w:rPr>
                    <w:t>《挥发性有机物无组织排放控制标准》（GB37822-2019）表A.1VOC</w:t>
                  </w:r>
                  <w:r>
                    <w:rPr>
                      <w:rFonts w:hint="eastAsia" w:ascii="宋体" w:hAnsi="宋体" w:eastAsia="宋体" w:cs="宋体"/>
                      <w:b w:val="0"/>
                      <w:bCs w:val="0"/>
                      <w:color w:val="auto"/>
                      <w:szCs w:val="21"/>
                      <w:vertAlign w:val="subscript"/>
                      <w:lang w:val="en-US" w:eastAsia="zh-CN"/>
                    </w:rPr>
                    <w:t>S</w:t>
                  </w:r>
                  <w:r>
                    <w:rPr>
                      <w:rFonts w:hint="eastAsia" w:ascii="宋体" w:hAnsi="宋体" w:eastAsia="宋体" w:cs="宋体"/>
                      <w:b w:val="0"/>
                      <w:bCs w:val="0"/>
                      <w:color w:val="auto"/>
                      <w:szCs w:val="21"/>
                      <w:lang w:val="en-US" w:eastAsia="zh-CN"/>
                    </w:rPr>
                    <w:t>无组织排放限值；</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b w:val="0"/>
                <w:bCs/>
                <w:strike w:val="0"/>
                <w:dstrike w:val="0"/>
                <w:color w:val="auto"/>
                <w:sz w:val="24"/>
                <w:szCs w:val="24"/>
                <w:highlight w:val="none"/>
                <w:u w:val="none"/>
                <w:lang w:val="en-US" w:eastAsia="zh-CN"/>
              </w:rPr>
            </w:pPr>
            <w:r>
              <w:rPr>
                <w:rFonts w:hint="eastAsia" w:cs="Times New Roman"/>
                <w:b w:val="0"/>
                <w:bCs/>
                <w:strike w:val="0"/>
                <w:dstrike w:val="0"/>
                <w:color w:val="auto"/>
                <w:sz w:val="24"/>
                <w:szCs w:val="24"/>
                <w:highlight w:val="none"/>
                <w:u w:val="none"/>
                <w:lang w:val="en-US" w:eastAsia="zh-CN"/>
              </w:rPr>
              <w:t>根据无组织废气检测结果，颗粒物能够满足《大气污染物综合排放标准》无组织排放标准限值，</w:t>
            </w:r>
            <w:r>
              <w:rPr>
                <w:rFonts w:hint="eastAsia" w:ascii="宋体" w:hAnsi="宋体" w:eastAsia="宋体" w:cs="宋体"/>
                <w:color w:val="auto"/>
                <w:kern w:val="0"/>
                <w:szCs w:val="21"/>
                <w:lang w:bidi="ar"/>
              </w:rPr>
              <w:t>非甲烷总烃</w:t>
            </w:r>
            <w:r>
              <w:rPr>
                <w:rFonts w:hint="eastAsia" w:cs="Times New Roman"/>
                <w:b w:val="0"/>
                <w:bCs/>
                <w:strike w:val="0"/>
                <w:dstrike w:val="0"/>
                <w:color w:val="auto"/>
                <w:sz w:val="24"/>
                <w:szCs w:val="24"/>
                <w:highlight w:val="none"/>
                <w:u w:val="none"/>
                <w:lang w:val="en-US" w:eastAsia="zh-CN"/>
              </w:rPr>
              <w:t>能够满足</w:t>
            </w:r>
            <w:r>
              <w:rPr>
                <w:rFonts w:hint="eastAsia" w:ascii="宋体" w:hAnsi="宋体" w:eastAsia="宋体" w:cs="宋体"/>
                <w:b w:val="0"/>
                <w:bCs w:val="0"/>
                <w:color w:val="auto"/>
                <w:szCs w:val="21"/>
                <w:lang w:val="en-US" w:eastAsia="zh-CN"/>
              </w:rPr>
              <w:t>《挥发性有机物无组织排放控制标准》（GB37822-2019）表A.1VOC</w:t>
            </w:r>
            <w:r>
              <w:rPr>
                <w:rFonts w:hint="eastAsia" w:ascii="宋体" w:hAnsi="宋体" w:eastAsia="宋体" w:cs="宋体"/>
                <w:b w:val="0"/>
                <w:bCs w:val="0"/>
                <w:color w:val="auto"/>
                <w:szCs w:val="21"/>
                <w:vertAlign w:val="subscript"/>
                <w:lang w:val="en-US" w:eastAsia="zh-CN"/>
              </w:rPr>
              <w:t>S</w:t>
            </w:r>
            <w:r>
              <w:rPr>
                <w:rFonts w:hint="eastAsia" w:ascii="宋体" w:hAnsi="宋体" w:eastAsia="宋体" w:cs="宋体"/>
                <w:b w:val="0"/>
                <w:bCs w:val="0"/>
                <w:color w:val="auto"/>
                <w:szCs w:val="21"/>
                <w:lang w:val="en-US" w:eastAsia="zh-CN"/>
              </w:rPr>
              <w:t>无组织排放限值</w:t>
            </w:r>
            <w:r>
              <w:rPr>
                <w:rFonts w:hint="eastAsia" w:ascii="宋体" w:hAnsi="宋体" w:cs="宋体"/>
                <w:b w:val="0"/>
                <w:bCs w:val="0"/>
                <w:color w:val="auto"/>
                <w:szCs w:val="21"/>
                <w:lang w:val="en-US" w:eastAsia="zh-CN"/>
              </w:rPr>
              <w:t>。</w:t>
            </w:r>
          </w:p>
          <w:p>
            <w:pPr>
              <w:pStyle w:val="2"/>
              <w:keepNext w:val="0"/>
              <w:keepLines w:val="0"/>
              <w:pageBreakBefore w:val="0"/>
              <w:widowControl/>
              <w:kinsoku/>
              <w:wordWrap/>
              <w:overflowPunct/>
              <w:topLinePunct w:val="0"/>
              <w:autoSpaceDE/>
              <w:autoSpaceDN/>
              <w:bidi w:val="0"/>
              <w:adjustRightInd/>
              <w:snapToGrid w:val="0"/>
              <w:spacing w:line="360" w:lineRule="auto"/>
              <w:ind w:right="113"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二、废水</w:t>
            </w:r>
          </w:p>
          <w:p>
            <w:pPr>
              <w:pStyle w:val="2"/>
              <w:spacing w:before="0"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表</w:t>
            </w:r>
            <w:r>
              <w:rPr>
                <w:rFonts w:hint="eastAsia" w:cs="Times New Roman"/>
                <w:sz w:val="21"/>
                <w:szCs w:val="21"/>
                <w:lang w:val="en-US" w:eastAsia="zh-CN"/>
              </w:rPr>
              <w:t xml:space="preserve">2-8 </w:t>
            </w:r>
            <w:r>
              <w:rPr>
                <w:rFonts w:hint="default" w:ascii="Times New Roman" w:hAnsi="Times New Roman" w:cs="Times New Roman"/>
                <w:sz w:val="21"/>
                <w:szCs w:val="21"/>
              </w:rPr>
              <w:t>废水产排污情况</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
              <w:gridCol w:w="274"/>
              <w:gridCol w:w="274"/>
              <w:gridCol w:w="274"/>
              <w:gridCol w:w="418"/>
              <w:gridCol w:w="441"/>
              <w:gridCol w:w="275"/>
              <w:gridCol w:w="275"/>
              <w:gridCol w:w="403"/>
              <w:gridCol w:w="275"/>
              <w:gridCol w:w="275"/>
              <w:gridCol w:w="326"/>
              <w:gridCol w:w="275"/>
              <w:gridCol w:w="409"/>
              <w:gridCol w:w="464"/>
              <w:gridCol w:w="519"/>
              <w:gridCol w:w="450"/>
              <w:gridCol w:w="275"/>
              <w:gridCol w:w="372"/>
              <w:gridCol w:w="601"/>
              <w:gridCol w:w="411"/>
              <w:gridCol w:w="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75" w:type="pct"/>
                  <w:vMerge w:val="restart"/>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产污环节</w:t>
                  </w:r>
                </w:p>
              </w:tc>
              <w:tc>
                <w:tcPr>
                  <w:tcW w:w="175" w:type="pct"/>
                  <w:vMerge w:val="restart"/>
                  <w:vAlign w:val="center"/>
                </w:tcPr>
                <w:p>
                  <w:pPr>
                    <w:pStyle w:val="2"/>
                    <w:bidi/>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类别</w:t>
                  </w:r>
                </w:p>
              </w:tc>
              <w:tc>
                <w:tcPr>
                  <w:tcW w:w="175"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污染物种类</w:t>
                  </w:r>
                </w:p>
              </w:tc>
              <w:tc>
                <w:tcPr>
                  <w:tcW w:w="267"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废水量</w:t>
                  </w:r>
                </w:p>
              </w:tc>
              <w:tc>
                <w:tcPr>
                  <w:tcW w:w="281"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产生浓度</w:t>
                  </w:r>
                </w:p>
              </w:tc>
              <w:tc>
                <w:tcPr>
                  <w:tcW w:w="175"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排放形式</w:t>
                  </w:r>
                </w:p>
              </w:tc>
              <w:tc>
                <w:tcPr>
                  <w:tcW w:w="1165" w:type="pct"/>
                  <w:gridSpan w:val="6"/>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治理措施</w:t>
                  </w:r>
                </w:p>
              </w:tc>
              <w:tc>
                <w:tcPr>
                  <w:tcW w:w="261"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有组织排放口编号</w:t>
                  </w:r>
                </w:p>
              </w:tc>
              <w:tc>
                <w:tcPr>
                  <w:tcW w:w="296"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废水排放量</w:t>
                  </w:r>
                </w:p>
                <w:p>
                  <w:pPr>
                    <w:pStyle w:val="2"/>
                    <w:spacing w:line="240" w:lineRule="auto"/>
                    <w:ind w:right="0"/>
                    <w:jc w:val="center"/>
                    <w:rPr>
                      <w:rFonts w:hint="default" w:ascii="Times New Roman" w:hAnsi="Times New Roman" w:cs="Times New Roman"/>
                      <w:sz w:val="18"/>
                      <w:szCs w:val="18"/>
                    </w:rPr>
                  </w:pPr>
                </w:p>
              </w:tc>
              <w:tc>
                <w:tcPr>
                  <w:tcW w:w="331"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污染物排放浓度</w:t>
                  </w:r>
                </w:p>
              </w:tc>
              <w:tc>
                <w:tcPr>
                  <w:tcW w:w="287"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污染物排放量</w:t>
                  </w:r>
                </w:p>
              </w:tc>
              <w:tc>
                <w:tcPr>
                  <w:tcW w:w="175"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排放去向</w:t>
                  </w:r>
                </w:p>
              </w:tc>
              <w:tc>
                <w:tcPr>
                  <w:tcW w:w="237"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排放规律</w:t>
                  </w:r>
                </w:p>
              </w:tc>
              <w:tc>
                <w:tcPr>
                  <w:tcW w:w="383"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排污口基本情况</w:t>
                  </w:r>
                </w:p>
              </w:tc>
              <w:tc>
                <w:tcPr>
                  <w:tcW w:w="437" w:type="pct"/>
                  <w:gridSpan w:val="2"/>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bidi/>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267"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281"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175"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污染防治设施名称</w:t>
                  </w:r>
                </w:p>
              </w:tc>
              <w:tc>
                <w:tcPr>
                  <w:tcW w:w="257"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编号</w:t>
                  </w:r>
                </w:p>
              </w:tc>
              <w:tc>
                <w:tcPr>
                  <w:tcW w:w="175"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处理能力</w:t>
                  </w:r>
                </w:p>
              </w:tc>
              <w:tc>
                <w:tcPr>
                  <w:tcW w:w="175"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收集效率</w:t>
                  </w:r>
                </w:p>
              </w:tc>
              <w:tc>
                <w:tcPr>
                  <w:tcW w:w="208"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治理工艺及去除率</w:t>
                  </w:r>
                </w:p>
              </w:tc>
              <w:tc>
                <w:tcPr>
                  <w:tcW w:w="175"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是否为可行技术</w:t>
                  </w:r>
                </w:p>
              </w:tc>
              <w:tc>
                <w:tcPr>
                  <w:tcW w:w="261" w:type="pct"/>
                  <w:vMerge w:val="continue"/>
                </w:tcPr>
                <w:p>
                  <w:pPr>
                    <w:pStyle w:val="2"/>
                    <w:jc w:val="left"/>
                    <w:rPr>
                      <w:rFonts w:hint="default" w:ascii="Times New Roman" w:hAnsi="Times New Roman" w:cs="Times New Roman"/>
                      <w:sz w:val="18"/>
                      <w:szCs w:val="18"/>
                    </w:rPr>
                  </w:pPr>
                </w:p>
              </w:tc>
              <w:tc>
                <w:tcPr>
                  <w:tcW w:w="296" w:type="pct"/>
                  <w:vMerge w:val="continue"/>
                </w:tcPr>
                <w:p>
                  <w:pPr>
                    <w:pStyle w:val="2"/>
                    <w:jc w:val="left"/>
                    <w:rPr>
                      <w:rFonts w:hint="default" w:ascii="Times New Roman" w:hAnsi="Times New Roman" w:cs="Times New Roman"/>
                      <w:sz w:val="18"/>
                      <w:szCs w:val="18"/>
                    </w:rPr>
                  </w:pPr>
                </w:p>
              </w:tc>
              <w:tc>
                <w:tcPr>
                  <w:tcW w:w="331" w:type="pct"/>
                  <w:vMerge w:val="continue"/>
                </w:tcPr>
                <w:p>
                  <w:pPr>
                    <w:pStyle w:val="2"/>
                    <w:jc w:val="left"/>
                    <w:rPr>
                      <w:rFonts w:hint="default" w:ascii="Times New Roman" w:hAnsi="Times New Roman" w:cs="Times New Roman"/>
                      <w:sz w:val="18"/>
                      <w:szCs w:val="18"/>
                    </w:rPr>
                  </w:pPr>
                </w:p>
              </w:tc>
              <w:tc>
                <w:tcPr>
                  <w:tcW w:w="287" w:type="pct"/>
                  <w:vMerge w:val="continue"/>
                </w:tcPr>
                <w:p>
                  <w:pPr>
                    <w:pStyle w:val="2"/>
                    <w:jc w:val="left"/>
                    <w:rPr>
                      <w:rFonts w:hint="default" w:ascii="Times New Roman" w:hAnsi="Times New Roman" w:cs="Times New Roman"/>
                      <w:sz w:val="18"/>
                      <w:szCs w:val="18"/>
                    </w:rPr>
                  </w:pPr>
                </w:p>
              </w:tc>
              <w:tc>
                <w:tcPr>
                  <w:tcW w:w="175" w:type="pct"/>
                  <w:vMerge w:val="continue"/>
                </w:tcPr>
                <w:p>
                  <w:pPr>
                    <w:pStyle w:val="2"/>
                    <w:jc w:val="left"/>
                    <w:rPr>
                      <w:rFonts w:hint="default" w:ascii="Times New Roman" w:hAnsi="Times New Roman" w:cs="Times New Roman"/>
                      <w:sz w:val="18"/>
                      <w:szCs w:val="18"/>
                    </w:rPr>
                  </w:pPr>
                </w:p>
              </w:tc>
              <w:tc>
                <w:tcPr>
                  <w:tcW w:w="237" w:type="pct"/>
                  <w:vMerge w:val="continue"/>
                </w:tcPr>
                <w:p>
                  <w:pPr>
                    <w:pStyle w:val="2"/>
                    <w:jc w:val="left"/>
                    <w:rPr>
                      <w:rFonts w:hint="default" w:ascii="Times New Roman" w:hAnsi="Times New Roman" w:cs="Times New Roman"/>
                      <w:sz w:val="18"/>
                      <w:szCs w:val="18"/>
                    </w:rPr>
                  </w:pPr>
                </w:p>
              </w:tc>
              <w:tc>
                <w:tcPr>
                  <w:tcW w:w="383" w:type="pct"/>
                  <w:vMerge w:val="continue"/>
                </w:tcPr>
                <w:p>
                  <w:pPr>
                    <w:pStyle w:val="2"/>
                    <w:jc w:val="left"/>
                    <w:rPr>
                      <w:rFonts w:hint="default" w:ascii="Times New Roman" w:hAnsi="Times New Roman" w:cs="Times New Roman"/>
                      <w:sz w:val="18"/>
                      <w:szCs w:val="18"/>
                    </w:rPr>
                  </w:pPr>
                </w:p>
              </w:tc>
              <w:tc>
                <w:tcPr>
                  <w:tcW w:w="262"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排放浓度</w:t>
                  </w:r>
                </w:p>
              </w:tc>
              <w:tc>
                <w:tcPr>
                  <w:tcW w:w="175" w:type="pc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基准排水量</w:t>
                  </w:r>
                </w:p>
                <w:p>
                  <w:pPr>
                    <w:pStyle w:val="2"/>
                    <w:spacing w:before="0" w:after="0" w:line="240" w:lineRule="auto"/>
                    <w:ind w:right="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5" w:type="pct"/>
                  <w:vMerge w:val="restart"/>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员工</w:t>
                  </w:r>
                </w:p>
              </w:tc>
              <w:tc>
                <w:tcPr>
                  <w:tcW w:w="175" w:type="pct"/>
                  <w:vMerge w:val="restart"/>
                  <w:vAlign w:val="center"/>
                </w:tcPr>
                <w:p>
                  <w:pPr>
                    <w:pStyle w:val="2"/>
                    <w:bidi/>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生活污水</w:t>
                  </w:r>
                </w:p>
              </w:tc>
              <w:tc>
                <w:tcPr>
                  <w:tcW w:w="175"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化学需氧量</w:t>
                  </w:r>
                </w:p>
              </w:tc>
              <w:tc>
                <w:tcPr>
                  <w:tcW w:w="267"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768</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/a</w:t>
                  </w:r>
                </w:p>
              </w:tc>
              <w:tc>
                <w:tcPr>
                  <w:tcW w:w="281" w:type="pct"/>
                  <w:vAlign w:val="center"/>
                </w:tcPr>
                <w:p>
                  <w:pPr>
                    <w:pStyle w:val="2"/>
                    <w:spacing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250</w:t>
                  </w:r>
                  <w:r>
                    <w:rPr>
                      <w:rFonts w:hint="default" w:ascii="Times New Roman" w:hAnsi="Times New Roman" w:cs="Times New Roman"/>
                      <w:sz w:val="18"/>
                      <w:szCs w:val="18"/>
                    </w:rPr>
                    <w:t>mg/L</w:t>
                  </w:r>
                </w:p>
              </w:tc>
              <w:tc>
                <w:tcPr>
                  <w:tcW w:w="175" w:type="pct"/>
                  <w:vMerge w:val="restar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间接排放</w:t>
                  </w:r>
                </w:p>
              </w:tc>
              <w:tc>
                <w:tcPr>
                  <w:tcW w:w="175" w:type="pct"/>
                  <w:vMerge w:val="restart"/>
                  <w:vAlign w:val="center"/>
                </w:tcPr>
                <w:p>
                  <w:pPr>
                    <w:pStyle w:val="2"/>
                    <w:spacing w:before="0" w:after="0" w:line="240" w:lineRule="auto"/>
                    <w:ind w:right="0"/>
                    <w:jc w:val="center"/>
                    <w:rPr>
                      <w:rFonts w:hint="eastAsia" w:ascii="Times New Roman" w:hAnsi="Times New Roman" w:eastAsia="宋体" w:cs="Times New Roman"/>
                      <w:sz w:val="18"/>
                      <w:szCs w:val="18"/>
                      <w:lang w:eastAsia="zh-CN"/>
                    </w:rPr>
                  </w:pPr>
                  <w:r>
                    <w:rPr>
                      <w:rFonts w:hint="eastAsia" w:cs="Times New Roman"/>
                      <w:sz w:val="18"/>
                      <w:szCs w:val="18"/>
                      <w:lang w:eastAsia="zh-CN"/>
                    </w:rPr>
                    <w:t>化粪池</w:t>
                  </w:r>
                </w:p>
              </w:tc>
              <w:tc>
                <w:tcPr>
                  <w:tcW w:w="257"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TW001</w:t>
                  </w: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208" w:type="pct"/>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75"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是</w:t>
                  </w:r>
                </w:p>
              </w:tc>
              <w:tc>
                <w:tcPr>
                  <w:tcW w:w="261"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DW001</w:t>
                  </w:r>
                </w:p>
              </w:tc>
              <w:tc>
                <w:tcPr>
                  <w:tcW w:w="296" w:type="pct"/>
                  <w:vMerge w:val="restart"/>
                  <w:vAlign w:val="center"/>
                </w:tcPr>
                <w:p>
                  <w:pPr>
                    <w:pStyle w:val="2"/>
                    <w:jc w:val="center"/>
                    <w:rPr>
                      <w:rFonts w:hint="default" w:ascii="Times New Roman" w:hAnsi="Times New Roman" w:cs="Times New Roman"/>
                      <w:sz w:val="18"/>
                      <w:szCs w:val="18"/>
                    </w:rPr>
                  </w:pPr>
                  <w:r>
                    <w:rPr>
                      <w:rFonts w:hint="eastAsia" w:cs="Times New Roman"/>
                      <w:sz w:val="18"/>
                      <w:szCs w:val="18"/>
                      <w:lang w:val="en-US" w:eastAsia="zh-CN"/>
                    </w:rPr>
                    <w:t>768</w:t>
                  </w:r>
                  <w:r>
                    <w:rPr>
                      <w:rFonts w:hint="default" w:ascii="Times New Roman" w:hAnsi="Times New Roman" w:cs="Times New Roman"/>
                      <w:sz w:val="18"/>
                      <w:szCs w:val="18"/>
                    </w:rPr>
                    <w:t>m3/a</w:t>
                  </w:r>
                </w:p>
              </w:tc>
              <w:tc>
                <w:tcPr>
                  <w:tcW w:w="331"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212.5</w:t>
                  </w:r>
                  <w:r>
                    <w:rPr>
                      <w:rFonts w:hint="default" w:ascii="Times New Roman" w:hAnsi="Times New Roman" w:cs="Times New Roman"/>
                      <w:sz w:val="18"/>
                      <w:szCs w:val="18"/>
                    </w:rPr>
                    <w:t>mg/L</w:t>
                  </w:r>
                </w:p>
              </w:tc>
              <w:tc>
                <w:tcPr>
                  <w:tcW w:w="287" w:type="pct"/>
                  <w:vAlign w:val="center"/>
                </w:tcPr>
                <w:p>
                  <w:pPr>
                    <w:pStyle w:val="2"/>
                    <w:jc w:val="center"/>
                    <w:rPr>
                      <w:rFonts w:hint="default" w:ascii="Times New Roman" w:hAnsi="Times New Roman" w:cs="Times New Roman"/>
                      <w:sz w:val="18"/>
                      <w:szCs w:val="18"/>
                    </w:rPr>
                  </w:pPr>
                  <w:r>
                    <w:rPr>
                      <w:rFonts w:hint="eastAsia" w:cs="Times New Roman"/>
                      <w:sz w:val="18"/>
                      <w:szCs w:val="18"/>
                      <w:lang w:val="en-US" w:eastAsia="zh-CN"/>
                    </w:rPr>
                    <w:t>0.163</w:t>
                  </w:r>
                  <w:r>
                    <w:rPr>
                      <w:rFonts w:hint="default" w:ascii="Times New Roman" w:hAnsi="Times New Roman" w:cs="Times New Roman"/>
                      <w:sz w:val="18"/>
                      <w:szCs w:val="18"/>
                    </w:rPr>
                    <w:t>t/a</w:t>
                  </w:r>
                </w:p>
              </w:tc>
              <w:tc>
                <w:tcPr>
                  <w:tcW w:w="175" w:type="pct"/>
                  <w:vMerge w:val="restart"/>
                  <w:vAlign w:val="center"/>
                </w:tcPr>
                <w:p>
                  <w:pPr>
                    <w:pStyle w:val="2"/>
                    <w:spacing w:before="0" w:after="0"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进入</w:t>
                  </w:r>
                  <w:r>
                    <w:rPr>
                      <w:rFonts w:hint="eastAsia" w:cs="Times New Roman"/>
                      <w:sz w:val="18"/>
                      <w:szCs w:val="18"/>
                      <w:lang w:eastAsia="zh-CN"/>
                    </w:rPr>
                    <w:t>园区生活污水处理站</w:t>
                  </w:r>
                </w:p>
              </w:tc>
              <w:tc>
                <w:tcPr>
                  <w:tcW w:w="237" w:type="pct"/>
                  <w:vMerge w:val="restart"/>
                  <w:vAlign w:val="center"/>
                </w:tcPr>
                <w:p>
                  <w:pPr>
                    <w:pStyle w:val="2"/>
                    <w:jc w:val="center"/>
                    <w:rPr>
                      <w:rFonts w:hint="default" w:ascii="Times New Roman" w:hAnsi="Times New Roman" w:cs="Times New Roman"/>
                      <w:sz w:val="18"/>
                      <w:szCs w:val="18"/>
                    </w:rPr>
                  </w:pPr>
                  <w:r>
                    <w:rPr>
                      <w:rFonts w:hint="default" w:ascii="Times New Roman" w:hAnsi="Times New Roman" w:cs="Times New Roman"/>
                      <w:sz w:val="18"/>
                      <w:szCs w:val="18"/>
                    </w:rPr>
                    <w:t>间歇排放，无规律，但不属于冲击型</w:t>
                  </w:r>
                </w:p>
              </w:tc>
              <w:tc>
                <w:tcPr>
                  <w:tcW w:w="383" w:type="pct"/>
                  <w:vMerge w:val="restart"/>
                  <w:vAlign w:val="center"/>
                </w:tcPr>
                <w:p>
                  <w:pPr>
                    <w:pStyle w:val="2"/>
                    <w:jc w:val="center"/>
                    <w:rPr>
                      <w:rFonts w:hint="default" w:ascii="Times New Roman" w:hAnsi="Times New Roman" w:cs="Times New Roman"/>
                      <w:sz w:val="18"/>
                      <w:szCs w:val="18"/>
                    </w:rPr>
                  </w:pPr>
                  <w:r>
                    <w:rPr>
                      <w:rFonts w:hint="default" w:ascii="Times New Roman" w:hAnsi="Times New Roman" w:cs="Times New Roman"/>
                      <w:sz w:val="18"/>
                      <w:szCs w:val="18"/>
                    </w:rPr>
                    <w:t>污水总排口，东经：</w:t>
                  </w:r>
                  <w:r>
                    <w:rPr>
                      <w:rFonts w:hint="eastAsia" w:ascii="Times New Roman" w:hAnsi="Times New Roman" w:eastAsia="宋体" w:cs="Times New Roman"/>
                      <w:color w:val="000000"/>
                      <w:kern w:val="2"/>
                      <w:sz w:val="18"/>
                      <w:szCs w:val="18"/>
                      <w:lang w:val="en-US" w:eastAsia="zh-CN"/>
                    </w:rPr>
                    <w:t>111.925804</w:t>
                  </w:r>
                  <w:r>
                    <w:rPr>
                      <w:rFonts w:hint="default" w:ascii="Times New Roman" w:hAnsi="Times New Roman" w:cs="Times New Roman"/>
                      <w:sz w:val="18"/>
                      <w:szCs w:val="18"/>
                    </w:rPr>
                    <w:t>；北纬</w:t>
                  </w:r>
                  <w:r>
                    <w:rPr>
                      <w:rFonts w:hint="eastAsia" w:ascii="Times New Roman" w:hAnsi="Times New Roman" w:eastAsia="宋体" w:cs="Times New Roman"/>
                      <w:color w:val="000000"/>
                      <w:kern w:val="2"/>
                      <w:sz w:val="18"/>
                      <w:szCs w:val="18"/>
                      <w:lang w:val="en-US" w:eastAsia="zh-CN"/>
                    </w:rPr>
                    <w:t>28.790582</w:t>
                  </w:r>
                </w:p>
              </w:tc>
              <w:tc>
                <w:tcPr>
                  <w:tcW w:w="262" w:type="pct"/>
                  <w:vAlign w:val="center"/>
                </w:tcPr>
                <w:p>
                  <w:pPr>
                    <w:pStyle w:val="2"/>
                    <w:spacing w:before="0" w:after="0"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50</w:t>
                  </w:r>
                  <w:r>
                    <w:rPr>
                      <w:rFonts w:hint="default" w:ascii="Times New Roman" w:hAnsi="Times New Roman" w:cs="Times New Roman"/>
                      <w:sz w:val="18"/>
                      <w:szCs w:val="18"/>
                    </w:rPr>
                    <w:t>mg/L</w:t>
                  </w:r>
                </w:p>
              </w:tc>
              <w:tc>
                <w:tcPr>
                  <w:tcW w:w="175" w:type="pct"/>
                  <w:vAlign w:val="center"/>
                </w:tcPr>
                <w:p>
                  <w:pPr>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bidi/>
                    <w:spacing w:before="0" w:after="0" w:line="240" w:lineRule="auto"/>
                    <w:ind w:right="0"/>
                    <w:jc w:val="center"/>
                    <w:rPr>
                      <w:rFonts w:hint="default" w:ascii="Times New Roman" w:hAnsi="Times New Roman" w:cs="Times New Roman"/>
                      <w:sz w:val="18"/>
                      <w:szCs w:val="18"/>
                    </w:rPr>
                  </w:pPr>
                </w:p>
              </w:tc>
              <w:tc>
                <w:tcPr>
                  <w:tcW w:w="175"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五日生化需氧量</w:t>
                  </w:r>
                </w:p>
              </w:tc>
              <w:tc>
                <w:tcPr>
                  <w:tcW w:w="267"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281"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eastAsia" w:cs="Times New Roman"/>
                      <w:sz w:val="18"/>
                      <w:szCs w:val="18"/>
                      <w:lang w:val="en-US" w:eastAsia="zh-CN"/>
                    </w:rPr>
                    <w:t>2</w:t>
                  </w:r>
                  <w:r>
                    <w:rPr>
                      <w:rFonts w:hint="default" w:ascii="Times New Roman" w:hAnsi="Times New Roman" w:cs="Times New Roman"/>
                      <w:sz w:val="18"/>
                      <w:szCs w:val="18"/>
                    </w:rPr>
                    <w:t>0mg/L</w:t>
                  </w:r>
                </w:p>
              </w:tc>
              <w:tc>
                <w:tcPr>
                  <w:tcW w:w="175"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57"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208"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30</w:t>
                  </w:r>
                  <w:r>
                    <w:rPr>
                      <w:rFonts w:hint="default" w:ascii="Times New Roman" w:hAnsi="Times New Roman" w:cs="Times New Roman"/>
                      <w:sz w:val="18"/>
                      <w:szCs w:val="18"/>
                    </w:rPr>
                    <w:t>%</w:t>
                  </w: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61" w:type="pct"/>
                  <w:vMerge w:val="continue"/>
                </w:tcPr>
                <w:p>
                  <w:pPr>
                    <w:pStyle w:val="2"/>
                    <w:jc w:val="left"/>
                    <w:rPr>
                      <w:rFonts w:hint="default" w:ascii="Times New Roman" w:hAnsi="Times New Roman" w:cs="Times New Roman"/>
                      <w:sz w:val="18"/>
                      <w:szCs w:val="18"/>
                    </w:rPr>
                  </w:pPr>
                </w:p>
              </w:tc>
              <w:tc>
                <w:tcPr>
                  <w:tcW w:w="296" w:type="pct"/>
                  <w:vMerge w:val="continue"/>
                </w:tcPr>
                <w:p>
                  <w:pPr>
                    <w:pStyle w:val="2"/>
                    <w:jc w:val="left"/>
                    <w:rPr>
                      <w:rFonts w:hint="default" w:ascii="Times New Roman" w:hAnsi="Times New Roman" w:cs="Times New Roman"/>
                      <w:sz w:val="18"/>
                      <w:szCs w:val="18"/>
                    </w:rPr>
                  </w:pPr>
                </w:p>
              </w:tc>
              <w:tc>
                <w:tcPr>
                  <w:tcW w:w="331"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83.87</w:t>
                  </w:r>
                  <w:r>
                    <w:rPr>
                      <w:rFonts w:hint="default" w:ascii="Times New Roman" w:hAnsi="Times New Roman" w:cs="Times New Roman"/>
                      <w:sz w:val="18"/>
                      <w:szCs w:val="18"/>
                    </w:rPr>
                    <w:t>mg/L</w:t>
                  </w:r>
                </w:p>
              </w:tc>
              <w:tc>
                <w:tcPr>
                  <w:tcW w:w="287" w:type="pct"/>
                  <w:vAlign w:val="center"/>
                </w:tcPr>
                <w:p>
                  <w:pPr>
                    <w:pStyle w:val="2"/>
                    <w:jc w:val="center"/>
                    <w:rPr>
                      <w:rFonts w:hint="default" w:ascii="Times New Roman" w:hAnsi="Times New Roman" w:cs="Times New Roman"/>
                      <w:sz w:val="18"/>
                      <w:szCs w:val="18"/>
                    </w:rPr>
                  </w:pPr>
                  <w:r>
                    <w:rPr>
                      <w:rFonts w:hint="eastAsia" w:cs="Times New Roman"/>
                      <w:sz w:val="18"/>
                      <w:szCs w:val="18"/>
                      <w:lang w:val="en-US" w:eastAsia="zh-CN"/>
                    </w:rPr>
                    <w:t>0.064</w:t>
                  </w:r>
                  <w:r>
                    <w:rPr>
                      <w:rFonts w:hint="default" w:ascii="Times New Roman" w:hAnsi="Times New Roman" w:cs="Times New Roman"/>
                      <w:sz w:val="18"/>
                      <w:szCs w:val="18"/>
                    </w:rPr>
                    <w:t>t/a</w:t>
                  </w:r>
                </w:p>
              </w:tc>
              <w:tc>
                <w:tcPr>
                  <w:tcW w:w="175" w:type="pct"/>
                  <w:vMerge w:val="continue"/>
                </w:tcPr>
                <w:p>
                  <w:pPr>
                    <w:pStyle w:val="2"/>
                    <w:jc w:val="left"/>
                    <w:rPr>
                      <w:rFonts w:hint="default" w:ascii="Times New Roman" w:hAnsi="Times New Roman" w:cs="Times New Roman"/>
                      <w:sz w:val="18"/>
                      <w:szCs w:val="18"/>
                    </w:rPr>
                  </w:pPr>
                </w:p>
              </w:tc>
              <w:tc>
                <w:tcPr>
                  <w:tcW w:w="237" w:type="pct"/>
                  <w:vMerge w:val="continue"/>
                </w:tcPr>
                <w:p>
                  <w:pPr>
                    <w:pStyle w:val="2"/>
                    <w:jc w:val="left"/>
                    <w:rPr>
                      <w:rFonts w:hint="default" w:ascii="Times New Roman" w:hAnsi="Times New Roman" w:cs="Times New Roman"/>
                      <w:sz w:val="18"/>
                      <w:szCs w:val="18"/>
                    </w:rPr>
                  </w:pPr>
                </w:p>
              </w:tc>
              <w:tc>
                <w:tcPr>
                  <w:tcW w:w="383" w:type="pct"/>
                  <w:vMerge w:val="continue"/>
                </w:tcPr>
                <w:p>
                  <w:pPr>
                    <w:pStyle w:val="2"/>
                    <w:jc w:val="left"/>
                    <w:rPr>
                      <w:rFonts w:hint="default" w:ascii="Times New Roman" w:hAnsi="Times New Roman" w:cs="Times New Roman"/>
                      <w:sz w:val="18"/>
                      <w:szCs w:val="18"/>
                    </w:rPr>
                  </w:pPr>
                </w:p>
              </w:tc>
              <w:tc>
                <w:tcPr>
                  <w:tcW w:w="262" w:type="pct"/>
                  <w:vAlign w:val="center"/>
                </w:tcPr>
                <w:p>
                  <w:pPr>
                    <w:pStyle w:val="2"/>
                    <w:spacing w:before="0" w:after="0"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10</w:t>
                  </w:r>
                  <w:r>
                    <w:rPr>
                      <w:rFonts w:hint="default" w:ascii="Times New Roman" w:hAnsi="Times New Roman" w:cs="Times New Roman"/>
                      <w:sz w:val="18"/>
                      <w:szCs w:val="18"/>
                    </w:rPr>
                    <w:t>mg/L</w:t>
                  </w:r>
                </w:p>
              </w:tc>
              <w:tc>
                <w:tcPr>
                  <w:tcW w:w="175" w:type="pct"/>
                  <w:vAlign w:val="center"/>
                </w:tcPr>
                <w:p>
                  <w:pPr>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bidi/>
                    <w:spacing w:before="0" w:after="0" w:line="240" w:lineRule="auto"/>
                    <w:ind w:right="0"/>
                    <w:jc w:val="center"/>
                    <w:rPr>
                      <w:rFonts w:hint="default" w:ascii="Times New Roman" w:hAnsi="Times New Roman" w:cs="Times New Roman"/>
                      <w:sz w:val="18"/>
                      <w:szCs w:val="18"/>
                    </w:rPr>
                  </w:pPr>
                </w:p>
              </w:tc>
              <w:tc>
                <w:tcPr>
                  <w:tcW w:w="175"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悬浮物</w:t>
                  </w:r>
                </w:p>
              </w:tc>
              <w:tc>
                <w:tcPr>
                  <w:tcW w:w="267"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281"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200mg/L</w:t>
                  </w:r>
                </w:p>
              </w:tc>
              <w:tc>
                <w:tcPr>
                  <w:tcW w:w="175"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57"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208"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50</w:t>
                  </w:r>
                  <w:r>
                    <w:rPr>
                      <w:rFonts w:hint="default" w:ascii="Times New Roman" w:hAnsi="Times New Roman" w:cs="Times New Roman"/>
                      <w:sz w:val="18"/>
                      <w:szCs w:val="18"/>
                    </w:rPr>
                    <w:t>%</w:t>
                  </w: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61" w:type="pct"/>
                  <w:vMerge w:val="continue"/>
                </w:tcPr>
                <w:p>
                  <w:pPr>
                    <w:pStyle w:val="2"/>
                    <w:jc w:val="left"/>
                    <w:rPr>
                      <w:rFonts w:hint="default" w:ascii="Times New Roman" w:hAnsi="Times New Roman" w:cs="Times New Roman"/>
                      <w:sz w:val="18"/>
                      <w:szCs w:val="18"/>
                    </w:rPr>
                  </w:pPr>
                </w:p>
              </w:tc>
              <w:tc>
                <w:tcPr>
                  <w:tcW w:w="296" w:type="pct"/>
                  <w:vMerge w:val="continue"/>
                </w:tcPr>
                <w:p>
                  <w:pPr>
                    <w:pStyle w:val="2"/>
                    <w:jc w:val="left"/>
                    <w:rPr>
                      <w:rFonts w:hint="default" w:ascii="Times New Roman" w:hAnsi="Times New Roman" w:cs="Times New Roman"/>
                      <w:sz w:val="18"/>
                      <w:szCs w:val="18"/>
                    </w:rPr>
                  </w:pPr>
                </w:p>
              </w:tc>
              <w:tc>
                <w:tcPr>
                  <w:tcW w:w="331"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100.13</w:t>
                  </w:r>
                  <w:r>
                    <w:rPr>
                      <w:rFonts w:hint="default" w:ascii="Times New Roman" w:hAnsi="Times New Roman" w:cs="Times New Roman"/>
                      <w:sz w:val="18"/>
                      <w:szCs w:val="18"/>
                    </w:rPr>
                    <w:t>mg/L</w:t>
                  </w:r>
                </w:p>
              </w:tc>
              <w:tc>
                <w:tcPr>
                  <w:tcW w:w="287" w:type="pct"/>
                  <w:vAlign w:val="center"/>
                </w:tcPr>
                <w:p>
                  <w:pPr>
                    <w:pStyle w:val="2"/>
                    <w:jc w:val="center"/>
                    <w:rPr>
                      <w:rFonts w:hint="default" w:ascii="Times New Roman" w:hAnsi="Times New Roman" w:cs="Times New Roman"/>
                      <w:sz w:val="18"/>
                      <w:szCs w:val="18"/>
                    </w:rPr>
                  </w:pPr>
                  <w:r>
                    <w:rPr>
                      <w:rFonts w:hint="eastAsia" w:cs="Times New Roman"/>
                      <w:sz w:val="18"/>
                      <w:szCs w:val="18"/>
                      <w:lang w:val="en-US" w:eastAsia="zh-CN"/>
                    </w:rPr>
                    <w:t>0.077</w:t>
                  </w:r>
                  <w:r>
                    <w:rPr>
                      <w:rFonts w:hint="default" w:ascii="Times New Roman" w:hAnsi="Times New Roman" w:cs="Times New Roman"/>
                      <w:sz w:val="18"/>
                      <w:szCs w:val="18"/>
                    </w:rPr>
                    <w:t>t/a</w:t>
                  </w:r>
                </w:p>
              </w:tc>
              <w:tc>
                <w:tcPr>
                  <w:tcW w:w="175" w:type="pct"/>
                  <w:vMerge w:val="continue"/>
                </w:tcPr>
                <w:p>
                  <w:pPr>
                    <w:pStyle w:val="2"/>
                    <w:jc w:val="left"/>
                    <w:rPr>
                      <w:rFonts w:hint="default" w:ascii="Times New Roman" w:hAnsi="Times New Roman" w:cs="Times New Roman"/>
                      <w:sz w:val="18"/>
                      <w:szCs w:val="18"/>
                    </w:rPr>
                  </w:pPr>
                </w:p>
              </w:tc>
              <w:tc>
                <w:tcPr>
                  <w:tcW w:w="237" w:type="pct"/>
                  <w:vMerge w:val="continue"/>
                </w:tcPr>
                <w:p>
                  <w:pPr>
                    <w:pStyle w:val="2"/>
                    <w:jc w:val="left"/>
                    <w:rPr>
                      <w:rFonts w:hint="default" w:ascii="Times New Roman" w:hAnsi="Times New Roman" w:cs="Times New Roman"/>
                      <w:sz w:val="18"/>
                      <w:szCs w:val="18"/>
                    </w:rPr>
                  </w:pPr>
                </w:p>
              </w:tc>
              <w:tc>
                <w:tcPr>
                  <w:tcW w:w="383" w:type="pct"/>
                  <w:vMerge w:val="continue"/>
                </w:tcPr>
                <w:p>
                  <w:pPr>
                    <w:pStyle w:val="2"/>
                    <w:jc w:val="left"/>
                    <w:rPr>
                      <w:rFonts w:hint="default" w:ascii="Times New Roman" w:hAnsi="Times New Roman" w:cs="Times New Roman"/>
                      <w:sz w:val="18"/>
                      <w:szCs w:val="18"/>
                    </w:rPr>
                  </w:pPr>
                </w:p>
              </w:tc>
              <w:tc>
                <w:tcPr>
                  <w:tcW w:w="262" w:type="pct"/>
                  <w:vAlign w:val="center"/>
                </w:tcPr>
                <w:p>
                  <w:pPr>
                    <w:pStyle w:val="2"/>
                    <w:spacing w:before="0" w:after="0"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10</w:t>
                  </w:r>
                  <w:r>
                    <w:rPr>
                      <w:rFonts w:hint="default" w:ascii="Times New Roman" w:hAnsi="Times New Roman" w:cs="Times New Roman"/>
                      <w:sz w:val="18"/>
                      <w:szCs w:val="18"/>
                    </w:rPr>
                    <w:t>mg/L</w:t>
                  </w:r>
                </w:p>
              </w:tc>
              <w:tc>
                <w:tcPr>
                  <w:tcW w:w="175" w:type="pct"/>
                </w:tcPr>
                <w:p>
                  <w:pPr>
                    <w:jc w:val="left"/>
                    <w:rPr>
                      <w:rFonts w:hint="default" w:ascii="Times New Roman" w:hAnsi="Times New Roman" w:cs="Times New Roman"/>
                      <w:sz w:val="18"/>
                      <w:szCs w:val="18"/>
                    </w:rPr>
                  </w:pPr>
                  <w:r>
                    <w:rPr>
                      <w:rFonts w:hint="eastAsia" w:cs="Times New Roman"/>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tabs>
                      <w:tab w:val="left" w:pos="420"/>
                    </w:tabs>
                    <w:spacing w:before="0" w:after="0"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bidi/>
                    <w:spacing w:before="0" w:after="0" w:line="240" w:lineRule="auto"/>
                    <w:ind w:right="0"/>
                    <w:jc w:val="center"/>
                    <w:rPr>
                      <w:rFonts w:hint="default" w:ascii="Times New Roman" w:hAnsi="Times New Roman" w:cs="Times New Roman"/>
                      <w:sz w:val="18"/>
                      <w:szCs w:val="18"/>
                    </w:rPr>
                  </w:pPr>
                </w:p>
              </w:tc>
              <w:tc>
                <w:tcPr>
                  <w:tcW w:w="175"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氨氮</w:t>
                  </w:r>
                </w:p>
              </w:tc>
              <w:tc>
                <w:tcPr>
                  <w:tcW w:w="267"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281" w:type="pct"/>
                  <w:vAlign w:val="center"/>
                </w:tcPr>
                <w:p>
                  <w:pPr>
                    <w:pStyle w:val="2"/>
                    <w:spacing w:line="240" w:lineRule="auto"/>
                    <w:ind w:right="0"/>
                    <w:jc w:val="center"/>
                    <w:rPr>
                      <w:rFonts w:hint="default" w:ascii="Times New Roman" w:hAnsi="Times New Roman" w:cs="Times New Roman"/>
                      <w:sz w:val="18"/>
                      <w:szCs w:val="18"/>
                    </w:rPr>
                  </w:pPr>
                  <w:r>
                    <w:rPr>
                      <w:rFonts w:hint="default" w:ascii="Times New Roman" w:hAnsi="Times New Roman" w:cs="Times New Roman"/>
                      <w:sz w:val="18"/>
                      <w:szCs w:val="18"/>
                    </w:rPr>
                    <w:t>30mg/L</w:t>
                  </w:r>
                </w:p>
              </w:tc>
              <w:tc>
                <w:tcPr>
                  <w:tcW w:w="175" w:type="pct"/>
                  <w:vMerge w:val="continue"/>
                  <w:vAlign w:val="center"/>
                </w:tcPr>
                <w:p>
                  <w:pPr>
                    <w:pStyle w:val="2"/>
                    <w:spacing w:line="240" w:lineRule="auto"/>
                    <w:ind w:right="0"/>
                    <w:jc w:val="center"/>
                    <w:rPr>
                      <w:rFonts w:hint="default" w:ascii="Times New Roman" w:hAnsi="Times New Roman" w:cs="Times New Roman"/>
                      <w:sz w:val="18"/>
                      <w:szCs w:val="18"/>
                    </w:rPr>
                  </w:pP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57"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175" w:type="pct"/>
                  <w:vAlign w:val="center"/>
                </w:tcPr>
                <w:p>
                  <w:pPr>
                    <w:spacing w:before="0" w:after="0" w:line="240" w:lineRule="auto"/>
                    <w:ind w:right="0"/>
                    <w:jc w:val="center"/>
                    <w:rPr>
                      <w:rFonts w:hint="default" w:ascii="Times New Roman" w:hAnsi="Times New Roman" w:cs="Times New Roman"/>
                      <w:sz w:val="18"/>
                      <w:szCs w:val="18"/>
                    </w:rPr>
                  </w:pPr>
                  <w:r>
                    <w:rPr>
                      <w:rFonts w:hint="eastAsia" w:cs="Times New Roman"/>
                      <w:color w:val="auto"/>
                      <w:sz w:val="18"/>
                      <w:szCs w:val="18"/>
                      <w:u w:val="none"/>
                      <w:lang w:val="en-US" w:eastAsia="zh-CN"/>
                    </w:rPr>
                    <w:t>/</w:t>
                  </w:r>
                </w:p>
              </w:tc>
              <w:tc>
                <w:tcPr>
                  <w:tcW w:w="208"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3</w:t>
                  </w:r>
                  <w:r>
                    <w:rPr>
                      <w:rFonts w:hint="default" w:ascii="Times New Roman" w:hAnsi="Times New Roman" w:cs="Times New Roman"/>
                      <w:sz w:val="18"/>
                      <w:szCs w:val="18"/>
                    </w:rPr>
                    <w:t>%</w:t>
                  </w:r>
                </w:p>
              </w:tc>
              <w:tc>
                <w:tcPr>
                  <w:tcW w:w="175" w:type="pct"/>
                  <w:vMerge w:val="continue"/>
                  <w:vAlign w:val="center"/>
                </w:tcPr>
                <w:p>
                  <w:pPr>
                    <w:pStyle w:val="2"/>
                    <w:spacing w:before="0" w:after="0" w:line="240" w:lineRule="auto"/>
                    <w:ind w:right="0"/>
                    <w:jc w:val="center"/>
                    <w:rPr>
                      <w:rFonts w:hint="default" w:ascii="Times New Roman" w:hAnsi="Times New Roman" w:cs="Times New Roman"/>
                      <w:sz w:val="18"/>
                      <w:szCs w:val="18"/>
                    </w:rPr>
                  </w:pPr>
                </w:p>
              </w:tc>
              <w:tc>
                <w:tcPr>
                  <w:tcW w:w="261" w:type="pct"/>
                  <w:vMerge w:val="continue"/>
                </w:tcPr>
                <w:p>
                  <w:pPr>
                    <w:pStyle w:val="2"/>
                    <w:jc w:val="left"/>
                    <w:rPr>
                      <w:rFonts w:hint="default" w:ascii="Times New Roman" w:hAnsi="Times New Roman" w:cs="Times New Roman"/>
                      <w:sz w:val="18"/>
                      <w:szCs w:val="18"/>
                    </w:rPr>
                  </w:pPr>
                </w:p>
              </w:tc>
              <w:tc>
                <w:tcPr>
                  <w:tcW w:w="296" w:type="pct"/>
                  <w:vMerge w:val="continue"/>
                </w:tcPr>
                <w:p>
                  <w:pPr>
                    <w:pStyle w:val="2"/>
                    <w:jc w:val="left"/>
                    <w:rPr>
                      <w:rFonts w:hint="default" w:ascii="Times New Roman" w:hAnsi="Times New Roman" w:cs="Times New Roman"/>
                      <w:sz w:val="18"/>
                      <w:szCs w:val="18"/>
                    </w:rPr>
                  </w:pPr>
                </w:p>
              </w:tc>
              <w:tc>
                <w:tcPr>
                  <w:tcW w:w="331" w:type="pct"/>
                  <w:vAlign w:val="center"/>
                </w:tcPr>
                <w:p>
                  <w:pPr>
                    <w:adjustRightInd w:val="0"/>
                    <w:snapToGrid w:val="0"/>
                    <w:jc w:val="center"/>
                    <w:rPr>
                      <w:rFonts w:hint="default" w:ascii="Times New Roman" w:hAnsi="Times New Roman" w:cs="Times New Roman"/>
                      <w:sz w:val="18"/>
                      <w:szCs w:val="18"/>
                    </w:rPr>
                  </w:pPr>
                  <w:r>
                    <w:rPr>
                      <w:rFonts w:hint="eastAsia" w:cs="Times New Roman"/>
                      <w:sz w:val="18"/>
                      <w:szCs w:val="18"/>
                      <w:lang w:val="en-US" w:eastAsia="zh-CN"/>
                    </w:rPr>
                    <w:t>29.05</w:t>
                  </w:r>
                  <w:r>
                    <w:rPr>
                      <w:rFonts w:hint="default" w:ascii="Times New Roman" w:hAnsi="Times New Roman" w:cs="Times New Roman"/>
                      <w:sz w:val="18"/>
                      <w:szCs w:val="18"/>
                    </w:rPr>
                    <w:t>mg/L</w:t>
                  </w:r>
                </w:p>
              </w:tc>
              <w:tc>
                <w:tcPr>
                  <w:tcW w:w="287" w:type="pct"/>
                  <w:vAlign w:val="center"/>
                </w:tcPr>
                <w:p>
                  <w:pPr>
                    <w:pStyle w:val="2"/>
                    <w:jc w:val="center"/>
                    <w:rPr>
                      <w:rFonts w:hint="default" w:ascii="Times New Roman" w:hAnsi="Times New Roman" w:cs="Times New Roman"/>
                      <w:sz w:val="18"/>
                      <w:szCs w:val="18"/>
                    </w:rPr>
                  </w:pPr>
                  <w:r>
                    <w:rPr>
                      <w:rFonts w:hint="eastAsia" w:cs="Times New Roman"/>
                      <w:sz w:val="18"/>
                      <w:szCs w:val="18"/>
                      <w:lang w:val="en-US" w:eastAsia="zh-CN"/>
                    </w:rPr>
                    <w:t>0.022</w:t>
                  </w:r>
                  <w:r>
                    <w:rPr>
                      <w:rFonts w:hint="default" w:ascii="Times New Roman" w:hAnsi="Times New Roman" w:cs="Times New Roman"/>
                      <w:sz w:val="18"/>
                      <w:szCs w:val="18"/>
                    </w:rPr>
                    <w:t>t/a</w:t>
                  </w:r>
                </w:p>
              </w:tc>
              <w:tc>
                <w:tcPr>
                  <w:tcW w:w="175" w:type="pct"/>
                  <w:vMerge w:val="continue"/>
                </w:tcPr>
                <w:p>
                  <w:pPr>
                    <w:pStyle w:val="2"/>
                    <w:jc w:val="left"/>
                    <w:rPr>
                      <w:rFonts w:hint="default" w:ascii="Times New Roman" w:hAnsi="Times New Roman" w:cs="Times New Roman"/>
                      <w:sz w:val="18"/>
                      <w:szCs w:val="18"/>
                    </w:rPr>
                  </w:pPr>
                </w:p>
              </w:tc>
              <w:tc>
                <w:tcPr>
                  <w:tcW w:w="237" w:type="pct"/>
                  <w:vMerge w:val="continue"/>
                </w:tcPr>
                <w:p>
                  <w:pPr>
                    <w:pStyle w:val="2"/>
                    <w:jc w:val="left"/>
                    <w:rPr>
                      <w:rFonts w:hint="default" w:ascii="Times New Roman" w:hAnsi="Times New Roman" w:cs="Times New Roman"/>
                      <w:sz w:val="18"/>
                      <w:szCs w:val="18"/>
                    </w:rPr>
                  </w:pPr>
                </w:p>
              </w:tc>
              <w:tc>
                <w:tcPr>
                  <w:tcW w:w="383" w:type="pct"/>
                  <w:vMerge w:val="continue"/>
                </w:tcPr>
                <w:p>
                  <w:pPr>
                    <w:pStyle w:val="2"/>
                    <w:jc w:val="left"/>
                    <w:rPr>
                      <w:rFonts w:hint="default" w:ascii="Times New Roman" w:hAnsi="Times New Roman" w:cs="Times New Roman"/>
                      <w:sz w:val="18"/>
                      <w:szCs w:val="18"/>
                    </w:rPr>
                  </w:pPr>
                </w:p>
              </w:tc>
              <w:tc>
                <w:tcPr>
                  <w:tcW w:w="262" w:type="pct"/>
                  <w:vAlign w:val="center"/>
                </w:tcPr>
                <w:p>
                  <w:pPr>
                    <w:pStyle w:val="2"/>
                    <w:spacing w:before="0" w:after="0" w:line="240" w:lineRule="auto"/>
                    <w:ind w:right="0"/>
                    <w:jc w:val="center"/>
                    <w:rPr>
                      <w:rFonts w:hint="default" w:ascii="Times New Roman" w:hAnsi="Times New Roman" w:cs="Times New Roman"/>
                      <w:sz w:val="18"/>
                      <w:szCs w:val="18"/>
                    </w:rPr>
                  </w:pPr>
                  <w:r>
                    <w:rPr>
                      <w:rFonts w:hint="eastAsia" w:cs="Times New Roman"/>
                      <w:sz w:val="18"/>
                      <w:szCs w:val="18"/>
                      <w:lang w:val="en-US" w:eastAsia="zh-CN"/>
                    </w:rPr>
                    <w:t>5</w:t>
                  </w:r>
                  <w:r>
                    <w:rPr>
                      <w:rFonts w:hint="default" w:ascii="Times New Roman" w:hAnsi="Times New Roman" w:cs="Times New Roman"/>
                      <w:sz w:val="18"/>
                      <w:szCs w:val="18"/>
                    </w:rPr>
                    <w:t>mg/L</w:t>
                  </w:r>
                </w:p>
              </w:tc>
              <w:tc>
                <w:tcPr>
                  <w:tcW w:w="175" w:type="pct"/>
                </w:tcPr>
                <w:p>
                  <w:pPr>
                    <w:jc w:val="left"/>
                    <w:rPr>
                      <w:rFonts w:hint="default" w:ascii="Times New Roman" w:hAnsi="Times New Roman" w:cs="Times New Roman"/>
                      <w:sz w:val="18"/>
                      <w:szCs w:val="18"/>
                    </w:rPr>
                  </w:pPr>
                  <w:r>
                    <w:rPr>
                      <w:rFonts w:hint="eastAsia" w:cs="Times New Roman"/>
                      <w:color w:val="auto"/>
                      <w:sz w:val="18"/>
                      <w:szCs w:val="18"/>
                      <w:u w:val="none"/>
                      <w:lang w:val="en-US" w:eastAsia="zh-CN"/>
                    </w:rPr>
                    <w:t>/</w:t>
                  </w:r>
                </w:p>
              </w:tc>
            </w:tr>
          </w:tbl>
          <w:p>
            <w:pPr>
              <w:pStyle w:val="2"/>
              <w:spacing w:before="0" w:after="0" w:line="360" w:lineRule="auto"/>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1、废水污染物产排污情况</w:t>
            </w:r>
          </w:p>
          <w:p>
            <w:pPr>
              <w:spacing w:line="360" w:lineRule="auto"/>
              <w:ind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本项目生产过程中经企业介绍，无生产废水产生。仅产生工作人员生活废水。</w:t>
            </w:r>
          </w:p>
          <w:p>
            <w:pPr>
              <w:spacing w:line="360" w:lineRule="auto"/>
              <w:ind w:left="420" w:leftChars="200"/>
              <w:rPr>
                <w:rFonts w:hint="eastAsia" w:eastAsia="宋体"/>
                <w:color w:val="auto"/>
                <w:sz w:val="24"/>
                <w:szCs w:val="24"/>
                <w:lang w:eastAsia="zh-CN"/>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）生活污水</w:t>
            </w:r>
            <w:r>
              <w:rPr>
                <w:rFonts w:hint="eastAsia"/>
                <w:color w:val="auto"/>
                <w:sz w:val="24"/>
                <w:szCs w:val="24"/>
                <w:lang w:eastAsia="zh-CN"/>
              </w:rPr>
              <w:t>（</w:t>
            </w:r>
            <w:r>
              <w:rPr>
                <w:rFonts w:hint="eastAsia"/>
                <w:color w:val="auto"/>
                <w:sz w:val="24"/>
                <w:szCs w:val="24"/>
                <w:lang w:val="en-US" w:eastAsia="zh-CN"/>
              </w:rPr>
              <w:t>W1</w:t>
            </w:r>
            <w:r>
              <w:rPr>
                <w:rFonts w:hint="eastAsia"/>
                <w:color w:val="auto"/>
                <w:sz w:val="24"/>
                <w:szCs w:val="24"/>
                <w:lang w:eastAsia="zh-CN"/>
              </w:rPr>
              <w:t>）</w:t>
            </w:r>
          </w:p>
          <w:p>
            <w:pPr>
              <w:pStyle w:val="111"/>
              <w:spacing w:line="360" w:lineRule="auto"/>
              <w:ind w:firstLine="480"/>
              <w:rPr>
                <w:sz w:val="24"/>
                <w:szCs w:val="24"/>
              </w:rPr>
            </w:pPr>
            <w:r>
              <w:rPr>
                <w:rFonts w:hint="eastAsia"/>
                <w:color w:val="auto"/>
                <w:sz w:val="24"/>
                <w:szCs w:val="24"/>
                <w:u w:val="none"/>
                <w:lang w:eastAsia="zh-CN"/>
              </w:rPr>
              <w:t>原有</w:t>
            </w:r>
            <w:r>
              <w:rPr>
                <w:rFonts w:hint="eastAsia"/>
                <w:color w:val="auto"/>
                <w:sz w:val="24"/>
                <w:szCs w:val="24"/>
                <w:u w:val="none"/>
              </w:rPr>
              <w:t>项目劳动定员</w:t>
            </w:r>
            <w:r>
              <w:rPr>
                <w:rFonts w:hint="eastAsia"/>
                <w:color w:val="auto"/>
                <w:sz w:val="24"/>
                <w:szCs w:val="24"/>
                <w:u w:val="none"/>
                <w:lang w:val="en-US" w:eastAsia="zh-CN"/>
              </w:rPr>
              <w:t>28</w:t>
            </w:r>
            <w:r>
              <w:rPr>
                <w:rFonts w:hint="eastAsia"/>
                <w:color w:val="auto"/>
                <w:sz w:val="24"/>
                <w:szCs w:val="24"/>
                <w:u w:val="none"/>
              </w:rPr>
              <w:t>人，用水定额参照湖南省地方标准《用水定额》（</w:t>
            </w:r>
            <w:r>
              <w:rPr>
                <w:color w:val="auto"/>
                <w:sz w:val="24"/>
                <w:szCs w:val="24"/>
                <w:u w:val="none"/>
              </w:rPr>
              <w:t>DB43/T388-20</w:t>
            </w:r>
            <w:r>
              <w:rPr>
                <w:rFonts w:hint="eastAsia"/>
                <w:color w:val="auto"/>
                <w:sz w:val="24"/>
                <w:szCs w:val="24"/>
                <w:u w:val="none"/>
                <w:lang w:val="en-US" w:eastAsia="zh-CN"/>
              </w:rPr>
              <w:t>20</w:t>
            </w:r>
            <w:r>
              <w:rPr>
                <w:rFonts w:hint="eastAsia"/>
                <w:color w:val="auto"/>
                <w:sz w:val="24"/>
                <w:szCs w:val="24"/>
                <w:u w:val="none"/>
              </w:rPr>
              <w:t>）</w:t>
            </w:r>
            <w:r>
              <w:rPr>
                <w:rFonts w:hint="eastAsia"/>
                <w:bCs/>
                <w:color w:val="auto"/>
                <w:highlight w:val="none"/>
              </w:rPr>
              <w:t>按</w:t>
            </w:r>
            <w:r>
              <w:rPr>
                <w:bCs/>
                <w:color w:val="auto"/>
                <w:highlight w:val="none"/>
              </w:rPr>
              <w:t>160L/</w:t>
            </w:r>
            <w:r>
              <w:rPr>
                <w:rFonts w:hint="eastAsia"/>
                <w:bCs/>
                <w:color w:val="auto"/>
                <w:highlight w:val="none"/>
              </w:rPr>
              <w:t>人</w:t>
            </w:r>
            <w:r>
              <w:rPr>
                <w:bCs/>
                <w:color w:val="auto"/>
                <w:highlight w:val="none"/>
              </w:rPr>
              <w:t>·d</w:t>
            </w:r>
            <w:r>
              <w:rPr>
                <w:rFonts w:hint="eastAsia"/>
                <w:bCs/>
                <w:color w:val="auto"/>
                <w:highlight w:val="none"/>
              </w:rPr>
              <w:t>计算</w:t>
            </w:r>
            <w:r>
              <w:rPr>
                <w:rFonts w:hint="eastAsia"/>
                <w:color w:val="auto"/>
                <w:highlight w:val="none"/>
              </w:rPr>
              <w:t>，</w:t>
            </w:r>
            <w:r>
              <w:rPr>
                <w:rFonts w:hint="eastAsia"/>
                <w:color w:val="auto"/>
                <w:highlight w:val="none"/>
                <w:lang w:eastAsia="zh-CN"/>
              </w:rPr>
              <w:t>非住宿的按</w:t>
            </w:r>
            <w:r>
              <w:rPr>
                <w:rFonts w:hint="eastAsia"/>
                <w:color w:val="auto"/>
                <w:highlight w:val="none"/>
                <w:lang w:val="en-US" w:eastAsia="zh-CN"/>
              </w:rPr>
              <w:t>80L/</w:t>
            </w:r>
            <w:r>
              <w:rPr>
                <w:rFonts w:hint="eastAsia"/>
                <w:bCs/>
                <w:color w:val="auto"/>
                <w:highlight w:val="none"/>
              </w:rPr>
              <w:t>人</w:t>
            </w:r>
            <w:r>
              <w:rPr>
                <w:bCs/>
                <w:color w:val="auto"/>
                <w:highlight w:val="none"/>
              </w:rPr>
              <w:t>·d</w:t>
            </w:r>
            <w:r>
              <w:rPr>
                <w:rFonts w:hint="eastAsia"/>
                <w:bCs/>
                <w:color w:val="auto"/>
                <w:highlight w:val="none"/>
              </w:rPr>
              <w:t>计算</w:t>
            </w:r>
            <w:r>
              <w:rPr>
                <w:rFonts w:hint="eastAsia"/>
                <w:bCs/>
                <w:color w:val="auto"/>
                <w:highlight w:val="none"/>
                <w:lang w:val="en-US" w:eastAsia="zh-CN"/>
              </w:rPr>
              <w:t>，住宿的均依托工业园的宿舍，</w:t>
            </w:r>
            <w:r>
              <w:rPr>
                <w:rFonts w:hint="eastAsia"/>
                <w:color w:val="auto"/>
                <w:highlight w:val="none"/>
                <w:lang w:eastAsia="zh-CN"/>
              </w:rPr>
              <w:t>工作天数为</w:t>
            </w:r>
            <w:r>
              <w:rPr>
                <w:rFonts w:hint="eastAsia"/>
                <w:color w:val="auto"/>
                <w:highlight w:val="none"/>
                <w:lang w:val="en-US" w:eastAsia="zh-CN"/>
              </w:rPr>
              <w:t>300d，</w:t>
            </w:r>
            <w:r>
              <w:rPr>
                <w:rFonts w:hint="eastAsia"/>
                <w:color w:val="auto"/>
                <w:highlight w:val="none"/>
              </w:rPr>
              <w:t>则总生活用水量为</w:t>
            </w:r>
            <w:r>
              <w:rPr>
                <w:rFonts w:hint="eastAsia"/>
                <w:color w:val="auto"/>
                <w:highlight w:val="none"/>
                <w:lang w:val="en-US" w:eastAsia="zh-CN"/>
              </w:rPr>
              <w:t>3.2</w:t>
            </w:r>
            <w:r>
              <w:rPr>
                <w:color w:val="auto"/>
                <w:highlight w:val="none"/>
              </w:rPr>
              <w:t>t/d</w:t>
            </w:r>
            <w:r>
              <w:rPr>
                <w:rFonts w:hint="eastAsia"/>
                <w:color w:val="auto"/>
                <w:highlight w:val="none"/>
              </w:rPr>
              <w:t>（</w:t>
            </w:r>
            <w:r>
              <w:rPr>
                <w:rFonts w:hint="eastAsia"/>
                <w:color w:val="auto"/>
                <w:highlight w:val="none"/>
                <w:lang w:val="en-US" w:eastAsia="zh-CN"/>
              </w:rPr>
              <w:t>960</w:t>
            </w:r>
            <w:r>
              <w:rPr>
                <w:color w:val="auto"/>
                <w:highlight w:val="none"/>
              </w:rPr>
              <w:t>t/a</w:t>
            </w:r>
            <w:r>
              <w:rPr>
                <w:rFonts w:hint="eastAsia"/>
                <w:color w:val="auto"/>
                <w:highlight w:val="none"/>
              </w:rPr>
              <w:t>），污水量按</w:t>
            </w:r>
            <w:r>
              <w:rPr>
                <w:color w:val="auto"/>
                <w:highlight w:val="none"/>
              </w:rPr>
              <w:t>80%</w:t>
            </w:r>
            <w:r>
              <w:rPr>
                <w:rFonts w:hint="eastAsia"/>
                <w:color w:val="auto"/>
                <w:highlight w:val="none"/>
              </w:rPr>
              <w:t>计，则项目生活污水排放量为</w:t>
            </w:r>
            <w:r>
              <w:rPr>
                <w:rFonts w:hint="eastAsia"/>
                <w:color w:val="auto"/>
                <w:highlight w:val="none"/>
                <w:lang w:val="en-US" w:eastAsia="zh-CN"/>
              </w:rPr>
              <w:t>2.56</w:t>
            </w:r>
            <w:r>
              <w:rPr>
                <w:color w:val="auto"/>
                <w:highlight w:val="none"/>
              </w:rPr>
              <w:t>t/d</w:t>
            </w:r>
            <w:r>
              <w:rPr>
                <w:rFonts w:hint="eastAsia"/>
                <w:color w:val="auto"/>
                <w:highlight w:val="none"/>
              </w:rPr>
              <w:t>（</w:t>
            </w:r>
            <w:r>
              <w:rPr>
                <w:rFonts w:hint="eastAsia"/>
                <w:color w:val="auto"/>
                <w:highlight w:val="none"/>
                <w:lang w:val="en-US" w:eastAsia="zh-CN"/>
              </w:rPr>
              <w:t>768</w:t>
            </w:r>
            <w:r>
              <w:rPr>
                <w:color w:val="auto"/>
                <w:highlight w:val="none"/>
              </w:rPr>
              <w:t>t/a</w:t>
            </w:r>
            <w:r>
              <w:rPr>
                <w:rFonts w:hint="eastAsia"/>
                <w:color w:val="auto"/>
                <w:highlight w:val="none"/>
              </w:rPr>
              <w:t>），类比常德市同类生活污水水质，</w:t>
            </w:r>
            <w:r>
              <w:rPr>
                <w:color w:val="auto"/>
                <w:highlight w:val="none"/>
              </w:rPr>
              <w:t>COD</w:t>
            </w:r>
            <w:r>
              <w:rPr>
                <w:rFonts w:hint="eastAsia"/>
                <w:color w:val="auto"/>
                <w:highlight w:val="none"/>
              </w:rPr>
              <w:t>、</w:t>
            </w:r>
            <w:r>
              <w:rPr>
                <w:color w:val="auto"/>
                <w:highlight w:val="none"/>
              </w:rPr>
              <w:t>BOD</w:t>
            </w:r>
            <w:r>
              <w:rPr>
                <w:color w:val="auto"/>
                <w:highlight w:val="none"/>
                <w:vertAlign w:val="subscript"/>
              </w:rPr>
              <w:t>5</w:t>
            </w:r>
            <w:r>
              <w:rPr>
                <w:rFonts w:hint="eastAsia"/>
                <w:color w:val="auto"/>
                <w:highlight w:val="none"/>
              </w:rPr>
              <w:t>、</w:t>
            </w:r>
            <w:r>
              <w:rPr>
                <w:color w:val="auto"/>
                <w:highlight w:val="none"/>
              </w:rPr>
              <w:t>SS</w:t>
            </w:r>
            <w:r>
              <w:rPr>
                <w:rFonts w:hint="eastAsia"/>
                <w:color w:val="auto"/>
                <w:highlight w:val="none"/>
              </w:rPr>
              <w:t>、氨氮初始浓度约为</w:t>
            </w:r>
            <w:r>
              <w:rPr>
                <w:color w:val="auto"/>
                <w:highlight w:val="none"/>
              </w:rPr>
              <w:t>250mg/L</w:t>
            </w:r>
            <w:r>
              <w:rPr>
                <w:rFonts w:hint="eastAsia"/>
                <w:color w:val="auto"/>
                <w:highlight w:val="none"/>
              </w:rPr>
              <w:t>、</w:t>
            </w:r>
            <w:r>
              <w:rPr>
                <w:color w:val="auto"/>
                <w:highlight w:val="none"/>
              </w:rPr>
              <w:t>120mg/L</w:t>
            </w:r>
            <w:r>
              <w:rPr>
                <w:rFonts w:hint="eastAsia"/>
                <w:color w:val="auto"/>
                <w:highlight w:val="none"/>
              </w:rPr>
              <w:t>、</w:t>
            </w:r>
            <w:r>
              <w:rPr>
                <w:color w:val="auto"/>
                <w:highlight w:val="none"/>
              </w:rPr>
              <w:t>200mg/L</w:t>
            </w:r>
            <w:r>
              <w:rPr>
                <w:rFonts w:hint="eastAsia"/>
                <w:color w:val="auto"/>
                <w:highlight w:val="none"/>
              </w:rPr>
              <w:t>、</w:t>
            </w:r>
            <w:r>
              <w:rPr>
                <w:color w:val="auto"/>
                <w:highlight w:val="none"/>
              </w:rPr>
              <w:t>30mg/L</w:t>
            </w:r>
            <w:r>
              <w:rPr>
                <w:rFonts w:hint="eastAsia"/>
                <w:b w:val="0"/>
                <w:bCs w:val="0"/>
                <w:color w:val="auto"/>
                <w:sz w:val="24"/>
                <w:szCs w:val="24"/>
                <w:lang w:eastAsia="zh-CN"/>
              </w:rPr>
              <w:t>，</w:t>
            </w:r>
            <w:r>
              <w:rPr>
                <w:sz w:val="24"/>
                <w:szCs w:val="24"/>
              </w:rPr>
              <w:t>运营期水污染源分析见下表。</w:t>
            </w:r>
          </w:p>
          <w:p>
            <w:pPr>
              <w:spacing w:line="360" w:lineRule="auto"/>
              <w:jc w:val="center"/>
              <w:rPr>
                <w:b/>
                <w:color w:val="auto"/>
              </w:rPr>
            </w:pPr>
            <w:r>
              <w:rPr>
                <w:b/>
                <w:color w:val="auto"/>
              </w:rPr>
              <w:t>表</w:t>
            </w:r>
            <w:r>
              <w:rPr>
                <w:rFonts w:hint="eastAsia"/>
                <w:b/>
                <w:color w:val="auto"/>
                <w:lang w:val="en-US" w:eastAsia="zh-CN"/>
              </w:rPr>
              <w:t>2-9</w:t>
            </w:r>
            <w:r>
              <w:rPr>
                <w:b/>
                <w:color w:val="auto"/>
              </w:rPr>
              <w:t xml:space="preserve"> 本项目废水主要污染物产生排放情况一览表</w:t>
            </w:r>
          </w:p>
          <w:tbl>
            <w:tblPr>
              <w:tblStyle w:val="28"/>
              <w:tblW w:w="49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482"/>
              <w:gridCol w:w="1121"/>
              <w:gridCol w:w="1298"/>
              <w:gridCol w:w="1299"/>
              <w:gridCol w:w="12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pct"/>
                  <w:tcBorders>
                    <w:top w:val="single" w:color="auto" w:sz="8" w:space="0"/>
                    <w:bottom w:val="single" w:color="auto" w:sz="8" w:space="0"/>
                    <w:right w:val="single" w:color="auto" w:sz="8" w:space="0"/>
                  </w:tcBorders>
                  <w:noWrap w:val="0"/>
                  <w:vAlign w:val="center"/>
                </w:tcPr>
                <w:p>
                  <w:pPr>
                    <w:jc w:val="center"/>
                    <w:rPr>
                      <w:b/>
                      <w:color w:val="auto"/>
                      <w:u w:val="none"/>
                    </w:rPr>
                  </w:pPr>
                  <w:r>
                    <w:rPr>
                      <w:b/>
                      <w:color w:val="auto"/>
                      <w:u w:val="none"/>
                    </w:rPr>
                    <w:t>水量</w:t>
                  </w:r>
                </w:p>
              </w:tc>
              <w:tc>
                <w:tcPr>
                  <w:tcW w:w="949" w:type="pct"/>
                  <w:tcBorders>
                    <w:top w:val="single" w:color="auto" w:sz="8" w:space="0"/>
                    <w:left w:val="single" w:color="auto" w:sz="8" w:space="0"/>
                    <w:bottom w:val="single" w:color="auto" w:sz="8" w:space="0"/>
                    <w:right w:val="single" w:color="auto" w:sz="8" w:space="0"/>
                  </w:tcBorders>
                  <w:noWrap w:val="0"/>
                  <w:vAlign w:val="center"/>
                </w:tcPr>
                <w:p>
                  <w:pPr>
                    <w:ind w:firstLine="211" w:firstLineChars="100"/>
                    <w:jc w:val="center"/>
                    <w:rPr>
                      <w:b/>
                      <w:color w:val="auto"/>
                      <w:u w:val="none"/>
                    </w:rPr>
                  </w:pPr>
                  <w:r>
                    <w:rPr>
                      <w:b/>
                      <w:color w:val="auto"/>
                      <w:u w:val="none"/>
                    </w:rPr>
                    <w:t>指标</w:t>
                  </w:r>
                </w:p>
              </w:tc>
              <w:tc>
                <w:tcPr>
                  <w:tcW w:w="719" w:type="pct"/>
                  <w:tcBorders>
                    <w:top w:val="single" w:color="auto" w:sz="8" w:space="0"/>
                    <w:left w:val="single" w:color="auto" w:sz="8" w:space="0"/>
                    <w:bottom w:val="single" w:color="auto" w:sz="8" w:space="0"/>
                    <w:right w:val="single" w:color="auto" w:sz="8" w:space="0"/>
                  </w:tcBorders>
                  <w:noWrap w:val="0"/>
                  <w:vAlign w:val="center"/>
                </w:tcPr>
                <w:p>
                  <w:pPr>
                    <w:jc w:val="center"/>
                    <w:rPr>
                      <w:b/>
                      <w:color w:val="auto"/>
                      <w:u w:val="none"/>
                    </w:rPr>
                  </w:pPr>
                  <w:r>
                    <w:rPr>
                      <w:b/>
                      <w:color w:val="auto"/>
                      <w:u w:val="none"/>
                    </w:rPr>
                    <w:t>COD</w:t>
                  </w:r>
                  <w:r>
                    <w:rPr>
                      <w:b/>
                      <w:color w:val="auto"/>
                      <w:u w:val="none"/>
                      <w:vertAlign w:val="subscript"/>
                    </w:rPr>
                    <w:t>Cr</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b/>
                      <w:color w:val="auto"/>
                      <w:u w:val="none"/>
                    </w:rPr>
                  </w:pPr>
                  <w:r>
                    <w:rPr>
                      <w:b/>
                      <w:color w:val="auto"/>
                      <w:u w:val="none"/>
                    </w:rPr>
                    <w:t>BOD</w:t>
                  </w:r>
                  <w:r>
                    <w:rPr>
                      <w:b/>
                      <w:color w:val="auto"/>
                      <w:u w:val="none"/>
                      <w:vertAlign w:val="subscript"/>
                    </w:rPr>
                    <w:t>5</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b/>
                      <w:color w:val="auto"/>
                      <w:u w:val="none"/>
                    </w:rPr>
                  </w:pPr>
                  <w:r>
                    <w:rPr>
                      <w:b/>
                      <w:color w:val="auto"/>
                      <w:u w:val="none"/>
                    </w:rPr>
                    <w:t>SS</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b/>
                      <w:color w:val="auto"/>
                      <w:u w:val="none"/>
                    </w:rPr>
                  </w:pPr>
                  <w:r>
                    <w:rPr>
                      <w:b/>
                      <w:color w:val="auto"/>
                      <w:u w:val="none"/>
                    </w:rPr>
                    <w:t>NH</w:t>
                  </w:r>
                  <w:r>
                    <w:rPr>
                      <w:b/>
                      <w:color w:val="auto"/>
                      <w:u w:val="none"/>
                      <w:vertAlign w:val="subscript"/>
                    </w:rPr>
                    <w:t>3</w:t>
                  </w:r>
                  <w:r>
                    <w:rPr>
                      <w:b/>
                      <w:color w:val="auto"/>
                      <w:u w:val="none"/>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pct"/>
                  <w:vMerge w:val="restart"/>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r>
                    <w:rPr>
                      <w:color w:val="auto"/>
                      <w:u w:val="none"/>
                    </w:rPr>
                    <w:t>员工生活污水</w:t>
                  </w:r>
                </w:p>
                <w:p>
                  <w:pPr>
                    <w:jc w:val="center"/>
                    <w:rPr>
                      <w:color w:val="auto"/>
                      <w:u w:val="none"/>
                    </w:rPr>
                  </w:pPr>
                  <w:r>
                    <w:rPr>
                      <w:rFonts w:hint="eastAsia"/>
                      <w:color w:val="auto"/>
                      <w:u w:val="none"/>
                      <w:lang w:val="en-US" w:eastAsia="zh-CN"/>
                    </w:rPr>
                    <w:t>768</w:t>
                  </w:r>
                  <w:r>
                    <w:rPr>
                      <w:color w:val="auto"/>
                      <w:u w:val="none"/>
                    </w:rPr>
                    <w:t>m</w:t>
                  </w:r>
                  <w:r>
                    <w:rPr>
                      <w:color w:val="auto"/>
                      <w:u w:val="none"/>
                      <w:vertAlign w:val="superscript"/>
                    </w:rPr>
                    <w:t>3</w:t>
                  </w:r>
                  <w:r>
                    <w:rPr>
                      <w:color w:val="auto"/>
                      <w:u w:val="none"/>
                    </w:rPr>
                    <w:t>/a</w:t>
                  </w:r>
                </w:p>
              </w:tc>
              <w:tc>
                <w:tcPr>
                  <w:tcW w:w="94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产生浓度（mg/L）</w:t>
                  </w:r>
                </w:p>
              </w:tc>
              <w:tc>
                <w:tcPr>
                  <w:tcW w:w="719"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color w:val="auto"/>
                      <w:u w:val="none"/>
                    </w:rPr>
                  </w:pPr>
                  <w:r>
                    <w:rPr>
                      <w:color w:val="auto"/>
                      <w:u w:val="none"/>
                    </w:rPr>
                    <w:t>250</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120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200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pct"/>
                  <w:vMerge w:val="continue"/>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p>
              </w:tc>
              <w:tc>
                <w:tcPr>
                  <w:tcW w:w="94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产生量（t/a）</w:t>
                  </w:r>
                </w:p>
              </w:tc>
              <w:tc>
                <w:tcPr>
                  <w:tcW w:w="719"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0.192</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0.092</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0.154</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2" w:type="pct"/>
                  <w:gridSpan w:val="2"/>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r>
                    <w:rPr>
                      <w:rFonts w:hint="eastAsia"/>
                      <w:color w:val="auto"/>
                      <w:u w:val="none"/>
                      <w:lang w:eastAsia="zh-CN"/>
                    </w:rPr>
                    <w:t>隔油池、</w:t>
                  </w:r>
                  <w:r>
                    <w:rPr>
                      <w:color w:val="auto"/>
                      <w:u w:val="none"/>
                    </w:rPr>
                    <w:t>化粪池处理效率（%）</w:t>
                  </w:r>
                </w:p>
              </w:tc>
              <w:tc>
                <w:tcPr>
                  <w:tcW w:w="71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15</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30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50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2" w:type="pct"/>
                  <w:vMerge w:val="restart"/>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r>
                    <w:rPr>
                      <w:color w:val="auto"/>
                      <w:u w:val="none"/>
                    </w:rPr>
                    <w:t>员工生活污水</w:t>
                  </w:r>
                </w:p>
                <w:p>
                  <w:pPr>
                    <w:jc w:val="center"/>
                    <w:rPr>
                      <w:color w:val="auto"/>
                      <w:u w:val="none"/>
                    </w:rPr>
                  </w:pPr>
                  <w:r>
                    <w:rPr>
                      <w:rFonts w:hint="eastAsia"/>
                      <w:color w:val="auto"/>
                      <w:u w:val="none"/>
                      <w:lang w:val="en-US" w:eastAsia="zh-CN"/>
                    </w:rPr>
                    <w:t>768</w:t>
                  </w:r>
                  <w:r>
                    <w:rPr>
                      <w:color w:val="auto"/>
                      <w:u w:val="none"/>
                    </w:rPr>
                    <w:t>m</w:t>
                  </w:r>
                  <w:r>
                    <w:rPr>
                      <w:color w:val="auto"/>
                      <w:u w:val="none"/>
                      <w:vertAlign w:val="superscript"/>
                    </w:rPr>
                    <w:t>3</w:t>
                  </w:r>
                  <w:r>
                    <w:rPr>
                      <w:color w:val="auto"/>
                      <w:u w:val="none"/>
                    </w:rPr>
                    <w:t>/a</w:t>
                  </w:r>
                </w:p>
              </w:tc>
              <w:tc>
                <w:tcPr>
                  <w:tcW w:w="94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排放浓度（mg/L）</w:t>
                  </w:r>
                </w:p>
              </w:tc>
              <w:tc>
                <w:tcPr>
                  <w:tcW w:w="71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212.5</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83.87</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100.13</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rFonts w:hint="eastAsia"/>
                      <w:color w:val="auto"/>
                      <w:u w:val="none"/>
                    </w:rPr>
                    <w:t>29.05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2" w:type="pct"/>
                  <w:vMerge w:val="continue"/>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p>
              </w:tc>
              <w:tc>
                <w:tcPr>
                  <w:tcW w:w="949" w:type="pct"/>
                  <w:tcBorders>
                    <w:top w:val="single" w:color="auto" w:sz="8" w:space="0"/>
                    <w:left w:val="single" w:color="auto" w:sz="8" w:space="0"/>
                    <w:bottom w:val="single" w:color="auto" w:sz="8" w:space="0"/>
                    <w:right w:val="single" w:color="auto" w:sz="8" w:space="0"/>
                  </w:tcBorders>
                  <w:noWrap w:val="0"/>
                  <w:vAlign w:val="center"/>
                </w:tcPr>
                <w:p>
                  <w:pPr>
                    <w:jc w:val="center"/>
                    <w:rPr>
                      <w:color w:val="auto"/>
                      <w:u w:val="none"/>
                    </w:rPr>
                  </w:pPr>
                  <w:r>
                    <w:rPr>
                      <w:color w:val="auto"/>
                      <w:u w:val="none"/>
                    </w:rPr>
                    <w:t>排放量（t/a）</w:t>
                  </w:r>
                </w:p>
              </w:tc>
              <w:tc>
                <w:tcPr>
                  <w:tcW w:w="719"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0.163</w:t>
                  </w:r>
                </w:p>
              </w:tc>
              <w:tc>
                <w:tcPr>
                  <w:tcW w:w="832"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0.064</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0.077</w:t>
                  </w:r>
                </w:p>
              </w:tc>
              <w:tc>
                <w:tcPr>
                  <w:tcW w:w="833" w:type="pc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color w:val="auto"/>
                      <w:u w:val="none"/>
                      <w:lang w:val="en-US" w:eastAsia="zh-CN"/>
                    </w:rPr>
                  </w:pPr>
                  <w:r>
                    <w:rPr>
                      <w:rFonts w:hint="eastAsia"/>
                      <w:color w:val="auto"/>
                      <w:u w:val="none"/>
                      <w:lang w:val="en-US" w:eastAsia="zh-CN"/>
                    </w:rPr>
                    <w:t>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82" w:type="pct"/>
                  <w:gridSpan w:val="2"/>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r>
                    <w:rPr>
                      <w:bCs w:val="0"/>
                      <w:color w:val="auto"/>
                      <w:sz w:val="21"/>
                      <w:szCs w:val="21"/>
                      <w:u w:val="none"/>
                    </w:rPr>
                    <w:t>《</w:t>
                  </w:r>
                  <w:r>
                    <w:rPr>
                      <w:rFonts w:hint="eastAsia"/>
                      <w:bCs w:val="0"/>
                      <w:color w:val="auto"/>
                      <w:sz w:val="21"/>
                      <w:szCs w:val="21"/>
                      <w:u w:val="none"/>
                      <w:lang w:eastAsia="zh-CN"/>
                    </w:rPr>
                    <w:t>污水综合排放标准</w:t>
                  </w:r>
                  <w:r>
                    <w:rPr>
                      <w:bCs w:val="0"/>
                      <w:color w:val="auto"/>
                      <w:sz w:val="21"/>
                      <w:szCs w:val="21"/>
                      <w:u w:val="none"/>
                    </w:rPr>
                    <w:t>》（GB89</w:t>
                  </w:r>
                  <w:r>
                    <w:rPr>
                      <w:rFonts w:hint="eastAsia"/>
                      <w:bCs w:val="0"/>
                      <w:color w:val="auto"/>
                      <w:sz w:val="21"/>
                      <w:szCs w:val="21"/>
                      <w:u w:val="none"/>
                      <w:lang w:val="en-US" w:eastAsia="zh-CN"/>
                    </w:rPr>
                    <w:t>7</w:t>
                  </w:r>
                  <w:r>
                    <w:rPr>
                      <w:bCs w:val="0"/>
                      <w:color w:val="auto"/>
                      <w:sz w:val="21"/>
                      <w:szCs w:val="21"/>
                      <w:u w:val="none"/>
                    </w:rPr>
                    <w:t>8-</w:t>
                  </w:r>
                  <w:r>
                    <w:rPr>
                      <w:rFonts w:hint="eastAsia"/>
                      <w:bCs w:val="0"/>
                      <w:color w:val="auto"/>
                      <w:sz w:val="21"/>
                      <w:szCs w:val="21"/>
                      <w:u w:val="none"/>
                      <w:lang w:val="en-US" w:eastAsia="zh-CN"/>
                    </w:rPr>
                    <w:t>1996</w:t>
                  </w:r>
                  <w:r>
                    <w:rPr>
                      <w:bCs w:val="0"/>
                      <w:color w:val="auto"/>
                      <w:sz w:val="21"/>
                      <w:szCs w:val="21"/>
                      <w:u w:val="none"/>
                    </w:rPr>
                    <w:t>）中表</w:t>
                  </w:r>
                  <w:r>
                    <w:rPr>
                      <w:rFonts w:hint="eastAsia"/>
                      <w:bCs w:val="0"/>
                      <w:color w:val="auto"/>
                      <w:sz w:val="21"/>
                      <w:szCs w:val="21"/>
                      <w:u w:val="none"/>
                      <w:lang w:val="en-US" w:eastAsia="zh-CN"/>
                    </w:rPr>
                    <w:t>4</w:t>
                  </w:r>
                  <w:r>
                    <w:rPr>
                      <w:rFonts w:hint="eastAsia"/>
                      <w:bCs w:val="0"/>
                      <w:color w:val="auto"/>
                      <w:sz w:val="21"/>
                      <w:szCs w:val="21"/>
                      <w:u w:val="none"/>
                      <w:lang w:eastAsia="zh-CN"/>
                    </w:rPr>
                    <w:t>三级</w:t>
                  </w:r>
                  <w:r>
                    <w:rPr>
                      <w:bCs w:val="0"/>
                      <w:color w:val="auto"/>
                      <w:sz w:val="21"/>
                      <w:szCs w:val="21"/>
                      <w:u w:val="none"/>
                    </w:rPr>
                    <w:t>标准</w:t>
                  </w:r>
                </w:p>
              </w:tc>
              <w:tc>
                <w:tcPr>
                  <w:tcW w:w="719" w:type="pct"/>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eastAsia="宋体"/>
                      <w:color w:val="auto"/>
                      <w:u w:val="none"/>
                      <w:lang w:val="en-US" w:eastAsia="zh-CN"/>
                    </w:rPr>
                  </w:pPr>
                  <w:r>
                    <w:rPr>
                      <w:rFonts w:hint="eastAsia"/>
                      <w:color w:val="auto"/>
                      <w:sz w:val="21"/>
                      <w:szCs w:val="21"/>
                      <w:u w:val="none"/>
                      <w:lang w:val="en-US" w:eastAsia="zh-CN"/>
                    </w:rPr>
                    <w:t>300</w:t>
                  </w:r>
                </w:p>
              </w:tc>
              <w:tc>
                <w:tcPr>
                  <w:tcW w:w="832" w:type="pct"/>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color w:val="auto"/>
                      <w:u w:val="none"/>
                      <w:lang w:val="en-US"/>
                    </w:rPr>
                  </w:pPr>
                  <w:r>
                    <w:rPr>
                      <w:rFonts w:hint="eastAsia"/>
                      <w:color w:val="auto"/>
                      <w:sz w:val="21"/>
                      <w:szCs w:val="21"/>
                      <w:u w:val="none"/>
                      <w:lang w:val="en-US" w:eastAsia="zh-CN"/>
                    </w:rPr>
                    <w:t>500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color w:val="auto"/>
                      <w:u w:val="none"/>
                      <w:lang w:val="en-US"/>
                    </w:rPr>
                  </w:pPr>
                  <w:r>
                    <w:rPr>
                      <w:rFonts w:hint="eastAsia"/>
                      <w:color w:val="auto"/>
                      <w:sz w:val="21"/>
                      <w:szCs w:val="21"/>
                      <w:u w:val="none"/>
                      <w:lang w:val="en-US" w:eastAsia="zh-CN"/>
                    </w:rPr>
                    <w:t>400</w:t>
                  </w:r>
                </w:p>
              </w:tc>
              <w:tc>
                <w:tcPr>
                  <w:tcW w:w="833" w:type="pct"/>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left="0" w:leftChars="0" w:firstLine="0" w:firstLineChars="0"/>
                    <w:jc w:val="center"/>
                    <w:rPr>
                      <w:rFonts w:hint="eastAsia" w:eastAsia="宋体"/>
                      <w:color w:val="auto"/>
                      <w:u w:val="none"/>
                      <w:lang w:val="en-US" w:eastAsia="zh-CN"/>
                    </w:rPr>
                  </w:pPr>
                  <w:r>
                    <w:rPr>
                      <w:rFonts w:hint="eastAsia"/>
                      <w:color w:val="auto"/>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82" w:type="pct"/>
                  <w:gridSpan w:val="2"/>
                  <w:tcBorders>
                    <w:top w:val="single" w:color="auto" w:sz="8" w:space="0"/>
                    <w:left w:val="single" w:color="auto" w:sz="4" w:space="0"/>
                    <w:bottom w:val="single" w:color="auto" w:sz="8" w:space="0"/>
                    <w:right w:val="single" w:color="auto" w:sz="8" w:space="0"/>
                  </w:tcBorders>
                  <w:noWrap w:val="0"/>
                  <w:vAlign w:val="center"/>
                </w:tcPr>
                <w:p>
                  <w:pPr>
                    <w:jc w:val="center"/>
                    <w:rPr>
                      <w:color w:val="auto"/>
                      <w:u w:val="none"/>
                    </w:rPr>
                  </w:pPr>
                  <w:r>
                    <w:rPr>
                      <w:color w:val="auto"/>
                      <w:u w:val="none"/>
                    </w:rPr>
                    <w:t>本项目执行标准</w:t>
                  </w:r>
                </w:p>
              </w:tc>
              <w:tc>
                <w:tcPr>
                  <w:tcW w:w="1096" w:type="dxa"/>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eastAsia="宋体"/>
                      <w:color w:val="auto"/>
                      <w:u w:val="none"/>
                      <w:lang w:val="en-US" w:eastAsia="zh-CN"/>
                    </w:rPr>
                  </w:pPr>
                  <w:r>
                    <w:rPr>
                      <w:rFonts w:hint="eastAsia"/>
                      <w:color w:val="auto"/>
                      <w:sz w:val="21"/>
                      <w:szCs w:val="21"/>
                      <w:u w:val="none"/>
                      <w:lang w:val="en-US" w:eastAsia="zh-CN"/>
                    </w:rPr>
                    <w:t>300</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eastAsia="宋体"/>
                      <w:color w:val="auto"/>
                      <w:u w:val="none"/>
                      <w:lang w:val="en-US" w:eastAsia="zh-CN"/>
                    </w:rPr>
                  </w:pPr>
                  <w:r>
                    <w:rPr>
                      <w:rFonts w:hint="eastAsia"/>
                      <w:color w:val="auto"/>
                      <w:sz w:val="21"/>
                      <w:szCs w:val="21"/>
                      <w:u w:val="none"/>
                      <w:lang w:val="en-US" w:eastAsia="zh-CN"/>
                    </w:rPr>
                    <w:t>500</w:t>
                  </w:r>
                </w:p>
              </w:tc>
              <w:tc>
                <w:tcPr>
                  <w:tcW w:w="1269" w:type="dxa"/>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firstLine="0" w:firstLineChars="0"/>
                    <w:jc w:val="center"/>
                    <w:rPr>
                      <w:rFonts w:hint="default" w:eastAsia="宋体"/>
                      <w:color w:val="auto"/>
                      <w:u w:val="none"/>
                      <w:lang w:val="en-US" w:eastAsia="zh-CN"/>
                    </w:rPr>
                  </w:pPr>
                  <w:r>
                    <w:rPr>
                      <w:rFonts w:hint="eastAsia"/>
                      <w:color w:val="auto"/>
                      <w:sz w:val="21"/>
                      <w:szCs w:val="21"/>
                      <w:u w:val="none"/>
                      <w:lang w:val="en-US" w:eastAsia="zh-CN"/>
                    </w:rPr>
                    <w:t>400</w:t>
                  </w:r>
                </w:p>
              </w:tc>
              <w:tc>
                <w:tcPr>
                  <w:tcW w:w="1269" w:type="dxa"/>
                  <w:tcBorders>
                    <w:top w:val="single" w:color="auto" w:sz="8" w:space="0"/>
                    <w:left w:val="single" w:color="auto" w:sz="8" w:space="0"/>
                    <w:bottom w:val="single" w:color="auto" w:sz="8" w:space="0"/>
                    <w:right w:val="single" w:color="auto" w:sz="8" w:space="0"/>
                  </w:tcBorders>
                  <w:noWrap w:val="0"/>
                  <w:vAlign w:val="center"/>
                </w:tcPr>
                <w:p>
                  <w:pPr>
                    <w:pStyle w:val="111"/>
                    <w:spacing w:line="240" w:lineRule="auto"/>
                    <w:ind w:left="0" w:leftChars="0" w:firstLine="0" w:firstLineChars="0"/>
                    <w:jc w:val="center"/>
                    <w:rPr>
                      <w:rFonts w:hint="eastAsia" w:eastAsia="宋体"/>
                      <w:color w:val="auto"/>
                      <w:u w:val="none"/>
                      <w:lang w:eastAsia="zh-CN"/>
                    </w:rPr>
                  </w:pPr>
                  <w:r>
                    <w:rPr>
                      <w:rFonts w:hint="eastAsia"/>
                      <w:color w:val="auto"/>
                      <w:u w:val="none"/>
                      <w:lang w:val="en-US" w:eastAsia="zh-CN"/>
                    </w:rPr>
                    <w:t>/</w:t>
                  </w:r>
                </w:p>
              </w:tc>
            </w:tr>
          </w:tbl>
          <w:p>
            <w:pPr>
              <w:spacing w:line="360" w:lineRule="auto"/>
              <w:ind w:firstLine="480" w:firstLineChars="200"/>
              <w:rPr>
                <w:rFonts w:hint="eastAsia" w:ascii="Times New Roman" w:hAnsi="Times New Roman" w:eastAsia="宋体" w:cs="Times New Roman"/>
                <w:color w:val="auto"/>
                <w:sz w:val="24"/>
                <w:szCs w:val="24"/>
                <w:u w:val="none"/>
                <w:lang w:eastAsia="zh-CN"/>
              </w:rPr>
            </w:pPr>
            <w:r>
              <w:rPr>
                <w:rFonts w:ascii="Times New Roman" w:hAnsi="Times New Roman" w:cs="Times New Roman"/>
                <w:color w:val="auto"/>
                <w:sz w:val="24"/>
                <w:szCs w:val="24"/>
                <w:u w:val="none"/>
              </w:rPr>
              <w:t>根据</w:t>
            </w:r>
            <w:r>
              <w:rPr>
                <w:rFonts w:hint="eastAsia" w:cs="Times New Roman"/>
                <w:color w:val="auto"/>
                <w:sz w:val="24"/>
                <w:szCs w:val="24"/>
                <w:u w:val="none"/>
                <w:lang w:eastAsia="zh-CN"/>
              </w:rPr>
              <w:t>上述分析</w:t>
            </w:r>
            <w:r>
              <w:rPr>
                <w:rFonts w:ascii="Times New Roman" w:hAnsi="Times New Roman" w:cs="Times New Roman"/>
                <w:color w:val="auto"/>
                <w:sz w:val="24"/>
                <w:szCs w:val="24"/>
                <w:u w:val="none"/>
              </w:rPr>
              <w:t>可知，本项目生活污水排放量为</w:t>
            </w:r>
            <w:r>
              <w:rPr>
                <w:rFonts w:hint="eastAsia" w:ascii="Times New Roman" w:hAnsi="Times New Roman" w:cs="Times New Roman"/>
                <w:color w:val="auto"/>
                <w:sz w:val="24"/>
                <w:szCs w:val="24"/>
                <w:u w:val="none"/>
                <w:lang w:val="en-US" w:eastAsia="zh-CN"/>
              </w:rPr>
              <w:t>768</w:t>
            </w:r>
            <w:r>
              <w:rPr>
                <w:rFonts w:ascii="Times New Roman" w:hAnsi="Times New Roman" w:cs="Times New Roman"/>
                <w:color w:val="auto"/>
                <w:sz w:val="24"/>
                <w:szCs w:val="24"/>
                <w:u w:val="none"/>
              </w:rPr>
              <w:t>m</w:t>
            </w:r>
            <w:r>
              <w:rPr>
                <w:rFonts w:ascii="Times New Roman" w:hAnsi="Times New Roman" w:cs="Times New Roman"/>
                <w:color w:val="auto"/>
                <w:sz w:val="24"/>
                <w:szCs w:val="24"/>
                <w:u w:val="none"/>
                <w:vertAlign w:val="superscript"/>
              </w:rPr>
              <w:t>3</w:t>
            </w:r>
            <w:r>
              <w:rPr>
                <w:rFonts w:ascii="Times New Roman" w:hAnsi="Times New Roman" w:cs="Times New Roman"/>
                <w:color w:val="auto"/>
                <w:sz w:val="24"/>
                <w:szCs w:val="24"/>
                <w:u w:val="none"/>
              </w:rPr>
              <w:t>/a。</w:t>
            </w:r>
            <w:r>
              <w:rPr>
                <w:rFonts w:hint="eastAsia" w:cs="Times New Roman"/>
                <w:color w:val="auto"/>
                <w:sz w:val="24"/>
                <w:szCs w:val="24"/>
                <w:u w:val="none"/>
                <w:lang w:eastAsia="zh-CN"/>
              </w:rPr>
              <w:t>经化粪池处理后的排放浓度能够满足</w:t>
            </w:r>
            <w:r>
              <w:rPr>
                <w:rFonts w:ascii="Times New Roman" w:hAnsi="Times New Roman" w:cs="Times New Roman"/>
                <w:color w:val="auto"/>
                <w:sz w:val="24"/>
                <w:szCs w:val="24"/>
                <w:u w:val="none"/>
              </w:rPr>
              <w:t>《</w:t>
            </w:r>
            <w:r>
              <w:rPr>
                <w:rFonts w:hint="eastAsia" w:ascii="Times New Roman" w:hAnsi="Times New Roman" w:cs="Times New Roman"/>
                <w:color w:val="auto"/>
                <w:sz w:val="24"/>
                <w:szCs w:val="24"/>
                <w:u w:val="none"/>
                <w:lang w:eastAsia="zh-CN"/>
              </w:rPr>
              <w:t>污水综合排放标准</w:t>
            </w:r>
            <w:r>
              <w:rPr>
                <w:rFonts w:ascii="Times New Roman" w:hAnsi="Times New Roman" w:cs="Times New Roman"/>
                <w:color w:val="auto"/>
                <w:sz w:val="24"/>
                <w:szCs w:val="24"/>
                <w:u w:val="none"/>
              </w:rPr>
              <w:t>》（GB89</w:t>
            </w:r>
            <w:r>
              <w:rPr>
                <w:rFonts w:hint="eastAsia" w:ascii="Times New Roman" w:hAnsi="Times New Roman" w:cs="Times New Roman"/>
                <w:color w:val="auto"/>
                <w:sz w:val="24"/>
                <w:szCs w:val="24"/>
                <w:u w:val="none"/>
                <w:lang w:val="en-US" w:eastAsia="zh-CN"/>
              </w:rPr>
              <w:t>7</w:t>
            </w:r>
            <w:r>
              <w:rPr>
                <w:rFonts w:ascii="Times New Roman" w:hAnsi="Times New Roman" w:cs="Times New Roman"/>
                <w:color w:val="auto"/>
                <w:sz w:val="24"/>
                <w:szCs w:val="24"/>
                <w:u w:val="none"/>
              </w:rPr>
              <w:t>8-</w:t>
            </w:r>
            <w:r>
              <w:rPr>
                <w:rFonts w:hint="eastAsia" w:ascii="Times New Roman" w:hAnsi="Times New Roman" w:cs="Times New Roman"/>
                <w:color w:val="auto"/>
                <w:sz w:val="24"/>
                <w:szCs w:val="24"/>
                <w:u w:val="none"/>
                <w:lang w:val="en-US" w:eastAsia="zh-CN"/>
              </w:rPr>
              <w:t>1996</w:t>
            </w:r>
            <w:r>
              <w:rPr>
                <w:rFonts w:ascii="Times New Roman" w:hAnsi="Times New Roman" w:cs="Times New Roman"/>
                <w:color w:val="auto"/>
                <w:sz w:val="24"/>
                <w:szCs w:val="24"/>
                <w:u w:val="none"/>
              </w:rPr>
              <w:t>）中表</w:t>
            </w:r>
            <w:r>
              <w:rPr>
                <w:rFonts w:hint="eastAsia" w:ascii="Times New Roman" w:hAnsi="Times New Roman" w:cs="Times New Roman"/>
                <w:color w:val="auto"/>
                <w:sz w:val="24"/>
                <w:szCs w:val="24"/>
                <w:u w:val="none"/>
                <w:lang w:val="en-US" w:eastAsia="zh-CN"/>
              </w:rPr>
              <w:t>4</w:t>
            </w:r>
            <w:r>
              <w:rPr>
                <w:rFonts w:hint="eastAsia" w:ascii="Times New Roman" w:hAnsi="Times New Roman" w:cs="Times New Roman"/>
                <w:color w:val="auto"/>
                <w:sz w:val="24"/>
                <w:szCs w:val="24"/>
                <w:u w:val="none"/>
                <w:lang w:eastAsia="zh-CN"/>
              </w:rPr>
              <w:t>三级</w:t>
            </w:r>
            <w:r>
              <w:rPr>
                <w:rFonts w:ascii="Times New Roman" w:hAnsi="Times New Roman" w:cs="Times New Roman"/>
                <w:color w:val="auto"/>
                <w:sz w:val="24"/>
                <w:szCs w:val="24"/>
                <w:u w:val="none"/>
              </w:rPr>
              <w:t>标准；项目营运期间产生的混合废水</w:t>
            </w:r>
            <w:r>
              <w:rPr>
                <w:rFonts w:hint="eastAsia" w:ascii="Times New Roman" w:hAnsi="Times New Roman" w:cs="Times New Roman"/>
                <w:color w:val="auto"/>
                <w:sz w:val="24"/>
                <w:szCs w:val="24"/>
                <w:u w:val="none"/>
                <w:lang w:eastAsia="zh-CN"/>
              </w:rPr>
              <w:t>先经化粪池后再通过管网进入创新创业园生活污水处理</w:t>
            </w:r>
            <w:r>
              <w:rPr>
                <w:rFonts w:hint="eastAsia" w:cs="Times New Roman"/>
                <w:color w:val="auto"/>
                <w:sz w:val="24"/>
                <w:szCs w:val="24"/>
                <w:u w:val="none"/>
                <w:lang w:eastAsia="zh-CN"/>
              </w:rPr>
              <w:t>站</w:t>
            </w:r>
            <w:r>
              <w:rPr>
                <w:rFonts w:hint="eastAsia" w:ascii="Times New Roman" w:hAnsi="Times New Roman" w:cs="Times New Roman"/>
                <w:color w:val="auto"/>
                <w:sz w:val="24"/>
                <w:szCs w:val="24"/>
                <w:u w:val="none"/>
                <w:lang w:eastAsia="zh-CN"/>
              </w:rPr>
              <w:t>。</w:t>
            </w:r>
          </w:p>
          <w:p>
            <w:pPr>
              <w:keepNext w:val="0"/>
              <w:keepLines w:val="0"/>
              <w:pageBreakBefore w:val="0"/>
              <w:widowControl w:val="0"/>
              <w:tabs>
                <w:tab w:val="left" w:pos="809"/>
              </w:tabs>
              <w:kinsoku/>
              <w:wordWrap/>
              <w:overflowPunct/>
              <w:topLinePunct w:val="0"/>
              <w:autoSpaceDE/>
              <w:autoSpaceDN/>
              <w:bidi w:val="0"/>
              <w:spacing w:line="360" w:lineRule="auto"/>
              <w:ind w:firstLine="420" w:firstLineChars="200"/>
              <w:textAlignment w:val="auto"/>
              <w:rPr>
                <w:rFonts w:hint="default"/>
                <w:lang w:val="en-US" w:eastAsia="zh-CN"/>
              </w:rPr>
            </w:pPr>
            <w:r>
              <w:rPr>
                <w:rFonts w:hint="eastAsia"/>
                <w:lang w:val="en-US" w:eastAsia="zh-CN"/>
              </w:rPr>
              <w:tab/>
            </w:r>
            <w:r>
              <w:rPr>
                <w:rFonts w:hint="eastAsia"/>
                <w:lang w:val="en-US" w:eastAsia="zh-CN"/>
              </w:rPr>
              <w:t>3）噪声</w:t>
            </w:r>
          </w:p>
          <w:p>
            <w:pPr>
              <w:pStyle w:val="2"/>
              <w:spacing w:before="0" w:after="0" w:line="240" w:lineRule="auto"/>
              <w:jc w:val="center"/>
              <w:rPr>
                <w:rFonts w:hint="default"/>
                <w:color w:val="auto"/>
              </w:rPr>
            </w:pPr>
            <w:r>
              <w:rPr>
                <w:rFonts w:hint="default"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eastAsia="zh-CN"/>
              </w:rPr>
              <w:t>2-</w:t>
            </w:r>
            <w:r>
              <w:rPr>
                <w:rFonts w:hint="eastAsia" w:cs="Times New Roman"/>
                <w:b/>
                <w:bCs/>
                <w:color w:val="auto"/>
                <w:sz w:val="21"/>
                <w:szCs w:val="21"/>
                <w:lang w:val="en-US" w:eastAsia="zh-CN"/>
              </w:rPr>
              <w:t>10</w:t>
            </w:r>
            <w:r>
              <w:rPr>
                <w:rFonts w:hint="default" w:ascii="Times New Roman" w:hAnsi="Times New Roman" w:cs="Times New Roman"/>
                <w:b/>
                <w:bCs/>
                <w:color w:val="auto"/>
                <w:sz w:val="21"/>
                <w:szCs w:val="21"/>
              </w:rPr>
              <w:t xml:space="preserve"> </w:t>
            </w:r>
            <w:r>
              <w:rPr>
                <w:rFonts w:hint="eastAsia" w:cs="Times New Roman"/>
                <w:b/>
                <w:bCs/>
                <w:color w:val="auto"/>
                <w:sz w:val="21"/>
                <w:szCs w:val="21"/>
                <w:lang w:eastAsia="zh-CN"/>
              </w:rPr>
              <w:t>原有项目</w:t>
            </w:r>
            <w:r>
              <w:rPr>
                <w:rFonts w:hint="default" w:ascii="Times New Roman" w:hAnsi="Times New Roman" w:cs="Times New Roman"/>
                <w:b/>
                <w:bCs/>
                <w:color w:val="auto"/>
                <w:sz w:val="21"/>
                <w:szCs w:val="21"/>
              </w:rPr>
              <w:t>噪声产排情况</w:t>
            </w:r>
          </w:p>
          <w:tbl>
            <w:tblPr>
              <w:tblStyle w:val="29"/>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05"/>
              <w:gridCol w:w="985"/>
              <w:gridCol w:w="864"/>
              <w:gridCol w:w="985"/>
              <w:gridCol w:w="80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4"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噪声源</w:t>
                  </w:r>
                </w:p>
              </w:tc>
              <w:tc>
                <w:tcPr>
                  <w:tcW w:w="1069"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编号</w:t>
                  </w:r>
                </w:p>
              </w:tc>
              <w:tc>
                <w:tcPr>
                  <w:tcW w:w="953"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产生强度</w:t>
                  </w:r>
                  <w:r>
                    <w:rPr>
                      <w:rFonts w:hint="default" w:ascii="Times New Roman" w:hAnsi="Times New Roman" w:cs="Times New Roman"/>
                      <w:color w:val="auto"/>
                      <w:sz w:val="21"/>
                      <w:szCs w:val="21"/>
                    </w:rPr>
                    <w:t>dB（A）</w:t>
                  </w:r>
                </w:p>
              </w:tc>
              <w:tc>
                <w:tcPr>
                  <w:tcW w:w="836"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降噪措施</w:t>
                  </w:r>
                </w:p>
              </w:tc>
              <w:tc>
                <w:tcPr>
                  <w:tcW w:w="953"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排放强度</w:t>
                  </w:r>
                  <w:r>
                    <w:rPr>
                      <w:rFonts w:hint="default" w:ascii="Times New Roman" w:hAnsi="Times New Roman" w:cs="Times New Roman"/>
                      <w:color w:val="auto"/>
                      <w:sz w:val="21"/>
                      <w:szCs w:val="21"/>
                    </w:rPr>
                    <w:t>dB（A）</w:t>
                  </w:r>
                </w:p>
              </w:tc>
              <w:tc>
                <w:tcPr>
                  <w:tcW w:w="783"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持续时间</w:t>
                  </w:r>
                </w:p>
              </w:tc>
              <w:tc>
                <w:tcPr>
                  <w:tcW w:w="1741" w:type="dxa"/>
                  <w:vAlign w:val="center"/>
                </w:tcPr>
                <w:p>
                  <w:pPr>
                    <w:pStyle w:val="2"/>
                    <w:spacing w:before="0" w:after="0" w:line="240" w:lineRule="auto"/>
                    <w:ind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高速分纸机</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w:t>
                  </w:r>
                  <w:r>
                    <w:rPr>
                      <w:rFonts w:hint="eastAsia" w:cs="Times New Roman"/>
                      <w:color w:val="auto"/>
                      <w:sz w:val="21"/>
                      <w:szCs w:val="21"/>
                      <w:lang w:val="en-US" w:eastAsia="zh-CN"/>
                    </w:rPr>
                    <w:t>0</w:t>
                  </w:r>
                  <w:r>
                    <w:rPr>
                      <w:rFonts w:hint="default" w:ascii="Times New Roman" w:hAnsi="Times New Roman" w:cs="Times New Roman"/>
                      <w:color w:val="auto"/>
                      <w:sz w:val="21"/>
                      <w:szCs w:val="21"/>
                    </w:rPr>
                    <w:t>1</w:t>
                  </w:r>
                </w:p>
              </w:tc>
              <w:tc>
                <w:tcPr>
                  <w:tcW w:w="9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 w:val="21"/>
                      <w:szCs w:val="21"/>
                      <w:lang w:val="en-US"/>
                    </w:rPr>
                  </w:pPr>
                  <w:r>
                    <w:rPr>
                      <w:rFonts w:hint="eastAsia" w:cs="Times New Roman"/>
                      <w:color w:val="auto"/>
                      <w:u w:val="none"/>
                      <w:lang w:val="en-US" w:eastAsia="zh-CN"/>
                    </w:rPr>
                    <w:t>75</w:t>
                  </w:r>
                </w:p>
              </w:tc>
              <w:tc>
                <w:tcPr>
                  <w:tcW w:w="836" w:type="dxa"/>
                  <w:vMerge w:val="restart"/>
                  <w:vAlign w:val="center"/>
                </w:tcPr>
                <w:p>
                  <w:pPr>
                    <w:pStyle w:val="2"/>
                    <w:spacing w:before="0" w:after="0" w:line="240" w:lineRule="auto"/>
                    <w:ind w:right="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加装减震垫片、厂房隔声、强化设备保养、优化设备布置，</w:t>
                  </w:r>
                  <w:r>
                    <w:rPr>
                      <w:rFonts w:hint="eastAsia" w:cs="Times New Roman"/>
                      <w:color w:val="auto"/>
                      <w:sz w:val="21"/>
                      <w:szCs w:val="21"/>
                      <w:lang w:eastAsia="zh-CN"/>
                    </w:rPr>
                    <w:t>选择低噪声设备</w:t>
                  </w: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restart"/>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《工业企业厂界环境噪声排放标准》（GB12348-2008）表1中3类标准</w:t>
                  </w:r>
                  <w:r>
                    <w:rPr>
                      <w:rFonts w:hint="eastAsia" w:cs="Times New Roman"/>
                      <w:color w:val="auto"/>
                      <w:sz w:val="21"/>
                      <w:szCs w:val="21"/>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纸管</w:t>
                  </w:r>
                  <w:r>
                    <w:rPr>
                      <w:rFonts w:hint="default" w:ascii="Times New Roman" w:hAnsi="Times New Roman" w:cs="Times New Roman"/>
                      <w:b w:val="0"/>
                      <w:bCs w:val="0"/>
                      <w:kern w:val="0"/>
                      <w:sz w:val="21"/>
                      <w:szCs w:val="21"/>
                      <w:lang w:val="en-US" w:eastAsia="zh-CN"/>
                    </w:rPr>
                    <w:t>卷管</w:t>
                  </w:r>
                  <w:r>
                    <w:rPr>
                      <w:rFonts w:hint="default" w:ascii="Times New Roman" w:hAnsi="Times New Roman" w:cs="Times New Roman"/>
                      <w:b w:val="0"/>
                      <w:bCs w:val="0"/>
                      <w:kern w:val="0"/>
                      <w:sz w:val="21"/>
                      <w:szCs w:val="21"/>
                      <w:lang w:val="zh-CN"/>
                    </w:rPr>
                    <w:t>机（DTY）</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002</w:t>
                  </w:r>
                </w:p>
              </w:tc>
              <w:tc>
                <w:tcPr>
                  <w:tcW w:w="9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DTY</w:t>
                  </w:r>
                  <w:r>
                    <w:rPr>
                      <w:rFonts w:hint="default" w:ascii="Times New Roman" w:hAnsi="Times New Roman" w:cs="Times New Roman"/>
                      <w:b w:val="0"/>
                      <w:bCs w:val="0"/>
                      <w:kern w:val="0"/>
                      <w:sz w:val="21"/>
                      <w:szCs w:val="21"/>
                      <w:lang w:val="en-US" w:eastAsia="zh-CN"/>
                    </w:rPr>
                    <w:t>磨头</w:t>
                  </w:r>
                  <w:r>
                    <w:rPr>
                      <w:rFonts w:hint="default" w:ascii="Times New Roman" w:hAnsi="Times New Roman" w:cs="Times New Roman"/>
                      <w:b w:val="0"/>
                      <w:bCs w:val="0"/>
                      <w:kern w:val="0"/>
                      <w:sz w:val="21"/>
                      <w:szCs w:val="21"/>
                      <w:lang w:val="zh-CN"/>
                    </w:rPr>
                    <w:t>生产线</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004</w:t>
                  </w:r>
                </w:p>
              </w:tc>
              <w:tc>
                <w:tcPr>
                  <w:tcW w:w="953" w:type="dxa"/>
                  <w:vAlign w:val="center"/>
                </w:tcPr>
                <w:p>
                  <w:pPr>
                    <w:jc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纸管</w:t>
                  </w:r>
                  <w:r>
                    <w:rPr>
                      <w:rFonts w:hint="default" w:ascii="Times New Roman" w:hAnsi="Times New Roman" w:cs="Times New Roman"/>
                      <w:b w:val="0"/>
                      <w:bCs w:val="0"/>
                      <w:kern w:val="0"/>
                      <w:sz w:val="21"/>
                      <w:szCs w:val="21"/>
                      <w:lang w:val="en-US" w:eastAsia="zh-CN"/>
                    </w:rPr>
                    <w:t>卷管</w:t>
                  </w:r>
                  <w:r>
                    <w:rPr>
                      <w:rFonts w:hint="default" w:ascii="Times New Roman" w:hAnsi="Times New Roman" w:cs="Times New Roman"/>
                      <w:b w:val="0"/>
                      <w:bCs w:val="0"/>
                      <w:kern w:val="0"/>
                      <w:sz w:val="21"/>
                      <w:szCs w:val="21"/>
                      <w:lang w:val="zh-CN"/>
                    </w:rPr>
                    <w:t>机（POY）</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005</w:t>
                  </w:r>
                </w:p>
              </w:tc>
              <w:tc>
                <w:tcPr>
                  <w:tcW w:w="953" w:type="dxa"/>
                  <w:vAlign w:val="center"/>
                </w:tcPr>
                <w:p>
                  <w:pPr>
                    <w:jc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64" w:type="dxa"/>
                  <w:vAlign w:val="center"/>
                </w:tcPr>
                <w:p>
                  <w:pPr>
                    <w:autoSpaceDE w:val="0"/>
                    <w:autoSpaceDN w:val="0"/>
                    <w:adjustRightInd w:val="0"/>
                    <w:jc w:val="center"/>
                    <w:rPr>
                      <w:rFonts w:hint="default" w:ascii="Times New Roman" w:hAnsi="Times New Roman" w:cs="Times New Roman"/>
                      <w:b w:val="0"/>
                      <w:bCs w:val="0"/>
                      <w:kern w:val="0"/>
                      <w:sz w:val="21"/>
                      <w:szCs w:val="21"/>
                      <w:lang w:val="zh-CN"/>
                    </w:rPr>
                  </w:pPr>
                  <w:r>
                    <w:rPr>
                      <w:rFonts w:hint="eastAsia" w:ascii="Times New Roman" w:hAnsi="Times New Roman" w:cs="Times New Roman"/>
                      <w:b w:val="0"/>
                      <w:bCs w:val="0"/>
                      <w:kern w:val="0"/>
                      <w:sz w:val="21"/>
                      <w:szCs w:val="21"/>
                      <w:lang w:val="zh-CN"/>
                    </w:rPr>
                    <w:t>热风炉</w:t>
                  </w:r>
                </w:p>
              </w:tc>
              <w:tc>
                <w:tcPr>
                  <w:tcW w:w="1069" w:type="dxa"/>
                  <w:vAlign w:val="center"/>
                </w:tcPr>
                <w:p>
                  <w:pPr>
                    <w:pStyle w:val="2"/>
                    <w:spacing w:before="0" w:after="0" w:line="240" w:lineRule="auto"/>
                    <w:ind w:right="0"/>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w:t>
                  </w:r>
                  <w:r>
                    <w:rPr>
                      <w:rFonts w:hint="eastAsia" w:ascii="Times New Roman" w:hAnsi="Times New Roman" w:cs="Times New Roman"/>
                      <w:color w:val="auto"/>
                      <w:sz w:val="21"/>
                      <w:szCs w:val="21"/>
                      <w:lang w:val="en-US" w:eastAsia="zh-CN"/>
                    </w:rPr>
                    <w:t>6</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90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POY</w:t>
                  </w:r>
                  <w:r>
                    <w:rPr>
                      <w:rFonts w:hint="default" w:ascii="Times New Roman" w:hAnsi="Times New Roman" w:cs="Times New Roman"/>
                      <w:b w:val="0"/>
                      <w:bCs w:val="0"/>
                      <w:kern w:val="0"/>
                      <w:sz w:val="21"/>
                      <w:szCs w:val="21"/>
                      <w:lang w:val="en-US" w:eastAsia="zh-CN"/>
                    </w:rPr>
                    <w:t>磨头</w:t>
                  </w:r>
                  <w:r>
                    <w:rPr>
                      <w:rFonts w:hint="default" w:ascii="Times New Roman" w:hAnsi="Times New Roman" w:cs="Times New Roman"/>
                      <w:b w:val="0"/>
                      <w:bCs w:val="0"/>
                      <w:kern w:val="0"/>
                      <w:sz w:val="21"/>
                      <w:szCs w:val="21"/>
                      <w:lang w:val="zh-CN"/>
                    </w:rPr>
                    <w:t>生产线</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007</w:t>
                  </w:r>
                </w:p>
              </w:tc>
              <w:tc>
                <w:tcPr>
                  <w:tcW w:w="953" w:type="dxa"/>
                  <w:vAlign w:val="center"/>
                </w:tcPr>
                <w:p>
                  <w:pPr>
                    <w:jc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纸管</w:t>
                  </w:r>
                  <w:r>
                    <w:rPr>
                      <w:rFonts w:hint="default" w:ascii="Times New Roman" w:hAnsi="Times New Roman" w:cs="Times New Roman"/>
                      <w:b w:val="0"/>
                      <w:bCs w:val="0"/>
                      <w:kern w:val="0"/>
                      <w:sz w:val="21"/>
                      <w:szCs w:val="21"/>
                      <w:lang w:val="en-US" w:eastAsia="zh-CN"/>
                    </w:rPr>
                    <w:t>卷管</w:t>
                  </w:r>
                  <w:r>
                    <w:rPr>
                      <w:rFonts w:hint="default" w:ascii="Times New Roman" w:hAnsi="Times New Roman" w:cs="Times New Roman"/>
                      <w:b w:val="0"/>
                      <w:bCs w:val="0"/>
                      <w:kern w:val="0"/>
                      <w:sz w:val="21"/>
                      <w:szCs w:val="21"/>
                      <w:lang w:val="zh-CN"/>
                    </w:rPr>
                    <w:t>机（FDY）</w:t>
                  </w:r>
                </w:p>
              </w:tc>
              <w:tc>
                <w:tcPr>
                  <w:tcW w:w="1069"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MF</w:t>
                  </w:r>
                  <w:r>
                    <w:rPr>
                      <w:rFonts w:hint="default" w:ascii="Times New Roman" w:hAnsi="Times New Roman" w:cs="Times New Roman"/>
                      <w:color w:val="auto"/>
                      <w:sz w:val="21"/>
                      <w:szCs w:val="21"/>
                    </w:rPr>
                    <w:t>008</w:t>
                  </w:r>
                </w:p>
              </w:tc>
              <w:tc>
                <w:tcPr>
                  <w:tcW w:w="953" w:type="dxa"/>
                  <w:vAlign w:val="center"/>
                </w:tcPr>
                <w:p>
                  <w:pPr>
                    <w:jc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pStyle w:val="2"/>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Times New Roman" w:hAnsi="Times New Roman" w:cs="Times New Roman"/>
                      <w:b w:val="0"/>
                      <w:bCs w:val="0"/>
                      <w:kern w:val="0"/>
                      <w:sz w:val="21"/>
                      <w:szCs w:val="21"/>
                      <w:lang w:val="zh-CN"/>
                    </w:rPr>
                    <w:t>FDY</w:t>
                  </w:r>
                  <w:r>
                    <w:rPr>
                      <w:rFonts w:hint="default" w:ascii="Times New Roman" w:hAnsi="Times New Roman" w:cs="Times New Roman"/>
                      <w:b w:val="0"/>
                      <w:bCs w:val="0"/>
                      <w:kern w:val="0"/>
                      <w:sz w:val="21"/>
                      <w:szCs w:val="21"/>
                      <w:lang w:val="en-US" w:eastAsia="zh-CN"/>
                    </w:rPr>
                    <w:t>磨头</w:t>
                  </w:r>
                  <w:r>
                    <w:rPr>
                      <w:rFonts w:hint="default" w:ascii="Times New Roman" w:hAnsi="Times New Roman" w:cs="Times New Roman"/>
                      <w:b w:val="0"/>
                      <w:bCs w:val="0"/>
                      <w:kern w:val="0"/>
                      <w:sz w:val="21"/>
                      <w:szCs w:val="21"/>
                      <w:lang w:val="zh-CN"/>
                    </w:rPr>
                    <w:t>生产线</w:t>
                  </w:r>
                </w:p>
              </w:tc>
              <w:tc>
                <w:tcPr>
                  <w:tcW w:w="1069"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MF09</w:t>
                  </w:r>
                </w:p>
              </w:tc>
              <w:tc>
                <w:tcPr>
                  <w:tcW w:w="953" w:type="dxa"/>
                  <w:vAlign w:val="center"/>
                </w:tcPr>
                <w:p>
                  <w:pPr>
                    <w:jc w:val="center"/>
                    <w:rPr>
                      <w:rFonts w:hint="default" w:ascii="Times New Roman" w:hAnsi="Times New Roman" w:cs="Times New Roman"/>
                      <w:color w:val="auto"/>
                      <w:sz w:val="21"/>
                      <w:szCs w:val="21"/>
                      <w:lang w:val="en-US"/>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zh-CN"/>
                    </w:rPr>
                    <w:t>工业纸管</w:t>
                  </w:r>
                  <w:r>
                    <w:rPr>
                      <w:rFonts w:hint="default" w:ascii="Times New Roman" w:hAnsi="Times New Roman" w:cs="Times New Roman"/>
                      <w:b w:val="0"/>
                      <w:bCs w:val="0"/>
                      <w:kern w:val="0"/>
                      <w:sz w:val="21"/>
                      <w:szCs w:val="21"/>
                      <w:lang w:val="en-US" w:eastAsia="zh-CN"/>
                    </w:rPr>
                    <w:t>卷管</w:t>
                  </w:r>
                  <w:r>
                    <w:rPr>
                      <w:rFonts w:hint="default" w:ascii="Times New Roman" w:hAnsi="Times New Roman" w:cs="Times New Roman"/>
                      <w:b w:val="0"/>
                      <w:bCs w:val="0"/>
                      <w:kern w:val="0"/>
                      <w:sz w:val="21"/>
                      <w:szCs w:val="21"/>
                      <w:lang w:val="zh-CN"/>
                    </w:rPr>
                    <w:t>机</w:t>
                  </w:r>
                </w:p>
              </w:tc>
              <w:tc>
                <w:tcPr>
                  <w:tcW w:w="1069" w:type="dxa"/>
                  <w:vAlign w:val="center"/>
                </w:tcPr>
                <w:p>
                  <w:pPr>
                    <w:spacing w:before="0" w:after="0" w:line="240" w:lineRule="auto"/>
                    <w:ind w:right="0"/>
                    <w:jc w:val="center"/>
                    <w:rPr>
                      <w:rFonts w:hint="eastAsia" w:cs="Times New Roman"/>
                      <w:color w:val="auto"/>
                      <w:sz w:val="21"/>
                      <w:szCs w:val="21"/>
                      <w:lang w:val="en-US" w:eastAsia="zh-CN"/>
                    </w:rPr>
                  </w:pPr>
                  <w:r>
                    <w:rPr>
                      <w:rFonts w:hint="eastAsia" w:cs="Times New Roman"/>
                      <w:color w:val="auto"/>
                      <w:sz w:val="21"/>
                      <w:szCs w:val="21"/>
                      <w:lang w:val="en-US" w:eastAsia="zh-CN"/>
                    </w:rPr>
                    <w:t>MF010</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zh-CN"/>
                    </w:rPr>
                    <w:t>三轴精切机</w:t>
                  </w:r>
                </w:p>
              </w:tc>
              <w:tc>
                <w:tcPr>
                  <w:tcW w:w="1069" w:type="dxa"/>
                  <w:vAlign w:val="center"/>
                </w:tcPr>
                <w:p>
                  <w:pPr>
                    <w:spacing w:before="0" w:after="0" w:line="240" w:lineRule="auto"/>
                    <w:ind w:right="0"/>
                    <w:jc w:val="center"/>
                    <w:rPr>
                      <w:rFonts w:hint="eastAsia" w:cs="Times New Roman"/>
                      <w:color w:val="auto"/>
                      <w:sz w:val="21"/>
                      <w:szCs w:val="21"/>
                      <w:lang w:val="en-US" w:eastAsia="zh-CN"/>
                    </w:rPr>
                  </w:pPr>
                  <w:r>
                    <w:rPr>
                      <w:rFonts w:hint="eastAsia" w:cs="Times New Roman"/>
                      <w:color w:val="auto"/>
                      <w:sz w:val="21"/>
                      <w:szCs w:val="21"/>
                      <w:lang w:val="en-US" w:eastAsia="zh-CN"/>
                    </w:rPr>
                    <w:t>MF011</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en-US" w:eastAsia="zh-CN"/>
                    </w:rPr>
                    <w:t>抛光机</w:t>
                  </w:r>
                </w:p>
              </w:tc>
              <w:tc>
                <w:tcPr>
                  <w:tcW w:w="1069" w:type="dxa"/>
                  <w:vAlign w:val="center"/>
                </w:tcPr>
                <w:p>
                  <w:pPr>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MF012</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85</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70</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en-US" w:eastAsia="zh-CN"/>
                    </w:rPr>
                    <w:t>纸带磨边机</w:t>
                  </w:r>
                </w:p>
              </w:tc>
              <w:tc>
                <w:tcPr>
                  <w:tcW w:w="1069" w:type="dxa"/>
                  <w:vAlign w:val="center"/>
                </w:tcPr>
                <w:p>
                  <w:pPr>
                    <w:spacing w:before="0" w:after="0" w:line="240" w:lineRule="auto"/>
                    <w:ind w:right="0"/>
                    <w:jc w:val="center"/>
                    <w:rPr>
                      <w:rFonts w:hint="eastAsia" w:cs="Times New Roman"/>
                      <w:color w:val="auto"/>
                      <w:sz w:val="21"/>
                      <w:szCs w:val="21"/>
                      <w:lang w:val="en-US" w:eastAsia="zh-CN"/>
                    </w:rPr>
                  </w:pPr>
                  <w:r>
                    <w:rPr>
                      <w:rFonts w:hint="eastAsia" w:cs="Times New Roman"/>
                      <w:color w:val="auto"/>
                      <w:sz w:val="21"/>
                      <w:szCs w:val="21"/>
                      <w:lang w:val="en-US" w:eastAsia="zh-CN"/>
                    </w:rPr>
                    <w:t>MF013</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85</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70</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en-US" w:eastAsia="zh-CN"/>
                    </w:rPr>
                    <w:t>单轴精切机</w:t>
                  </w:r>
                </w:p>
              </w:tc>
              <w:tc>
                <w:tcPr>
                  <w:tcW w:w="1069" w:type="dxa"/>
                  <w:vAlign w:val="center"/>
                </w:tcPr>
                <w:p>
                  <w:pPr>
                    <w:spacing w:before="0" w:after="0" w:line="240" w:lineRule="auto"/>
                    <w:ind w:right="0"/>
                    <w:jc w:val="center"/>
                    <w:rPr>
                      <w:rFonts w:hint="eastAsia" w:cs="Times New Roman"/>
                      <w:color w:val="auto"/>
                      <w:sz w:val="21"/>
                      <w:szCs w:val="21"/>
                      <w:lang w:val="en-US" w:eastAsia="zh-CN"/>
                    </w:rPr>
                  </w:pPr>
                  <w:r>
                    <w:rPr>
                      <w:rFonts w:hint="eastAsia" w:cs="Times New Roman"/>
                      <w:color w:val="auto"/>
                      <w:sz w:val="21"/>
                      <w:szCs w:val="21"/>
                      <w:lang w:val="en-US" w:eastAsia="zh-CN"/>
                    </w:rPr>
                    <w:t>MF014</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80</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eastAsia" w:ascii="宋体" w:hAnsi="宋体" w:eastAsia="宋体" w:cs="宋体"/>
                      <w:color w:val="auto"/>
                      <w:lang w:val="en-US" w:eastAsia="zh-CN"/>
                    </w:rPr>
                  </w:pPr>
                  <w:r>
                    <w:rPr>
                      <w:rFonts w:hint="default" w:ascii="Times New Roman" w:hAnsi="Times New Roman" w:cs="Times New Roman"/>
                      <w:b w:val="0"/>
                      <w:bCs w:val="0"/>
                      <w:kern w:val="0"/>
                      <w:sz w:val="21"/>
                      <w:szCs w:val="21"/>
                      <w:lang w:val="en-US" w:eastAsia="zh-CN"/>
                    </w:rPr>
                    <w:t>工业管磨头机</w:t>
                  </w:r>
                </w:p>
              </w:tc>
              <w:tc>
                <w:tcPr>
                  <w:tcW w:w="1069"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MF015</w:t>
                  </w:r>
                </w:p>
              </w:tc>
              <w:tc>
                <w:tcPr>
                  <w:tcW w:w="953" w:type="dxa"/>
                  <w:vAlign w:val="center"/>
                </w:tcPr>
                <w:p>
                  <w:pPr>
                    <w:jc w:val="center"/>
                    <w:rPr>
                      <w:rFonts w:hint="default" w:cs="Times New Roman"/>
                      <w:color w:val="auto"/>
                      <w:u w:val="none"/>
                      <w:lang w:val="en-US" w:eastAsia="zh-CN"/>
                    </w:rPr>
                  </w:pPr>
                  <w:r>
                    <w:rPr>
                      <w:rFonts w:hint="eastAsia" w:cs="Times New Roman"/>
                      <w:color w:val="auto"/>
                      <w:u w:val="none"/>
                      <w:lang w:val="en-US" w:eastAsia="zh-CN"/>
                    </w:rPr>
                    <w:t>85</w:t>
                  </w:r>
                </w:p>
              </w:tc>
              <w:tc>
                <w:tcPr>
                  <w:tcW w:w="8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jc w:val="center"/>
                    <w:rPr>
                      <w:rFonts w:hint="default" w:cs="Times New Roman"/>
                      <w:color w:val="auto"/>
                      <w:sz w:val="21"/>
                      <w:szCs w:val="21"/>
                      <w:lang w:val="en-US" w:eastAsia="zh-CN"/>
                    </w:rPr>
                  </w:pPr>
                  <w:r>
                    <w:rPr>
                      <w:rFonts w:hint="eastAsia" w:cs="Times New Roman"/>
                      <w:color w:val="auto"/>
                      <w:sz w:val="21"/>
                      <w:szCs w:val="21"/>
                      <w:lang w:val="en-US" w:eastAsia="zh-CN"/>
                    </w:rPr>
                    <w:t>70</w:t>
                  </w:r>
                </w:p>
              </w:tc>
              <w:tc>
                <w:tcPr>
                  <w:tcW w:w="783" w:type="dxa"/>
                  <w:vAlign w:val="center"/>
                </w:tcPr>
                <w:p>
                  <w:pPr>
                    <w:spacing w:before="0" w:after="0" w:line="240" w:lineRule="auto"/>
                    <w:ind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autoSpaceDE w:val="0"/>
                    <w:autoSpaceDN w:val="0"/>
                    <w:adjustRightInd w:val="0"/>
                    <w:jc w:val="center"/>
                    <w:rPr>
                      <w:rFonts w:hint="default" w:ascii="Times New Roman" w:hAnsi="Times New Roman" w:cs="Times New Roman"/>
                      <w:b w:val="0"/>
                      <w:bCs w:val="0"/>
                      <w:kern w:val="0"/>
                      <w:sz w:val="21"/>
                      <w:szCs w:val="21"/>
                      <w:lang w:val="en-US" w:eastAsia="zh-CN"/>
                    </w:rPr>
                  </w:pPr>
                  <w:r>
                    <w:rPr>
                      <w:rFonts w:hint="eastAsia" w:cs="Times New Roman"/>
                      <w:b w:val="0"/>
                      <w:bCs w:val="0"/>
                      <w:kern w:val="0"/>
                      <w:sz w:val="21"/>
                      <w:szCs w:val="21"/>
                      <w:lang w:val="en-US" w:eastAsia="zh-CN"/>
                    </w:rPr>
                    <w:t>无轴</w:t>
                  </w:r>
                  <w:r>
                    <w:rPr>
                      <w:rFonts w:hint="default" w:ascii="Times New Roman" w:hAnsi="Times New Roman" w:cs="Times New Roman"/>
                      <w:b w:val="0"/>
                      <w:bCs w:val="0"/>
                      <w:kern w:val="0"/>
                      <w:sz w:val="21"/>
                      <w:szCs w:val="21"/>
                      <w:lang w:val="en-US" w:eastAsia="zh-CN"/>
                    </w:rPr>
                    <w:t>精切机</w:t>
                  </w:r>
                </w:p>
              </w:tc>
              <w:tc>
                <w:tcPr>
                  <w:tcW w:w="1069" w:type="dxa"/>
                  <w:vAlign w:val="center"/>
                </w:tcPr>
                <w:p>
                  <w:pPr>
                    <w:pStyle w:val="2"/>
                    <w:spacing w:before="0" w:after="0" w:line="240" w:lineRule="auto"/>
                    <w:ind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MF016</w:t>
                  </w:r>
                </w:p>
              </w:tc>
              <w:tc>
                <w:tcPr>
                  <w:tcW w:w="953" w:type="dxa"/>
                  <w:vAlign w:val="center"/>
                </w:tcPr>
                <w:p>
                  <w:pPr>
                    <w:jc w:val="center"/>
                    <w:rPr>
                      <w:rFonts w:hint="eastAsia" w:cs="Times New Roman"/>
                      <w:color w:val="auto"/>
                      <w:u w:val="none"/>
                      <w:lang w:val="en-US" w:eastAsia="zh-CN"/>
                    </w:rPr>
                  </w:pPr>
                  <w:r>
                    <w:rPr>
                      <w:rFonts w:hint="eastAsia" w:cs="Times New Roman"/>
                      <w:color w:val="auto"/>
                      <w:u w:val="none"/>
                      <w:lang w:val="en-US" w:eastAsia="zh-CN"/>
                    </w:rPr>
                    <w:t>85</w:t>
                  </w:r>
                </w:p>
              </w:tc>
              <w:tc>
                <w:tcPr>
                  <w:tcW w:w="836" w:type="dxa"/>
                  <w:vMerge w:val="continue"/>
                  <w:vAlign w:val="center"/>
                </w:tcPr>
                <w:p>
                  <w:pPr>
                    <w:pStyle w:val="2"/>
                    <w:spacing w:before="0" w:after="0" w:line="240" w:lineRule="auto"/>
                    <w:ind w:right="0" w:rightChars="0"/>
                    <w:jc w:val="center"/>
                    <w:rPr>
                      <w:rFonts w:hint="default" w:ascii="Times New Roman" w:hAnsi="Times New Roman" w:cs="Times New Roman"/>
                      <w:color w:val="auto"/>
                      <w:sz w:val="21"/>
                      <w:szCs w:val="21"/>
                    </w:rPr>
                  </w:pPr>
                </w:p>
              </w:tc>
              <w:tc>
                <w:tcPr>
                  <w:tcW w:w="953" w:type="dxa"/>
                  <w:vAlign w:val="center"/>
                </w:tcPr>
                <w:p>
                  <w:pPr>
                    <w:pStyle w:val="2"/>
                    <w:spacing w:before="0" w:after="0" w:line="240" w:lineRule="auto"/>
                    <w:ind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70</w:t>
                  </w:r>
                </w:p>
              </w:tc>
              <w:tc>
                <w:tcPr>
                  <w:tcW w:w="783" w:type="dxa"/>
                  <w:vAlign w:val="center"/>
                </w:tcPr>
                <w:p>
                  <w:pPr>
                    <w:spacing w:before="0" w:after="0" w:line="240" w:lineRule="auto"/>
                    <w:ind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8小时</w:t>
                  </w:r>
                </w:p>
              </w:tc>
              <w:tc>
                <w:tcPr>
                  <w:tcW w:w="174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color w:val="auto"/>
                <w:sz w:val="24"/>
                <w:szCs w:val="24"/>
                <w:u w:val="none"/>
                <w:lang w:val="en-US" w:eastAsia="zh-CN"/>
              </w:rPr>
            </w:pPr>
            <w:r>
              <w:rPr>
                <w:rFonts w:hint="eastAsia" w:cs="Times New Roman"/>
                <w:bCs/>
                <w:strike w:val="0"/>
                <w:dstrike w:val="0"/>
                <w:color w:val="auto"/>
                <w:sz w:val="24"/>
                <w:szCs w:val="24"/>
                <w:highlight w:val="none"/>
                <w:u w:val="none"/>
                <w:lang w:val="en-US" w:eastAsia="zh-CN"/>
              </w:rPr>
              <w:t>澧县天成包装材料有限公司</w:t>
            </w:r>
            <w:r>
              <w:rPr>
                <w:rFonts w:hint="eastAsia" w:eastAsia="宋体" w:cs="Times New Roman"/>
                <w:bCs/>
                <w:strike w:val="0"/>
                <w:dstrike w:val="0"/>
                <w:color w:val="auto"/>
                <w:sz w:val="24"/>
                <w:szCs w:val="24"/>
                <w:highlight w:val="none"/>
                <w:u w:val="none"/>
                <w:lang w:val="en-US" w:eastAsia="zh-CN"/>
              </w:rPr>
              <w:t>委托</w:t>
            </w:r>
            <w:r>
              <w:rPr>
                <w:rFonts w:hint="eastAsia" w:cs="Times New Roman"/>
                <w:bCs/>
                <w:strike w:val="0"/>
                <w:dstrike w:val="0"/>
                <w:color w:val="auto"/>
                <w:sz w:val="24"/>
                <w:szCs w:val="24"/>
                <w:highlight w:val="none"/>
                <w:u w:val="none"/>
                <w:lang w:val="en-US" w:eastAsia="zh-CN"/>
              </w:rPr>
              <w:t>湖南鑫韵检测有限公司</w:t>
            </w:r>
            <w:r>
              <w:rPr>
                <w:rFonts w:hint="eastAsia" w:eastAsia="宋体" w:cs="Times New Roman"/>
                <w:bCs/>
                <w:strike w:val="0"/>
                <w:dstrike w:val="0"/>
                <w:color w:val="auto"/>
                <w:sz w:val="24"/>
                <w:szCs w:val="24"/>
                <w:highlight w:val="none"/>
                <w:u w:val="none"/>
                <w:lang w:val="en-US" w:eastAsia="zh-CN"/>
              </w:rPr>
              <w:t>于20</w:t>
            </w:r>
            <w:r>
              <w:rPr>
                <w:rFonts w:hint="eastAsia" w:cs="Times New Roman"/>
                <w:bCs/>
                <w:strike w:val="0"/>
                <w:dstrike w:val="0"/>
                <w:color w:val="auto"/>
                <w:sz w:val="24"/>
                <w:szCs w:val="24"/>
                <w:highlight w:val="none"/>
                <w:u w:val="none"/>
                <w:lang w:val="en-US" w:eastAsia="zh-CN"/>
              </w:rPr>
              <w:t>23</w:t>
            </w:r>
            <w:r>
              <w:rPr>
                <w:rFonts w:hint="eastAsia" w:eastAsia="宋体" w:cs="Times New Roman"/>
                <w:bCs/>
                <w:strike w:val="0"/>
                <w:dstrike w:val="0"/>
                <w:color w:val="auto"/>
                <w:sz w:val="24"/>
                <w:szCs w:val="24"/>
                <w:highlight w:val="none"/>
                <w:u w:val="none"/>
                <w:lang w:val="en-US" w:eastAsia="zh-CN"/>
              </w:rPr>
              <w:t>年</w:t>
            </w:r>
            <w:r>
              <w:rPr>
                <w:rFonts w:hint="eastAsia" w:cs="Times New Roman"/>
                <w:bCs/>
                <w:strike w:val="0"/>
                <w:dstrike w:val="0"/>
                <w:color w:val="auto"/>
                <w:sz w:val="24"/>
                <w:szCs w:val="24"/>
                <w:highlight w:val="none"/>
                <w:u w:val="none"/>
                <w:lang w:val="en-US" w:eastAsia="zh-CN"/>
              </w:rPr>
              <w:t>3</w:t>
            </w:r>
            <w:r>
              <w:rPr>
                <w:rFonts w:hint="eastAsia" w:eastAsia="宋体" w:cs="Times New Roman"/>
                <w:bCs/>
                <w:strike w:val="0"/>
                <w:dstrike w:val="0"/>
                <w:color w:val="auto"/>
                <w:sz w:val="24"/>
                <w:szCs w:val="24"/>
                <w:highlight w:val="none"/>
                <w:u w:val="none"/>
                <w:lang w:val="en-US" w:eastAsia="zh-CN"/>
              </w:rPr>
              <w:t>月</w:t>
            </w:r>
            <w:r>
              <w:rPr>
                <w:rFonts w:hint="eastAsia" w:cs="Times New Roman"/>
                <w:bCs/>
                <w:strike w:val="0"/>
                <w:dstrike w:val="0"/>
                <w:color w:val="auto"/>
                <w:sz w:val="24"/>
                <w:szCs w:val="24"/>
                <w:highlight w:val="none"/>
                <w:u w:val="none"/>
                <w:lang w:val="en-US" w:eastAsia="zh-CN"/>
              </w:rPr>
              <w:t>26</w:t>
            </w:r>
            <w:r>
              <w:rPr>
                <w:rFonts w:hint="eastAsia" w:eastAsia="宋体" w:cs="Times New Roman"/>
                <w:bCs/>
                <w:strike w:val="0"/>
                <w:dstrike w:val="0"/>
                <w:color w:val="auto"/>
                <w:sz w:val="24"/>
                <w:szCs w:val="24"/>
                <w:highlight w:val="none"/>
                <w:u w:val="none"/>
                <w:lang w:val="en-US" w:eastAsia="zh-CN"/>
              </w:rPr>
              <w:t>日-</w:t>
            </w:r>
            <w:r>
              <w:rPr>
                <w:rFonts w:hint="eastAsia" w:cs="Times New Roman"/>
                <w:bCs/>
                <w:strike w:val="0"/>
                <w:dstrike w:val="0"/>
                <w:color w:val="auto"/>
                <w:sz w:val="24"/>
                <w:szCs w:val="24"/>
                <w:highlight w:val="none"/>
                <w:u w:val="none"/>
                <w:lang w:val="en-US" w:eastAsia="zh-CN"/>
              </w:rPr>
              <w:t>27</w:t>
            </w:r>
            <w:r>
              <w:rPr>
                <w:rFonts w:hint="eastAsia" w:eastAsia="宋体" w:cs="Times New Roman"/>
                <w:bCs/>
                <w:strike w:val="0"/>
                <w:dstrike w:val="0"/>
                <w:color w:val="auto"/>
                <w:sz w:val="24"/>
                <w:szCs w:val="24"/>
                <w:highlight w:val="none"/>
                <w:u w:val="none"/>
                <w:lang w:val="en-US" w:eastAsia="zh-CN"/>
              </w:rPr>
              <w:t>日对</w:t>
            </w:r>
            <w:r>
              <w:rPr>
                <w:rFonts w:hint="eastAsia" w:cs="Times New Roman"/>
                <w:bCs/>
                <w:strike w:val="0"/>
                <w:dstrike w:val="0"/>
                <w:color w:val="auto"/>
                <w:sz w:val="24"/>
                <w:szCs w:val="24"/>
                <w:highlight w:val="none"/>
                <w:u w:val="none"/>
                <w:lang w:val="en-US" w:eastAsia="zh-CN"/>
              </w:rPr>
              <w:t>厂区噪声进行了</w:t>
            </w:r>
            <w:r>
              <w:rPr>
                <w:rFonts w:hint="eastAsia" w:eastAsia="宋体" w:cs="Times New Roman"/>
                <w:bCs/>
                <w:strike w:val="0"/>
                <w:dstrike w:val="0"/>
                <w:color w:val="auto"/>
                <w:sz w:val="24"/>
                <w:szCs w:val="24"/>
                <w:highlight w:val="none"/>
                <w:u w:val="none"/>
                <w:lang w:val="en-US" w:eastAsia="zh-CN"/>
              </w:rPr>
              <w:t>检测</w:t>
            </w:r>
            <w:r>
              <w:rPr>
                <w:rFonts w:hint="eastAsia"/>
                <w:color w:val="auto"/>
                <w:sz w:val="24"/>
                <w:szCs w:val="24"/>
                <w:u w:val="none"/>
                <w:lang w:eastAsia="zh-CN"/>
              </w:rPr>
              <w:t>，</w:t>
            </w:r>
            <w:r>
              <w:rPr>
                <w:rFonts w:hint="default"/>
                <w:color w:val="auto"/>
                <w:sz w:val="24"/>
                <w:szCs w:val="24"/>
                <w:u w:val="none"/>
              </w:rPr>
              <w:t>具体</w:t>
            </w:r>
            <w:r>
              <w:rPr>
                <w:rFonts w:hint="eastAsia"/>
                <w:color w:val="auto"/>
                <w:sz w:val="24"/>
                <w:szCs w:val="24"/>
                <w:u w:val="none"/>
                <w:lang w:eastAsia="zh-CN"/>
              </w:rPr>
              <w:t>数据</w:t>
            </w:r>
            <w:r>
              <w:rPr>
                <w:rFonts w:hint="default"/>
                <w:color w:val="auto"/>
                <w:sz w:val="24"/>
                <w:szCs w:val="24"/>
                <w:u w:val="none"/>
              </w:rPr>
              <w:t>详见下表。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color w:val="auto"/>
                <w:spacing w:val="0"/>
                <w:kern w:val="0"/>
                <w:sz w:val="21"/>
                <w:szCs w:val="21"/>
                <w:lang w:val="en-US" w:eastAsia="zh-CN" w:bidi="ar-SA"/>
              </w:rPr>
            </w:pPr>
            <w:r>
              <w:rPr>
                <w:rFonts w:hint="eastAsia" w:ascii="Times New Roman" w:hAnsi="Times New Roman" w:eastAsia="宋体" w:cs="Times New Roman"/>
                <w:b/>
                <w:color w:val="auto"/>
                <w:spacing w:val="0"/>
                <w:kern w:val="0"/>
                <w:sz w:val="21"/>
                <w:szCs w:val="21"/>
                <w:lang w:val="en-US" w:eastAsia="zh-CN" w:bidi="ar-SA"/>
              </w:rPr>
              <w:t>表2-</w:t>
            </w:r>
            <w:r>
              <w:rPr>
                <w:rFonts w:hint="eastAsia" w:cs="Times New Roman"/>
                <w:b/>
                <w:color w:val="auto"/>
                <w:spacing w:val="0"/>
                <w:kern w:val="0"/>
                <w:sz w:val="21"/>
                <w:szCs w:val="21"/>
                <w:lang w:val="en-US" w:eastAsia="zh-CN" w:bidi="ar-SA"/>
              </w:rPr>
              <w:t xml:space="preserve">11 </w:t>
            </w:r>
            <w:r>
              <w:rPr>
                <w:rFonts w:hint="eastAsia" w:ascii="Times New Roman" w:hAnsi="Times New Roman" w:eastAsia="宋体" w:cs="Times New Roman"/>
                <w:b/>
                <w:color w:val="auto"/>
                <w:spacing w:val="0"/>
                <w:kern w:val="0"/>
                <w:sz w:val="21"/>
                <w:szCs w:val="21"/>
                <w:lang w:val="en-US" w:eastAsia="zh-CN" w:bidi="ar-SA"/>
              </w:rPr>
              <w:t>噪声检测结果</w:t>
            </w:r>
          </w:p>
          <w:tbl>
            <w:tblPr>
              <w:tblStyle w:val="2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Layout w:type="fixed"/>
              <w:tblCellMar>
                <w:top w:w="0" w:type="dxa"/>
                <w:left w:w="108" w:type="dxa"/>
                <w:bottom w:w="0" w:type="dxa"/>
                <w:right w:w="108" w:type="dxa"/>
              </w:tblCellMar>
            </w:tblPr>
            <w:tblGrid>
              <w:gridCol w:w="2012"/>
              <w:gridCol w:w="1248"/>
              <w:gridCol w:w="923"/>
              <w:gridCol w:w="1250"/>
              <w:gridCol w:w="851"/>
              <w:gridCol w:w="15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blHeader/>
              </w:trPr>
              <w:tc>
                <w:tcPr>
                  <w:tcW w:w="1286" w:type="pct"/>
                  <w:vMerge w:val="restart"/>
                  <w:tcBorders>
                    <w:tl2br w:val="nil"/>
                    <w:tr2bl w:val="nil"/>
                  </w:tcBorders>
                  <w:noWrap w:val="0"/>
                  <w:vAlign w:val="center"/>
                </w:tcPr>
                <w:p>
                  <w:pPr>
                    <w:pStyle w:val="91"/>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采样点位</w:t>
                  </w:r>
                </w:p>
              </w:tc>
              <w:tc>
                <w:tcPr>
                  <w:tcW w:w="798" w:type="pct"/>
                  <w:vMerge w:val="restart"/>
                  <w:tcBorders>
                    <w:tl2br w:val="nil"/>
                    <w:tr2bl w:val="nil"/>
                  </w:tcBorders>
                  <w:noWrap w:val="0"/>
                  <w:vAlign w:val="center"/>
                </w:tcPr>
                <w:p>
                  <w:pPr>
                    <w:pStyle w:val="91"/>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采样日期</w:t>
                  </w:r>
                </w:p>
              </w:tc>
              <w:tc>
                <w:tcPr>
                  <w:tcW w:w="1389" w:type="pct"/>
                  <w:gridSpan w:val="2"/>
                  <w:tcBorders>
                    <w:tl2br w:val="nil"/>
                    <w:tr2bl w:val="nil"/>
                  </w:tcBorders>
                  <w:noWrap w:val="0"/>
                  <w:vAlign w:val="center"/>
                </w:tcPr>
                <w:p>
                  <w:pPr>
                    <w:pStyle w:val="91"/>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检测结果Leq</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dB</w:t>
                  </w:r>
                  <w:r>
                    <w:rPr>
                      <w:rFonts w:hint="eastAsia" w:eastAsia="宋体" w:cs="Times New Roman"/>
                      <w:b/>
                      <w:color w:val="auto"/>
                      <w:sz w:val="21"/>
                      <w:szCs w:val="21"/>
                      <w:lang w:val="en-US" w:eastAsia="zh-CN"/>
                    </w:rPr>
                    <w:t>(</w:t>
                  </w:r>
                  <w:r>
                    <w:rPr>
                      <w:rFonts w:hint="default" w:ascii="Times New Roman" w:hAnsi="Times New Roman" w:eastAsia="宋体" w:cs="Times New Roman"/>
                      <w:b/>
                      <w:color w:val="auto"/>
                      <w:sz w:val="21"/>
                      <w:szCs w:val="21"/>
                    </w:rPr>
                    <w:t>A</w:t>
                  </w:r>
                  <w:r>
                    <w:rPr>
                      <w:rFonts w:hint="eastAsia" w:eastAsia="宋体"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 xml:space="preserve"> </w:t>
                  </w:r>
                </w:p>
              </w:tc>
              <w:tc>
                <w:tcPr>
                  <w:tcW w:w="1525" w:type="pct"/>
                  <w:gridSpan w:val="2"/>
                  <w:tcBorders>
                    <w:tl2br w:val="nil"/>
                    <w:tr2bl w:val="nil"/>
                  </w:tcBorders>
                  <w:noWrap w:val="0"/>
                  <w:vAlign w:val="center"/>
                </w:tcPr>
                <w:p>
                  <w:pPr>
                    <w:pStyle w:val="91"/>
                    <w:ind w:left="422" w:leftChars="0"/>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标准限值</w:t>
                  </w:r>
                  <w:r>
                    <w:rPr>
                      <w:rFonts w:hint="default" w:ascii="Times New Roman" w:hAnsi="Times New Roman" w:eastAsia="宋体" w:cs="Times New Roman"/>
                      <w:b/>
                      <w:color w:val="auto"/>
                      <w:sz w:val="21"/>
                      <w:szCs w:val="21"/>
                    </w:rPr>
                    <w:t>Leq</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dB</w:t>
                  </w:r>
                  <w:r>
                    <w:rPr>
                      <w:rFonts w:hint="eastAsia" w:eastAsia="宋体" w:cs="Times New Roman"/>
                      <w:b/>
                      <w:color w:val="auto"/>
                      <w:sz w:val="21"/>
                      <w:szCs w:val="21"/>
                      <w:lang w:val="en-US" w:eastAsia="zh-CN"/>
                    </w:rPr>
                    <w:t>(</w:t>
                  </w:r>
                  <w:r>
                    <w:rPr>
                      <w:rFonts w:hint="default" w:ascii="Times New Roman" w:hAnsi="Times New Roman" w:eastAsia="宋体" w:cs="Times New Roman"/>
                      <w:b/>
                      <w:color w:val="auto"/>
                      <w:sz w:val="21"/>
                      <w:szCs w:val="21"/>
                    </w:rPr>
                    <w:t>A</w:t>
                  </w:r>
                  <w:r>
                    <w:rPr>
                      <w:rFonts w:hint="eastAsia" w:eastAsia="宋体"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blHeader/>
              </w:trPr>
              <w:tc>
                <w:tcPr>
                  <w:tcW w:w="1286" w:type="pct"/>
                  <w:vMerge w:val="continue"/>
                  <w:tcBorders>
                    <w:tl2br w:val="nil"/>
                    <w:tr2bl w:val="nil"/>
                  </w:tcBorders>
                  <w:noWrap w:val="0"/>
                  <w:vAlign w:val="center"/>
                </w:tcPr>
                <w:p>
                  <w:pPr>
                    <w:pStyle w:val="91"/>
                    <w:rPr>
                      <w:rFonts w:hint="default" w:ascii="Times New Roman" w:hAnsi="Times New Roman" w:eastAsia="宋体" w:cs="Times New Roman"/>
                      <w:b/>
                      <w:color w:val="auto"/>
                      <w:sz w:val="21"/>
                      <w:szCs w:val="21"/>
                    </w:rPr>
                  </w:pPr>
                </w:p>
              </w:tc>
              <w:tc>
                <w:tcPr>
                  <w:tcW w:w="798" w:type="pct"/>
                  <w:vMerge w:val="continue"/>
                  <w:tcBorders>
                    <w:tl2br w:val="nil"/>
                    <w:tr2bl w:val="nil"/>
                  </w:tcBorders>
                  <w:noWrap w:val="0"/>
                  <w:vAlign w:val="center"/>
                </w:tcPr>
                <w:p>
                  <w:pPr>
                    <w:pStyle w:val="91"/>
                    <w:rPr>
                      <w:rFonts w:hint="default" w:ascii="Times New Roman" w:hAnsi="Times New Roman" w:eastAsia="宋体" w:cs="Times New Roman"/>
                      <w:b/>
                      <w:color w:val="auto"/>
                      <w:sz w:val="21"/>
                      <w:szCs w:val="21"/>
                    </w:rPr>
                  </w:pPr>
                </w:p>
              </w:tc>
              <w:tc>
                <w:tcPr>
                  <w:tcW w:w="590" w:type="pct"/>
                  <w:tcBorders>
                    <w:tl2br w:val="nil"/>
                    <w:tr2bl w:val="nil"/>
                  </w:tcBorders>
                  <w:noWrap w:val="0"/>
                  <w:vAlign w:val="center"/>
                </w:tcPr>
                <w:p>
                  <w:pPr>
                    <w:pStyle w:val="91"/>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昼间</w:t>
                  </w:r>
                </w:p>
              </w:tc>
              <w:tc>
                <w:tcPr>
                  <w:tcW w:w="798" w:type="pct"/>
                  <w:tcBorders>
                    <w:tl2br w:val="nil"/>
                    <w:tr2bl w:val="nil"/>
                  </w:tcBorders>
                  <w:noWrap w:val="0"/>
                  <w:vAlign w:val="center"/>
                </w:tcPr>
                <w:p>
                  <w:pPr>
                    <w:pStyle w:val="91"/>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夜间</w:t>
                  </w:r>
                </w:p>
              </w:tc>
              <w:tc>
                <w:tcPr>
                  <w:tcW w:w="544" w:type="pct"/>
                  <w:tcBorders>
                    <w:tl2br w:val="nil"/>
                    <w:tr2bl w:val="nil"/>
                  </w:tcBorders>
                  <w:noWrap w:val="0"/>
                  <w:vAlign w:val="center"/>
                </w:tcPr>
                <w:p>
                  <w:pPr>
                    <w:pStyle w:val="91"/>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昼间</w:t>
                  </w:r>
                </w:p>
              </w:tc>
              <w:tc>
                <w:tcPr>
                  <w:tcW w:w="980" w:type="pct"/>
                  <w:tcBorders>
                    <w:tl2br w:val="nil"/>
                    <w:tr2bl w:val="nil"/>
                  </w:tcBorders>
                  <w:noWrap w:val="0"/>
                  <w:vAlign w:val="center"/>
                </w:tcPr>
                <w:p>
                  <w:pPr>
                    <w:pStyle w:val="91"/>
                    <w:ind w:left="422" w:leftChars="0"/>
                    <w:rPr>
                      <w:color w:val="auto"/>
                      <w:sz w:val="21"/>
                      <w:szCs w:val="21"/>
                    </w:rPr>
                  </w:pPr>
                  <w:r>
                    <w:rPr>
                      <w:rFonts w:hint="eastAsia" w:ascii="Times New Roman" w:hAnsi="Times New Roman" w:eastAsia="宋体" w:cs="Times New Roman"/>
                      <w:b/>
                      <w:color w:val="auto"/>
                      <w:sz w:val="21"/>
                      <w:szCs w:val="21"/>
                      <w:lang w:val="en-US" w:eastAsia="zh-CN"/>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restart"/>
                  <w:tcBorders>
                    <w:tl2br w:val="nil"/>
                    <w:tr2bl w:val="nil"/>
                  </w:tcBorders>
                  <w:noWrap w:val="0"/>
                  <w:vAlign w:val="center"/>
                </w:tcPr>
                <w:p>
                  <w:pPr>
                    <w:pStyle w:val="91"/>
                    <w:ind w:left="420" w:leftChars="0"/>
                    <w:jc w:val="center"/>
                    <w:rPr>
                      <w:rFonts w:hint="default" w:ascii="Times New Roman" w:hAnsi="Times New Roman" w:eastAsia="宋体" w:cs="Times New Roman"/>
                      <w:color w:val="auto"/>
                      <w:sz w:val="21"/>
                      <w:szCs w:val="21"/>
                    </w:rPr>
                  </w:pPr>
                  <w:r>
                    <w:rPr>
                      <w:rFonts w:hint="eastAsia" w:cs="宋体"/>
                      <w:color w:val="auto"/>
                      <w:sz w:val="21"/>
                      <w:szCs w:val="21"/>
                      <w:lang w:val="en-US" w:eastAsia="zh-CN"/>
                    </w:rPr>
                    <w:t>N</w:t>
                  </w:r>
                  <w:r>
                    <w:rPr>
                      <w:rFonts w:hint="eastAsia" w:cs="宋体"/>
                      <w:color w:val="auto"/>
                      <w:sz w:val="21"/>
                      <w:szCs w:val="21"/>
                      <w:vertAlign w:val="subscript"/>
                      <w:lang w:val="en-US" w:eastAsia="zh-CN"/>
                    </w:rPr>
                    <w:t>1</w:t>
                  </w:r>
                  <w:r>
                    <w:rPr>
                      <w:rFonts w:hint="eastAsia" w:ascii="Times New Roman" w:hAnsi="Times New Roman" w:cs="宋体"/>
                      <w:color w:val="auto"/>
                      <w:sz w:val="21"/>
                      <w:szCs w:val="21"/>
                      <w:lang w:val="en-US" w:eastAsia="zh-CN"/>
                    </w:rPr>
                    <w:t>厂界东面外</w:t>
                  </w:r>
                  <w:r>
                    <w:rPr>
                      <w:rFonts w:hint="default" w:ascii="Times New Roman" w:hAnsi="Times New Roman" w:cs="宋体"/>
                      <w:color w:val="auto"/>
                      <w:sz w:val="21"/>
                      <w:szCs w:val="21"/>
                      <w:lang w:val="en-US" w:eastAsia="zh-CN"/>
                    </w:rPr>
                    <w:t>1</w:t>
                  </w:r>
                  <w:r>
                    <w:rPr>
                      <w:rFonts w:hint="eastAsia" w:ascii="Times New Roman" w:hAnsi="Times New Roman" w:cs="宋体"/>
                      <w:color w:val="auto"/>
                      <w:sz w:val="21"/>
                      <w:szCs w:val="21"/>
                      <w:lang w:val="en-US" w:eastAsia="zh-CN"/>
                    </w:rPr>
                    <w:t>米</w:t>
                  </w:r>
                </w:p>
              </w:tc>
              <w:tc>
                <w:tcPr>
                  <w:tcW w:w="798" w:type="pct"/>
                  <w:tcBorders>
                    <w:tl2br w:val="nil"/>
                    <w:tr2bl w:val="nil"/>
                  </w:tcBorders>
                  <w:noWrap w:val="0"/>
                  <w:vAlign w:val="center"/>
                </w:tcPr>
                <w:p>
                  <w:pPr>
                    <w:pStyle w:val="91"/>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cs="Times New Roman"/>
                      <w:color w:val="auto"/>
                      <w:sz w:val="21"/>
                      <w:szCs w:val="21"/>
                      <w:lang w:val="en-US" w:eastAsia="zh-CN"/>
                    </w:rPr>
                    <w:t>6</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50.6</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44.5</w:t>
                  </w:r>
                </w:p>
              </w:tc>
              <w:tc>
                <w:tcPr>
                  <w:tcW w:w="544" w:type="pct"/>
                  <w:tcBorders>
                    <w:tl2br w:val="nil"/>
                    <w:tr2bl w:val="nil"/>
                  </w:tcBorders>
                  <w:noWrap w:val="0"/>
                  <w:vAlign w:val="center"/>
                </w:tcPr>
                <w:p>
                  <w:pPr>
                    <w:pStyle w:val="91"/>
                    <w:ind w:left="422" w:leftChars="0"/>
                    <w:jc w:val="center"/>
                    <w:rPr>
                      <w:rFonts w:hint="default" w:cs="宋体"/>
                      <w:b/>
                      <w:bCs/>
                      <w:color w:val="auto"/>
                      <w:sz w:val="21"/>
                      <w:szCs w:val="21"/>
                      <w:lang w:val="en-US" w:eastAsia="zh-CN"/>
                    </w:rPr>
                  </w:pPr>
                  <w:r>
                    <w:rPr>
                      <w:rFonts w:hint="eastAsia" w:cs="宋体"/>
                      <w:b/>
                      <w:bCs/>
                      <w:color w:val="auto"/>
                      <w:sz w:val="21"/>
                      <w:szCs w:val="21"/>
                      <w:lang w:val="en-US" w:eastAsia="zh-CN"/>
                    </w:rPr>
                    <w:t>65</w:t>
                  </w:r>
                </w:p>
              </w:tc>
              <w:tc>
                <w:tcPr>
                  <w:tcW w:w="980" w:type="pct"/>
                  <w:tcBorders>
                    <w:tl2br w:val="nil"/>
                    <w:tr2bl w:val="nil"/>
                  </w:tcBorders>
                  <w:noWrap w:val="0"/>
                  <w:vAlign w:val="center"/>
                </w:tcPr>
                <w:p>
                  <w:pPr>
                    <w:pStyle w:val="91"/>
                    <w:ind w:left="422" w:leftChars="0"/>
                    <w:jc w:val="center"/>
                    <w:rPr>
                      <w:rFonts w:hint="default" w:cs="宋体"/>
                      <w:b/>
                      <w:bCs/>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continue"/>
                  <w:tcBorders>
                    <w:tl2br w:val="nil"/>
                    <w:tr2bl w:val="nil"/>
                  </w:tcBorders>
                  <w:noWrap w:val="0"/>
                  <w:vAlign w:val="center"/>
                </w:tcPr>
                <w:p>
                  <w:pPr>
                    <w:pStyle w:val="91"/>
                    <w:ind w:left="420" w:leftChars="0"/>
                    <w:jc w:val="center"/>
                    <w:rPr>
                      <w:rFonts w:hint="eastAsia" w:ascii="Times New Roman" w:hAnsi="Times New Roman" w:cs="宋体"/>
                      <w:color w:val="auto"/>
                      <w:sz w:val="21"/>
                      <w:szCs w:val="21"/>
                      <w:lang w:val="en-US" w:eastAsia="zh-CN"/>
                    </w:rPr>
                  </w:pPr>
                </w:p>
              </w:tc>
              <w:tc>
                <w:tcPr>
                  <w:tcW w:w="798" w:type="pct"/>
                  <w:tcBorders>
                    <w:tl2br w:val="nil"/>
                    <w:tr2bl w:val="nil"/>
                  </w:tcBorders>
                  <w:noWrap w:val="0"/>
                  <w:vAlign w:val="center"/>
                </w:tcPr>
                <w:p>
                  <w:pPr>
                    <w:pStyle w:val="91"/>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27</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54.6</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47.5</w:t>
                  </w:r>
                </w:p>
              </w:tc>
              <w:tc>
                <w:tcPr>
                  <w:tcW w:w="846"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restart"/>
                  <w:tcBorders>
                    <w:tl2br w:val="nil"/>
                    <w:tr2bl w:val="nil"/>
                  </w:tcBorders>
                  <w:noWrap w:val="0"/>
                  <w:vAlign w:val="center"/>
                </w:tcPr>
                <w:p>
                  <w:pPr>
                    <w:pStyle w:val="91"/>
                    <w:ind w:left="420" w:leftChars="0"/>
                    <w:jc w:val="center"/>
                    <w:rPr>
                      <w:rFonts w:hint="default" w:ascii="Times New Roman" w:hAnsi="Times New Roman" w:eastAsia="宋体" w:cs="Times New Roman"/>
                      <w:color w:val="auto"/>
                      <w:sz w:val="21"/>
                      <w:szCs w:val="21"/>
                      <w:lang w:val="en-US" w:eastAsia="zh-CN"/>
                    </w:rPr>
                  </w:pPr>
                  <w:r>
                    <w:rPr>
                      <w:rFonts w:hint="eastAsia" w:cs="宋体"/>
                      <w:color w:val="auto"/>
                      <w:sz w:val="21"/>
                      <w:szCs w:val="21"/>
                      <w:lang w:val="en-US" w:eastAsia="zh-CN"/>
                    </w:rPr>
                    <w:t>N</w:t>
                  </w:r>
                  <w:r>
                    <w:rPr>
                      <w:rFonts w:hint="eastAsia" w:cs="宋体"/>
                      <w:color w:val="auto"/>
                      <w:sz w:val="21"/>
                      <w:szCs w:val="21"/>
                      <w:vertAlign w:val="subscript"/>
                      <w:lang w:val="en-US" w:eastAsia="zh-CN"/>
                    </w:rPr>
                    <w:t>2</w:t>
                  </w:r>
                  <w:r>
                    <w:rPr>
                      <w:rFonts w:hint="eastAsia" w:ascii="Times New Roman" w:hAnsi="Times New Roman" w:cs="宋体"/>
                      <w:color w:val="auto"/>
                      <w:sz w:val="21"/>
                      <w:szCs w:val="21"/>
                      <w:lang w:val="en-US" w:eastAsia="zh-CN"/>
                    </w:rPr>
                    <w:t>厂界南面外</w:t>
                  </w:r>
                  <w:r>
                    <w:rPr>
                      <w:rFonts w:hint="default" w:ascii="Times New Roman" w:hAnsi="Times New Roman" w:cs="宋体"/>
                      <w:color w:val="auto"/>
                      <w:sz w:val="21"/>
                      <w:szCs w:val="21"/>
                      <w:lang w:val="en-US" w:eastAsia="zh-CN"/>
                    </w:rPr>
                    <w:t>1</w:t>
                  </w:r>
                  <w:r>
                    <w:rPr>
                      <w:rFonts w:hint="eastAsia" w:ascii="Times New Roman" w:hAnsi="Times New Roman" w:cs="宋体"/>
                      <w:color w:val="auto"/>
                      <w:sz w:val="21"/>
                      <w:szCs w:val="21"/>
                      <w:lang w:val="en-US" w:eastAsia="zh-CN"/>
                    </w:rPr>
                    <w:t>米</w:t>
                  </w:r>
                </w:p>
              </w:tc>
              <w:tc>
                <w:tcPr>
                  <w:tcW w:w="1316" w:type="dxa"/>
                  <w:tcBorders>
                    <w:tl2br w:val="nil"/>
                    <w:tr2bl w:val="nil"/>
                  </w:tcBorders>
                  <w:noWrap w:val="0"/>
                  <w:vAlign w:val="center"/>
                </w:tcPr>
                <w:p>
                  <w:pPr>
                    <w:pStyle w:val="91"/>
                    <w:ind w:left="0" w:leftChars="0" w:firstLine="0" w:firstLineChars="0"/>
                    <w:jc w:val="center"/>
                    <w:rPr>
                      <w:rFonts w:hint="default"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cs="Times New Roman"/>
                      <w:color w:val="auto"/>
                      <w:sz w:val="21"/>
                      <w:szCs w:val="21"/>
                      <w:lang w:val="en-US" w:eastAsia="zh-CN"/>
                    </w:rPr>
                    <w:t>6</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59.5</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47.0</w:t>
                  </w:r>
                </w:p>
              </w:tc>
              <w:tc>
                <w:tcPr>
                  <w:tcW w:w="846"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continue"/>
                  <w:tcBorders>
                    <w:tl2br w:val="nil"/>
                    <w:tr2bl w:val="nil"/>
                  </w:tcBorders>
                  <w:noWrap w:val="0"/>
                  <w:vAlign w:val="center"/>
                </w:tcPr>
                <w:p>
                  <w:pPr>
                    <w:pStyle w:val="91"/>
                    <w:ind w:left="420" w:leftChars="0"/>
                    <w:jc w:val="center"/>
                    <w:rPr>
                      <w:rFonts w:hint="eastAsia" w:ascii="Times New Roman" w:hAnsi="Times New Roman" w:cs="宋体"/>
                      <w:color w:val="auto"/>
                      <w:sz w:val="21"/>
                      <w:szCs w:val="21"/>
                      <w:lang w:val="en-US" w:eastAsia="zh-CN"/>
                    </w:rPr>
                  </w:pPr>
                </w:p>
              </w:tc>
              <w:tc>
                <w:tcPr>
                  <w:tcW w:w="1316" w:type="dxa"/>
                  <w:tcBorders>
                    <w:tl2br w:val="nil"/>
                    <w:tr2bl w:val="nil"/>
                  </w:tcBorders>
                  <w:noWrap w:val="0"/>
                  <w:vAlign w:val="center"/>
                </w:tcPr>
                <w:p>
                  <w:pPr>
                    <w:pStyle w:val="91"/>
                    <w:ind w:left="0" w:leftChars="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27</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54.2</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43.9</w:t>
                  </w:r>
                </w:p>
              </w:tc>
              <w:tc>
                <w:tcPr>
                  <w:tcW w:w="846"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restart"/>
                  <w:tcBorders>
                    <w:tl2br w:val="nil"/>
                    <w:tr2bl w:val="nil"/>
                  </w:tcBorders>
                  <w:noWrap w:val="0"/>
                  <w:vAlign w:val="center"/>
                </w:tcPr>
                <w:p>
                  <w:pPr>
                    <w:pStyle w:val="91"/>
                    <w:ind w:left="420" w:leftChars="0"/>
                    <w:jc w:val="center"/>
                    <w:rPr>
                      <w:rFonts w:hint="default" w:ascii="Times New Roman" w:hAnsi="Times New Roman" w:eastAsia="宋体" w:cs="Times New Roman"/>
                      <w:color w:val="auto"/>
                      <w:sz w:val="21"/>
                      <w:szCs w:val="21"/>
                    </w:rPr>
                  </w:pPr>
                  <w:r>
                    <w:rPr>
                      <w:rFonts w:hint="eastAsia" w:cs="宋体"/>
                      <w:color w:val="auto"/>
                      <w:sz w:val="21"/>
                      <w:szCs w:val="21"/>
                      <w:lang w:val="en-US" w:eastAsia="zh-CN"/>
                    </w:rPr>
                    <w:t>N</w:t>
                  </w:r>
                  <w:r>
                    <w:rPr>
                      <w:rFonts w:hint="eastAsia" w:cs="宋体"/>
                      <w:color w:val="auto"/>
                      <w:sz w:val="21"/>
                      <w:szCs w:val="21"/>
                      <w:vertAlign w:val="subscript"/>
                      <w:lang w:val="en-US" w:eastAsia="zh-CN"/>
                    </w:rPr>
                    <w:t>3</w:t>
                  </w:r>
                  <w:r>
                    <w:rPr>
                      <w:rFonts w:hint="eastAsia" w:ascii="Times New Roman" w:hAnsi="Times New Roman" w:cs="宋体"/>
                      <w:color w:val="auto"/>
                      <w:sz w:val="21"/>
                      <w:szCs w:val="21"/>
                      <w:lang w:val="en-US" w:eastAsia="zh-CN"/>
                    </w:rPr>
                    <w:t>厂界西面外</w:t>
                  </w:r>
                  <w:r>
                    <w:rPr>
                      <w:rFonts w:hint="default" w:ascii="Times New Roman" w:hAnsi="Times New Roman" w:cs="宋体"/>
                      <w:color w:val="auto"/>
                      <w:sz w:val="21"/>
                      <w:szCs w:val="21"/>
                      <w:lang w:val="en-US" w:eastAsia="zh-CN"/>
                    </w:rPr>
                    <w:t>1</w:t>
                  </w:r>
                  <w:r>
                    <w:rPr>
                      <w:rFonts w:hint="eastAsia" w:ascii="Times New Roman" w:hAnsi="Times New Roman" w:cs="宋体"/>
                      <w:color w:val="auto"/>
                      <w:sz w:val="21"/>
                      <w:szCs w:val="21"/>
                      <w:lang w:val="en-US" w:eastAsia="zh-CN"/>
                    </w:rPr>
                    <w:t>米</w:t>
                  </w:r>
                </w:p>
              </w:tc>
              <w:tc>
                <w:tcPr>
                  <w:tcW w:w="1316" w:type="dxa"/>
                  <w:tcBorders>
                    <w:tl2br w:val="nil"/>
                    <w:tr2bl w:val="nil"/>
                  </w:tcBorders>
                  <w:noWrap w:val="0"/>
                  <w:vAlign w:val="center"/>
                </w:tcPr>
                <w:p>
                  <w:pPr>
                    <w:pStyle w:val="91"/>
                    <w:ind w:left="0" w:leftChars="0" w:firstLine="0" w:firstLineChars="0"/>
                    <w:jc w:val="center"/>
                    <w:rPr>
                      <w:rFonts w:hint="default"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cs="Times New Roman"/>
                      <w:color w:val="auto"/>
                      <w:sz w:val="21"/>
                      <w:szCs w:val="21"/>
                      <w:lang w:val="en-US" w:eastAsia="zh-CN"/>
                    </w:rPr>
                    <w:t>6</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55.2</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46.0</w:t>
                  </w:r>
                </w:p>
              </w:tc>
              <w:tc>
                <w:tcPr>
                  <w:tcW w:w="846"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continue"/>
                  <w:tcBorders>
                    <w:tl2br w:val="nil"/>
                    <w:tr2bl w:val="nil"/>
                  </w:tcBorders>
                  <w:noWrap w:val="0"/>
                  <w:vAlign w:val="center"/>
                </w:tcPr>
                <w:p>
                  <w:pPr>
                    <w:pStyle w:val="91"/>
                    <w:ind w:left="420" w:leftChars="0"/>
                    <w:jc w:val="center"/>
                    <w:rPr>
                      <w:rFonts w:hint="eastAsia" w:ascii="Times New Roman" w:hAnsi="Times New Roman" w:cs="宋体"/>
                      <w:color w:val="auto"/>
                      <w:sz w:val="21"/>
                      <w:szCs w:val="21"/>
                      <w:lang w:val="en-US" w:eastAsia="zh-CN"/>
                    </w:rPr>
                  </w:pPr>
                </w:p>
              </w:tc>
              <w:tc>
                <w:tcPr>
                  <w:tcW w:w="1316" w:type="dxa"/>
                  <w:tcBorders>
                    <w:tl2br w:val="nil"/>
                    <w:tr2bl w:val="nil"/>
                  </w:tcBorders>
                  <w:noWrap w:val="0"/>
                  <w:vAlign w:val="center"/>
                </w:tcPr>
                <w:p>
                  <w:pPr>
                    <w:pStyle w:val="91"/>
                    <w:ind w:left="0" w:leftChars="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27</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55.0</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44.9</w:t>
                  </w:r>
                </w:p>
              </w:tc>
              <w:tc>
                <w:tcPr>
                  <w:tcW w:w="846"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eastAsia"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restart"/>
                  <w:tcBorders>
                    <w:tl2br w:val="nil"/>
                    <w:tr2bl w:val="nil"/>
                  </w:tcBorders>
                  <w:noWrap w:val="0"/>
                  <w:vAlign w:val="center"/>
                </w:tcPr>
                <w:p>
                  <w:pPr>
                    <w:pStyle w:val="91"/>
                    <w:ind w:left="420" w:leftChars="0"/>
                    <w:jc w:val="center"/>
                    <w:rPr>
                      <w:rFonts w:hint="default" w:ascii="Times New Roman" w:hAnsi="Times New Roman" w:eastAsia="宋体" w:cs="Times New Roman"/>
                      <w:color w:val="auto"/>
                      <w:sz w:val="21"/>
                      <w:szCs w:val="21"/>
                    </w:rPr>
                  </w:pPr>
                  <w:r>
                    <w:rPr>
                      <w:rFonts w:hint="eastAsia" w:cs="宋体"/>
                      <w:color w:val="auto"/>
                      <w:sz w:val="21"/>
                      <w:szCs w:val="21"/>
                      <w:lang w:val="en-US" w:eastAsia="zh-CN"/>
                    </w:rPr>
                    <w:t>N</w:t>
                  </w:r>
                  <w:r>
                    <w:rPr>
                      <w:rFonts w:hint="eastAsia" w:cs="宋体"/>
                      <w:color w:val="auto"/>
                      <w:sz w:val="21"/>
                      <w:szCs w:val="21"/>
                      <w:vertAlign w:val="subscript"/>
                      <w:lang w:val="en-US" w:eastAsia="zh-CN"/>
                    </w:rPr>
                    <w:t>4</w:t>
                  </w:r>
                  <w:r>
                    <w:rPr>
                      <w:rFonts w:hint="eastAsia" w:ascii="Times New Roman" w:hAnsi="Times New Roman" w:cs="宋体"/>
                      <w:color w:val="auto"/>
                      <w:sz w:val="21"/>
                      <w:szCs w:val="21"/>
                      <w:lang w:val="en-US" w:eastAsia="zh-CN"/>
                    </w:rPr>
                    <w:t>厂界北面外</w:t>
                  </w:r>
                  <w:r>
                    <w:rPr>
                      <w:rFonts w:hint="default" w:ascii="Times New Roman" w:hAnsi="Times New Roman" w:cs="宋体"/>
                      <w:color w:val="auto"/>
                      <w:sz w:val="21"/>
                      <w:szCs w:val="21"/>
                      <w:lang w:val="en-US" w:eastAsia="zh-CN"/>
                    </w:rPr>
                    <w:t>1</w:t>
                  </w:r>
                  <w:r>
                    <w:rPr>
                      <w:rFonts w:hint="eastAsia" w:ascii="Times New Roman" w:hAnsi="Times New Roman" w:cs="宋体"/>
                      <w:color w:val="auto"/>
                      <w:sz w:val="21"/>
                      <w:szCs w:val="21"/>
                      <w:lang w:val="en-US" w:eastAsia="zh-CN"/>
                    </w:rPr>
                    <w:t>米</w:t>
                  </w:r>
                </w:p>
              </w:tc>
              <w:tc>
                <w:tcPr>
                  <w:tcW w:w="1316" w:type="dxa"/>
                  <w:tcBorders>
                    <w:tl2br w:val="nil"/>
                    <w:tr2bl w:val="nil"/>
                  </w:tcBorders>
                  <w:noWrap w:val="0"/>
                  <w:vAlign w:val="center"/>
                </w:tcPr>
                <w:p>
                  <w:pPr>
                    <w:pStyle w:val="91"/>
                    <w:ind w:left="0" w:leftChars="0" w:firstLine="0" w:firstLineChars="0"/>
                    <w:jc w:val="center"/>
                    <w:rPr>
                      <w:rFonts w:hint="default"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cs="Times New Roman"/>
                      <w:color w:val="auto"/>
                      <w:sz w:val="21"/>
                      <w:szCs w:val="21"/>
                      <w:lang w:val="en-US" w:eastAsia="zh-CN"/>
                    </w:rPr>
                    <w:t>6</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55.3</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44.3</w:t>
                  </w:r>
                </w:p>
              </w:tc>
              <w:tc>
                <w:tcPr>
                  <w:tcW w:w="846" w:type="dxa"/>
                  <w:tcBorders>
                    <w:tl2br w:val="nil"/>
                    <w:tr2bl w:val="nil"/>
                  </w:tcBorders>
                  <w:noWrap w:val="0"/>
                  <w:vAlign w:val="center"/>
                </w:tcPr>
                <w:p>
                  <w:pPr>
                    <w:pStyle w:val="91"/>
                    <w:ind w:left="422" w:leftChars="0" w:hanging="422" w:hangingChars="200"/>
                    <w:jc w:val="center"/>
                    <w:rPr>
                      <w:rFonts w:hint="default"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default"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1286" w:type="pct"/>
                  <w:vMerge w:val="continue"/>
                  <w:tcBorders>
                    <w:tl2br w:val="nil"/>
                    <w:tr2bl w:val="nil"/>
                  </w:tcBorders>
                  <w:noWrap w:val="0"/>
                  <w:vAlign w:val="center"/>
                </w:tcPr>
                <w:p>
                  <w:pPr>
                    <w:pStyle w:val="91"/>
                    <w:ind w:left="420" w:leftChars="0"/>
                    <w:jc w:val="center"/>
                    <w:rPr>
                      <w:rFonts w:hint="eastAsia" w:ascii="Times New Roman" w:hAnsi="Times New Roman" w:cs="宋体"/>
                      <w:color w:val="auto"/>
                      <w:sz w:val="21"/>
                      <w:szCs w:val="21"/>
                      <w:lang w:val="en-US" w:eastAsia="zh-CN"/>
                    </w:rPr>
                  </w:pPr>
                </w:p>
              </w:tc>
              <w:tc>
                <w:tcPr>
                  <w:tcW w:w="1316" w:type="dxa"/>
                  <w:tcBorders>
                    <w:tl2br w:val="nil"/>
                    <w:tr2bl w:val="nil"/>
                  </w:tcBorders>
                  <w:noWrap w:val="0"/>
                  <w:vAlign w:val="center"/>
                </w:tcPr>
                <w:p>
                  <w:pPr>
                    <w:pStyle w:val="91"/>
                    <w:ind w:left="0" w:leftChars="0" w:firstLine="0" w:firstLineChars="0"/>
                    <w:jc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20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27</w:t>
                  </w:r>
                </w:p>
              </w:tc>
              <w:tc>
                <w:tcPr>
                  <w:tcW w:w="973"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56.4</w:t>
                  </w:r>
                </w:p>
              </w:tc>
              <w:tc>
                <w:tcPr>
                  <w:tcW w:w="1318" w:type="dxa"/>
                  <w:tcBorders>
                    <w:tl2br w:val="nil"/>
                    <w:tr2bl w:val="nil"/>
                  </w:tcBorders>
                  <w:noWrap w:val="0"/>
                  <w:vAlign w:val="center"/>
                </w:tcPr>
                <w:p>
                  <w:pPr>
                    <w:pStyle w:val="116"/>
                    <w:ind w:left="0" w:leftChars="0" w:firstLine="0" w:firstLineChars="0"/>
                    <w:jc w:val="center"/>
                    <w:rPr>
                      <w:rFonts w:hint="default" w:ascii="Times New Roman" w:hAnsi="Times New Roman" w:eastAsia="宋体" w:cs="宋体"/>
                      <w:color w:val="auto"/>
                      <w:sz w:val="21"/>
                      <w:szCs w:val="21"/>
                      <w:lang w:val="en-US" w:eastAsia="zh-CN"/>
                    </w:rPr>
                  </w:pPr>
                  <w:r>
                    <w:rPr>
                      <w:rFonts w:hint="eastAsia" w:cs="宋体"/>
                      <w:color w:val="auto"/>
                      <w:sz w:val="21"/>
                      <w:szCs w:val="21"/>
                      <w:lang w:val="en-US" w:eastAsia="zh-CN"/>
                    </w:rPr>
                    <w:t>46.7</w:t>
                  </w:r>
                </w:p>
              </w:tc>
              <w:tc>
                <w:tcPr>
                  <w:tcW w:w="846" w:type="dxa"/>
                  <w:tcBorders>
                    <w:tl2br w:val="nil"/>
                    <w:tr2bl w:val="nil"/>
                  </w:tcBorders>
                  <w:noWrap w:val="0"/>
                  <w:vAlign w:val="center"/>
                </w:tcPr>
                <w:p>
                  <w:pPr>
                    <w:pStyle w:val="91"/>
                    <w:ind w:left="422" w:leftChars="0" w:hanging="422" w:hangingChars="200"/>
                    <w:jc w:val="center"/>
                    <w:rPr>
                      <w:rFonts w:hint="default" w:cs="宋体"/>
                      <w:color w:val="auto"/>
                      <w:sz w:val="21"/>
                      <w:szCs w:val="21"/>
                      <w:lang w:val="en-US" w:eastAsia="zh-CN"/>
                    </w:rPr>
                  </w:pPr>
                  <w:r>
                    <w:rPr>
                      <w:rFonts w:hint="eastAsia" w:cs="宋体"/>
                      <w:b/>
                      <w:bCs/>
                      <w:color w:val="auto"/>
                      <w:sz w:val="21"/>
                      <w:szCs w:val="21"/>
                      <w:lang w:val="en-US" w:eastAsia="zh-CN"/>
                    </w:rPr>
                    <w:t>65</w:t>
                  </w:r>
                </w:p>
              </w:tc>
              <w:tc>
                <w:tcPr>
                  <w:tcW w:w="1529" w:type="dxa"/>
                  <w:tcBorders>
                    <w:tl2br w:val="nil"/>
                    <w:tr2bl w:val="nil"/>
                  </w:tcBorders>
                  <w:noWrap w:val="0"/>
                  <w:vAlign w:val="center"/>
                </w:tcPr>
                <w:p>
                  <w:pPr>
                    <w:pStyle w:val="91"/>
                    <w:ind w:left="422" w:leftChars="0" w:hanging="422" w:hangingChars="200"/>
                    <w:jc w:val="center"/>
                    <w:rPr>
                      <w:rFonts w:hint="default" w:cs="宋体"/>
                      <w:color w:val="auto"/>
                      <w:sz w:val="21"/>
                      <w:szCs w:val="21"/>
                      <w:lang w:val="en-US" w:eastAsia="zh-CN"/>
                    </w:rPr>
                  </w:pPr>
                  <w:r>
                    <w:rPr>
                      <w:rFonts w:hint="eastAsia" w:cs="宋体"/>
                      <w:b/>
                      <w:bCs/>
                      <w:color w:val="auto"/>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8" w:space="0"/>
                </w:tblBorders>
                <w:tblCellMar>
                  <w:top w:w="0" w:type="dxa"/>
                  <w:left w:w="108" w:type="dxa"/>
                  <w:bottom w:w="0" w:type="dxa"/>
                  <w:right w:w="108" w:type="dxa"/>
                </w:tblCellMar>
              </w:tblPrEx>
              <w:trPr>
                <w:trHeight w:val="454" w:hRule="atLeast"/>
              </w:trPr>
              <w:tc>
                <w:tcPr>
                  <w:tcW w:w="5000" w:type="pct"/>
                  <w:gridSpan w:val="6"/>
                  <w:tcBorders>
                    <w:tl2br w:val="nil"/>
                    <w:tr2bl w:val="nil"/>
                  </w:tcBorders>
                  <w:noWrap w:val="0"/>
                  <w:vAlign w:val="center"/>
                </w:tcPr>
                <w:p>
                  <w:pPr>
                    <w:pStyle w:val="91"/>
                    <w:ind w:left="420" w:leftChars="0"/>
                    <w:jc w:val="left"/>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w:t>
                  </w:r>
                  <w:r>
                    <w:rPr>
                      <w:rFonts w:hint="eastAsia" w:eastAsia="宋体" w:cs="Times New Roman"/>
                      <w:color w:val="auto"/>
                      <w:sz w:val="21"/>
                      <w:szCs w:val="21"/>
                      <w:lang w:val="en-US" w:eastAsia="zh-CN"/>
                    </w:rPr>
                    <w:t>厂界噪声</w:t>
                  </w:r>
                  <w:r>
                    <w:rPr>
                      <w:rFonts w:hint="default" w:ascii="Times New Roman" w:hAnsi="Times New Roman" w:eastAsia="宋体" w:cs="Times New Roman"/>
                      <w:color w:val="auto"/>
                      <w:sz w:val="21"/>
                      <w:szCs w:val="21"/>
                      <w:lang w:val="en-US" w:eastAsia="zh-CN"/>
                    </w:rPr>
                    <w:t>标准参考《</w:t>
                  </w:r>
                  <w:r>
                    <w:rPr>
                      <w:rFonts w:hint="eastAsia" w:ascii="Times New Roman" w:hAnsi="Times New Roman" w:eastAsia="宋体" w:cs="Times New Roman"/>
                      <w:color w:val="auto"/>
                      <w:sz w:val="21"/>
                      <w:szCs w:val="21"/>
                      <w:lang w:val="en-US" w:eastAsia="zh-CN"/>
                    </w:rPr>
                    <w:t>工业企业厂界环境噪声排放标准</w:t>
                  </w:r>
                  <w:r>
                    <w:rPr>
                      <w:rFonts w:hint="default" w:ascii="Times New Roman" w:hAnsi="Times New Roman" w:eastAsia="宋体" w:cs="Times New Roman"/>
                      <w:color w:val="auto"/>
                      <w:sz w:val="21"/>
                      <w:szCs w:val="21"/>
                      <w:lang w:val="en-US" w:eastAsia="zh-CN"/>
                    </w:rPr>
                    <w:t xml:space="preserve">》（GB </w:t>
                  </w:r>
                  <w:r>
                    <w:rPr>
                      <w:rFonts w:hint="eastAsia" w:ascii="Times New Roman" w:hAnsi="Times New Roman" w:eastAsia="宋体" w:cs="Times New Roman"/>
                      <w:color w:val="auto"/>
                      <w:sz w:val="21"/>
                      <w:szCs w:val="21"/>
                      <w:lang w:val="en-US" w:eastAsia="zh-CN"/>
                    </w:rPr>
                    <w:t>12348</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2008</w:t>
                  </w:r>
                  <w:r>
                    <w:rPr>
                      <w:rFonts w:hint="default"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中3</w:t>
                  </w:r>
                  <w:r>
                    <w:rPr>
                      <w:rFonts w:hint="eastAsia" w:ascii="Times New Roman" w:hAnsi="Times New Roman" w:eastAsia="宋体" w:cs="Times New Roman"/>
                      <w:color w:val="auto"/>
                      <w:sz w:val="21"/>
                      <w:szCs w:val="21"/>
                      <w:lang w:val="en-US" w:eastAsia="zh-CN"/>
                    </w:rPr>
                    <w:t>类</w:t>
                  </w:r>
                  <w:r>
                    <w:rPr>
                      <w:rFonts w:hint="default" w:ascii="Times New Roman" w:hAnsi="Times New Roman" w:eastAsia="宋体" w:cs="Times New Roman"/>
                      <w:color w:val="auto"/>
                      <w:sz w:val="21"/>
                      <w:szCs w:val="21"/>
                      <w:lang w:val="en-US" w:eastAsia="zh-CN"/>
                    </w:rPr>
                    <w:t>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根据噪声监测结果，本项目东、南、西、北厂界噪声能够达到</w:t>
            </w:r>
            <w:r>
              <w:rPr>
                <w:rFonts w:hint="default"/>
                <w:color w:val="auto"/>
                <w:sz w:val="24"/>
                <w:szCs w:val="24"/>
                <w:lang w:val="en-US" w:eastAsia="zh-CN"/>
              </w:rPr>
              <w:t>《</w:t>
            </w:r>
            <w:r>
              <w:rPr>
                <w:rFonts w:hint="eastAsia"/>
                <w:color w:val="auto"/>
                <w:sz w:val="24"/>
                <w:szCs w:val="24"/>
                <w:lang w:val="en-US" w:eastAsia="zh-CN"/>
              </w:rPr>
              <w:t>工业企业厂界环境噪声排放标准</w:t>
            </w:r>
            <w:r>
              <w:rPr>
                <w:rFonts w:hint="default"/>
                <w:color w:val="auto"/>
                <w:sz w:val="24"/>
                <w:szCs w:val="24"/>
                <w:lang w:val="en-US" w:eastAsia="zh-CN"/>
              </w:rPr>
              <w:t xml:space="preserve">》（GB </w:t>
            </w:r>
            <w:r>
              <w:rPr>
                <w:rFonts w:hint="eastAsia"/>
                <w:color w:val="auto"/>
                <w:sz w:val="24"/>
                <w:szCs w:val="24"/>
                <w:lang w:val="en-US" w:eastAsia="zh-CN"/>
              </w:rPr>
              <w:t>12348</w:t>
            </w:r>
            <w:r>
              <w:rPr>
                <w:rFonts w:hint="default"/>
                <w:color w:val="auto"/>
                <w:sz w:val="24"/>
                <w:szCs w:val="24"/>
                <w:lang w:val="en-US" w:eastAsia="zh-CN"/>
              </w:rPr>
              <w:t>-</w:t>
            </w:r>
            <w:r>
              <w:rPr>
                <w:rFonts w:hint="eastAsia"/>
                <w:color w:val="auto"/>
                <w:sz w:val="24"/>
                <w:szCs w:val="24"/>
                <w:lang w:val="en-US" w:eastAsia="zh-CN"/>
              </w:rPr>
              <w:t>2008</w:t>
            </w:r>
            <w:r>
              <w:rPr>
                <w:rFonts w:hint="default"/>
                <w:color w:val="auto"/>
                <w:sz w:val="24"/>
                <w:szCs w:val="24"/>
                <w:lang w:val="en-US" w:eastAsia="zh-CN"/>
              </w:rPr>
              <w:t>）</w:t>
            </w:r>
            <w:r>
              <w:rPr>
                <w:rFonts w:hint="eastAsia"/>
                <w:color w:val="auto"/>
                <w:sz w:val="24"/>
                <w:szCs w:val="24"/>
                <w:lang w:val="en-US" w:eastAsia="zh-CN"/>
              </w:rPr>
              <w:t>中3类</w:t>
            </w:r>
            <w:r>
              <w:rPr>
                <w:rFonts w:hint="default"/>
                <w:color w:val="auto"/>
                <w:sz w:val="24"/>
                <w:szCs w:val="24"/>
                <w:lang w:val="en-US" w:eastAsia="zh-CN"/>
              </w:rPr>
              <w:t>标准</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3、固体废弃物</w:t>
            </w:r>
          </w:p>
          <w:p>
            <w:pPr>
              <w:spacing w:line="360" w:lineRule="auto"/>
              <w:ind w:firstLine="472" w:firstLineChars="200"/>
              <w:rPr>
                <w:rFonts w:hint="eastAsia" w:ascii="Times New Roman" w:hAnsi="Times New Roman" w:cs="Times New Roman"/>
                <w:spacing w:val="-2"/>
                <w:sz w:val="24"/>
                <w:lang w:eastAsia="zh-CN" w:bidi="ar"/>
              </w:rPr>
            </w:pPr>
            <w:r>
              <w:rPr>
                <w:rFonts w:hint="eastAsia" w:ascii="Times New Roman" w:hAnsi="Times New Roman" w:cs="Times New Roman"/>
                <w:spacing w:val="-2"/>
                <w:sz w:val="24"/>
                <w:lang w:eastAsia="zh-CN" w:bidi="ar"/>
              </w:rPr>
              <w:t>项目固废产生主要为一般固体废物</w:t>
            </w:r>
            <w:r>
              <w:rPr>
                <w:rFonts w:hint="eastAsia" w:cs="Times New Roman"/>
                <w:spacing w:val="-2"/>
                <w:sz w:val="24"/>
                <w:lang w:eastAsia="zh-CN" w:bidi="ar"/>
              </w:rPr>
              <w:t>（边角料、废包装材料以及除尘器收集的颗粒物）以及生活垃圾</w:t>
            </w:r>
            <w:r>
              <w:rPr>
                <w:rFonts w:hint="eastAsia" w:ascii="Times New Roman" w:hAnsi="Times New Roman" w:cs="Times New Roman"/>
                <w:spacing w:val="-2"/>
                <w:sz w:val="24"/>
                <w:lang w:eastAsia="zh-CN" w:bidi="ar"/>
              </w:rPr>
              <w:t>。</w:t>
            </w:r>
          </w:p>
          <w:p>
            <w:pPr>
              <w:spacing w:line="360" w:lineRule="auto"/>
              <w:ind w:firstLine="480" w:firstLineChars="200"/>
              <w:rPr>
                <w:color w:val="auto"/>
                <w:sz w:val="24"/>
                <w:szCs w:val="24"/>
              </w:rPr>
            </w:pPr>
            <w:r>
              <w:rPr>
                <w:color w:val="auto"/>
                <w:sz w:val="24"/>
                <w:szCs w:val="24"/>
              </w:rPr>
              <w:t>（1）</w:t>
            </w:r>
            <w:r>
              <w:rPr>
                <w:rFonts w:hint="eastAsia"/>
                <w:color w:val="auto"/>
                <w:sz w:val="24"/>
                <w:szCs w:val="24"/>
              </w:rPr>
              <w:t>生活垃圾</w:t>
            </w:r>
          </w:p>
          <w:p>
            <w:pPr>
              <w:spacing w:line="360" w:lineRule="auto"/>
              <w:ind w:firstLine="480" w:firstLineChars="200"/>
              <w:rPr>
                <w:rFonts w:hint="eastAsia" w:eastAsia="宋体" w:cs="Times New Roman"/>
                <w:color w:val="auto"/>
                <w:spacing w:val="-2"/>
                <w:sz w:val="24"/>
                <w:lang w:val="en-US" w:eastAsia="zh-CN" w:bidi="ar"/>
              </w:rPr>
            </w:pPr>
            <w:r>
              <w:rPr>
                <w:color w:val="auto"/>
                <w:sz w:val="24"/>
                <w:szCs w:val="24"/>
              </w:rPr>
              <w:t>本厂区共有职</w:t>
            </w:r>
            <w:r>
              <w:rPr>
                <w:rFonts w:hint="eastAsia"/>
                <w:color w:val="auto"/>
                <w:sz w:val="24"/>
                <w:szCs w:val="24"/>
                <w:lang w:val="en-US" w:eastAsia="zh-CN"/>
              </w:rPr>
              <w:t>28</w:t>
            </w:r>
            <w:r>
              <w:rPr>
                <w:color w:val="auto"/>
                <w:sz w:val="24"/>
                <w:szCs w:val="24"/>
              </w:rPr>
              <w:t>人，生活垃圾产生量为</w:t>
            </w:r>
            <w:r>
              <w:rPr>
                <w:rFonts w:hint="eastAsia"/>
                <w:color w:val="auto"/>
                <w:sz w:val="24"/>
                <w:szCs w:val="24"/>
                <w:lang w:val="en-US" w:eastAsia="zh-CN"/>
              </w:rPr>
              <w:t>4.2</w:t>
            </w:r>
            <w:r>
              <w:rPr>
                <w:color w:val="auto"/>
                <w:sz w:val="24"/>
                <w:szCs w:val="24"/>
              </w:rPr>
              <w:t>t/a，垃圾桶收集</w:t>
            </w:r>
            <w:r>
              <w:rPr>
                <w:rFonts w:hint="eastAsia"/>
                <w:color w:val="auto"/>
                <w:sz w:val="24"/>
                <w:szCs w:val="24"/>
                <w:lang w:eastAsia="zh-CN"/>
              </w:rPr>
              <w:t>，由环卫部门</w:t>
            </w:r>
            <w:r>
              <w:rPr>
                <w:color w:val="auto"/>
                <w:sz w:val="24"/>
                <w:szCs w:val="24"/>
              </w:rPr>
              <w:t>统一</w:t>
            </w:r>
            <w:r>
              <w:rPr>
                <w:rFonts w:hint="eastAsia"/>
                <w:color w:val="auto"/>
                <w:sz w:val="24"/>
                <w:szCs w:val="24"/>
                <w:lang w:eastAsia="zh-CN"/>
              </w:rPr>
              <w:t>清运</w:t>
            </w:r>
            <w:r>
              <w:rPr>
                <w:color w:val="auto"/>
                <w:sz w:val="24"/>
                <w:szCs w:val="24"/>
              </w:rPr>
              <w:t>处置</w:t>
            </w:r>
            <w:r>
              <w:rPr>
                <w:rFonts w:hint="eastAsia"/>
                <w:color w:val="auto"/>
                <w:sz w:val="24"/>
                <w:szCs w:val="24"/>
                <w:lang w:eastAsia="zh-CN"/>
              </w:rPr>
              <w:t>。</w:t>
            </w:r>
          </w:p>
          <w:p>
            <w:pPr>
              <w:spacing w:line="360" w:lineRule="auto"/>
              <w:ind w:firstLine="472" w:firstLineChars="200"/>
              <w:rPr>
                <w:rFonts w:hint="default" w:ascii="Times New Roman" w:hAnsi="Times New Roman" w:cs="Times New Roman"/>
                <w:color w:val="auto"/>
                <w:spacing w:val="-2"/>
                <w:sz w:val="24"/>
                <w:lang w:val="en-US" w:eastAsia="zh-CN" w:bidi="ar"/>
              </w:rPr>
            </w:pPr>
            <w:r>
              <w:rPr>
                <w:rFonts w:hint="eastAsia" w:cs="Times New Roman"/>
                <w:color w:val="auto"/>
                <w:spacing w:val="-2"/>
                <w:sz w:val="24"/>
                <w:lang w:val="en-US" w:eastAsia="zh-CN" w:bidi="ar"/>
              </w:rPr>
              <w:t>（2）</w:t>
            </w:r>
            <w:r>
              <w:rPr>
                <w:rFonts w:hint="eastAsia" w:ascii="Times New Roman" w:hAnsi="Times New Roman" w:cs="Times New Roman"/>
                <w:color w:val="auto"/>
                <w:spacing w:val="-2"/>
                <w:sz w:val="24"/>
                <w:lang w:val="en-US" w:eastAsia="zh-CN" w:bidi="ar"/>
              </w:rPr>
              <w:t>边角料</w:t>
            </w:r>
          </w:p>
          <w:p>
            <w:pPr>
              <w:spacing w:line="360" w:lineRule="auto"/>
              <w:ind w:firstLine="472" w:firstLineChars="200"/>
              <w:rPr>
                <w:rFonts w:hint="default" w:ascii="Times New Roman" w:hAnsi="Times New Roman" w:cs="Times New Roman"/>
                <w:color w:val="auto"/>
                <w:spacing w:val="-2"/>
                <w:sz w:val="24"/>
                <w:lang w:val="en-US" w:eastAsia="zh-CN" w:bidi="ar"/>
              </w:rPr>
            </w:pPr>
            <w:r>
              <w:rPr>
                <w:rFonts w:hint="eastAsia" w:ascii="Times New Roman" w:hAnsi="Times New Roman" w:cs="Times New Roman"/>
                <w:color w:val="auto"/>
                <w:spacing w:val="-2"/>
                <w:sz w:val="24"/>
                <w:lang w:val="en-US" w:eastAsia="zh-CN" w:bidi="ar"/>
              </w:rPr>
              <w:t>在切割、打磨过程中均会产生边角料，根据企业介绍，则边角料的产生量为</w:t>
            </w:r>
            <w:r>
              <w:rPr>
                <w:rFonts w:hint="eastAsia" w:cs="Times New Roman"/>
                <w:color w:val="auto"/>
                <w:spacing w:val="-2"/>
                <w:sz w:val="24"/>
                <w:lang w:val="en-US" w:eastAsia="zh-CN" w:bidi="ar"/>
              </w:rPr>
              <w:t>240</w:t>
            </w:r>
            <w:r>
              <w:rPr>
                <w:rFonts w:hint="eastAsia" w:ascii="Times New Roman" w:hAnsi="Times New Roman" w:cs="Times New Roman"/>
                <w:color w:val="auto"/>
                <w:spacing w:val="-2"/>
                <w:sz w:val="24"/>
                <w:lang w:val="en-US" w:eastAsia="zh-CN" w:bidi="ar"/>
              </w:rPr>
              <w:t>t/a，则由企业统一收集后外售至造纸厂。</w:t>
            </w:r>
          </w:p>
          <w:p>
            <w:pPr>
              <w:spacing w:line="360" w:lineRule="auto"/>
              <w:ind w:firstLine="472" w:firstLineChars="200"/>
              <w:rPr>
                <w:rFonts w:hint="eastAsia" w:cs="Times New Roman"/>
                <w:color w:val="auto"/>
                <w:spacing w:val="-2"/>
                <w:sz w:val="24"/>
                <w:lang w:val="en-US" w:eastAsia="zh-CN" w:bidi="ar"/>
              </w:rPr>
            </w:pPr>
            <w:r>
              <w:rPr>
                <w:rFonts w:hint="eastAsia" w:cs="Times New Roman"/>
                <w:color w:val="auto"/>
                <w:spacing w:val="-2"/>
                <w:sz w:val="24"/>
                <w:lang w:val="en-US" w:eastAsia="zh-CN" w:bidi="ar"/>
              </w:rPr>
              <w:t>（3）废包装材料</w:t>
            </w:r>
          </w:p>
          <w:p>
            <w:pPr>
              <w:spacing w:line="360" w:lineRule="auto"/>
              <w:ind w:firstLine="472" w:firstLineChars="200"/>
              <w:rPr>
                <w:rFonts w:hint="eastAsia" w:cs="Times New Roman"/>
                <w:color w:val="auto"/>
                <w:spacing w:val="-2"/>
                <w:sz w:val="24"/>
                <w:lang w:val="en-US" w:eastAsia="zh-CN" w:bidi="ar"/>
              </w:rPr>
            </w:pPr>
            <w:r>
              <w:rPr>
                <w:rFonts w:hint="eastAsia" w:cs="Times New Roman"/>
                <w:color w:val="auto"/>
                <w:spacing w:val="-2"/>
                <w:sz w:val="24"/>
                <w:lang w:val="en-US" w:eastAsia="zh-CN" w:bidi="ar"/>
              </w:rPr>
              <w:t>项目环保型纸管胶采用塑料桶包装，产生量约为0.5t/a，本项目胶桶由供应商回收。</w:t>
            </w:r>
          </w:p>
          <w:p>
            <w:pPr>
              <w:spacing w:line="360" w:lineRule="auto"/>
              <w:ind w:firstLine="472" w:firstLineChars="200"/>
              <w:rPr>
                <w:rFonts w:hint="default" w:ascii="Times New Roman" w:hAnsi="Times New Roman" w:cs="Times New Roman"/>
                <w:color w:val="auto"/>
                <w:spacing w:val="-2"/>
                <w:sz w:val="24"/>
                <w:lang w:val="en-US" w:eastAsia="zh-CN" w:bidi="ar"/>
              </w:rPr>
            </w:pPr>
            <w:r>
              <w:rPr>
                <w:rFonts w:hint="eastAsia" w:cs="Times New Roman"/>
                <w:color w:val="auto"/>
                <w:spacing w:val="-2"/>
                <w:sz w:val="24"/>
                <w:lang w:val="en-US" w:eastAsia="zh-CN" w:bidi="ar"/>
              </w:rPr>
              <w:t>（4）除尘器收集的颗粒物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left"/>
              <w:textAlignment w:val="auto"/>
              <w:rPr>
                <w:rFonts w:hint="eastAsia" w:cs="Times New Roman"/>
                <w:color w:val="auto"/>
                <w:spacing w:val="-2"/>
                <w:sz w:val="24"/>
                <w:lang w:val="en-US" w:eastAsia="zh-CN" w:bidi="ar"/>
              </w:rPr>
            </w:pPr>
            <w:r>
              <w:rPr>
                <w:rFonts w:hint="eastAsia" w:cs="Times New Roman"/>
                <w:color w:val="auto"/>
                <w:spacing w:val="-2"/>
                <w:sz w:val="24"/>
                <w:lang w:val="en-US" w:eastAsia="zh-CN" w:bidi="ar"/>
              </w:rPr>
              <w:t>根据计算，除尘器收集的颗粒物的量为16.335t/a，作为固废外售。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1"/>
                <w:szCs w:val="21"/>
                <w:highlight w:val="none"/>
                <w:u w:val="none"/>
                <w:lang w:val="en-US" w:eastAsia="zh-CN"/>
              </w:rPr>
            </w:pPr>
            <w:r>
              <w:rPr>
                <w:rFonts w:hint="eastAsia" w:cs="Times New Roman"/>
                <w:b/>
                <w:bCs w:val="0"/>
                <w:strike w:val="0"/>
                <w:dstrike w:val="0"/>
                <w:color w:val="auto"/>
                <w:sz w:val="24"/>
                <w:szCs w:val="24"/>
                <w:highlight w:val="none"/>
                <w:u w:val="none"/>
                <w:lang w:val="en-US" w:eastAsia="zh-CN"/>
              </w:rPr>
              <w:t>4、现有项目污染物排放情况汇总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cs="Times New Roman"/>
                <w:b/>
                <w:bCs w:val="0"/>
                <w:strike w:val="0"/>
                <w:dstrike w:val="0"/>
                <w:color w:val="auto"/>
                <w:sz w:val="21"/>
                <w:szCs w:val="21"/>
                <w:highlight w:val="none"/>
                <w:u w:val="none"/>
                <w:lang w:val="en-US" w:eastAsia="zh-CN"/>
              </w:rPr>
            </w:pPr>
            <w:r>
              <w:rPr>
                <w:rFonts w:hint="eastAsia" w:cs="Times New Roman"/>
                <w:b/>
                <w:bCs w:val="0"/>
                <w:strike w:val="0"/>
                <w:dstrike w:val="0"/>
                <w:color w:val="auto"/>
                <w:sz w:val="21"/>
                <w:szCs w:val="21"/>
                <w:highlight w:val="none"/>
                <w:u w:val="none"/>
                <w:lang w:val="en-US" w:eastAsia="zh-CN"/>
              </w:rPr>
              <w:t>表2-12  现有项目污染物排放情况汇总表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81"/>
              <w:gridCol w:w="939"/>
              <w:gridCol w:w="928"/>
              <w:gridCol w:w="930"/>
              <w:gridCol w:w="2250"/>
              <w:gridCol w:w="1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7"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ascii="Calibri" w:hAnsi="Calibri" w:cs="Calibri"/>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26670</wp:posOffset>
                            </wp:positionV>
                            <wp:extent cx="906145" cy="314960"/>
                            <wp:effectExtent l="1270" t="4445" r="6985" b="4445"/>
                            <wp:wrapNone/>
                            <wp:docPr id="39" name="直接箭头连接符 39"/>
                            <wp:cNvGraphicFramePr/>
                            <a:graphic xmlns:a="http://schemas.openxmlformats.org/drawingml/2006/main">
                              <a:graphicData uri="http://schemas.microsoft.com/office/word/2010/wordprocessingShape">
                                <wps:wsp>
                                  <wps:cNvCnPr/>
                                  <wps:spPr>
                                    <a:xfrm>
                                      <a:off x="0" y="0"/>
                                      <a:ext cx="906145" cy="3149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2.1pt;height:24.8pt;width:71.35pt;z-index:251660288;mso-width-relative:page;mso-height-relative:page;" filled="f" stroked="t" coordsize="21600,21600" o:gfxdata="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8p15tYAAAAHAQAADwAAAAAAAAABACAAAAAiAAAAZHJzL2Rv&#10;d25yZXYueG1sUEsBAhQAFAAAAAgAh07iQJ0ZlL0DAgAA8g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rPr>
                    <w:t>内容</w:t>
                  </w:r>
                </w:p>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60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排放源</w:t>
                  </w:r>
                </w:p>
              </w:tc>
              <w:tc>
                <w:tcPr>
                  <w:tcW w:w="1187" w:type="pct"/>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污染物</w:t>
                  </w:r>
                  <w:r>
                    <w:rPr>
                      <w:rFonts w:hint="eastAsia" w:ascii="Times New Roman" w:hAnsi="Times New Roman" w:eastAsia="宋体" w:cs="Times New Roman"/>
                      <w:color w:val="auto"/>
                      <w:sz w:val="21"/>
                      <w:szCs w:val="21"/>
                      <w:lang w:eastAsia="zh-CN"/>
                    </w:rPr>
                    <w:t>名称</w:t>
                  </w:r>
                </w:p>
              </w:tc>
              <w:tc>
                <w:tcPr>
                  <w:tcW w:w="143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排放浓度及排放量</w:t>
                  </w:r>
                </w:p>
              </w:tc>
              <w:tc>
                <w:tcPr>
                  <w:tcW w:w="1146"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处理措施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27"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废气</w:t>
                  </w:r>
                </w:p>
              </w:tc>
              <w:tc>
                <w:tcPr>
                  <w:tcW w:w="600"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生物质颗粒燃烧</w:t>
                  </w:r>
                </w:p>
              </w:tc>
              <w:tc>
                <w:tcPr>
                  <w:tcW w:w="1187" w:type="pct"/>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颗粒物</w:t>
                  </w:r>
                </w:p>
              </w:tc>
              <w:tc>
                <w:tcPr>
                  <w:tcW w:w="1438" w:type="pct"/>
                  <w:tcBorders>
                    <w:tl2br w:val="nil"/>
                    <w:tr2bl w:val="nil"/>
                  </w:tcBorders>
                  <w:vAlign w:val="center"/>
                </w:tcPr>
                <w:p>
                  <w:pPr>
                    <w:spacing w:beforeLines="0" w:afterLines="0" w:line="240" w:lineRule="auto"/>
                    <w:jc w:val="center"/>
                    <w:rPr>
                      <w:rFonts w:hint="default" w:ascii="Times New Roman" w:hAnsi="Times New Roman" w:eastAsia="宋体" w:cs="Times New Roman"/>
                      <w:color w:val="auto"/>
                      <w:sz w:val="21"/>
                      <w:szCs w:val="21"/>
                      <w:lang w:val="en-US" w:eastAsia="zh-CN"/>
                    </w:rPr>
                  </w:pPr>
                  <w:r>
                    <w:rPr>
                      <w:rFonts w:hint="eastAsia" w:cs="Times New Roman"/>
                      <w:snapToGrid w:val="0"/>
                      <w:color w:val="auto"/>
                      <w:kern w:val="21"/>
                      <w:szCs w:val="21"/>
                      <w:highlight w:val="none"/>
                      <w:lang w:val="en-US" w:eastAsia="zh-CN"/>
                    </w:rPr>
                    <w:t>69.54mg/m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 xml:space="preserve">，0.06t/a </w:t>
                  </w:r>
                </w:p>
              </w:tc>
              <w:tc>
                <w:tcPr>
                  <w:tcW w:w="1146" w:type="pct"/>
                  <w:vMerge w:val="restar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管道连通，采用水雾除尘处理，再通过22米排气筒外排（DA001）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Times New Roman" w:hAnsi="Times New Roman" w:eastAsia="宋体" w:cs="Times New Roman"/>
                      <w:color w:val="auto"/>
                      <w:sz w:val="21"/>
                      <w:szCs w:val="21"/>
                      <w:lang w:eastAsia="zh-CN"/>
                    </w:rPr>
                  </w:pPr>
                </w:p>
              </w:tc>
              <w:tc>
                <w:tcPr>
                  <w:tcW w:w="60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lang w:val="en-US" w:eastAsia="zh-CN"/>
                    </w:rPr>
                  </w:pPr>
                </w:p>
              </w:tc>
              <w:tc>
                <w:tcPr>
                  <w:tcW w:w="1187" w:type="pct"/>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SO</w:t>
                  </w:r>
                  <w:r>
                    <w:rPr>
                      <w:rFonts w:hint="eastAsia" w:cs="Times New Roman"/>
                      <w:color w:val="auto"/>
                      <w:sz w:val="21"/>
                      <w:szCs w:val="21"/>
                      <w:vertAlign w:val="subscript"/>
                      <w:lang w:val="en-US" w:eastAsia="zh-CN"/>
                    </w:rPr>
                    <w:t>2</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46.36mg/m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，0.04t/a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both"/>
                    <w:rPr>
                      <w:rFonts w:hint="eastAsia" w:ascii="Times New Roman" w:hAnsi="Times New Roman" w:eastAsia="宋体" w:cs="Times New Roman"/>
                      <w:color w:val="auto"/>
                      <w:sz w:val="21"/>
                      <w:szCs w:val="21"/>
                      <w:lang w:eastAsia="zh-CN"/>
                    </w:rPr>
                  </w:pPr>
                </w:p>
              </w:tc>
              <w:tc>
                <w:tcPr>
                  <w:tcW w:w="60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lang w:val="en-US" w:eastAsia="zh-CN"/>
                    </w:rPr>
                  </w:pPr>
                </w:p>
              </w:tc>
              <w:tc>
                <w:tcPr>
                  <w:tcW w:w="1187" w:type="pct"/>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NO</w:t>
                  </w:r>
                  <w:r>
                    <w:rPr>
                      <w:rFonts w:hint="eastAsia" w:cs="Times New Roman"/>
                      <w:color w:val="auto"/>
                      <w:sz w:val="21"/>
                      <w:szCs w:val="21"/>
                      <w:vertAlign w:val="subscript"/>
                      <w:lang w:val="en-US" w:eastAsia="zh-CN"/>
                    </w:rPr>
                    <w:t>X</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141.40mg/m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，0.122t/a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p>
              </w:tc>
              <w:tc>
                <w:tcPr>
                  <w:tcW w:w="60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制管烘干工序废气</w:t>
                  </w:r>
                </w:p>
              </w:tc>
              <w:tc>
                <w:tcPr>
                  <w:tcW w:w="593"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非甲烷总烃</w:t>
                  </w:r>
                </w:p>
              </w:tc>
              <w:tc>
                <w:tcPr>
                  <w:tcW w:w="593"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lang w:eastAsia="zh-CN"/>
                    </w:rPr>
                  </w:pPr>
                  <w:r>
                    <w:rPr>
                      <w:rFonts w:hint="eastAsia" w:cs="Times New Roman"/>
                      <w:color w:val="auto"/>
                      <w:sz w:val="21"/>
                      <w:szCs w:val="21"/>
                      <w:lang w:eastAsia="zh-CN"/>
                    </w:rPr>
                    <w:t>无组织</w:t>
                  </w:r>
                </w:p>
              </w:tc>
              <w:tc>
                <w:tcPr>
                  <w:tcW w:w="1438"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40t/a</w:t>
                  </w:r>
                </w:p>
              </w:tc>
              <w:tc>
                <w:tcPr>
                  <w:tcW w:w="1146"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加强车间通风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p>
              </w:tc>
              <w:tc>
                <w:tcPr>
                  <w:tcW w:w="60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抛光打磨</w:t>
                  </w:r>
                </w:p>
              </w:tc>
              <w:tc>
                <w:tcPr>
                  <w:tcW w:w="1187" w:type="pct"/>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颗粒物</w:t>
                  </w:r>
                </w:p>
              </w:tc>
              <w:tc>
                <w:tcPr>
                  <w:tcW w:w="1438"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0.165t/a</w:t>
                  </w:r>
                </w:p>
              </w:tc>
              <w:tc>
                <w:tcPr>
                  <w:tcW w:w="1146"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布袋除尘器处理后无组织排放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废水</w:t>
                  </w:r>
                </w:p>
              </w:tc>
              <w:tc>
                <w:tcPr>
                  <w:tcW w:w="60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生活废水</w:t>
                  </w: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废水量</w:t>
                  </w:r>
                </w:p>
              </w:tc>
              <w:tc>
                <w:tcPr>
                  <w:tcW w:w="1438"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768m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/a</w:t>
                  </w:r>
                </w:p>
              </w:tc>
              <w:tc>
                <w:tcPr>
                  <w:tcW w:w="1146" w:type="pct"/>
                  <w:vMerge w:val="restar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color w:val="auto"/>
                      <w:kern w:val="2"/>
                      <w:sz w:val="21"/>
                      <w:szCs w:val="21"/>
                      <w:u w:val="none"/>
                      <w:lang w:val="en-US" w:eastAsia="zh-CN" w:bidi="ar-SA"/>
                    </w:rPr>
                    <w:t>生活废水化粪池处理后进入园区生活污水处理站处理后最终进入澹水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cs="Times New Roman"/>
                      <w:color w:val="auto"/>
                      <w:sz w:val="21"/>
                      <w:szCs w:val="21"/>
                      <w:lang w:eastAsia="zh-CN"/>
                    </w:rPr>
                  </w:pPr>
                </w:p>
              </w:tc>
              <w:tc>
                <w:tcPr>
                  <w:tcW w:w="60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COD</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212.5mg/m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，0.163t/a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cs="Times New Roman"/>
                      <w:color w:val="auto"/>
                      <w:sz w:val="21"/>
                      <w:szCs w:val="21"/>
                      <w:lang w:eastAsia="zh-CN"/>
                    </w:rPr>
                  </w:pPr>
                </w:p>
              </w:tc>
              <w:tc>
                <w:tcPr>
                  <w:tcW w:w="60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BOD</w:t>
                  </w:r>
                  <w:r>
                    <w:rPr>
                      <w:rFonts w:hint="eastAsia" w:cs="Times New Roman"/>
                      <w:color w:val="auto"/>
                      <w:kern w:val="2"/>
                      <w:sz w:val="21"/>
                      <w:szCs w:val="21"/>
                      <w:highlight w:val="none"/>
                      <w:vertAlign w:val="subscript"/>
                      <w:lang w:val="en-US" w:eastAsia="zh-CN" w:bidi="ar-SA"/>
                    </w:rPr>
                    <w:t>5</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83.87mg/m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，0.064t/a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cs="Times New Roman"/>
                      <w:color w:val="auto"/>
                      <w:sz w:val="21"/>
                      <w:szCs w:val="21"/>
                      <w:lang w:eastAsia="zh-CN"/>
                    </w:rPr>
                  </w:pPr>
                </w:p>
              </w:tc>
              <w:tc>
                <w:tcPr>
                  <w:tcW w:w="60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SS</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100.13mg/m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，0.002t/a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p>
              </w:tc>
              <w:tc>
                <w:tcPr>
                  <w:tcW w:w="60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氨氮</w:t>
                  </w:r>
                </w:p>
              </w:tc>
              <w:tc>
                <w:tcPr>
                  <w:tcW w:w="1438"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29.05mg/m</w:t>
                  </w:r>
                  <w:r>
                    <w:rPr>
                      <w:rFonts w:hint="eastAsia" w:cs="Times New Roman"/>
                      <w:snapToGrid w:val="0"/>
                      <w:color w:val="auto"/>
                      <w:kern w:val="21"/>
                      <w:szCs w:val="21"/>
                      <w:highlight w:val="none"/>
                      <w:vertAlign w:val="superscript"/>
                      <w:lang w:val="en-US" w:eastAsia="zh-CN"/>
                    </w:rPr>
                    <w:t>3</w:t>
                  </w:r>
                  <w:r>
                    <w:rPr>
                      <w:rFonts w:hint="eastAsia" w:cs="Times New Roman"/>
                      <w:snapToGrid w:val="0"/>
                      <w:color w:val="auto"/>
                      <w:kern w:val="21"/>
                      <w:szCs w:val="21"/>
                      <w:highlight w:val="none"/>
                      <w:lang w:val="en-US" w:eastAsia="zh-CN"/>
                    </w:rPr>
                    <w:t>，0.004t/a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60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切割、打磨过程</w:t>
                  </w: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边角料</w:t>
                  </w:r>
                </w:p>
              </w:tc>
              <w:tc>
                <w:tcPr>
                  <w:tcW w:w="1438" w:type="pct"/>
                  <w:tcBorders>
                    <w:tl2br w:val="nil"/>
                    <w:tr2bl w:val="nil"/>
                  </w:tcBorders>
                  <w:vAlign w:val="center"/>
                </w:tcPr>
                <w:p>
                  <w:pPr>
                    <w:spacing w:beforeLines="0" w:afterLines="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240</w:t>
                  </w:r>
                  <w:r>
                    <w:rPr>
                      <w:rFonts w:hint="eastAsia" w:ascii="Times New Roman" w:hAnsi="Times New Roman" w:eastAsia="宋体" w:cs="Times New Roman"/>
                      <w:color w:val="auto"/>
                      <w:sz w:val="21"/>
                      <w:szCs w:val="21"/>
                      <w:lang w:val="en-US" w:eastAsia="zh-CN"/>
                    </w:rPr>
                    <w:t>t/a</w:t>
                  </w:r>
                </w:p>
              </w:tc>
              <w:tc>
                <w:tcPr>
                  <w:tcW w:w="1146" w:type="pct"/>
                  <w:vMerge w:val="restart"/>
                  <w:tcBorders>
                    <w:tl2br w:val="nil"/>
                    <w:tr2bl w:val="nil"/>
                  </w:tcBorders>
                  <w:vAlign w:val="center"/>
                </w:tcPr>
                <w:p>
                  <w:pPr>
                    <w:spacing w:beforeLines="0" w:afterLines="0" w:line="240" w:lineRule="auto"/>
                    <w:jc w:val="both"/>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统一收集后袋装外售造纸厂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p>
              </w:tc>
              <w:tc>
                <w:tcPr>
                  <w:tcW w:w="60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除尘器收集的颗粒物</w:t>
                  </w:r>
                </w:p>
              </w:tc>
              <w:tc>
                <w:tcPr>
                  <w:tcW w:w="1438"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lang w:val="en-US" w:eastAsia="zh-CN"/>
                    </w:rPr>
                  </w:pPr>
                  <w:r>
                    <w:rPr>
                      <w:rFonts w:hint="eastAsia" w:cs="Times New Roman"/>
                      <w:color w:val="auto"/>
                      <w:sz w:val="21"/>
                      <w:szCs w:val="21"/>
                      <w:lang w:val="en-US" w:eastAsia="zh-CN"/>
                    </w:rPr>
                    <w:t>16.335</w:t>
                  </w:r>
                  <w:r>
                    <w:rPr>
                      <w:rFonts w:hint="eastAsia" w:ascii="Times New Roman" w:hAnsi="Times New Roman" w:eastAsia="宋体" w:cs="Times New Roman"/>
                      <w:color w:val="auto"/>
                      <w:sz w:val="21"/>
                      <w:szCs w:val="21"/>
                      <w:lang w:val="en-US" w:eastAsia="zh-CN"/>
                    </w:rPr>
                    <w:t>t/a</w:t>
                  </w:r>
                </w:p>
              </w:tc>
              <w:tc>
                <w:tcPr>
                  <w:tcW w:w="1146" w:type="pct"/>
                  <w:vMerge w:val="continue"/>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p>
              </w:tc>
              <w:tc>
                <w:tcPr>
                  <w:tcW w:w="6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原材料储存包装</w:t>
                  </w: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废包装材料</w:t>
                  </w:r>
                </w:p>
              </w:tc>
              <w:tc>
                <w:tcPr>
                  <w:tcW w:w="1438" w:type="pct"/>
                  <w:tcBorders>
                    <w:tl2br w:val="nil"/>
                    <w:tr2bl w:val="nil"/>
                  </w:tcBorders>
                  <w:vAlign w:val="center"/>
                </w:tcPr>
                <w:p>
                  <w:pPr>
                    <w:spacing w:beforeLines="0" w:afterLines="0"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0.5t/a</w:t>
                  </w:r>
                </w:p>
              </w:tc>
              <w:tc>
                <w:tcPr>
                  <w:tcW w:w="1146"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原料供应商回收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rPr>
                  </w:pPr>
                </w:p>
              </w:tc>
              <w:tc>
                <w:tcPr>
                  <w:tcW w:w="6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生活办公区</w:t>
                  </w:r>
                </w:p>
              </w:tc>
              <w:tc>
                <w:tcPr>
                  <w:tcW w:w="118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生活垃圾</w:t>
                  </w:r>
                </w:p>
              </w:tc>
              <w:tc>
                <w:tcPr>
                  <w:tcW w:w="1438" w:type="pct"/>
                  <w:tcBorders>
                    <w:tl2br w:val="nil"/>
                    <w:tr2bl w:val="nil"/>
                  </w:tcBorders>
                  <w:vAlign w:val="center"/>
                </w:tcPr>
                <w:p>
                  <w:pPr>
                    <w:spacing w:beforeLines="0" w:afterLines="0" w:line="240" w:lineRule="auto"/>
                    <w:jc w:val="center"/>
                    <w:rPr>
                      <w:rFonts w:hint="eastAsia" w:cs="Times New Roman"/>
                      <w:snapToGrid w:val="0"/>
                      <w:color w:val="auto"/>
                      <w:kern w:val="21"/>
                      <w:szCs w:val="21"/>
                      <w:highlight w:val="none"/>
                      <w:lang w:val="en-US" w:eastAsia="zh-CN"/>
                    </w:rPr>
                  </w:pPr>
                  <w:r>
                    <w:rPr>
                      <w:rFonts w:hint="eastAsia" w:cs="Times New Roman"/>
                      <w:color w:val="auto"/>
                      <w:sz w:val="21"/>
                      <w:szCs w:val="21"/>
                      <w:lang w:val="en-US" w:eastAsia="zh-CN"/>
                    </w:rPr>
                    <w:t>4.2</w:t>
                  </w:r>
                  <w:r>
                    <w:rPr>
                      <w:rFonts w:hint="eastAsia" w:ascii="Times New Roman" w:hAnsi="Times New Roman" w:eastAsia="宋体" w:cs="Times New Roman"/>
                      <w:color w:val="auto"/>
                      <w:sz w:val="21"/>
                      <w:szCs w:val="21"/>
                      <w:lang w:val="en-US" w:eastAsia="zh-CN"/>
                    </w:rPr>
                    <w:t>t/a</w:t>
                  </w:r>
                </w:p>
              </w:tc>
              <w:tc>
                <w:tcPr>
                  <w:tcW w:w="1146" w:type="pct"/>
                  <w:tcBorders>
                    <w:tl2br w:val="nil"/>
                    <w:tr2bl w:val="nil"/>
                  </w:tcBorders>
                  <w:vAlign w:val="center"/>
                </w:tcPr>
                <w:p>
                  <w:pPr>
                    <w:spacing w:beforeLines="0" w:afterLines="0" w:line="240" w:lineRule="auto"/>
                    <w:jc w:val="center"/>
                    <w:rPr>
                      <w:rFonts w:hint="eastAsia" w:eastAsia="宋体"/>
                      <w:color w:val="auto"/>
                      <w:sz w:val="21"/>
                      <w:szCs w:val="21"/>
                      <w:lang w:eastAsia="zh-CN"/>
                    </w:rPr>
                  </w:pPr>
                  <w:r>
                    <w:rPr>
                      <w:rFonts w:hint="eastAsia"/>
                      <w:color w:val="auto"/>
                      <w:sz w:val="21"/>
                      <w:szCs w:val="21"/>
                      <w:lang w:eastAsia="zh-CN"/>
                    </w:rPr>
                    <w:t>由环卫部门统一回收处理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val="0"/>
                <w:strike w:val="0"/>
                <w:dstrike w:val="0"/>
                <w:color w:val="auto"/>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eastAsia="宋体" w:cs="Times New Roman"/>
                <w:bCs/>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5、现有存在的问题及“以新带老”措施</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1）存在的环境问题</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①根据现场踏勘，本项目燃烧废气经水浴除尘处理后直接通过22m排气筒外排，</w:t>
            </w:r>
            <w:r>
              <w:rPr>
                <w:rFonts w:hint="eastAsia" w:cs="Times New Roman"/>
                <w:color w:val="auto"/>
                <w:sz w:val="24"/>
                <w:szCs w:val="24"/>
                <w:u w:val="none"/>
                <w:lang w:val="en-US" w:eastAsia="zh-CN"/>
              </w:rPr>
              <w:t>根据《排污许可证申请与核发规范 总则》（HJ942-2018），废气处置措施不符合要求。</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②厂区内粘接剂储存过程中无防泄漏措施；</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Cs/>
                <w:strike w:val="0"/>
                <w:dstrike w:val="0"/>
                <w:color w:val="auto"/>
                <w:sz w:val="24"/>
                <w:szCs w:val="24"/>
                <w:highlight w:val="none"/>
                <w:u w:val="single"/>
                <w:vertAlign w:val="baseline"/>
                <w:lang w:val="en-US" w:eastAsia="zh-CN"/>
              </w:rPr>
            </w:pPr>
            <w:r>
              <w:rPr>
                <w:rFonts w:hint="eastAsia" w:ascii="宋体" w:hAnsi="宋体" w:eastAsia="宋体" w:cs="宋体"/>
                <w:bCs/>
                <w:strike w:val="0"/>
                <w:dstrike w:val="0"/>
                <w:color w:val="auto"/>
                <w:sz w:val="24"/>
                <w:szCs w:val="24"/>
                <w:highlight w:val="none"/>
                <w:u w:val="single"/>
                <w:lang w:val="en-US" w:eastAsia="zh-CN"/>
              </w:rPr>
              <w:t>③原有工程所用的纸管胶为溶剂型，废气污染物VOCs含量较高，需从源头减少VOC</w:t>
            </w:r>
            <w:r>
              <w:rPr>
                <w:rFonts w:hint="eastAsia" w:ascii="宋体" w:hAnsi="宋体" w:eastAsia="宋体" w:cs="宋体"/>
                <w:bCs/>
                <w:strike w:val="0"/>
                <w:dstrike w:val="0"/>
                <w:color w:val="auto"/>
                <w:sz w:val="24"/>
                <w:szCs w:val="24"/>
                <w:highlight w:val="none"/>
                <w:u w:val="single"/>
                <w:vertAlign w:val="subscript"/>
                <w:lang w:val="en-US" w:eastAsia="zh-CN"/>
              </w:rPr>
              <w:t>S</w:t>
            </w:r>
            <w:r>
              <w:rPr>
                <w:rFonts w:hint="eastAsia" w:ascii="宋体" w:hAnsi="宋体" w:eastAsia="宋体" w:cs="宋体"/>
                <w:bCs/>
                <w:strike w:val="0"/>
                <w:dstrike w:val="0"/>
                <w:color w:val="auto"/>
                <w:sz w:val="24"/>
                <w:szCs w:val="24"/>
                <w:highlight w:val="none"/>
                <w:u w:val="single"/>
                <w:vertAlign w:val="baseline"/>
                <w:lang w:val="en-US" w:eastAsia="zh-CN"/>
              </w:rPr>
              <w:t>产生量。</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2）整改措施</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strike w:val="0"/>
                <w:dstrike w:val="0"/>
                <w:color w:val="auto"/>
                <w:sz w:val="24"/>
                <w:szCs w:val="24"/>
                <w:highlight w:val="none"/>
                <w:u w:val="none"/>
                <w:lang w:val="en-US" w:eastAsia="zh-CN"/>
              </w:rPr>
            </w:pPr>
            <w:r>
              <w:rPr>
                <w:rFonts w:hint="eastAsia" w:cs="Times New Roman"/>
                <w:bCs/>
                <w:strike w:val="0"/>
                <w:dstrike w:val="0"/>
                <w:color w:val="auto"/>
                <w:sz w:val="24"/>
                <w:szCs w:val="24"/>
                <w:highlight w:val="none"/>
                <w:u w:val="none"/>
                <w:lang w:val="en-US" w:eastAsia="zh-CN"/>
              </w:rPr>
              <w:t>①取消燃烧生物质颗粒热风炉，企业使用能源改为为天然气，使用天然气加热器提供热风对产品进行烘干，废气循环燃烧后无组织排放；</w:t>
            </w:r>
          </w:p>
          <w:p>
            <w:pPr>
              <w:pStyle w:val="1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Times New Roman" w:hAnsi="Times New Roman"/>
                <w:color w:val="000000"/>
                <w:szCs w:val="24"/>
                <w:u w:val="none"/>
                <w:lang w:bidi="ar"/>
              </w:rPr>
            </w:pPr>
            <w:r>
              <w:rPr>
                <w:rFonts w:hint="eastAsia" w:cs="Times New Roman"/>
                <w:bCs/>
                <w:strike w:val="0"/>
                <w:dstrike w:val="0"/>
                <w:color w:val="auto"/>
                <w:sz w:val="24"/>
                <w:szCs w:val="24"/>
                <w:highlight w:val="none"/>
                <w:u w:val="none"/>
                <w:lang w:val="en-US" w:eastAsia="zh-CN"/>
              </w:rPr>
              <w:t>②厂区内粘接剂储存过程中设置防泄漏措施。</w:t>
            </w:r>
          </w:p>
          <w:p>
            <w:pPr>
              <w:pStyle w:val="1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Cs/>
                <w:strike w:val="0"/>
                <w:dstrike w:val="0"/>
                <w:color w:val="auto"/>
                <w:sz w:val="24"/>
                <w:szCs w:val="24"/>
                <w:highlight w:val="none"/>
                <w:u w:val="single"/>
                <w:vertAlign w:val="baseline"/>
                <w:lang w:val="en-US" w:eastAsia="zh-CN"/>
              </w:rPr>
            </w:pPr>
            <w:r>
              <w:rPr>
                <w:rFonts w:hint="eastAsia" w:ascii="宋体" w:hAnsi="宋体" w:eastAsia="宋体" w:cs="宋体"/>
                <w:bCs/>
                <w:strike w:val="0"/>
                <w:dstrike w:val="0"/>
                <w:color w:val="auto"/>
                <w:sz w:val="24"/>
                <w:szCs w:val="24"/>
                <w:highlight w:val="none"/>
                <w:u w:val="single"/>
                <w:lang w:val="en-US" w:eastAsia="zh-CN"/>
              </w:rPr>
              <w:t>③从源头替代减少VOC</w:t>
            </w:r>
            <w:r>
              <w:rPr>
                <w:rFonts w:hint="eastAsia" w:ascii="宋体" w:hAnsi="宋体" w:eastAsia="宋体" w:cs="宋体"/>
                <w:bCs/>
                <w:strike w:val="0"/>
                <w:dstrike w:val="0"/>
                <w:color w:val="auto"/>
                <w:sz w:val="24"/>
                <w:szCs w:val="24"/>
                <w:highlight w:val="none"/>
                <w:u w:val="single"/>
                <w:vertAlign w:val="subscript"/>
                <w:lang w:val="en-US" w:eastAsia="zh-CN"/>
              </w:rPr>
              <w:t>S</w:t>
            </w:r>
            <w:r>
              <w:rPr>
                <w:rFonts w:hint="eastAsia" w:ascii="宋体" w:hAnsi="宋体" w:eastAsia="宋体" w:cs="宋体"/>
                <w:bCs/>
                <w:strike w:val="0"/>
                <w:dstrike w:val="0"/>
                <w:color w:val="auto"/>
                <w:sz w:val="24"/>
                <w:szCs w:val="24"/>
                <w:highlight w:val="none"/>
                <w:u w:val="single"/>
                <w:lang w:val="en-US" w:eastAsia="zh-CN"/>
              </w:rPr>
              <w:t>产生量，替换成环保型白乳胶</w:t>
            </w:r>
            <w:r>
              <w:rPr>
                <w:rFonts w:hint="eastAsia" w:ascii="宋体" w:hAnsi="宋体" w:eastAsia="宋体" w:cs="宋体"/>
                <w:bCs/>
                <w:strike w:val="0"/>
                <w:dstrike w:val="0"/>
                <w:color w:val="auto"/>
                <w:sz w:val="24"/>
                <w:szCs w:val="24"/>
                <w:highlight w:val="none"/>
                <w:u w:val="single"/>
                <w:vertAlign w:val="baseline"/>
                <w:lang w:val="en-US" w:eastAsia="zh-CN"/>
              </w:rPr>
              <w:t>。</w:t>
            </w:r>
          </w:p>
          <w:p>
            <w:pPr>
              <w:pStyle w:val="25"/>
              <w:widowControl w:val="0"/>
              <w:autoSpaceDE w:val="0"/>
              <w:autoSpaceDN w:val="0"/>
              <w:adjustRightInd w:val="0"/>
              <w:spacing w:before="0" w:beforeAutospacing="0" w:after="0" w:afterAutospacing="0" w:line="360" w:lineRule="auto"/>
              <w:ind w:firstLine="480" w:firstLineChars="200"/>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p>
            <w:pPr>
              <w:pStyle w:val="25"/>
              <w:widowControl w:val="0"/>
              <w:autoSpaceDE w:val="0"/>
              <w:autoSpaceDN w:val="0"/>
              <w:adjustRightInd w:val="0"/>
              <w:spacing w:before="0" w:beforeAutospacing="0" w:after="0" w:afterAutospacing="0" w:line="360" w:lineRule="auto"/>
              <w:rPr>
                <w:rFonts w:ascii="Times New Roman" w:hAnsi="Times New Roman"/>
                <w:color w:val="000000"/>
                <w:szCs w:val="24"/>
                <w:lang w:bidi="ar"/>
              </w:rPr>
            </w:pPr>
          </w:p>
        </w:tc>
      </w:tr>
    </w:tbl>
    <w:p>
      <w:pPr>
        <w:jc w:val="cente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numPr>
          <w:ilvl w:val="0"/>
          <w:numId w:val="2"/>
        </w:numPr>
        <w:spacing w:before="0" w:beforeAutospacing="0" w:after="0" w:afterAutospacing="0"/>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区域环境质量现状、环境保护目标及评价标准</w:t>
      </w:r>
    </w:p>
    <w:tbl>
      <w:tblPr>
        <w:tblStyle w:val="28"/>
        <w:tblW w:w="91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613"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489" w:type="dxa"/>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outlineLvl w:val="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1、</w:t>
            </w:r>
            <w:r>
              <w:rPr>
                <w:rFonts w:hint="eastAsia" w:ascii="Times New Roman" w:hAnsi="Times New Roman" w:eastAsia="宋体" w:cs="Times New Roman"/>
                <w:b/>
                <w:bCs/>
                <w:color w:val="auto"/>
                <w:sz w:val="24"/>
                <w:szCs w:val="24"/>
                <w:highlight w:val="none"/>
                <w:u w:val="none"/>
                <w:lang w:eastAsia="zh-CN"/>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rFonts w:hint="eastAsia"/>
                <w:sz w:val="24"/>
                <w:szCs w:val="24"/>
                <w:lang w:val="en-US" w:eastAsia="zh-CN"/>
              </w:rPr>
              <w:t>（1）区域环境空气质量达标判定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none"/>
              </w:rPr>
            </w:pPr>
            <w:r>
              <w:rPr>
                <w:sz w:val="24"/>
                <w:szCs w:val="24"/>
                <w:u w:val="none"/>
              </w:rPr>
              <w:t>项目所在区域大气环境属二类功能区，执行《环境空气质量标准》（GB3095-2012）二级标准。为了解本项目所在区域大气环境质量现状，本次环境影响评价空气质量现状监测数据引用《常德市生态环境局关于20</w:t>
            </w:r>
            <w:r>
              <w:rPr>
                <w:rFonts w:hint="eastAsia"/>
                <w:sz w:val="24"/>
                <w:szCs w:val="24"/>
                <w:u w:val="none"/>
                <w:lang w:val="en-US" w:eastAsia="zh-CN"/>
              </w:rPr>
              <w:t>21</w:t>
            </w:r>
            <w:r>
              <w:rPr>
                <w:sz w:val="24"/>
                <w:szCs w:val="24"/>
                <w:u w:val="none"/>
              </w:rPr>
              <w:t>年12月全市环境质量状况的通报》中附件3“20</w:t>
            </w:r>
            <w:r>
              <w:rPr>
                <w:rFonts w:hint="eastAsia"/>
                <w:sz w:val="24"/>
                <w:szCs w:val="24"/>
                <w:u w:val="none"/>
                <w:lang w:val="en-US" w:eastAsia="zh-CN"/>
              </w:rPr>
              <w:t>21</w:t>
            </w:r>
            <w:r>
              <w:rPr>
                <w:sz w:val="24"/>
                <w:szCs w:val="24"/>
                <w:u w:val="none"/>
              </w:rPr>
              <w:t>年1～12月常德市环境空气质量状况”，环境空气质量现状见表</w:t>
            </w:r>
            <w:r>
              <w:rPr>
                <w:rFonts w:hint="eastAsia"/>
                <w:sz w:val="24"/>
                <w:szCs w:val="24"/>
                <w:u w:val="none"/>
                <w:lang w:val="en-US" w:eastAsia="zh-CN"/>
              </w:rPr>
              <w:t>3</w:t>
            </w:r>
            <w:r>
              <w:rPr>
                <w:sz w:val="24"/>
                <w:szCs w:val="24"/>
                <w:u w:val="none"/>
              </w:rPr>
              <w:t>-</w:t>
            </w:r>
            <w:r>
              <w:rPr>
                <w:rFonts w:hint="eastAsia"/>
                <w:sz w:val="24"/>
                <w:szCs w:val="24"/>
                <w:u w:val="none"/>
                <w:lang w:val="en-US" w:eastAsia="zh-CN"/>
              </w:rPr>
              <w:t>1</w:t>
            </w:r>
            <w:r>
              <w:rPr>
                <w:sz w:val="24"/>
                <w:szCs w:val="24"/>
                <w:u w:val="none"/>
              </w:rPr>
              <w:t>。</w:t>
            </w:r>
          </w:p>
          <w:p>
            <w:pPr>
              <w:spacing w:line="240" w:lineRule="auto"/>
              <w:ind w:firstLine="422"/>
              <w:jc w:val="center"/>
              <w:rPr>
                <w:rFonts w:ascii="Times New Roman" w:hAnsi="Times New Roman" w:eastAsia="宋体"/>
                <w:color w:val="auto"/>
                <w:sz w:val="24"/>
                <w:highlight w:val="none"/>
                <w:u w:val="none"/>
              </w:rPr>
            </w:pPr>
            <w:r>
              <w:rPr>
                <w:rFonts w:hint="eastAsia" w:ascii="Times New Roman" w:hAnsi="Times New Roman" w:eastAsia="宋体"/>
                <w:b/>
                <w:color w:val="auto"/>
                <w:sz w:val="21"/>
                <w:szCs w:val="21"/>
                <w:highlight w:val="none"/>
                <w:u w:val="none"/>
              </w:rPr>
              <w:t>表</w:t>
            </w:r>
            <w:r>
              <w:rPr>
                <w:rFonts w:hint="eastAsia" w:ascii="Times New Roman" w:hAnsi="Times New Roman"/>
                <w:b/>
                <w:color w:val="auto"/>
                <w:sz w:val="21"/>
                <w:szCs w:val="21"/>
                <w:highlight w:val="none"/>
                <w:u w:val="none"/>
                <w:lang w:val="en-US" w:eastAsia="zh-CN"/>
              </w:rPr>
              <w:t>3</w:t>
            </w:r>
            <w:r>
              <w:rPr>
                <w:rFonts w:hint="eastAsia" w:ascii="Times New Roman" w:hAnsi="Times New Roman" w:eastAsia="宋体"/>
                <w:b/>
                <w:color w:val="auto"/>
                <w:sz w:val="21"/>
                <w:szCs w:val="21"/>
                <w:highlight w:val="none"/>
                <w:u w:val="none"/>
              </w:rPr>
              <w:t xml:space="preserve">-1  </w:t>
            </w:r>
            <w:r>
              <w:rPr>
                <w:rFonts w:hint="eastAsia"/>
                <w:b/>
                <w:color w:val="auto"/>
                <w:sz w:val="21"/>
                <w:szCs w:val="21"/>
                <w:highlight w:val="none"/>
                <w:u w:val="none"/>
                <w:lang w:eastAsia="zh-CN"/>
              </w:rPr>
              <w:t>澧县</w:t>
            </w:r>
            <w:r>
              <w:rPr>
                <w:rFonts w:hint="eastAsia" w:ascii="Times New Roman" w:hAnsi="Times New Roman" w:eastAsia="宋体"/>
                <w:b/>
                <w:color w:val="auto"/>
                <w:sz w:val="21"/>
                <w:szCs w:val="21"/>
                <w:highlight w:val="none"/>
                <w:u w:val="none"/>
              </w:rPr>
              <w:t>空气环境质量现状监测统计结果</w:t>
            </w:r>
          </w:p>
          <w:tbl>
            <w:tblPr>
              <w:tblStyle w:val="28"/>
              <w:tblW w:w="5000" w:type="pct"/>
              <w:tblInd w:w="-1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052"/>
              <w:gridCol w:w="1345"/>
              <w:gridCol w:w="1412"/>
              <w:gridCol w:w="1275"/>
              <w:gridCol w:w="1248"/>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污染物</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年评价指标</w:t>
                  </w:r>
                </w:p>
              </w:tc>
              <w:tc>
                <w:tcPr>
                  <w:tcW w:w="807"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现状浓度/</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标准值</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765"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占标率/%</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达标情况</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2.5</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34</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35</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97.14</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10</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49</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70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70</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SO</w:t>
                  </w:r>
                  <w:r>
                    <w:rPr>
                      <w:rFonts w:ascii="Times New Roman" w:hAnsi="Times New Roman" w:eastAsia="宋体"/>
                      <w:color w:val="auto"/>
                      <w:sz w:val="21"/>
                      <w:szCs w:val="21"/>
                      <w:highlight w:val="none"/>
                      <w:u w:val="none"/>
                      <w:vertAlign w:val="subscript"/>
                    </w:rPr>
                    <w:t>2</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60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NO</w:t>
                  </w:r>
                  <w:r>
                    <w:rPr>
                      <w:rFonts w:ascii="Times New Roman" w:hAnsi="Times New Roman" w:eastAsia="宋体"/>
                      <w:color w:val="auto"/>
                      <w:sz w:val="21"/>
                      <w:szCs w:val="21"/>
                      <w:highlight w:val="none"/>
                      <w:u w:val="none"/>
                      <w:vertAlign w:val="subscript"/>
                    </w:rPr>
                    <w:t>2</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10</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25</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CO</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日平均质量浓度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25</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O</w:t>
                  </w:r>
                  <w:r>
                    <w:rPr>
                      <w:rFonts w:ascii="Times New Roman" w:hAnsi="Times New Roman" w:eastAsia="宋体"/>
                      <w:color w:val="auto"/>
                      <w:sz w:val="21"/>
                      <w:szCs w:val="21"/>
                      <w:highlight w:val="none"/>
                      <w:u w:val="none"/>
                      <w:vertAlign w:val="subscript"/>
                    </w:rPr>
                    <w:t>3</w:t>
                  </w:r>
                </w:p>
              </w:tc>
              <w:tc>
                <w:tcPr>
                  <w:tcW w:w="1231"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8h平均质量浓度</w:t>
                  </w:r>
                </w:p>
              </w:tc>
              <w:tc>
                <w:tcPr>
                  <w:tcW w:w="807"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ascii="Times New Roman" w:hAnsi="Times New Roman" w:eastAsia="宋体"/>
                      <w:color w:val="auto"/>
                      <w:sz w:val="21"/>
                      <w:szCs w:val="21"/>
                      <w:highlight w:val="none"/>
                      <w:u w:val="none"/>
                      <w:lang w:val="en-US" w:eastAsia="zh-CN"/>
                    </w:rPr>
                    <w:t>1</w:t>
                  </w:r>
                  <w:r>
                    <w:rPr>
                      <w:rFonts w:hint="eastAsia"/>
                      <w:color w:val="auto"/>
                      <w:sz w:val="21"/>
                      <w:szCs w:val="21"/>
                      <w:highlight w:val="none"/>
                      <w:u w:val="none"/>
                      <w:lang w:val="en-US" w:eastAsia="zh-CN"/>
                    </w:rPr>
                    <w:t>38</w:t>
                  </w:r>
                </w:p>
              </w:tc>
              <w:tc>
                <w:tcPr>
                  <w:tcW w:w="847"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160</w:t>
                  </w:r>
                </w:p>
              </w:tc>
              <w:tc>
                <w:tcPr>
                  <w:tcW w:w="765" w:type="pct"/>
                  <w:tcBorders>
                    <w:tl2br w:val="nil"/>
                    <w:tr2bl w:val="nil"/>
                  </w:tcBorders>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86.25</w:t>
                  </w:r>
                </w:p>
              </w:tc>
              <w:tc>
                <w:tcPr>
                  <w:tcW w:w="748" w:type="pct"/>
                  <w:tcBorders>
                    <w:tl2br w:val="nil"/>
                    <w:tr2bl w:val="nil"/>
                  </w:tcBorders>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olor w:val="auto"/>
                <w:sz w:val="24"/>
                <w:highlight w:val="none"/>
                <w:u w:val="none"/>
              </w:rPr>
            </w:pPr>
            <w:r>
              <w:rPr>
                <w:rFonts w:hint="eastAsia" w:ascii="Times New Roman" w:hAnsi="Times New Roman" w:eastAsia="宋体"/>
                <w:color w:val="auto"/>
                <w:sz w:val="24"/>
                <w:highlight w:val="none"/>
                <w:u w:val="none"/>
                <w:lang w:val="en-US" w:eastAsia="zh-CN"/>
              </w:rPr>
              <w:t>根据《环境影响评价技术导则 大气环境》（HJ2.2-2018）中项目所在区域达标判断要求，结合上表数据可知，项目所在区域</w:t>
            </w:r>
            <w:r>
              <w:rPr>
                <w:rFonts w:hint="eastAsia"/>
                <w:color w:val="auto"/>
                <w:sz w:val="24"/>
                <w:highlight w:val="none"/>
                <w:u w:val="none"/>
                <w:lang w:val="en-US" w:eastAsia="zh-CN"/>
              </w:rPr>
              <w:t>澧县</w:t>
            </w:r>
            <w:r>
              <w:rPr>
                <w:rFonts w:hint="eastAsia" w:ascii="Times New Roman" w:hAnsi="Times New Roman" w:eastAsia="宋体"/>
                <w:color w:val="auto"/>
                <w:sz w:val="24"/>
                <w:highlight w:val="none"/>
                <w:u w:val="none"/>
                <w:lang w:val="en-US" w:eastAsia="zh-CN"/>
              </w:rPr>
              <w:t>为达标区，环境空气质量较好</w:t>
            </w:r>
            <w:r>
              <w:rPr>
                <w:rFonts w:hint="eastAsia" w:ascii="Times New Roman" w:hAnsi="Times New Roman" w:eastAsia="宋体"/>
                <w:color w:val="auto"/>
                <w:sz w:val="24"/>
                <w:highlight w:val="none"/>
                <w:u w:val="none"/>
              </w:rPr>
              <w:t>。</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（2）区域污染物环境质量现状</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项目主要环境空气污染物</w:t>
            </w:r>
            <w:r>
              <w:rPr>
                <w:rFonts w:hint="eastAsia" w:ascii="Times New Roman" w:hAnsi="Times New Roman" w:eastAsia="宋体" w:cs="Times New Roman"/>
                <w:color w:val="auto"/>
                <w:sz w:val="24"/>
                <w:szCs w:val="24"/>
                <w:highlight w:val="none"/>
                <w:u w:val="none"/>
              </w:rPr>
              <w:t>为</w:t>
            </w:r>
            <w:r>
              <w:rPr>
                <w:rFonts w:hint="eastAsia" w:ascii="Times New Roman" w:hAnsi="Times New Roman" w:eastAsia="宋体" w:cs="Times New Roman"/>
                <w:color w:val="auto"/>
                <w:sz w:val="24"/>
                <w:szCs w:val="24"/>
                <w:highlight w:val="none"/>
                <w:u w:val="none"/>
                <w:lang w:val="en-US" w:eastAsia="zh-CN"/>
              </w:rPr>
              <w:t>TSP、TVOC</w:t>
            </w:r>
            <w:r>
              <w:rPr>
                <w:rFonts w:hint="eastAsia" w:ascii="Times New Roman" w:hAnsi="Times New Roman" w:eastAsia="宋体" w:cs="Times New Roman"/>
                <w:color w:val="auto"/>
                <w:sz w:val="24"/>
                <w:szCs w:val="24"/>
                <w:highlight w:val="none"/>
                <w:u w:val="none"/>
              </w:rPr>
              <w:t>，</w:t>
            </w:r>
            <w:r>
              <w:rPr>
                <w:rFonts w:hint="eastAsia"/>
                <w:color w:val="auto"/>
                <w:sz w:val="24"/>
                <w:szCs w:val="24"/>
                <w:highlight w:val="none"/>
                <w:u w:val="none"/>
              </w:rPr>
              <w:t>本次对其环境质量现状进行一期的补充监测。</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1）</w:t>
            </w:r>
            <w:r>
              <w:rPr>
                <w:color w:val="auto"/>
                <w:sz w:val="24"/>
                <w:szCs w:val="24"/>
                <w:highlight w:val="none"/>
                <w:u w:val="none"/>
              </w:rPr>
              <w:t>监测点位</w:t>
            </w:r>
          </w:p>
          <w:p>
            <w:pPr>
              <w:spacing w:line="360" w:lineRule="auto"/>
              <w:ind w:firstLine="480" w:firstLineChars="200"/>
              <w:rPr>
                <w:color w:val="auto"/>
                <w:sz w:val="24"/>
                <w:szCs w:val="24"/>
                <w:highlight w:val="none"/>
                <w:u w:val="none"/>
              </w:rPr>
            </w:pPr>
            <w:r>
              <w:rPr>
                <w:color w:val="auto"/>
                <w:sz w:val="24"/>
                <w:szCs w:val="24"/>
                <w:highlight w:val="none"/>
                <w:u w:val="none"/>
              </w:rPr>
              <w:t>本次设置监测点</w:t>
            </w:r>
            <w:r>
              <w:rPr>
                <w:rFonts w:hint="eastAsia"/>
                <w:color w:val="auto"/>
                <w:sz w:val="24"/>
                <w:szCs w:val="24"/>
                <w:highlight w:val="none"/>
                <w:u w:val="none"/>
                <w:lang w:val="en-US" w:eastAsia="zh-CN"/>
              </w:rPr>
              <w:t>1</w:t>
            </w:r>
            <w:r>
              <w:rPr>
                <w:color w:val="auto"/>
                <w:sz w:val="24"/>
                <w:szCs w:val="24"/>
                <w:highlight w:val="none"/>
                <w:u w:val="none"/>
              </w:rPr>
              <w:t>处，具体布设情况如下表：</w:t>
            </w:r>
          </w:p>
          <w:p>
            <w:pPr>
              <w:snapToGrid w:val="0"/>
              <w:jc w:val="center"/>
              <w:rPr>
                <w:b/>
                <w:bCs/>
                <w:color w:val="auto"/>
                <w:sz w:val="24"/>
                <w:szCs w:val="24"/>
                <w:highlight w:val="none"/>
                <w:u w:val="none"/>
              </w:rPr>
            </w:pPr>
            <w:r>
              <w:rPr>
                <w:b/>
                <w:bCs/>
                <w:color w:val="auto"/>
                <w:sz w:val="24"/>
                <w:szCs w:val="24"/>
                <w:highlight w:val="none"/>
                <w:u w:val="none"/>
              </w:rPr>
              <w:t>表</w:t>
            </w:r>
            <w:r>
              <w:rPr>
                <w:rFonts w:hint="eastAsia"/>
                <w:b/>
                <w:bCs/>
                <w:color w:val="auto"/>
                <w:sz w:val="24"/>
                <w:szCs w:val="24"/>
                <w:highlight w:val="none"/>
                <w:u w:val="none"/>
                <w:lang w:val="en-US" w:eastAsia="zh-CN"/>
              </w:rPr>
              <w:t>3</w:t>
            </w:r>
            <w:r>
              <w:rPr>
                <w:b/>
                <w:bCs/>
                <w:color w:val="auto"/>
                <w:sz w:val="24"/>
                <w:szCs w:val="24"/>
                <w:highlight w:val="none"/>
                <w:u w:val="none"/>
              </w:rPr>
              <w:t>-</w:t>
            </w:r>
            <w:r>
              <w:rPr>
                <w:rFonts w:hint="eastAsia"/>
                <w:b/>
                <w:bCs/>
                <w:color w:val="auto"/>
                <w:sz w:val="24"/>
                <w:szCs w:val="24"/>
                <w:highlight w:val="none"/>
                <w:u w:val="none"/>
              </w:rPr>
              <w:t>2</w:t>
            </w:r>
            <w:r>
              <w:rPr>
                <w:b/>
                <w:bCs/>
                <w:color w:val="auto"/>
                <w:sz w:val="24"/>
                <w:szCs w:val="24"/>
                <w:highlight w:val="none"/>
                <w:u w:val="none"/>
              </w:rPr>
              <w:t xml:space="preserve"> </w:t>
            </w:r>
            <w:r>
              <w:rPr>
                <w:rFonts w:hint="eastAsia"/>
                <w:b/>
                <w:bCs/>
                <w:color w:val="auto"/>
                <w:sz w:val="24"/>
                <w:szCs w:val="24"/>
                <w:highlight w:val="none"/>
                <w:u w:val="none"/>
              </w:rPr>
              <w:t xml:space="preserve"> </w:t>
            </w:r>
            <w:r>
              <w:rPr>
                <w:b/>
                <w:bCs/>
                <w:color w:val="auto"/>
                <w:sz w:val="24"/>
                <w:szCs w:val="24"/>
                <w:highlight w:val="none"/>
                <w:u w:val="none"/>
              </w:rPr>
              <w:t>大气环境质量现状监测点一览表</w:t>
            </w:r>
          </w:p>
          <w:tbl>
            <w:tblPr>
              <w:tblStyle w:val="28"/>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3384"/>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449" w:type="dxa"/>
                  <w:tcBorders>
                    <w:tl2br w:val="nil"/>
                    <w:tr2bl w:val="nil"/>
                  </w:tcBorders>
                  <w:vAlign w:val="center"/>
                </w:tcPr>
                <w:p>
                  <w:pPr>
                    <w:tabs>
                      <w:tab w:val="left" w:pos="2352"/>
                    </w:tabs>
                    <w:adjustRightInd w:val="0"/>
                    <w:snapToGrid w:val="0"/>
                    <w:jc w:val="center"/>
                    <w:rPr>
                      <w:b/>
                      <w:bCs/>
                      <w:color w:val="auto"/>
                      <w:highlight w:val="none"/>
                      <w:u w:val="none"/>
                    </w:rPr>
                  </w:pPr>
                  <w:r>
                    <w:rPr>
                      <w:b/>
                      <w:bCs/>
                      <w:color w:val="auto"/>
                      <w:highlight w:val="none"/>
                      <w:u w:val="none"/>
                    </w:rPr>
                    <w:t>编号</w:t>
                  </w:r>
                </w:p>
              </w:tc>
              <w:tc>
                <w:tcPr>
                  <w:tcW w:w="3384" w:type="dxa"/>
                  <w:tcBorders>
                    <w:tl2br w:val="nil"/>
                    <w:tr2bl w:val="nil"/>
                  </w:tcBorders>
                  <w:vAlign w:val="center"/>
                </w:tcPr>
                <w:p>
                  <w:pPr>
                    <w:tabs>
                      <w:tab w:val="left" w:pos="2352"/>
                    </w:tabs>
                    <w:adjustRightInd w:val="0"/>
                    <w:snapToGrid w:val="0"/>
                    <w:jc w:val="center"/>
                    <w:rPr>
                      <w:b/>
                      <w:bCs/>
                      <w:color w:val="auto"/>
                      <w:highlight w:val="none"/>
                      <w:u w:val="none"/>
                    </w:rPr>
                  </w:pPr>
                  <w:r>
                    <w:rPr>
                      <w:b/>
                      <w:bCs/>
                      <w:color w:val="auto"/>
                      <w:highlight w:val="none"/>
                      <w:u w:val="none"/>
                    </w:rPr>
                    <w:t>监测点</w:t>
                  </w:r>
                </w:p>
              </w:tc>
              <w:tc>
                <w:tcPr>
                  <w:tcW w:w="3509" w:type="dxa"/>
                  <w:tcBorders>
                    <w:tl2br w:val="nil"/>
                    <w:tr2bl w:val="nil"/>
                  </w:tcBorders>
                  <w:vAlign w:val="center"/>
                </w:tcPr>
                <w:p>
                  <w:pPr>
                    <w:adjustRightInd w:val="0"/>
                    <w:snapToGrid w:val="0"/>
                    <w:jc w:val="center"/>
                    <w:rPr>
                      <w:b/>
                      <w:bCs/>
                      <w:color w:val="auto"/>
                      <w:highlight w:val="none"/>
                      <w:u w:val="none"/>
                    </w:rPr>
                  </w:pPr>
                  <w:r>
                    <w:rPr>
                      <w:b/>
                      <w:bCs/>
                      <w:color w:val="auto"/>
                      <w:highlight w:val="none"/>
                      <w:u w:val="none"/>
                    </w:rPr>
                    <w:t>与项目方位关系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449" w:type="dxa"/>
                  <w:tcBorders>
                    <w:tl2br w:val="nil"/>
                    <w:tr2bl w:val="nil"/>
                  </w:tcBorders>
                  <w:vAlign w:val="center"/>
                </w:tcPr>
                <w:p>
                  <w:pPr>
                    <w:jc w:val="center"/>
                    <w:rPr>
                      <w:color w:val="auto"/>
                      <w:highlight w:val="none"/>
                      <w:u w:val="none"/>
                    </w:rPr>
                  </w:pPr>
                  <w:r>
                    <w:rPr>
                      <w:color w:val="auto"/>
                      <w:highlight w:val="none"/>
                      <w:u w:val="none"/>
                    </w:rPr>
                    <w:t>G1</w:t>
                  </w:r>
                </w:p>
              </w:tc>
              <w:tc>
                <w:tcPr>
                  <w:tcW w:w="3384" w:type="dxa"/>
                  <w:tcBorders>
                    <w:tl2br w:val="nil"/>
                    <w:tr2bl w:val="nil"/>
                  </w:tcBorders>
                  <w:vAlign w:val="center"/>
                </w:tcPr>
                <w:p>
                  <w:pPr>
                    <w:jc w:val="center"/>
                    <w:rPr>
                      <w:rFonts w:hint="eastAsia" w:eastAsia="宋体"/>
                      <w:color w:val="auto"/>
                      <w:highlight w:val="none"/>
                      <w:u w:val="none"/>
                      <w:lang w:eastAsia="zh-CN"/>
                    </w:rPr>
                  </w:pPr>
                  <w:r>
                    <w:rPr>
                      <w:rFonts w:hint="eastAsia"/>
                      <w:color w:val="auto"/>
                      <w:highlight w:val="none"/>
                      <w:u w:val="none"/>
                      <w:lang w:eastAsia="zh-CN"/>
                    </w:rPr>
                    <w:t>当季主导风向下风向（</w:t>
                  </w:r>
                  <w:r>
                    <w:rPr>
                      <w:rFonts w:hint="eastAsia" w:ascii="宋体" w:hAnsi="宋体" w:eastAsia="宋体" w:cs="宋体"/>
                      <w:b w:val="0"/>
                      <w:bCs w:val="0"/>
                      <w:sz w:val="21"/>
                      <w:szCs w:val="21"/>
                      <w:lang w:val="en-US" w:eastAsia="zh-CN"/>
                    </w:rPr>
                    <w:t>创新产业园执勤室户外</w:t>
                  </w:r>
                  <w:r>
                    <w:rPr>
                      <w:rFonts w:hint="eastAsia"/>
                      <w:color w:val="auto"/>
                      <w:highlight w:val="none"/>
                      <w:u w:val="none"/>
                      <w:lang w:eastAsia="zh-CN"/>
                    </w:rPr>
                    <w:t>）</w:t>
                  </w:r>
                </w:p>
              </w:tc>
              <w:tc>
                <w:tcPr>
                  <w:tcW w:w="3509" w:type="dxa"/>
                  <w:tcBorders>
                    <w:tl2br w:val="nil"/>
                    <w:tr2bl w:val="nil"/>
                  </w:tcBorders>
                  <w:vAlign w:val="center"/>
                </w:tcPr>
                <w:p>
                  <w:pPr>
                    <w:jc w:val="center"/>
                    <w:rPr>
                      <w:rFonts w:hint="eastAsia" w:eastAsia="宋体"/>
                      <w:color w:val="auto"/>
                      <w:highlight w:val="none"/>
                      <w:u w:val="none"/>
                      <w:lang w:eastAsia="zh-CN"/>
                    </w:rPr>
                  </w:pPr>
                  <w:r>
                    <w:rPr>
                      <w:rFonts w:hint="eastAsia"/>
                      <w:color w:val="auto"/>
                      <w:highlight w:val="none"/>
                      <w:u w:val="none"/>
                      <w:lang w:eastAsia="zh-CN"/>
                    </w:rPr>
                    <w:t>本项目下风向</w:t>
                  </w:r>
                </w:p>
              </w:tc>
            </w:tr>
          </w:tbl>
          <w:p>
            <w:pPr>
              <w:spacing w:line="360" w:lineRule="auto"/>
              <w:ind w:firstLine="480" w:firstLineChars="200"/>
              <w:rPr>
                <w:color w:val="auto"/>
                <w:sz w:val="24"/>
                <w:szCs w:val="24"/>
                <w:highlight w:val="none"/>
                <w:u w:val="none"/>
              </w:rPr>
            </w:pPr>
            <w:r>
              <w:rPr>
                <w:rFonts w:hint="eastAsia"/>
                <w:color w:val="auto"/>
                <w:sz w:val="24"/>
                <w:szCs w:val="24"/>
                <w:highlight w:val="none"/>
                <w:u w:val="none"/>
              </w:rPr>
              <w:t>2）</w:t>
            </w:r>
            <w:r>
              <w:rPr>
                <w:color w:val="auto"/>
                <w:sz w:val="24"/>
                <w:szCs w:val="24"/>
                <w:highlight w:val="none"/>
                <w:u w:val="none"/>
              </w:rPr>
              <w:t>监测因子</w:t>
            </w:r>
          </w:p>
          <w:p>
            <w:pPr>
              <w:spacing w:line="360" w:lineRule="auto"/>
              <w:ind w:firstLine="480" w:firstLineChars="200"/>
              <w:rPr>
                <w:color w:val="auto"/>
                <w:sz w:val="24"/>
                <w:szCs w:val="24"/>
                <w:highlight w:val="none"/>
                <w:u w:val="none"/>
              </w:rPr>
            </w:pPr>
            <w:r>
              <w:rPr>
                <w:color w:val="auto"/>
                <w:sz w:val="24"/>
                <w:szCs w:val="24"/>
                <w:highlight w:val="none"/>
                <w:u w:val="none"/>
              </w:rPr>
              <w:t>监测因子：</w:t>
            </w:r>
            <w:r>
              <w:rPr>
                <w:rFonts w:hint="eastAsia" w:ascii="Times New Roman" w:hAnsi="Times New Roman" w:eastAsia="宋体" w:cs="Times New Roman"/>
                <w:color w:val="auto"/>
                <w:sz w:val="24"/>
                <w:szCs w:val="24"/>
                <w:highlight w:val="none"/>
                <w:u w:val="none"/>
                <w:lang w:val="en-US" w:eastAsia="zh-CN"/>
              </w:rPr>
              <w:t>TSP、TVOC</w:t>
            </w:r>
            <w:r>
              <w:rPr>
                <w:rFonts w:hint="eastAsia"/>
                <w:color w:val="auto"/>
                <w:sz w:val="24"/>
                <w:szCs w:val="24"/>
                <w:highlight w:val="none"/>
                <w:u w:val="none"/>
              </w:rPr>
              <w:t>。</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3）</w:t>
            </w:r>
            <w:r>
              <w:rPr>
                <w:color w:val="auto"/>
                <w:sz w:val="24"/>
                <w:szCs w:val="24"/>
                <w:highlight w:val="none"/>
                <w:u w:val="none"/>
              </w:rPr>
              <w:t>监测频次、时间、单位</w:t>
            </w:r>
          </w:p>
          <w:p>
            <w:pPr>
              <w:spacing w:line="360" w:lineRule="auto"/>
              <w:ind w:firstLine="480" w:firstLineChars="200"/>
              <w:rPr>
                <w:color w:val="auto"/>
                <w:sz w:val="24"/>
                <w:szCs w:val="24"/>
                <w:highlight w:val="none"/>
                <w:u w:val="none"/>
              </w:rPr>
            </w:pPr>
            <w:r>
              <w:rPr>
                <w:color w:val="auto"/>
                <w:sz w:val="24"/>
                <w:szCs w:val="24"/>
                <w:highlight w:val="none"/>
                <w:u w:val="none"/>
              </w:rPr>
              <w:t>监测时间：</w:t>
            </w:r>
            <w:r>
              <w:rPr>
                <w:rFonts w:hint="eastAsia"/>
                <w:color w:val="auto"/>
                <w:sz w:val="24"/>
                <w:szCs w:val="24"/>
                <w:highlight w:val="none"/>
                <w:u w:val="none"/>
              </w:rPr>
              <w:t>202</w:t>
            </w:r>
            <w:r>
              <w:rPr>
                <w:rFonts w:hint="eastAsia"/>
                <w:color w:val="auto"/>
                <w:sz w:val="24"/>
                <w:szCs w:val="24"/>
                <w:highlight w:val="none"/>
                <w:u w:val="none"/>
                <w:lang w:val="en-US" w:eastAsia="zh-CN"/>
              </w:rPr>
              <w:t>3</w:t>
            </w:r>
            <w:r>
              <w:rPr>
                <w:color w:val="auto"/>
                <w:sz w:val="24"/>
                <w:szCs w:val="24"/>
                <w:highlight w:val="none"/>
                <w:u w:val="none"/>
              </w:rPr>
              <w:t>年</w:t>
            </w:r>
            <w:r>
              <w:rPr>
                <w:rFonts w:hint="eastAsia"/>
                <w:color w:val="auto"/>
                <w:sz w:val="24"/>
                <w:szCs w:val="24"/>
                <w:highlight w:val="none"/>
                <w:u w:val="none"/>
                <w:lang w:val="en-US" w:eastAsia="zh-CN"/>
              </w:rPr>
              <w:t>3</w:t>
            </w:r>
            <w:r>
              <w:rPr>
                <w:color w:val="auto"/>
                <w:sz w:val="24"/>
                <w:szCs w:val="24"/>
                <w:highlight w:val="none"/>
                <w:u w:val="none"/>
              </w:rPr>
              <w:t>月</w:t>
            </w:r>
            <w:r>
              <w:rPr>
                <w:rFonts w:hint="eastAsia"/>
                <w:color w:val="auto"/>
                <w:sz w:val="24"/>
                <w:szCs w:val="24"/>
                <w:highlight w:val="none"/>
                <w:u w:val="none"/>
                <w:lang w:val="en-US" w:eastAsia="zh-CN"/>
              </w:rPr>
              <w:t>27</w:t>
            </w:r>
            <w:r>
              <w:rPr>
                <w:color w:val="auto"/>
                <w:sz w:val="24"/>
                <w:szCs w:val="24"/>
                <w:highlight w:val="none"/>
                <w:u w:val="none"/>
              </w:rPr>
              <w:t>日~</w:t>
            </w:r>
            <w:r>
              <w:rPr>
                <w:rFonts w:hint="eastAsia"/>
                <w:color w:val="auto"/>
                <w:sz w:val="24"/>
                <w:szCs w:val="24"/>
                <w:highlight w:val="none"/>
                <w:u w:val="none"/>
                <w:lang w:val="en-US" w:eastAsia="zh-CN"/>
              </w:rPr>
              <w:t>3</w:t>
            </w:r>
            <w:r>
              <w:rPr>
                <w:rFonts w:hint="eastAsia"/>
                <w:color w:val="auto"/>
                <w:sz w:val="24"/>
                <w:szCs w:val="24"/>
                <w:highlight w:val="none"/>
                <w:u w:val="none"/>
              </w:rPr>
              <w:t>月</w:t>
            </w:r>
            <w:r>
              <w:rPr>
                <w:rFonts w:hint="eastAsia"/>
                <w:color w:val="auto"/>
                <w:sz w:val="24"/>
                <w:szCs w:val="24"/>
                <w:highlight w:val="none"/>
                <w:u w:val="none"/>
                <w:lang w:val="en-US" w:eastAsia="zh-CN"/>
              </w:rPr>
              <w:t>29</w:t>
            </w:r>
            <w:r>
              <w:rPr>
                <w:color w:val="auto"/>
                <w:sz w:val="24"/>
                <w:szCs w:val="24"/>
                <w:highlight w:val="none"/>
                <w:u w:val="none"/>
              </w:rPr>
              <w:t>日</w:t>
            </w:r>
            <w:r>
              <w:rPr>
                <w:rFonts w:hint="eastAsia"/>
                <w:color w:val="auto"/>
                <w:sz w:val="24"/>
                <w:szCs w:val="24"/>
                <w:highlight w:val="none"/>
                <w:u w:val="none"/>
              </w:rPr>
              <w:t>。</w:t>
            </w:r>
          </w:p>
          <w:p>
            <w:pPr>
              <w:spacing w:line="360" w:lineRule="auto"/>
              <w:ind w:firstLine="480" w:firstLineChars="200"/>
              <w:rPr>
                <w:color w:val="auto"/>
                <w:sz w:val="24"/>
                <w:szCs w:val="24"/>
                <w:highlight w:val="none"/>
                <w:u w:val="none"/>
              </w:rPr>
            </w:pPr>
            <w:r>
              <w:rPr>
                <w:color w:val="auto"/>
                <w:sz w:val="24"/>
                <w:szCs w:val="24"/>
                <w:highlight w:val="none"/>
                <w:u w:val="none"/>
              </w:rPr>
              <w:t>监测频次：监测</w:t>
            </w:r>
            <w:r>
              <w:rPr>
                <w:rFonts w:hint="eastAsia"/>
                <w:color w:val="auto"/>
                <w:sz w:val="24"/>
                <w:szCs w:val="24"/>
                <w:highlight w:val="none"/>
                <w:u w:val="none"/>
                <w:lang w:val="en-US" w:eastAsia="zh-CN"/>
              </w:rPr>
              <w:t>3</w:t>
            </w:r>
            <w:r>
              <w:rPr>
                <w:color w:val="auto"/>
                <w:sz w:val="24"/>
                <w:szCs w:val="24"/>
                <w:highlight w:val="none"/>
                <w:u w:val="none"/>
              </w:rPr>
              <w:t>天。</w:t>
            </w:r>
          </w:p>
          <w:p>
            <w:pPr>
              <w:spacing w:line="360" w:lineRule="auto"/>
              <w:ind w:firstLine="480" w:firstLineChars="200"/>
              <w:rPr>
                <w:color w:val="auto"/>
                <w:sz w:val="24"/>
                <w:szCs w:val="24"/>
                <w:highlight w:val="none"/>
                <w:u w:val="none"/>
              </w:rPr>
            </w:pPr>
            <w:r>
              <w:rPr>
                <w:color w:val="auto"/>
                <w:sz w:val="24"/>
                <w:szCs w:val="24"/>
                <w:highlight w:val="none"/>
                <w:u w:val="none"/>
              </w:rPr>
              <w:t>监测单位：</w:t>
            </w:r>
            <w:r>
              <w:rPr>
                <w:rFonts w:hint="eastAsia"/>
                <w:color w:val="auto"/>
                <w:sz w:val="24"/>
                <w:szCs w:val="24"/>
                <w:highlight w:val="none"/>
                <w:u w:val="none"/>
              </w:rPr>
              <w:t>湖南</w:t>
            </w:r>
            <w:r>
              <w:rPr>
                <w:rFonts w:hint="eastAsia"/>
                <w:color w:val="auto"/>
                <w:sz w:val="24"/>
                <w:szCs w:val="24"/>
                <w:highlight w:val="none"/>
                <w:u w:val="none"/>
                <w:lang w:eastAsia="zh-CN"/>
              </w:rPr>
              <w:t>鑫韵</w:t>
            </w:r>
            <w:r>
              <w:rPr>
                <w:rFonts w:hint="eastAsia"/>
                <w:color w:val="auto"/>
                <w:sz w:val="24"/>
                <w:szCs w:val="24"/>
                <w:highlight w:val="none"/>
                <w:u w:val="none"/>
              </w:rPr>
              <w:t>检测有限公司。</w:t>
            </w:r>
          </w:p>
          <w:p>
            <w:pPr>
              <w:spacing w:line="360" w:lineRule="auto"/>
              <w:ind w:firstLine="480" w:firstLineChars="200"/>
              <w:rPr>
                <w:color w:val="auto"/>
                <w:sz w:val="24"/>
                <w:szCs w:val="24"/>
                <w:highlight w:val="none"/>
                <w:u w:val="none"/>
              </w:rPr>
            </w:pPr>
            <w:r>
              <w:rPr>
                <w:rFonts w:hint="eastAsia"/>
                <w:color w:val="auto"/>
                <w:sz w:val="24"/>
                <w:szCs w:val="24"/>
                <w:highlight w:val="none"/>
                <w:u w:val="none"/>
              </w:rPr>
              <w:t>4）</w:t>
            </w:r>
            <w:r>
              <w:rPr>
                <w:color w:val="auto"/>
                <w:sz w:val="24"/>
                <w:szCs w:val="24"/>
                <w:highlight w:val="none"/>
                <w:u w:val="none"/>
              </w:rPr>
              <w:t>监测结果统计与评价</w:t>
            </w:r>
          </w:p>
          <w:p>
            <w:pPr>
              <w:adjustRightInd w:val="0"/>
              <w:snapToGrid w:val="0"/>
              <w:spacing w:line="360" w:lineRule="auto"/>
              <w:jc w:val="center"/>
              <w:rPr>
                <w:b/>
                <w:kern w:val="0"/>
                <w:szCs w:val="21"/>
              </w:rPr>
            </w:pPr>
            <w:r>
              <w:rPr>
                <w:rFonts w:hint="eastAsia"/>
                <w:b/>
                <w:kern w:val="0"/>
                <w:szCs w:val="21"/>
              </w:rPr>
              <w:t>表</w:t>
            </w:r>
            <w:r>
              <w:rPr>
                <w:b/>
                <w:kern w:val="0"/>
                <w:szCs w:val="21"/>
              </w:rPr>
              <w:t>3-</w:t>
            </w:r>
            <w:r>
              <w:rPr>
                <w:rFonts w:hint="eastAsia"/>
                <w:b/>
                <w:kern w:val="0"/>
                <w:szCs w:val="21"/>
                <w:lang w:val="en-US" w:eastAsia="zh-CN"/>
              </w:rPr>
              <w:t>3</w:t>
            </w:r>
            <w:r>
              <w:rPr>
                <w:b/>
                <w:kern w:val="0"/>
                <w:szCs w:val="21"/>
              </w:rPr>
              <w:t xml:space="preserve"> </w:t>
            </w:r>
            <w:r>
              <w:rPr>
                <w:rFonts w:hint="eastAsia"/>
                <w:b/>
                <w:kern w:val="0"/>
                <w:szCs w:val="21"/>
              </w:rPr>
              <w:t>项目特征污染因子监测结果一览表</w:t>
            </w:r>
          </w:p>
          <w:p>
            <w:pPr>
              <w:adjustRightInd w:val="0"/>
              <w:snapToGrid w:val="0"/>
              <w:spacing w:line="360" w:lineRule="auto"/>
              <w:jc w:val="right"/>
              <w:rPr>
                <w:b/>
                <w:kern w:val="0"/>
                <w:szCs w:val="21"/>
              </w:rPr>
            </w:pPr>
            <w:r>
              <w:rPr>
                <w:rFonts w:hint="eastAsia"/>
                <w:b/>
                <w:kern w:val="0"/>
                <w:szCs w:val="21"/>
              </w:rPr>
              <w:t>单位：</w:t>
            </w:r>
            <w:r>
              <w:rPr>
                <w:rFonts w:hint="eastAsia"/>
                <w:b/>
                <w:kern w:val="0"/>
                <w:szCs w:val="21"/>
                <w:lang w:val="en-US" w:eastAsia="zh-CN"/>
              </w:rPr>
              <w:t>u</w:t>
            </w:r>
            <w:r>
              <w:rPr>
                <w:b/>
                <w:kern w:val="0"/>
                <w:szCs w:val="21"/>
              </w:rPr>
              <w:t>g/m</w:t>
            </w:r>
            <w:r>
              <w:rPr>
                <w:b/>
                <w:kern w:val="0"/>
                <w:szCs w:val="21"/>
                <w:vertAlign w:val="superscript"/>
              </w:rPr>
              <w:t>3</w:t>
            </w:r>
          </w:p>
          <w:tbl>
            <w:tblPr>
              <w:tblStyle w:val="2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1017"/>
              <w:gridCol w:w="2486"/>
              <w:gridCol w:w="2487"/>
              <w:gridCol w:w="1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restart"/>
                  <w:tcBorders>
                    <w:tl2br w:val="nil"/>
                    <w:tr2bl w:val="nil"/>
                  </w:tcBorders>
                  <w:vAlign w:val="center"/>
                </w:tcPr>
                <w:p>
                  <w:pPr>
                    <w:pStyle w:val="36"/>
                    <w:jc w:val="center"/>
                    <w:rPr>
                      <w:rFonts w:eastAsiaTheme="minorEastAsia"/>
                      <w:color w:val="auto"/>
                      <w:sz w:val="21"/>
                      <w:szCs w:val="21"/>
                    </w:rPr>
                  </w:pPr>
                  <w:r>
                    <w:rPr>
                      <w:rFonts w:eastAsiaTheme="minorEastAsia"/>
                      <w:color w:val="auto"/>
                      <w:sz w:val="21"/>
                      <w:szCs w:val="21"/>
                    </w:rPr>
                    <w:t>检测</w:t>
                  </w:r>
                </w:p>
                <w:p>
                  <w:pPr>
                    <w:pStyle w:val="36"/>
                    <w:jc w:val="center"/>
                    <w:rPr>
                      <w:color w:val="auto"/>
                      <w:sz w:val="21"/>
                      <w:szCs w:val="21"/>
                    </w:rPr>
                  </w:pPr>
                  <w:r>
                    <w:rPr>
                      <w:rFonts w:eastAsiaTheme="minorEastAsia"/>
                      <w:color w:val="auto"/>
                      <w:sz w:val="21"/>
                      <w:szCs w:val="21"/>
                    </w:rPr>
                    <w:t>类别</w:t>
                  </w:r>
                </w:p>
              </w:tc>
              <w:tc>
                <w:tcPr>
                  <w:tcW w:w="1019" w:type="dxa"/>
                  <w:vMerge w:val="restart"/>
                  <w:tcBorders>
                    <w:tl2br w:val="nil"/>
                    <w:tr2bl w:val="nil"/>
                  </w:tcBorders>
                  <w:vAlign w:val="center"/>
                </w:tcPr>
                <w:p>
                  <w:pPr>
                    <w:pStyle w:val="36"/>
                    <w:jc w:val="center"/>
                    <w:rPr>
                      <w:rFonts w:eastAsiaTheme="minorEastAsia"/>
                      <w:color w:val="auto"/>
                      <w:sz w:val="21"/>
                      <w:szCs w:val="21"/>
                    </w:rPr>
                  </w:pPr>
                  <w:r>
                    <w:rPr>
                      <w:rFonts w:eastAsiaTheme="minorEastAsia"/>
                      <w:color w:val="auto"/>
                      <w:sz w:val="21"/>
                      <w:szCs w:val="21"/>
                    </w:rPr>
                    <w:t>检测</w:t>
                  </w:r>
                </w:p>
                <w:p>
                  <w:pPr>
                    <w:pStyle w:val="36"/>
                    <w:jc w:val="center"/>
                    <w:rPr>
                      <w:rFonts w:eastAsiaTheme="minorEastAsia"/>
                      <w:color w:val="auto"/>
                      <w:sz w:val="21"/>
                      <w:szCs w:val="21"/>
                    </w:rPr>
                  </w:pPr>
                  <w:r>
                    <w:rPr>
                      <w:rFonts w:eastAsiaTheme="minorEastAsia"/>
                      <w:color w:val="auto"/>
                      <w:sz w:val="21"/>
                      <w:szCs w:val="21"/>
                    </w:rPr>
                    <w:t>因子</w:t>
                  </w:r>
                </w:p>
              </w:tc>
              <w:tc>
                <w:tcPr>
                  <w:tcW w:w="2503" w:type="dxa"/>
                  <w:vMerge w:val="restart"/>
                  <w:tcBorders>
                    <w:tl2br w:val="nil"/>
                    <w:tr2bl w:val="nil"/>
                  </w:tcBorders>
                  <w:vAlign w:val="center"/>
                </w:tcPr>
                <w:p>
                  <w:pPr>
                    <w:pStyle w:val="36"/>
                    <w:jc w:val="center"/>
                    <w:rPr>
                      <w:rFonts w:eastAsiaTheme="minorEastAsia"/>
                      <w:color w:val="auto"/>
                      <w:sz w:val="21"/>
                      <w:szCs w:val="21"/>
                    </w:rPr>
                  </w:pPr>
                  <w:r>
                    <w:rPr>
                      <w:rFonts w:eastAsiaTheme="minorEastAsia"/>
                      <w:color w:val="auto"/>
                      <w:sz w:val="21"/>
                      <w:szCs w:val="21"/>
                    </w:rPr>
                    <w:t>检测</w:t>
                  </w:r>
                </w:p>
                <w:p>
                  <w:pPr>
                    <w:pStyle w:val="36"/>
                    <w:jc w:val="center"/>
                    <w:rPr>
                      <w:rFonts w:eastAsiaTheme="minorEastAsia"/>
                      <w:color w:val="auto"/>
                      <w:sz w:val="21"/>
                      <w:szCs w:val="21"/>
                    </w:rPr>
                  </w:pPr>
                  <w:r>
                    <w:rPr>
                      <w:rFonts w:eastAsiaTheme="minorEastAsia"/>
                      <w:color w:val="auto"/>
                      <w:sz w:val="21"/>
                      <w:szCs w:val="21"/>
                    </w:rPr>
                    <w:t>时间</w:t>
                  </w:r>
                </w:p>
              </w:tc>
              <w:tc>
                <w:tcPr>
                  <w:tcW w:w="2505" w:type="dxa"/>
                  <w:tcBorders>
                    <w:tl2br w:val="nil"/>
                    <w:tr2bl w:val="nil"/>
                  </w:tcBorders>
                  <w:vAlign w:val="center"/>
                </w:tcPr>
                <w:p>
                  <w:pPr>
                    <w:jc w:val="center"/>
                    <w:rPr>
                      <w:kern w:val="0"/>
                      <w:szCs w:val="21"/>
                    </w:rPr>
                  </w:pPr>
                  <w:r>
                    <w:rPr>
                      <w:rFonts w:eastAsiaTheme="minorEastAsia"/>
                      <w:kern w:val="0"/>
                      <w:szCs w:val="21"/>
                    </w:rPr>
                    <w:t>检测结果</w:t>
                  </w:r>
                </w:p>
              </w:tc>
              <w:tc>
                <w:tcPr>
                  <w:tcW w:w="1343" w:type="dxa"/>
                  <w:vMerge w:val="restart"/>
                  <w:tcBorders>
                    <w:tl2br w:val="nil"/>
                    <w:tr2bl w:val="nil"/>
                  </w:tcBorders>
                  <w:vAlign w:val="center"/>
                </w:tcPr>
                <w:p>
                  <w:pPr>
                    <w:pStyle w:val="36"/>
                    <w:jc w:val="center"/>
                    <w:rPr>
                      <w:rFonts w:eastAsiaTheme="minorEastAsia"/>
                      <w:color w:val="auto"/>
                      <w:sz w:val="21"/>
                      <w:szCs w:val="21"/>
                    </w:rPr>
                  </w:pPr>
                  <w:r>
                    <w:rPr>
                      <w:rFonts w:eastAsiaTheme="minorEastAsia"/>
                      <w:color w:val="auto"/>
                      <w:sz w:val="21"/>
                      <w:szCs w:val="21"/>
                    </w:rPr>
                    <w:t>参考</w:t>
                  </w:r>
                </w:p>
                <w:p>
                  <w:pPr>
                    <w:pStyle w:val="36"/>
                    <w:jc w:val="center"/>
                    <w:rPr>
                      <w:color w:val="auto"/>
                      <w:sz w:val="21"/>
                      <w:szCs w:val="21"/>
                    </w:rPr>
                  </w:pPr>
                  <w:r>
                    <w:rPr>
                      <w:rFonts w:eastAsiaTheme="minorEastAsia"/>
                      <w:color w:val="auto"/>
                      <w:sz w:val="21"/>
                      <w:szCs w:val="21"/>
                    </w:rPr>
                    <w:t>标准值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continue"/>
                  <w:tcBorders>
                    <w:tl2br w:val="nil"/>
                    <w:tr2bl w:val="nil"/>
                  </w:tcBorders>
                  <w:vAlign w:val="center"/>
                </w:tcPr>
                <w:p>
                  <w:pPr>
                    <w:jc w:val="center"/>
                    <w:rPr>
                      <w:kern w:val="0"/>
                      <w:szCs w:val="21"/>
                    </w:rPr>
                  </w:pPr>
                </w:p>
              </w:tc>
              <w:tc>
                <w:tcPr>
                  <w:tcW w:w="2503" w:type="dxa"/>
                  <w:vMerge w:val="continue"/>
                  <w:tcBorders>
                    <w:tl2br w:val="nil"/>
                    <w:tr2bl w:val="nil"/>
                  </w:tcBorders>
                  <w:vAlign w:val="center"/>
                </w:tcPr>
                <w:p>
                  <w:pPr>
                    <w:jc w:val="center"/>
                    <w:rPr>
                      <w:kern w:val="0"/>
                      <w:szCs w:val="21"/>
                    </w:rPr>
                  </w:pPr>
                </w:p>
              </w:tc>
              <w:tc>
                <w:tcPr>
                  <w:tcW w:w="2505" w:type="dxa"/>
                  <w:tcBorders>
                    <w:tl2br w:val="nil"/>
                    <w:tr2bl w:val="nil"/>
                  </w:tcBorders>
                  <w:vAlign w:val="center"/>
                </w:tcPr>
                <w:p>
                  <w:pPr>
                    <w:jc w:val="center"/>
                    <w:rPr>
                      <w:kern w:val="0"/>
                      <w:szCs w:val="21"/>
                    </w:rPr>
                  </w:pPr>
                  <w:r>
                    <w:rPr>
                      <w:kern w:val="0"/>
                      <w:szCs w:val="21"/>
                    </w:rPr>
                    <w:t>A1</w:t>
                  </w:r>
                </w:p>
              </w:tc>
              <w:tc>
                <w:tcPr>
                  <w:tcW w:w="1343" w:type="dxa"/>
                  <w:vMerge w:val="continue"/>
                  <w:tcBorders>
                    <w:tl2br w:val="nil"/>
                    <w:tr2bl w:val="nil"/>
                  </w:tcBorders>
                  <w:vAlign w:val="center"/>
                </w:tcPr>
                <w:p>
                  <w:pPr>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restart"/>
                  <w:tcBorders>
                    <w:tl2br w:val="nil"/>
                    <w:tr2bl w:val="nil"/>
                  </w:tcBorders>
                  <w:vAlign w:val="center"/>
                </w:tcPr>
                <w:p>
                  <w:pPr>
                    <w:jc w:val="center"/>
                    <w:rPr>
                      <w:kern w:val="0"/>
                      <w:szCs w:val="21"/>
                    </w:rPr>
                  </w:pPr>
                  <w:r>
                    <w:rPr>
                      <w:kern w:val="0"/>
                      <w:szCs w:val="21"/>
                    </w:rPr>
                    <w:t>环境</w:t>
                  </w:r>
                </w:p>
                <w:p>
                  <w:pPr>
                    <w:jc w:val="center"/>
                    <w:rPr>
                      <w:kern w:val="0"/>
                      <w:szCs w:val="21"/>
                    </w:rPr>
                  </w:pPr>
                  <w:r>
                    <w:rPr>
                      <w:kern w:val="0"/>
                      <w:szCs w:val="21"/>
                    </w:rPr>
                    <w:t>空气</w:t>
                  </w:r>
                </w:p>
              </w:tc>
              <w:tc>
                <w:tcPr>
                  <w:tcW w:w="1019" w:type="dxa"/>
                  <w:vMerge w:val="restart"/>
                  <w:tcBorders>
                    <w:tl2br w:val="nil"/>
                    <w:tr2bl w:val="nil"/>
                  </w:tcBorders>
                  <w:vAlign w:val="center"/>
                </w:tcPr>
                <w:p>
                  <w:pPr>
                    <w:jc w:val="center"/>
                    <w:rPr>
                      <w:kern w:val="0"/>
                      <w:szCs w:val="21"/>
                    </w:rPr>
                  </w:pPr>
                  <w:r>
                    <w:rPr>
                      <w:rFonts w:hint="eastAsia"/>
                      <w:kern w:val="0"/>
                      <w:szCs w:val="21"/>
                    </w:rPr>
                    <w:t>T</w:t>
                  </w:r>
                  <w:r>
                    <w:rPr>
                      <w:kern w:val="0"/>
                      <w:szCs w:val="21"/>
                    </w:rPr>
                    <w:t>SP</w:t>
                  </w: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27</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127</w:t>
                  </w:r>
                </w:p>
              </w:tc>
              <w:tc>
                <w:tcPr>
                  <w:tcW w:w="1343" w:type="dxa"/>
                  <w:tcBorders>
                    <w:tl2br w:val="nil"/>
                    <w:tr2bl w:val="nil"/>
                  </w:tcBorders>
                  <w:vAlign w:val="center"/>
                </w:tcPr>
                <w:p>
                  <w:pPr>
                    <w:jc w:val="center"/>
                    <w:rPr>
                      <w:rFonts w:hint="default" w:eastAsia="宋体"/>
                      <w:kern w:val="0"/>
                      <w:szCs w:val="21"/>
                      <w:lang w:val="en-US" w:eastAsia="zh-CN"/>
                    </w:rPr>
                  </w:pPr>
                  <w:r>
                    <w:rPr>
                      <w:rFonts w:hint="eastAsia"/>
                      <w:kern w:val="0"/>
                      <w:szCs w:val="21"/>
                      <w:lang w:eastAsia="zh-CN"/>
                    </w:rPr>
                    <w:t>3</w:t>
                  </w:r>
                  <w:r>
                    <w:rPr>
                      <w:rFonts w:hint="eastAsia"/>
                      <w:kern w:val="0"/>
                      <w:szCs w:val="21"/>
                      <w:lang w:val="en-US" w:eastAsia="zh-CN"/>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continue"/>
                  <w:tcBorders>
                    <w:tl2br w:val="nil"/>
                    <w:tr2bl w:val="nil"/>
                  </w:tcBorders>
                  <w:vAlign w:val="center"/>
                </w:tcPr>
                <w:p>
                  <w:pPr>
                    <w:jc w:val="center"/>
                    <w:rPr>
                      <w:kern w:val="0"/>
                      <w:szCs w:val="21"/>
                    </w:rPr>
                  </w:pP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28</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112</w:t>
                  </w:r>
                </w:p>
              </w:tc>
              <w:tc>
                <w:tcPr>
                  <w:tcW w:w="1343" w:type="dxa"/>
                  <w:tcBorders>
                    <w:tl2br w:val="nil"/>
                    <w:tr2bl w:val="nil"/>
                  </w:tcBorders>
                  <w:vAlign w:val="center"/>
                </w:tcPr>
                <w:p>
                  <w:pPr>
                    <w:jc w:val="center"/>
                    <w:rPr>
                      <w:kern w:val="0"/>
                      <w:szCs w:val="21"/>
                    </w:rPr>
                  </w:pPr>
                  <w:r>
                    <w:rPr>
                      <w:rFonts w:hint="eastAsia"/>
                      <w:kern w:val="0"/>
                      <w:szCs w:val="21"/>
                      <w:lang w:eastAsia="zh-CN"/>
                    </w:rPr>
                    <w:t>3</w:t>
                  </w:r>
                  <w:r>
                    <w:rPr>
                      <w:rFonts w:hint="eastAsia"/>
                      <w:kern w:val="0"/>
                      <w:szCs w:val="21"/>
                      <w:lang w:val="en-US" w:eastAsia="zh-CN"/>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continue"/>
                  <w:tcBorders>
                    <w:tl2br w:val="nil"/>
                    <w:tr2bl w:val="nil"/>
                  </w:tcBorders>
                  <w:vAlign w:val="center"/>
                </w:tcPr>
                <w:p>
                  <w:pPr>
                    <w:jc w:val="center"/>
                    <w:rPr>
                      <w:kern w:val="0"/>
                      <w:szCs w:val="21"/>
                    </w:rPr>
                  </w:pP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29</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104</w:t>
                  </w:r>
                </w:p>
              </w:tc>
              <w:tc>
                <w:tcPr>
                  <w:tcW w:w="1343" w:type="dxa"/>
                  <w:tcBorders>
                    <w:tl2br w:val="nil"/>
                    <w:tr2bl w:val="nil"/>
                  </w:tcBorders>
                  <w:vAlign w:val="center"/>
                </w:tcPr>
                <w:p>
                  <w:pPr>
                    <w:jc w:val="center"/>
                    <w:rPr>
                      <w:rFonts w:hint="default"/>
                      <w:kern w:val="0"/>
                      <w:szCs w:val="21"/>
                      <w:lang w:val="en-US"/>
                    </w:rPr>
                  </w:pPr>
                  <w:r>
                    <w:rPr>
                      <w:rFonts w:hint="eastAsia"/>
                      <w:kern w:val="0"/>
                      <w:szCs w:val="21"/>
                      <w:lang w:eastAsia="zh-CN"/>
                    </w:rPr>
                    <w:t>3</w:t>
                  </w:r>
                  <w:r>
                    <w:rPr>
                      <w:rFonts w:hint="eastAsia"/>
                      <w:kern w:val="0"/>
                      <w:szCs w:val="21"/>
                      <w:lang w:val="en-US" w:eastAsia="zh-CN"/>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restart"/>
                  <w:tcBorders>
                    <w:tl2br w:val="nil"/>
                    <w:tr2bl w:val="nil"/>
                  </w:tcBorders>
                  <w:vAlign w:val="center"/>
                </w:tcPr>
                <w:p>
                  <w:pPr>
                    <w:jc w:val="center"/>
                    <w:rPr>
                      <w:kern w:val="0"/>
                      <w:szCs w:val="21"/>
                    </w:rPr>
                  </w:pPr>
                  <w:r>
                    <w:rPr>
                      <w:rFonts w:hint="eastAsia" w:ascii="Times New Roman" w:hAnsi="Times New Roman" w:eastAsia="宋体" w:cs="Times New Roman"/>
                      <w:kern w:val="0"/>
                      <w:szCs w:val="21"/>
                      <w:lang w:val="en-US" w:eastAsia="zh-CN"/>
                    </w:rPr>
                    <w:t>TVOC</w:t>
                  </w: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27</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0.6</w:t>
                  </w:r>
                </w:p>
              </w:tc>
              <w:tc>
                <w:tcPr>
                  <w:tcW w:w="1343"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continue"/>
                  <w:tcBorders>
                    <w:tl2br w:val="nil"/>
                    <w:tr2bl w:val="nil"/>
                  </w:tcBorders>
                  <w:vAlign w:val="center"/>
                </w:tcPr>
                <w:p>
                  <w:pPr>
                    <w:jc w:val="center"/>
                    <w:rPr>
                      <w:kern w:val="0"/>
                      <w:szCs w:val="21"/>
                    </w:rPr>
                  </w:pP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28</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0.8</w:t>
                  </w:r>
                </w:p>
              </w:tc>
              <w:tc>
                <w:tcPr>
                  <w:tcW w:w="1343" w:type="dxa"/>
                  <w:tcBorders>
                    <w:tl2br w:val="nil"/>
                    <w:tr2bl w:val="nil"/>
                  </w:tcBorders>
                  <w:vAlign w:val="center"/>
                </w:tcPr>
                <w:p>
                  <w:pPr>
                    <w:jc w:val="center"/>
                    <w:rPr>
                      <w:kern w:val="0"/>
                      <w:szCs w:val="21"/>
                    </w:rPr>
                  </w:pPr>
                  <w:r>
                    <w:rPr>
                      <w:rFonts w:hint="eastAsia"/>
                      <w:kern w:val="0"/>
                      <w:szCs w:val="21"/>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3" w:type="dxa"/>
                  <w:vMerge w:val="continue"/>
                  <w:tcBorders>
                    <w:tl2br w:val="nil"/>
                    <w:tr2bl w:val="nil"/>
                  </w:tcBorders>
                  <w:vAlign w:val="center"/>
                </w:tcPr>
                <w:p>
                  <w:pPr>
                    <w:jc w:val="center"/>
                    <w:rPr>
                      <w:kern w:val="0"/>
                      <w:szCs w:val="21"/>
                    </w:rPr>
                  </w:pPr>
                </w:p>
              </w:tc>
              <w:tc>
                <w:tcPr>
                  <w:tcW w:w="1019" w:type="dxa"/>
                  <w:vMerge w:val="continue"/>
                  <w:tcBorders>
                    <w:tl2br w:val="nil"/>
                    <w:tr2bl w:val="nil"/>
                  </w:tcBorders>
                  <w:vAlign w:val="center"/>
                </w:tcPr>
                <w:p>
                  <w:pPr>
                    <w:jc w:val="center"/>
                    <w:rPr>
                      <w:kern w:val="0"/>
                      <w:szCs w:val="21"/>
                    </w:rPr>
                  </w:pPr>
                </w:p>
              </w:tc>
              <w:tc>
                <w:tcPr>
                  <w:tcW w:w="2503" w:type="dxa"/>
                  <w:tcBorders>
                    <w:tl2br w:val="nil"/>
                    <w:tr2bl w:val="nil"/>
                  </w:tcBorders>
                  <w:vAlign w:val="center"/>
                </w:tcPr>
                <w:p>
                  <w:pPr>
                    <w:jc w:val="center"/>
                    <w:rPr>
                      <w:kern w:val="0"/>
                      <w:szCs w:val="21"/>
                    </w:rPr>
                  </w:pP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3</w:t>
                  </w:r>
                  <w:r>
                    <w:rPr>
                      <w:kern w:val="0"/>
                      <w:szCs w:val="21"/>
                    </w:rPr>
                    <w:t>月</w:t>
                  </w:r>
                  <w:r>
                    <w:rPr>
                      <w:rFonts w:hint="eastAsia"/>
                      <w:kern w:val="0"/>
                      <w:szCs w:val="21"/>
                      <w:lang w:val="en-US" w:eastAsia="zh-CN"/>
                    </w:rPr>
                    <w:t>29</w:t>
                  </w:r>
                  <w:r>
                    <w:rPr>
                      <w:kern w:val="0"/>
                      <w:szCs w:val="21"/>
                    </w:rPr>
                    <w:t>日</w:t>
                  </w:r>
                </w:p>
              </w:tc>
              <w:tc>
                <w:tcPr>
                  <w:tcW w:w="2505" w:type="dxa"/>
                  <w:tcBorders>
                    <w:tl2br w:val="nil"/>
                    <w:tr2bl w:val="nil"/>
                  </w:tcBorders>
                  <w:vAlign w:val="center"/>
                </w:tcPr>
                <w:p>
                  <w:pPr>
                    <w:jc w:val="center"/>
                    <w:rPr>
                      <w:rFonts w:hint="default" w:eastAsia="宋体"/>
                      <w:kern w:val="0"/>
                      <w:szCs w:val="21"/>
                      <w:lang w:val="en-US" w:eastAsia="zh-CN"/>
                    </w:rPr>
                  </w:pPr>
                  <w:r>
                    <w:rPr>
                      <w:rFonts w:hint="eastAsia"/>
                      <w:kern w:val="0"/>
                      <w:szCs w:val="21"/>
                      <w:lang w:val="en-US" w:eastAsia="zh-CN"/>
                    </w:rPr>
                    <w:t>2.0</w:t>
                  </w:r>
                </w:p>
              </w:tc>
              <w:tc>
                <w:tcPr>
                  <w:tcW w:w="1343" w:type="dxa"/>
                  <w:tcBorders>
                    <w:tl2br w:val="nil"/>
                    <w:tr2bl w:val="nil"/>
                  </w:tcBorders>
                  <w:vAlign w:val="center"/>
                </w:tcPr>
                <w:p>
                  <w:pPr>
                    <w:jc w:val="center"/>
                    <w:rPr>
                      <w:kern w:val="0"/>
                      <w:szCs w:val="21"/>
                    </w:rPr>
                  </w:pPr>
                  <w:r>
                    <w:rPr>
                      <w:rFonts w:hint="eastAsia"/>
                      <w:kern w:val="0"/>
                      <w:szCs w:val="21"/>
                      <w:lang w:val="en-US" w:eastAsia="zh-CN"/>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83" w:type="dxa"/>
                  <w:gridSpan w:val="5"/>
                  <w:tcBorders>
                    <w:tl2br w:val="nil"/>
                    <w:tr2bl w:val="nil"/>
                  </w:tcBorders>
                  <w:vAlign w:val="center"/>
                </w:tcPr>
                <w:p>
                  <w:pPr>
                    <w:jc w:val="left"/>
                    <w:rPr>
                      <w:kern w:val="0"/>
                      <w:szCs w:val="21"/>
                    </w:rPr>
                  </w:pPr>
                  <w:r>
                    <w:rPr>
                      <w:kern w:val="0"/>
                      <w:szCs w:val="21"/>
                    </w:rPr>
                    <w:t>备注：1、A1为环境空气检测点位：当季主导风向下风向；</w:t>
                  </w:r>
                </w:p>
                <w:p>
                  <w:pPr>
                    <w:pStyle w:val="36"/>
                    <w:rPr>
                      <w:color w:val="auto"/>
                      <w:sz w:val="21"/>
                      <w:szCs w:val="21"/>
                    </w:rPr>
                  </w:pPr>
                  <w:r>
                    <w:rPr>
                      <w:rFonts w:eastAsia="宋体"/>
                      <w:color w:val="auto"/>
                      <w:kern w:val="2"/>
                      <w:sz w:val="21"/>
                      <w:szCs w:val="21"/>
                    </w:rPr>
                    <w:t>2、</w:t>
                  </w:r>
                  <w:r>
                    <w:rPr>
                      <w:rFonts w:eastAsiaTheme="minorEastAsia"/>
                      <w:color w:val="auto"/>
                      <w:sz w:val="21"/>
                      <w:szCs w:val="21"/>
                    </w:rPr>
                    <w:t>检测期间气象参数：</w:t>
                  </w:r>
                  <w:r>
                    <w:rPr>
                      <w:rFonts w:eastAsia="宋体"/>
                      <w:color w:val="auto"/>
                      <w:sz w:val="21"/>
                      <w:szCs w:val="21"/>
                    </w:rPr>
                    <w:t>2022年04月14日，</w:t>
                  </w:r>
                  <w:r>
                    <w:rPr>
                      <w:rFonts w:eastAsiaTheme="minorEastAsia"/>
                      <w:color w:val="auto"/>
                      <w:sz w:val="21"/>
                      <w:szCs w:val="21"/>
                    </w:rPr>
                    <w:t>天气（</w:t>
                  </w:r>
                  <w:r>
                    <w:rPr>
                      <w:rFonts w:hint="eastAsia" w:ascii="宋体" w:hAnsi="宋体" w:eastAsia="宋体" w:cs="宋体"/>
                      <w:color w:val="auto"/>
                      <w:sz w:val="21"/>
                      <w:szCs w:val="21"/>
                    </w:rPr>
                    <w:t>阴</w:t>
                  </w:r>
                  <w:r>
                    <w:rPr>
                      <w:rFonts w:eastAsiaTheme="minorEastAsia"/>
                      <w:color w:val="auto"/>
                      <w:sz w:val="21"/>
                      <w:szCs w:val="21"/>
                    </w:rPr>
                    <w:t>）、环境温度（</w:t>
                  </w:r>
                  <w:r>
                    <w:rPr>
                      <w:color w:val="auto"/>
                      <w:sz w:val="21"/>
                      <w:szCs w:val="21"/>
                    </w:rPr>
                    <w:t>17.5</w:t>
                  </w:r>
                  <w:r>
                    <w:rPr>
                      <w:rFonts w:eastAsiaTheme="minorEastAsia"/>
                      <w:color w:val="auto"/>
                      <w:sz w:val="21"/>
                      <w:szCs w:val="21"/>
                    </w:rPr>
                    <w:t>℃）、大气压（</w:t>
                  </w:r>
                  <w:r>
                    <w:rPr>
                      <w:color w:val="auto"/>
                      <w:sz w:val="21"/>
                      <w:szCs w:val="21"/>
                    </w:rPr>
                    <w:t>101.09</w:t>
                  </w:r>
                  <w:r>
                    <w:rPr>
                      <w:rFonts w:eastAsiaTheme="minorEastAsia"/>
                      <w:color w:val="auto"/>
                      <w:sz w:val="21"/>
                      <w:szCs w:val="21"/>
                    </w:rPr>
                    <w:t>kPa）、风向（</w:t>
                  </w:r>
                  <w:r>
                    <w:rPr>
                      <w:rFonts w:hint="eastAsia" w:ascii="宋体" w:hAnsi="宋体" w:eastAsia="宋体" w:cs="宋体"/>
                      <w:color w:val="auto"/>
                      <w:sz w:val="21"/>
                      <w:szCs w:val="21"/>
                    </w:rPr>
                    <w:t>北</w:t>
                  </w:r>
                  <w:r>
                    <w:rPr>
                      <w:rFonts w:eastAsiaTheme="minorEastAsia"/>
                      <w:color w:val="auto"/>
                      <w:sz w:val="21"/>
                      <w:szCs w:val="21"/>
                    </w:rPr>
                    <w:t>）、</w:t>
                  </w:r>
                  <w:r>
                    <w:rPr>
                      <w:rFonts w:hint="eastAsia" w:ascii="宋体" w:hAnsi="宋体" w:eastAsia="宋体" w:cs="宋体"/>
                      <w:color w:val="auto"/>
                      <w:sz w:val="21"/>
                      <w:szCs w:val="21"/>
                    </w:rPr>
                    <w:t>相对湿度（</w:t>
                  </w:r>
                  <w:r>
                    <w:rPr>
                      <w:color w:val="auto"/>
                      <w:sz w:val="21"/>
                      <w:szCs w:val="21"/>
                    </w:rPr>
                    <w:t>72%</w:t>
                  </w:r>
                  <w:r>
                    <w:rPr>
                      <w:rFonts w:hint="eastAsia" w:ascii="宋体" w:hAnsi="宋体" w:eastAsia="宋体" w:cs="宋体"/>
                      <w:color w:val="auto"/>
                      <w:sz w:val="21"/>
                      <w:szCs w:val="21"/>
                    </w:rPr>
                    <w:t>）、</w:t>
                  </w:r>
                  <w:r>
                    <w:rPr>
                      <w:rFonts w:eastAsiaTheme="minorEastAsia"/>
                      <w:color w:val="auto"/>
                      <w:sz w:val="21"/>
                      <w:szCs w:val="21"/>
                    </w:rPr>
                    <w:t>风速（</w:t>
                  </w:r>
                  <w:r>
                    <w:rPr>
                      <w:color w:val="auto"/>
                      <w:sz w:val="21"/>
                      <w:szCs w:val="21"/>
                    </w:rPr>
                    <w:t>1.5</w:t>
                  </w:r>
                  <w:r>
                    <w:rPr>
                      <w:rFonts w:eastAsiaTheme="minorEastAsia"/>
                      <w:color w:val="auto"/>
                      <w:sz w:val="21"/>
                      <w:szCs w:val="21"/>
                    </w:rPr>
                    <w:t>m/s）</w:t>
                  </w:r>
                  <w:r>
                    <w:rPr>
                      <w:rFonts w:hint="eastAsia" w:ascii="宋体" w:hAnsi="宋体" w:eastAsia="宋体" w:cs="宋体"/>
                      <w:color w:val="auto"/>
                      <w:sz w:val="21"/>
                      <w:szCs w:val="21"/>
                    </w:rPr>
                    <w:t>；</w:t>
                  </w:r>
                  <w:r>
                    <w:rPr>
                      <w:rFonts w:eastAsia="宋体"/>
                      <w:color w:val="auto"/>
                      <w:sz w:val="21"/>
                      <w:szCs w:val="21"/>
                    </w:rPr>
                    <w:t>2022年04月15日，</w:t>
                  </w:r>
                  <w:r>
                    <w:rPr>
                      <w:rFonts w:eastAsiaTheme="minorEastAsia"/>
                      <w:color w:val="auto"/>
                      <w:sz w:val="21"/>
                      <w:szCs w:val="21"/>
                    </w:rPr>
                    <w:t>天气（</w:t>
                  </w:r>
                  <w:r>
                    <w:rPr>
                      <w:rFonts w:hint="eastAsia" w:ascii="宋体" w:hAnsi="宋体" w:eastAsia="宋体" w:cs="宋体"/>
                      <w:color w:val="auto"/>
                      <w:sz w:val="21"/>
                      <w:szCs w:val="21"/>
                    </w:rPr>
                    <w:t>阴</w:t>
                  </w:r>
                  <w:r>
                    <w:rPr>
                      <w:rFonts w:eastAsiaTheme="minorEastAsia"/>
                      <w:color w:val="auto"/>
                      <w:sz w:val="21"/>
                      <w:szCs w:val="21"/>
                    </w:rPr>
                    <w:t>）、环境温度（</w:t>
                  </w:r>
                  <w:r>
                    <w:rPr>
                      <w:color w:val="auto"/>
                      <w:sz w:val="21"/>
                      <w:szCs w:val="21"/>
                    </w:rPr>
                    <w:t>20.3</w:t>
                  </w:r>
                  <w:r>
                    <w:rPr>
                      <w:rFonts w:eastAsiaTheme="minorEastAsia"/>
                      <w:color w:val="auto"/>
                      <w:sz w:val="21"/>
                      <w:szCs w:val="21"/>
                    </w:rPr>
                    <w:t>℃）、大气压（</w:t>
                  </w:r>
                  <w:r>
                    <w:rPr>
                      <w:color w:val="auto"/>
                      <w:sz w:val="21"/>
                      <w:szCs w:val="21"/>
                    </w:rPr>
                    <w:t>101.07</w:t>
                  </w:r>
                  <w:r>
                    <w:rPr>
                      <w:rFonts w:eastAsiaTheme="minorEastAsia"/>
                      <w:color w:val="auto"/>
                      <w:sz w:val="21"/>
                      <w:szCs w:val="21"/>
                    </w:rPr>
                    <w:t>kPa）、风向（</w:t>
                  </w:r>
                  <w:r>
                    <w:rPr>
                      <w:rFonts w:hint="eastAsia" w:ascii="宋体" w:hAnsi="宋体" w:eastAsia="宋体" w:cs="宋体"/>
                      <w:color w:val="auto"/>
                      <w:sz w:val="21"/>
                      <w:szCs w:val="21"/>
                    </w:rPr>
                    <w:t>北</w:t>
                  </w:r>
                  <w:r>
                    <w:rPr>
                      <w:rFonts w:eastAsiaTheme="minorEastAsia"/>
                      <w:color w:val="auto"/>
                      <w:sz w:val="21"/>
                      <w:szCs w:val="21"/>
                    </w:rPr>
                    <w:t>）、</w:t>
                  </w:r>
                  <w:r>
                    <w:rPr>
                      <w:rFonts w:hint="eastAsia" w:ascii="宋体" w:hAnsi="宋体" w:eastAsia="宋体" w:cs="宋体"/>
                      <w:color w:val="auto"/>
                      <w:sz w:val="21"/>
                      <w:szCs w:val="21"/>
                    </w:rPr>
                    <w:t>相对湿度（</w:t>
                  </w:r>
                  <w:r>
                    <w:rPr>
                      <w:color w:val="auto"/>
                      <w:sz w:val="21"/>
                      <w:szCs w:val="21"/>
                    </w:rPr>
                    <w:t>68%</w:t>
                  </w:r>
                  <w:r>
                    <w:rPr>
                      <w:rFonts w:hint="eastAsia" w:ascii="宋体" w:hAnsi="宋体" w:eastAsia="宋体" w:cs="宋体"/>
                      <w:color w:val="auto"/>
                      <w:sz w:val="21"/>
                      <w:szCs w:val="21"/>
                    </w:rPr>
                    <w:t>）、</w:t>
                  </w:r>
                  <w:r>
                    <w:rPr>
                      <w:rFonts w:eastAsiaTheme="minorEastAsia"/>
                      <w:color w:val="auto"/>
                      <w:sz w:val="21"/>
                      <w:szCs w:val="21"/>
                    </w:rPr>
                    <w:t>风速（</w:t>
                  </w:r>
                  <w:r>
                    <w:rPr>
                      <w:color w:val="auto"/>
                      <w:sz w:val="21"/>
                      <w:szCs w:val="21"/>
                    </w:rPr>
                    <w:t>2.0</w:t>
                  </w:r>
                  <w:r>
                    <w:rPr>
                      <w:rFonts w:eastAsiaTheme="minorEastAsia"/>
                      <w:color w:val="auto"/>
                      <w:sz w:val="21"/>
                      <w:szCs w:val="21"/>
                    </w:rPr>
                    <w:t>m/s）</w:t>
                  </w:r>
                  <w:r>
                    <w:rPr>
                      <w:rFonts w:hint="eastAsia" w:ascii="宋体" w:hAnsi="宋体" w:eastAsia="宋体" w:cs="宋体"/>
                      <w:color w:val="auto"/>
                      <w:sz w:val="21"/>
                      <w:szCs w:val="21"/>
                    </w:rPr>
                    <w:t>；</w:t>
                  </w:r>
                  <w:r>
                    <w:rPr>
                      <w:rFonts w:eastAsia="宋体"/>
                      <w:color w:val="auto"/>
                      <w:sz w:val="21"/>
                      <w:szCs w:val="21"/>
                    </w:rPr>
                    <w:t>2022年04月16日，</w:t>
                  </w:r>
                  <w:r>
                    <w:rPr>
                      <w:rFonts w:eastAsiaTheme="minorEastAsia"/>
                      <w:color w:val="auto"/>
                      <w:sz w:val="21"/>
                      <w:szCs w:val="21"/>
                    </w:rPr>
                    <w:t>天气（</w:t>
                  </w:r>
                  <w:r>
                    <w:rPr>
                      <w:rFonts w:hint="eastAsia" w:ascii="宋体" w:hAnsi="宋体" w:eastAsia="宋体" w:cs="宋体"/>
                      <w:color w:val="auto"/>
                      <w:sz w:val="21"/>
                      <w:szCs w:val="21"/>
                    </w:rPr>
                    <w:t>阴</w:t>
                  </w:r>
                  <w:r>
                    <w:rPr>
                      <w:rFonts w:eastAsiaTheme="minorEastAsia"/>
                      <w:color w:val="auto"/>
                      <w:sz w:val="21"/>
                      <w:szCs w:val="21"/>
                    </w:rPr>
                    <w:t>）、环境温度（</w:t>
                  </w:r>
                  <w:r>
                    <w:rPr>
                      <w:color w:val="auto"/>
                      <w:sz w:val="21"/>
                      <w:szCs w:val="21"/>
                    </w:rPr>
                    <w:t>16.2</w:t>
                  </w:r>
                  <w:r>
                    <w:rPr>
                      <w:rFonts w:eastAsiaTheme="minorEastAsia"/>
                      <w:color w:val="auto"/>
                      <w:sz w:val="21"/>
                      <w:szCs w:val="21"/>
                    </w:rPr>
                    <w:t>℃）、大气压（</w:t>
                  </w:r>
                  <w:r>
                    <w:rPr>
                      <w:color w:val="auto"/>
                      <w:sz w:val="21"/>
                      <w:szCs w:val="21"/>
                    </w:rPr>
                    <w:t>101.10</w:t>
                  </w:r>
                  <w:r>
                    <w:rPr>
                      <w:rFonts w:eastAsiaTheme="minorEastAsia"/>
                      <w:color w:val="auto"/>
                      <w:sz w:val="21"/>
                      <w:szCs w:val="21"/>
                    </w:rPr>
                    <w:t>kPa）、风向（</w:t>
                  </w:r>
                  <w:r>
                    <w:rPr>
                      <w:rFonts w:hint="eastAsia" w:ascii="宋体" w:hAnsi="宋体" w:eastAsia="宋体" w:cs="宋体"/>
                      <w:color w:val="auto"/>
                      <w:sz w:val="21"/>
                      <w:szCs w:val="21"/>
                    </w:rPr>
                    <w:t>北</w:t>
                  </w:r>
                  <w:r>
                    <w:rPr>
                      <w:rFonts w:eastAsiaTheme="minorEastAsia"/>
                      <w:color w:val="auto"/>
                      <w:sz w:val="21"/>
                      <w:szCs w:val="21"/>
                    </w:rPr>
                    <w:t>）、</w:t>
                  </w:r>
                  <w:r>
                    <w:rPr>
                      <w:rFonts w:hint="eastAsia" w:ascii="宋体" w:hAnsi="宋体" w:eastAsia="宋体" w:cs="宋体"/>
                      <w:color w:val="auto"/>
                      <w:sz w:val="21"/>
                      <w:szCs w:val="21"/>
                    </w:rPr>
                    <w:t>相对湿度（</w:t>
                  </w:r>
                  <w:r>
                    <w:rPr>
                      <w:color w:val="auto"/>
                      <w:sz w:val="21"/>
                      <w:szCs w:val="21"/>
                    </w:rPr>
                    <w:t>80%</w:t>
                  </w:r>
                  <w:r>
                    <w:rPr>
                      <w:rFonts w:hint="eastAsia" w:ascii="宋体" w:hAnsi="宋体" w:eastAsia="宋体" w:cs="宋体"/>
                      <w:color w:val="auto"/>
                      <w:sz w:val="21"/>
                      <w:szCs w:val="21"/>
                    </w:rPr>
                    <w:t>）、</w:t>
                  </w:r>
                  <w:r>
                    <w:rPr>
                      <w:rFonts w:eastAsiaTheme="minorEastAsia"/>
                      <w:color w:val="auto"/>
                      <w:sz w:val="21"/>
                      <w:szCs w:val="21"/>
                    </w:rPr>
                    <w:t>风速（</w:t>
                  </w:r>
                  <w:r>
                    <w:rPr>
                      <w:color w:val="auto"/>
                      <w:sz w:val="21"/>
                      <w:szCs w:val="21"/>
                    </w:rPr>
                    <w:t>1.7</w:t>
                  </w:r>
                  <w:r>
                    <w:rPr>
                      <w:rFonts w:eastAsiaTheme="minorEastAsia"/>
                      <w:color w:val="auto"/>
                      <w:sz w:val="21"/>
                      <w:szCs w:val="21"/>
                    </w:rPr>
                    <w:t>m/s）</w:t>
                  </w:r>
                  <w:r>
                    <w:rPr>
                      <w:rFonts w:hint="eastAsia" w:ascii="宋体" w:hAnsi="宋体" w:eastAsia="宋体" w:cs="宋体"/>
                      <w:color w:val="auto"/>
                      <w:sz w:val="21"/>
                      <w:szCs w:val="21"/>
                    </w:rPr>
                    <w:t>。</w:t>
                  </w:r>
                </w:p>
              </w:tc>
            </w:tr>
          </w:tbl>
          <w:p>
            <w:pPr>
              <w:overflowPunct w:val="0"/>
              <w:autoSpaceDE w:val="0"/>
              <w:autoSpaceDN w:val="0"/>
              <w:adjustRightInd w:val="0"/>
              <w:snapToGrid w:val="0"/>
              <w:spacing w:line="360" w:lineRule="auto"/>
              <w:ind w:firstLine="480" w:firstLineChars="200"/>
              <w:jc w:val="left"/>
              <w:rPr>
                <w:rFonts w:hint="eastAsia" w:ascii="Times New Roman" w:hAnsi="Times New Roman" w:cs="Times New Roman" w:eastAsiaTheme="minorEastAsia"/>
                <w:sz w:val="24"/>
                <w:szCs w:val="21"/>
                <w:lang w:val="en-US" w:eastAsia="zh-CN"/>
              </w:rPr>
            </w:pPr>
            <w:r>
              <w:rPr>
                <w:rFonts w:hint="eastAsia"/>
                <w:sz w:val="24"/>
                <w:szCs w:val="21"/>
              </w:rPr>
              <w:t>上述监测结果显示：监测点处T</w:t>
            </w:r>
            <w:r>
              <w:rPr>
                <w:sz w:val="24"/>
                <w:szCs w:val="21"/>
              </w:rPr>
              <w:t>SP</w:t>
            </w:r>
            <w:r>
              <w:rPr>
                <w:rFonts w:hint="eastAsia"/>
                <w:sz w:val="24"/>
                <w:szCs w:val="21"/>
              </w:rPr>
              <w:t>的检测浓度满足</w:t>
            </w:r>
            <w:r>
              <w:rPr>
                <w:rFonts w:eastAsiaTheme="minorEastAsia"/>
                <w:sz w:val="24"/>
                <w:szCs w:val="21"/>
              </w:rPr>
              <w:t>《环境空气质量标准》（GB3095-2012）中二级标准</w:t>
            </w:r>
            <w:r>
              <w:rPr>
                <w:rFonts w:hint="eastAsia" w:eastAsiaTheme="minorEastAsia"/>
                <w:sz w:val="24"/>
                <w:szCs w:val="21"/>
              </w:rPr>
              <w:t>要求，</w:t>
            </w:r>
            <w:r>
              <w:rPr>
                <w:rFonts w:hint="eastAsia" w:eastAsiaTheme="minorEastAsia"/>
                <w:sz w:val="24"/>
                <w:szCs w:val="21"/>
                <w:lang w:val="en-US" w:eastAsia="zh-CN"/>
              </w:rPr>
              <w:t>TVOC能够达到</w:t>
            </w:r>
            <w:r>
              <w:rPr>
                <w:rFonts w:hint="eastAsia" w:ascii="Times New Roman" w:hAnsi="Times New Roman" w:cs="Times New Roman" w:eastAsiaTheme="minorEastAsia"/>
                <w:sz w:val="24"/>
                <w:szCs w:val="21"/>
                <w:lang w:val="en-US" w:eastAsia="zh-CN"/>
              </w:rPr>
              <w:t>《环境影响评价技术导则 大气环境》附录D要求，项目所在区域环境空气质量较好。</w:t>
            </w:r>
          </w:p>
          <w:p>
            <w:pPr>
              <w:spacing w:line="360" w:lineRule="auto"/>
              <w:ind w:firstLine="482" w:firstLineChars="20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2、地表水</w:t>
            </w:r>
            <w:r>
              <w:rPr>
                <w:rFonts w:hint="eastAsia" w:ascii="Times New Roman" w:hAnsi="Times New Roman" w:eastAsia="宋体" w:cs="Times New Roman"/>
                <w:b/>
                <w:bCs/>
                <w:color w:val="auto"/>
                <w:sz w:val="24"/>
                <w:szCs w:val="24"/>
                <w:highlight w:val="none"/>
                <w:u w:val="none"/>
                <w:lang w:eastAsia="zh-CN"/>
              </w:rPr>
              <w:t>环境</w:t>
            </w:r>
          </w:p>
          <w:p>
            <w:pPr>
              <w:spacing w:line="360" w:lineRule="auto"/>
              <w:ind w:firstLine="480" w:firstLineChars="200"/>
              <w:rPr>
                <w:rFonts w:hint="default" w:ascii="Times New Roman" w:hAnsi="Times New Roman" w:eastAsia="宋体" w:cs="Times New Roman"/>
                <w:b/>
                <w:bCs/>
                <w:color w:val="auto"/>
                <w:sz w:val="21"/>
                <w:szCs w:val="21"/>
                <w:highlight w:val="none"/>
                <w:lang w:val="en-US" w:eastAsia="zh-CN"/>
              </w:rPr>
            </w:pPr>
            <w:r>
              <w:rPr>
                <w:rFonts w:ascii="Times New Roman" w:hAnsi="Times New Roman" w:eastAsia="宋体" w:cs="Times New Roman"/>
                <w:color w:val="auto"/>
                <w:sz w:val="24"/>
                <w:szCs w:val="20"/>
                <w:highlight w:val="none"/>
                <w:u w:val="none"/>
              </w:rPr>
              <w:t>为了解本项目所在区域</w:t>
            </w:r>
            <w:r>
              <w:rPr>
                <w:rFonts w:ascii="Times New Roman" w:hAnsi="Times New Roman" w:eastAsia="宋体" w:cs="Times New Roman"/>
                <w:color w:val="auto"/>
                <w:sz w:val="24"/>
                <w:szCs w:val="20"/>
                <w:highlight w:val="none"/>
                <w:u w:val="none"/>
                <w:lang w:eastAsia="zh-CN"/>
              </w:rPr>
              <w:t>地表水</w:t>
            </w:r>
            <w:r>
              <w:rPr>
                <w:rFonts w:ascii="Times New Roman" w:hAnsi="Times New Roman" w:eastAsia="宋体" w:cs="Times New Roman"/>
                <w:color w:val="auto"/>
                <w:sz w:val="24"/>
                <w:szCs w:val="20"/>
                <w:highlight w:val="none"/>
                <w:u w:val="none"/>
              </w:rPr>
              <w:t>环境质量现状，</w:t>
            </w:r>
            <w:r>
              <w:rPr>
                <w:rFonts w:ascii="Times New Roman" w:hAnsi="Times New Roman" w:eastAsia="宋体" w:cs="Times New Roman"/>
                <w:color w:val="auto"/>
                <w:sz w:val="24"/>
                <w:szCs w:val="24"/>
                <w:highlight w:val="none"/>
                <w:u w:val="none"/>
              </w:rPr>
              <w:t>本次环境影响评价</w:t>
            </w:r>
            <w:r>
              <w:rPr>
                <w:rFonts w:ascii="Times New Roman" w:hAnsi="Times New Roman" w:eastAsia="宋体" w:cs="Times New Roman"/>
                <w:color w:val="auto"/>
                <w:sz w:val="24"/>
                <w:szCs w:val="24"/>
                <w:highlight w:val="none"/>
                <w:u w:val="none"/>
                <w:lang w:eastAsia="zh-CN"/>
              </w:rPr>
              <w:t>地表水</w:t>
            </w:r>
            <w:r>
              <w:rPr>
                <w:rFonts w:ascii="Times New Roman" w:hAnsi="Times New Roman" w:eastAsia="宋体" w:cs="Times New Roman"/>
                <w:color w:val="auto"/>
                <w:sz w:val="24"/>
                <w:szCs w:val="24"/>
                <w:highlight w:val="none"/>
                <w:u w:val="none"/>
              </w:rPr>
              <w:t>质量现状监测数据引用</w:t>
            </w:r>
            <w:r>
              <w:rPr>
                <w:color w:val="auto"/>
                <w:sz w:val="24"/>
                <w:szCs w:val="24"/>
                <w:u w:val="none"/>
              </w:rPr>
              <w:t>《常德市生态环境局关于20</w:t>
            </w:r>
            <w:r>
              <w:rPr>
                <w:rFonts w:hint="eastAsia"/>
                <w:color w:val="auto"/>
                <w:sz w:val="24"/>
                <w:szCs w:val="24"/>
                <w:u w:val="none"/>
                <w:lang w:val="en-US" w:eastAsia="zh-CN"/>
              </w:rPr>
              <w:t>22</w:t>
            </w:r>
            <w:r>
              <w:rPr>
                <w:color w:val="auto"/>
                <w:sz w:val="24"/>
                <w:szCs w:val="24"/>
                <w:u w:val="none"/>
              </w:rPr>
              <w:t>年1</w:t>
            </w:r>
            <w:r>
              <w:rPr>
                <w:rFonts w:hint="eastAsia"/>
                <w:color w:val="auto"/>
                <w:sz w:val="24"/>
                <w:szCs w:val="24"/>
                <w:u w:val="none"/>
                <w:lang w:val="en-US" w:eastAsia="zh-CN"/>
              </w:rPr>
              <w:t>1</w:t>
            </w:r>
            <w:r>
              <w:rPr>
                <w:color w:val="auto"/>
                <w:sz w:val="24"/>
                <w:szCs w:val="24"/>
                <w:u w:val="none"/>
              </w:rPr>
              <w:t>月全市环境质量状况的通报》中附件</w:t>
            </w:r>
            <w:r>
              <w:rPr>
                <w:rFonts w:hint="eastAsia"/>
                <w:color w:val="auto"/>
                <w:sz w:val="24"/>
                <w:szCs w:val="24"/>
                <w:u w:val="none"/>
                <w:lang w:val="en-US" w:eastAsia="zh-CN"/>
              </w:rPr>
              <w:t>5</w:t>
            </w:r>
            <w:r>
              <w:rPr>
                <w:color w:val="auto"/>
                <w:sz w:val="24"/>
                <w:szCs w:val="24"/>
                <w:u w:val="none"/>
              </w:rPr>
              <w:t>“20</w:t>
            </w:r>
            <w:r>
              <w:rPr>
                <w:rFonts w:hint="eastAsia"/>
                <w:color w:val="auto"/>
                <w:sz w:val="24"/>
                <w:szCs w:val="24"/>
                <w:u w:val="none"/>
                <w:lang w:val="en-US" w:eastAsia="zh-CN"/>
              </w:rPr>
              <w:t>22</w:t>
            </w:r>
            <w:r>
              <w:rPr>
                <w:color w:val="auto"/>
                <w:sz w:val="24"/>
                <w:szCs w:val="24"/>
                <w:u w:val="none"/>
              </w:rPr>
              <w:t>年1</w:t>
            </w:r>
            <w:r>
              <w:rPr>
                <w:rFonts w:hint="eastAsia"/>
                <w:color w:val="auto"/>
                <w:sz w:val="24"/>
                <w:szCs w:val="24"/>
                <w:u w:val="none"/>
                <w:lang w:val="en-US" w:eastAsia="zh-CN"/>
              </w:rPr>
              <w:t>1</w:t>
            </w:r>
            <w:r>
              <w:rPr>
                <w:color w:val="auto"/>
                <w:sz w:val="24"/>
                <w:szCs w:val="24"/>
                <w:u w:val="none"/>
              </w:rPr>
              <w:t>月地表水监测断面水质状况”</w:t>
            </w:r>
            <w:r>
              <w:rPr>
                <w:rFonts w:ascii="Times New Roman" w:hAnsi="Times New Roman" w:eastAsia="宋体" w:cs="Times New Roman"/>
                <w:color w:val="auto"/>
                <w:sz w:val="24"/>
                <w:szCs w:val="20"/>
                <w:highlight w:val="none"/>
                <w:u w:val="none"/>
                <w:lang w:val="en-US" w:eastAsia="zh-CN"/>
              </w:rPr>
              <w:t>监测公布结果，如下表所示：</w:t>
            </w: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color w:val="auto"/>
                <w:sz w:val="21"/>
                <w:szCs w:val="21"/>
                <w:highlight w:val="none"/>
                <w:lang w:val="en-GB"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常德市地表水水质重点监控断面水质变化状况</w:t>
            </w:r>
          </w:p>
          <w:p>
            <w:pPr>
              <w:bidi w:val="0"/>
              <w:rPr>
                <w:rFonts w:hint="eastAsia" w:eastAsia="宋体"/>
                <w:lang w:eastAsia="zh-CN"/>
              </w:rPr>
            </w:pPr>
            <w:r>
              <w:rPr>
                <w:rFonts w:hint="eastAsia" w:ascii="Times New Roman" w:hAnsi="Times New Roman" w:eastAsia="宋体" w:cs="Times New Roman"/>
                <w:color w:val="auto"/>
                <w:sz w:val="24"/>
                <w:highlight w:val="none"/>
                <w:lang w:eastAsia="zh-CN"/>
              </w:rPr>
              <w:drawing>
                <wp:anchor distT="0" distB="0" distL="114300" distR="114300" simplePos="0" relativeHeight="251661312" behindDoc="0" locked="0" layoutInCell="1" allowOverlap="1">
                  <wp:simplePos x="0" y="0"/>
                  <wp:positionH relativeFrom="column">
                    <wp:posOffset>-6985</wp:posOffset>
                  </wp:positionH>
                  <wp:positionV relativeFrom="paragraph">
                    <wp:posOffset>462280</wp:posOffset>
                  </wp:positionV>
                  <wp:extent cx="5298440" cy="275590"/>
                  <wp:effectExtent l="0" t="0" r="16510" b="10160"/>
                  <wp:wrapNone/>
                  <wp:docPr id="29" name="图片 29" descr="084ca073a2da8e82fd47137ce5327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84ca073a2da8e82fd47137ce5327a3"/>
                          <pic:cNvPicPr>
                            <a:picLocks noChangeAspect="1"/>
                          </pic:cNvPicPr>
                        </pic:nvPicPr>
                        <pic:blipFill>
                          <a:blip r:embed="rId13"/>
                          <a:stretch>
                            <a:fillRect/>
                          </a:stretch>
                        </pic:blipFill>
                        <pic:spPr>
                          <a:xfrm>
                            <a:off x="0" y="0"/>
                            <a:ext cx="5298440" cy="275590"/>
                          </a:xfrm>
                          <a:prstGeom prst="rect">
                            <a:avLst/>
                          </a:prstGeom>
                        </pic:spPr>
                      </pic:pic>
                    </a:graphicData>
                  </a:graphic>
                </wp:anchor>
              </w:drawing>
            </w:r>
            <w:r>
              <w:rPr>
                <w:rFonts w:hint="eastAsia" w:eastAsia="宋体"/>
                <w:lang w:eastAsia="zh-CN"/>
              </w:rPr>
              <w:drawing>
                <wp:inline distT="0" distB="0" distL="114300" distR="114300">
                  <wp:extent cx="5293995" cy="409575"/>
                  <wp:effectExtent l="0" t="0" r="1905" b="9525"/>
                  <wp:docPr id="28" name="图片 28" descr="9a96c47997aa051753f3698a6c15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9a96c47997aa051753f3698a6c156e4"/>
                          <pic:cNvPicPr>
                            <a:picLocks noChangeAspect="1"/>
                          </pic:cNvPicPr>
                        </pic:nvPicPr>
                        <pic:blipFill>
                          <a:blip r:embed="rId14"/>
                          <a:stretch>
                            <a:fillRect/>
                          </a:stretch>
                        </pic:blipFill>
                        <pic:spPr>
                          <a:xfrm>
                            <a:off x="0" y="0"/>
                            <a:ext cx="5293995" cy="409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结果表明</w:t>
            </w:r>
            <w:r>
              <w:rPr>
                <w:rFonts w:hint="eastAsia" w:cs="Times New Roman"/>
                <w:color w:val="auto"/>
                <w:sz w:val="24"/>
                <w:highlight w:val="none"/>
                <w:lang w:eastAsia="zh-CN"/>
              </w:rPr>
              <w:t>澹水东洲断面水质类别为</w:t>
            </w:r>
            <w:r>
              <w:rPr>
                <w:rFonts w:hint="default" w:ascii="Times New Roman" w:hAnsi="Times New Roman" w:eastAsia="宋体" w:cs="Times New Roman"/>
                <w:color w:val="auto"/>
                <w:sz w:val="24"/>
                <w:highlight w:val="none"/>
                <w:lang w:val="en-GB" w:eastAsia="zh-CN"/>
              </w:rPr>
              <w:t>Ⅲ</w:t>
            </w:r>
            <w:r>
              <w:rPr>
                <w:rFonts w:hint="eastAsia" w:ascii="Times New Roman" w:hAnsi="Times New Roman" w:eastAsia="宋体" w:cs="Times New Roman"/>
                <w:color w:val="auto"/>
                <w:sz w:val="24"/>
                <w:highlight w:val="none"/>
                <w:lang w:val="en-GB" w:eastAsia="zh-CN"/>
              </w:rPr>
              <w:t>类</w:t>
            </w:r>
            <w:r>
              <w:rPr>
                <w:rFonts w:hint="default" w:ascii="Times New Roman" w:hAnsi="Times New Roman" w:eastAsia="宋体" w:cs="Times New Roman"/>
                <w:color w:val="auto"/>
                <w:sz w:val="24"/>
                <w:highlight w:val="none"/>
                <w:lang w:val="en-GB"/>
              </w:rPr>
              <w:t>，</w:t>
            </w:r>
            <w:r>
              <w:rPr>
                <w:rFonts w:hint="eastAsia" w:cs="Times New Roman"/>
                <w:color w:val="auto"/>
                <w:sz w:val="24"/>
                <w:highlight w:val="none"/>
                <w:lang w:val="en-GB" w:eastAsia="zh-CN"/>
              </w:rPr>
              <w:t>均能够达到</w:t>
            </w:r>
            <w:r>
              <w:rPr>
                <w:rFonts w:hint="default" w:ascii="Times New Roman" w:hAnsi="Times New Roman" w:eastAsia="宋体" w:cs="Times New Roman"/>
                <w:color w:val="auto"/>
                <w:sz w:val="24"/>
                <w:highlight w:val="none"/>
                <w:lang w:val="en-GB"/>
              </w:rPr>
              <w:t>《地表水质量标准》（</w:t>
            </w:r>
            <w:r>
              <w:rPr>
                <w:rFonts w:hint="default" w:ascii="Times New Roman" w:hAnsi="Times New Roman" w:eastAsia="宋体" w:cs="Times New Roman"/>
                <w:color w:val="auto"/>
                <w:sz w:val="24"/>
                <w:highlight w:val="none"/>
              </w:rPr>
              <w:t>GB3838-2002</w:t>
            </w:r>
            <w:r>
              <w:rPr>
                <w:rFonts w:hint="default" w:ascii="Times New Roman" w:hAnsi="Times New Roman" w:eastAsia="宋体" w:cs="Times New Roman"/>
                <w:color w:val="auto"/>
                <w:sz w:val="24"/>
                <w:highlight w:val="none"/>
                <w:lang w:val="en-GB"/>
              </w:rPr>
              <w:t>）</w:t>
            </w:r>
            <w:r>
              <w:rPr>
                <w:rFonts w:hint="default" w:ascii="Times New Roman" w:hAnsi="Times New Roman" w:eastAsia="宋体" w:cs="Times New Roman"/>
                <w:color w:val="auto"/>
                <w:sz w:val="24"/>
                <w:highlight w:val="none"/>
                <w:lang w:val="en-GB" w:eastAsia="zh-CN"/>
              </w:rPr>
              <w:t>Ⅲ</w:t>
            </w:r>
            <w:r>
              <w:rPr>
                <w:rFonts w:hint="default" w:ascii="Times New Roman" w:hAnsi="Times New Roman" w:eastAsia="宋体" w:cs="Times New Roman"/>
                <w:color w:val="auto"/>
                <w:sz w:val="24"/>
                <w:highlight w:val="none"/>
                <w:lang w:val="en-GB"/>
              </w:rPr>
              <w:t>类标准，说明项目区域水环境质量较好</w:t>
            </w:r>
            <w:r>
              <w:rPr>
                <w:rFonts w:hint="eastAsia" w:ascii="Times New Roman" w:hAnsi="Times New Roman" w:eastAsia="宋体" w:cs="Times New Roman"/>
                <w:color w:val="auto"/>
                <w:sz w:val="24"/>
                <w:szCs w:val="24"/>
                <w:highlight w:val="none"/>
              </w:rPr>
              <w:t>。</w:t>
            </w: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r>
              <w:rPr>
                <w:rFonts w:ascii="Times New Roman" w:hAnsi="Times New Roman" w:eastAsia="宋体" w:cs="Times New Roman"/>
                <w:b/>
                <w:bCs/>
                <w:color w:val="auto"/>
                <w:sz w:val="24"/>
                <w:szCs w:val="24"/>
                <w:highlight w:val="none"/>
                <w:u w:val="none"/>
              </w:rPr>
              <w:t>3、声环境</w:t>
            </w:r>
          </w:p>
          <w:p>
            <w:pPr>
              <w:spacing w:before="120" w:beforeLines="50" w:line="360" w:lineRule="auto"/>
              <w:ind w:firstLine="480" w:firstLineChars="200"/>
              <w:rPr>
                <w:rFonts w:ascii="Times New Roman" w:hAnsi="Times New Roman" w:eastAsia="宋体" w:cs="Times New Roman"/>
                <w:b/>
                <w:bCs/>
                <w:color w:val="auto"/>
                <w:sz w:val="24"/>
                <w:szCs w:val="24"/>
                <w:highlight w:val="none"/>
                <w:u w:val="none"/>
              </w:rPr>
            </w:pPr>
            <w:r>
              <w:rPr>
                <w:rFonts w:hint="eastAsia"/>
                <w:sz w:val="24"/>
              </w:rPr>
              <w:t>根据《建设项目环境影响报告表编制技术指南（污染影响类）（试行）》，厂界外周边</w:t>
            </w:r>
            <w:r>
              <w:rPr>
                <w:sz w:val="24"/>
              </w:rPr>
              <w:t>50</w:t>
            </w:r>
            <w:r>
              <w:rPr>
                <w:rFonts w:hint="eastAsia"/>
                <w:sz w:val="24"/>
              </w:rPr>
              <w:t>米范围内存在声环境保护目标的建设项目，应监测保护目标声环境质量现状并评价达标情况。本项目厂界外周边</w:t>
            </w:r>
            <w:r>
              <w:rPr>
                <w:sz w:val="24"/>
              </w:rPr>
              <w:t>50</w:t>
            </w:r>
            <w:r>
              <w:rPr>
                <w:rFonts w:hint="eastAsia"/>
                <w:sz w:val="24"/>
              </w:rPr>
              <w:t>米范围内无声环境保护目标，因此无需对其进行监测与评价</w:t>
            </w:r>
            <w:r>
              <w:rPr>
                <w:rFonts w:ascii="Times New Roman" w:hAnsi="Times New Roman" w:eastAsia="宋体" w:cs="Times New Roman"/>
                <w:color w:val="auto"/>
                <w:sz w:val="24"/>
                <w:szCs w:val="24"/>
                <w:highlight w:val="none"/>
                <w:u w:val="none"/>
              </w:rPr>
              <w:t>。</w:t>
            </w: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pStyle w:val="2"/>
              <w:rPr>
                <w:rFonts w:ascii="Times New Roman" w:hAnsi="Times New Roman" w:eastAsia="宋体" w:cs="Times New Roman"/>
                <w:b/>
                <w:bCs/>
                <w:color w:val="auto"/>
                <w:sz w:val="24"/>
                <w:szCs w:val="24"/>
                <w:highlight w:val="none"/>
                <w:u w:val="none"/>
              </w:rPr>
            </w:pPr>
          </w:p>
          <w:p>
            <w:pPr>
              <w:bidi w:val="0"/>
            </w:pPr>
          </w:p>
          <w:p>
            <w:pPr>
              <w:pStyle w:val="2"/>
            </w:pPr>
          </w:p>
          <w:p>
            <w:pPr>
              <w:bidi w:val="0"/>
            </w:pPr>
          </w:p>
          <w:p>
            <w:pPr>
              <w:bidi w:val="0"/>
            </w:pPr>
          </w:p>
          <w:p>
            <w:pPr>
              <w:pStyle w:val="2"/>
            </w:pPr>
          </w:p>
          <w:p>
            <w:pPr>
              <w:bidi w:val="0"/>
            </w:pP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8" w:hRule="atLeast"/>
          <w:jc w:val="center"/>
        </w:trPr>
        <w:tc>
          <w:tcPr>
            <w:tcW w:w="613"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489" w:type="dxa"/>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eastAsia="zh-CN"/>
              </w:rPr>
            </w:pPr>
            <w:r>
              <w:rPr>
                <w:rFonts w:hint="eastAsia" w:ascii="Times New Roman" w:hAnsi="Times New Roman" w:eastAsia="宋体" w:cs="Times New Roman"/>
                <w:b/>
                <w:bCs/>
                <w:color w:val="auto"/>
                <w:sz w:val="24"/>
                <w:szCs w:val="21"/>
                <w:highlight w:val="none"/>
                <w:lang w:val="en-US" w:eastAsia="zh-CN"/>
              </w:rPr>
              <w:t>1、</w:t>
            </w:r>
            <w:r>
              <w:rPr>
                <w:rFonts w:hint="eastAsia" w:ascii="Times New Roman" w:hAnsi="Times New Roman" w:eastAsia="宋体" w:cs="Times New Roman"/>
                <w:b/>
                <w:bCs/>
                <w:color w:val="auto"/>
                <w:sz w:val="24"/>
                <w:szCs w:val="21"/>
                <w:highlight w:val="none"/>
                <w:lang w:eastAsia="zh-CN"/>
              </w:rPr>
              <w:t>大气环境</w:t>
            </w:r>
          </w:p>
          <w:p>
            <w:pPr>
              <w:spacing w:line="240" w:lineRule="auto"/>
              <w:ind w:firstLine="422" w:firstLineChars="200"/>
              <w:jc w:val="center"/>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表</w:t>
            </w:r>
            <w:r>
              <w:rPr>
                <w:rFonts w:hint="eastAsia" w:ascii="Times New Roman" w:hAnsi="Times New Roman" w:eastAsia="宋体" w:cs="Times New Roman"/>
                <w:b/>
                <w:bCs/>
                <w:color w:val="auto"/>
                <w:sz w:val="21"/>
                <w:szCs w:val="21"/>
                <w:highlight w:val="none"/>
                <w:u w:val="none"/>
                <w:lang w:val="en-US" w:eastAsia="zh-CN"/>
              </w:rPr>
              <w:t>3-</w:t>
            </w:r>
            <w:r>
              <w:rPr>
                <w:rFonts w:hint="eastAsia" w:cs="Times New Roman"/>
                <w:b/>
                <w:bCs/>
                <w:color w:val="auto"/>
                <w:sz w:val="21"/>
                <w:szCs w:val="21"/>
                <w:highlight w:val="none"/>
                <w:u w:val="none"/>
                <w:lang w:val="en-US" w:eastAsia="zh-CN"/>
              </w:rPr>
              <w:t>5</w:t>
            </w:r>
            <w:r>
              <w:rPr>
                <w:rFonts w:hint="eastAsia" w:ascii="Times New Roman" w:hAnsi="Times New Roman" w:eastAsia="宋体" w:cs="Times New Roman"/>
                <w:b/>
                <w:bCs/>
                <w:color w:val="auto"/>
                <w:sz w:val="21"/>
                <w:szCs w:val="21"/>
                <w:highlight w:val="none"/>
                <w:u w:val="none"/>
                <w:lang w:val="en-US" w:eastAsia="zh-CN"/>
              </w:rPr>
              <w:t xml:space="preserve"> </w:t>
            </w:r>
            <w:r>
              <w:rPr>
                <w:rFonts w:hint="eastAsia" w:ascii="Times New Roman" w:hAnsi="Times New Roman" w:eastAsia="宋体" w:cs="Times New Roman"/>
                <w:b/>
                <w:bCs/>
                <w:color w:val="auto"/>
                <w:sz w:val="21"/>
                <w:szCs w:val="21"/>
                <w:highlight w:val="none"/>
                <w:u w:val="none"/>
                <w:lang w:eastAsia="zh-CN"/>
              </w:rPr>
              <w:t>大气环境</w:t>
            </w:r>
            <w:r>
              <w:rPr>
                <w:rFonts w:ascii="Times New Roman" w:hAnsi="Times New Roman" w:eastAsia="宋体" w:cs="Times New Roman"/>
                <w:b/>
                <w:bCs/>
                <w:color w:val="auto"/>
                <w:sz w:val="21"/>
                <w:szCs w:val="21"/>
                <w:highlight w:val="none"/>
                <w:u w:val="none"/>
              </w:rPr>
              <w:t>保护目标</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17"/>
              <w:gridCol w:w="1195"/>
              <w:gridCol w:w="1080"/>
              <w:gridCol w:w="935"/>
              <w:gridCol w:w="970"/>
              <w:gridCol w:w="123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37"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名称</w:t>
                  </w:r>
                </w:p>
              </w:tc>
              <w:tc>
                <w:tcPr>
                  <w:tcW w:w="1505" w:type="pct"/>
                  <w:gridSpan w:val="2"/>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坐标</w:t>
                  </w:r>
                </w:p>
              </w:tc>
              <w:tc>
                <w:tcPr>
                  <w:tcW w:w="647"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保护对象</w:t>
                  </w:r>
                </w:p>
              </w:tc>
              <w:tc>
                <w:tcPr>
                  <w:tcW w:w="560"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环境功能区</w:t>
                  </w:r>
                </w:p>
              </w:tc>
              <w:tc>
                <w:tcPr>
                  <w:tcW w:w="581"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相对厂址方位</w:t>
                  </w:r>
                </w:p>
              </w:tc>
              <w:tc>
                <w:tcPr>
                  <w:tcW w:w="739"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距离范围</w:t>
                  </w:r>
                </w:p>
              </w:tc>
              <w:tc>
                <w:tcPr>
                  <w:tcW w:w="528" w:type="pct"/>
                  <w:vMerge w:val="restart"/>
                  <w:noWrap w:val="0"/>
                  <w:vAlign w:val="center"/>
                </w:tcPr>
                <w:p>
                  <w:pPr>
                    <w:spacing w:line="240" w:lineRule="auto"/>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37" w:type="pct"/>
                  <w:vMerge w:val="continue"/>
                  <w:noWrap w:val="0"/>
                  <w:vAlign w:val="center"/>
                </w:tcPr>
                <w:p>
                  <w:pPr>
                    <w:spacing w:line="240" w:lineRule="auto"/>
                    <w:jc w:val="center"/>
                    <w:rPr>
                      <w:color w:val="auto"/>
                    </w:rPr>
                  </w:pPr>
                </w:p>
              </w:tc>
              <w:tc>
                <w:tcPr>
                  <w:tcW w:w="789" w:type="pct"/>
                  <w:noWrap w:val="0"/>
                  <w:vAlign w:val="center"/>
                </w:tcPr>
                <w:p>
                  <w:pPr>
                    <w:spacing w:line="240" w:lineRule="auto"/>
                    <w:jc w:val="center"/>
                    <w:rPr>
                      <w:rFonts w:hint="eastAsia" w:ascii="Times New Roman" w:hAnsi="Times New Roman" w:eastAsia="宋体" w:cs="Times New Roman"/>
                      <w:b/>
                      <w:bCs/>
                      <w:color w:val="auto"/>
                      <w:szCs w:val="21"/>
                      <w:highlight w:val="none"/>
                      <w:u w:val="none"/>
                      <w:lang w:eastAsia="zh-CN"/>
                    </w:rPr>
                  </w:pPr>
                  <w:r>
                    <w:rPr>
                      <w:rFonts w:hint="eastAsia" w:cs="Times New Roman"/>
                      <w:b/>
                      <w:bCs/>
                      <w:color w:val="auto"/>
                      <w:szCs w:val="21"/>
                      <w:highlight w:val="none"/>
                      <w:u w:val="none"/>
                      <w:lang w:eastAsia="zh-CN"/>
                    </w:rPr>
                    <w:t>东经</w:t>
                  </w:r>
                </w:p>
              </w:tc>
              <w:tc>
                <w:tcPr>
                  <w:tcW w:w="715" w:type="pct"/>
                  <w:noWrap w:val="0"/>
                  <w:vAlign w:val="center"/>
                </w:tcPr>
                <w:p>
                  <w:pPr>
                    <w:spacing w:line="240" w:lineRule="auto"/>
                    <w:jc w:val="center"/>
                    <w:rPr>
                      <w:rFonts w:hint="eastAsia" w:ascii="Times New Roman" w:hAnsi="Times New Roman" w:eastAsia="宋体" w:cs="Times New Roman"/>
                      <w:b/>
                      <w:bCs/>
                      <w:color w:val="auto"/>
                      <w:szCs w:val="21"/>
                      <w:highlight w:val="none"/>
                      <w:u w:val="none"/>
                      <w:lang w:eastAsia="zh-CN"/>
                    </w:rPr>
                  </w:pPr>
                  <w:r>
                    <w:rPr>
                      <w:rFonts w:hint="eastAsia" w:cs="Times New Roman"/>
                      <w:b/>
                      <w:bCs/>
                      <w:color w:val="auto"/>
                      <w:szCs w:val="21"/>
                      <w:highlight w:val="none"/>
                      <w:u w:val="none"/>
                      <w:lang w:eastAsia="zh-CN"/>
                    </w:rPr>
                    <w:t>北纬</w:t>
                  </w:r>
                </w:p>
              </w:tc>
              <w:tc>
                <w:tcPr>
                  <w:tcW w:w="647" w:type="pct"/>
                  <w:vMerge w:val="continue"/>
                  <w:noWrap w:val="0"/>
                  <w:vAlign w:val="center"/>
                </w:tcPr>
                <w:p>
                  <w:pPr>
                    <w:spacing w:line="240" w:lineRule="auto"/>
                    <w:jc w:val="center"/>
                    <w:rPr>
                      <w:rFonts w:hint="default" w:ascii="Times New Roman" w:hAnsi="Times New Roman" w:cs="Times New Roman"/>
                      <w:b/>
                      <w:bCs/>
                      <w:color w:val="auto"/>
                      <w:szCs w:val="21"/>
                      <w:highlight w:val="none"/>
                      <w:u w:val="none"/>
                    </w:rPr>
                  </w:pPr>
                </w:p>
              </w:tc>
              <w:tc>
                <w:tcPr>
                  <w:tcW w:w="560" w:type="pct"/>
                  <w:vMerge w:val="continue"/>
                  <w:noWrap w:val="0"/>
                  <w:vAlign w:val="center"/>
                </w:tcPr>
                <w:p>
                  <w:pPr>
                    <w:spacing w:line="240" w:lineRule="auto"/>
                    <w:jc w:val="center"/>
                    <w:rPr>
                      <w:rFonts w:hint="default" w:ascii="Times New Roman" w:hAnsi="Times New Roman" w:cs="Times New Roman"/>
                      <w:b/>
                      <w:bCs/>
                      <w:color w:val="auto"/>
                      <w:szCs w:val="21"/>
                      <w:highlight w:val="none"/>
                      <w:u w:val="none"/>
                    </w:rPr>
                  </w:pPr>
                </w:p>
              </w:tc>
              <w:tc>
                <w:tcPr>
                  <w:tcW w:w="581" w:type="pct"/>
                  <w:vMerge w:val="continue"/>
                  <w:noWrap w:val="0"/>
                  <w:vAlign w:val="center"/>
                </w:tcPr>
                <w:p>
                  <w:pPr>
                    <w:spacing w:line="240" w:lineRule="auto"/>
                    <w:jc w:val="center"/>
                    <w:rPr>
                      <w:rFonts w:hint="default" w:ascii="Times New Roman" w:hAnsi="Times New Roman" w:cs="Times New Roman"/>
                      <w:b/>
                      <w:bCs/>
                      <w:color w:val="auto"/>
                      <w:szCs w:val="21"/>
                      <w:highlight w:val="none"/>
                      <w:u w:val="none"/>
                    </w:rPr>
                  </w:pPr>
                </w:p>
              </w:tc>
              <w:tc>
                <w:tcPr>
                  <w:tcW w:w="739" w:type="pct"/>
                  <w:vMerge w:val="continue"/>
                  <w:noWrap w:val="0"/>
                  <w:vAlign w:val="center"/>
                </w:tcPr>
                <w:p>
                  <w:pPr>
                    <w:spacing w:line="240" w:lineRule="auto"/>
                    <w:jc w:val="center"/>
                    <w:rPr>
                      <w:rFonts w:hint="default" w:ascii="Times New Roman" w:hAnsi="Times New Roman" w:cs="Times New Roman"/>
                      <w:b/>
                      <w:bCs/>
                      <w:color w:val="auto"/>
                      <w:szCs w:val="21"/>
                      <w:highlight w:val="none"/>
                      <w:u w:val="none"/>
                    </w:rPr>
                  </w:pPr>
                </w:p>
              </w:tc>
              <w:tc>
                <w:tcPr>
                  <w:tcW w:w="528" w:type="pct"/>
                  <w:vMerge w:val="continue"/>
                  <w:noWrap w:val="0"/>
                  <w:vAlign w:val="center"/>
                </w:tcPr>
                <w:p>
                  <w:pPr>
                    <w:spacing w:line="240" w:lineRule="auto"/>
                    <w:jc w:val="center"/>
                    <w:rPr>
                      <w:rFonts w:hint="default" w:ascii="Times New Roman" w:hAnsi="Times New Roman" w:cs="Times New Roman"/>
                      <w:b/>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7" w:type="pct"/>
                  <w:vMerge w:val="restart"/>
                  <w:noWrap w:val="0"/>
                  <w:vAlign w:val="center"/>
                </w:tcPr>
                <w:p>
                  <w:pPr>
                    <w:spacing w:line="240" w:lineRule="auto"/>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保护目标</w:t>
                  </w:r>
                </w:p>
              </w:tc>
              <w:tc>
                <w:tcPr>
                  <w:tcW w:w="789" w:type="pct"/>
                  <w:noWrap w:val="0"/>
                  <w:vAlign w:val="center"/>
                </w:tcPr>
                <w:p>
                  <w:pPr>
                    <w:spacing w:line="240" w:lineRule="auto"/>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111.634144</w:t>
                  </w:r>
                </w:p>
              </w:tc>
              <w:tc>
                <w:tcPr>
                  <w:tcW w:w="715" w:type="pct"/>
                  <w:noWrap w:val="0"/>
                  <w:vAlign w:val="center"/>
                </w:tcPr>
                <w:p>
                  <w:pPr>
                    <w:spacing w:line="240" w:lineRule="auto"/>
                    <w:jc w:val="both"/>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29.631264</w:t>
                  </w:r>
                </w:p>
              </w:tc>
              <w:tc>
                <w:tcPr>
                  <w:tcW w:w="647" w:type="pct"/>
                  <w:noWrap w:val="0"/>
                  <w:vAlign w:val="center"/>
                </w:tcPr>
                <w:p>
                  <w:pPr>
                    <w:spacing w:line="240" w:lineRule="auto"/>
                    <w:jc w:val="center"/>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居民</w:t>
                  </w:r>
                  <w:r>
                    <w:rPr>
                      <w:rFonts w:hint="eastAsia" w:cs="Times New Roman"/>
                      <w:color w:val="auto"/>
                      <w:szCs w:val="21"/>
                      <w:highlight w:val="none"/>
                      <w:u w:val="none"/>
                      <w:lang w:val="en-US" w:eastAsia="zh-CN"/>
                    </w:rPr>
                    <w:t>21</w:t>
                  </w:r>
                  <w:r>
                    <w:rPr>
                      <w:rFonts w:hint="default" w:ascii="Times New Roman" w:hAnsi="Times New Roman" w:cs="Times New Roman"/>
                      <w:color w:val="auto"/>
                      <w:szCs w:val="21"/>
                      <w:highlight w:val="none"/>
                      <w:u w:val="none"/>
                      <w:lang w:val="en-US" w:eastAsia="zh-CN"/>
                    </w:rPr>
                    <w:t>户</w:t>
                  </w:r>
                </w:p>
              </w:tc>
              <w:tc>
                <w:tcPr>
                  <w:tcW w:w="560" w:type="pct"/>
                  <w:noWrap w:val="0"/>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二类</w:t>
                  </w:r>
                </w:p>
              </w:tc>
              <w:tc>
                <w:tcPr>
                  <w:tcW w:w="581" w:type="pct"/>
                  <w:noWrap w:val="0"/>
                  <w:vAlign w:val="center"/>
                </w:tcPr>
                <w:p>
                  <w:pPr>
                    <w:spacing w:line="240" w:lineRule="auto"/>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S</w:t>
                  </w:r>
                </w:p>
              </w:tc>
              <w:tc>
                <w:tcPr>
                  <w:tcW w:w="739" w:type="pct"/>
                  <w:noWrap w:val="0"/>
                  <w:vAlign w:val="center"/>
                </w:tcPr>
                <w:p>
                  <w:pPr>
                    <w:spacing w:line="240" w:lineRule="auto"/>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82</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500</w:t>
                  </w:r>
                  <w:r>
                    <w:rPr>
                      <w:rFonts w:hint="eastAsia" w:ascii="Times New Roman" w:hAnsi="Times New Roman" w:cs="Times New Roman"/>
                      <w:color w:val="auto"/>
                      <w:highlight w:val="none"/>
                      <w:u w:val="none"/>
                      <w:lang w:val="en-US" w:eastAsia="zh-CN"/>
                    </w:rPr>
                    <w:t>m</w:t>
                  </w:r>
                </w:p>
              </w:tc>
              <w:tc>
                <w:tcPr>
                  <w:tcW w:w="528" w:type="pct"/>
                  <w:noWrap w:val="0"/>
                  <w:vAlign w:val="center"/>
                </w:tcPr>
                <w:p>
                  <w:pPr>
                    <w:spacing w:line="240" w:lineRule="auto"/>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82</w:t>
                  </w:r>
                  <w:r>
                    <w:rPr>
                      <w:rFonts w:hint="eastAsia" w:ascii="Times New Roman" w:hAnsi="Times New Roman" w:cs="Times New Roman"/>
                      <w:color w:val="auto"/>
                      <w:szCs w:val="21"/>
                      <w:highlight w:val="none"/>
                      <w:u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7" w:type="pct"/>
                  <w:vMerge w:val="continue"/>
                  <w:noWrap w:val="0"/>
                  <w:vAlign w:val="center"/>
                </w:tcPr>
                <w:p>
                  <w:pPr>
                    <w:spacing w:line="240" w:lineRule="auto"/>
                    <w:jc w:val="center"/>
                    <w:rPr>
                      <w:rFonts w:hint="default" w:ascii="Times New Roman" w:hAnsi="Times New Roman" w:cs="Times New Roman"/>
                      <w:color w:val="auto"/>
                      <w:szCs w:val="21"/>
                      <w:highlight w:val="none"/>
                      <w:u w:val="none"/>
                    </w:rPr>
                  </w:pPr>
                </w:p>
              </w:tc>
              <w:tc>
                <w:tcPr>
                  <w:tcW w:w="789" w:type="pct"/>
                  <w:noWrap w:val="0"/>
                  <w:vAlign w:val="center"/>
                </w:tcPr>
                <w:p>
                  <w:pPr>
                    <w:spacing w:line="240" w:lineRule="auto"/>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111.835973</w:t>
                  </w:r>
                </w:p>
              </w:tc>
              <w:tc>
                <w:tcPr>
                  <w:tcW w:w="715" w:type="pct"/>
                  <w:noWrap w:val="0"/>
                  <w:vAlign w:val="center"/>
                </w:tcPr>
                <w:p>
                  <w:pPr>
                    <w:spacing w:line="240" w:lineRule="auto"/>
                    <w:jc w:val="both"/>
                    <w:rPr>
                      <w:rFonts w:hint="default" w:cs="Times New Roman"/>
                      <w:color w:val="auto"/>
                      <w:highlight w:val="none"/>
                      <w:u w:val="none"/>
                      <w:lang w:val="en-US" w:eastAsia="zh-CN"/>
                    </w:rPr>
                  </w:pPr>
                  <w:r>
                    <w:rPr>
                      <w:rFonts w:hint="eastAsia" w:cs="Times New Roman"/>
                      <w:color w:val="auto"/>
                      <w:highlight w:val="none"/>
                      <w:u w:val="none"/>
                      <w:lang w:val="en-US" w:eastAsia="zh-CN"/>
                    </w:rPr>
                    <w:t>29.631189</w:t>
                  </w:r>
                </w:p>
              </w:tc>
              <w:tc>
                <w:tcPr>
                  <w:tcW w:w="647" w:type="pct"/>
                  <w:noWrap w:val="0"/>
                  <w:vAlign w:val="center"/>
                </w:tcPr>
                <w:p>
                  <w:pPr>
                    <w:spacing w:line="240" w:lineRule="auto"/>
                    <w:jc w:val="center"/>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居民</w:t>
                  </w:r>
                  <w:r>
                    <w:rPr>
                      <w:rFonts w:hint="eastAsia" w:cs="Times New Roman"/>
                      <w:color w:val="auto"/>
                      <w:szCs w:val="21"/>
                      <w:highlight w:val="none"/>
                      <w:u w:val="none"/>
                      <w:lang w:val="en-US" w:eastAsia="zh-CN"/>
                    </w:rPr>
                    <w:t>32</w:t>
                  </w:r>
                  <w:r>
                    <w:rPr>
                      <w:rFonts w:hint="default" w:ascii="Times New Roman" w:hAnsi="Times New Roman" w:cs="Times New Roman"/>
                      <w:color w:val="auto"/>
                      <w:szCs w:val="21"/>
                      <w:highlight w:val="none"/>
                      <w:u w:val="none"/>
                      <w:lang w:val="en-US" w:eastAsia="zh-CN"/>
                    </w:rPr>
                    <w:t>户</w:t>
                  </w:r>
                </w:p>
              </w:tc>
              <w:tc>
                <w:tcPr>
                  <w:tcW w:w="560" w:type="pct"/>
                  <w:noWrap w:val="0"/>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二类</w:t>
                  </w:r>
                </w:p>
              </w:tc>
              <w:tc>
                <w:tcPr>
                  <w:tcW w:w="581" w:type="pct"/>
                  <w:noWrap w:val="0"/>
                  <w:vAlign w:val="center"/>
                </w:tcPr>
                <w:p>
                  <w:pPr>
                    <w:spacing w:line="240" w:lineRule="auto"/>
                    <w:jc w:val="center"/>
                    <w:rPr>
                      <w:rFonts w:hint="eastAsia" w:cs="Times New Roman"/>
                      <w:color w:val="auto"/>
                      <w:highlight w:val="none"/>
                      <w:u w:val="none"/>
                      <w:lang w:val="en-US" w:eastAsia="zh-CN"/>
                    </w:rPr>
                  </w:pPr>
                  <w:r>
                    <w:rPr>
                      <w:rFonts w:hint="eastAsia" w:cs="Times New Roman"/>
                      <w:color w:val="auto"/>
                      <w:highlight w:val="none"/>
                      <w:u w:val="none"/>
                      <w:lang w:val="en-US" w:eastAsia="zh-CN"/>
                    </w:rPr>
                    <w:t>ES</w:t>
                  </w:r>
                </w:p>
              </w:tc>
              <w:tc>
                <w:tcPr>
                  <w:tcW w:w="739" w:type="pct"/>
                  <w:noWrap w:val="0"/>
                  <w:vAlign w:val="center"/>
                </w:tcPr>
                <w:p>
                  <w:pPr>
                    <w:spacing w:line="240" w:lineRule="auto"/>
                    <w:jc w:val="center"/>
                    <w:rPr>
                      <w:rFonts w:hint="eastAsia" w:cs="Times New Roman"/>
                      <w:color w:val="auto"/>
                      <w:highlight w:val="none"/>
                      <w:u w:val="none"/>
                      <w:lang w:val="en-US" w:eastAsia="zh-CN"/>
                    </w:rPr>
                  </w:pPr>
                  <w:r>
                    <w:rPr>
                      <w:rFonts w:hint="eastAsia" w:cs="Times New Roman"/>
                      <w:color w:val="auto"/>
                      <w:highlight w:val="none"/>
                      <w:u w:val="none"/>
                      <w:lang w:val="en-US" w:eastAsia="zh-CN"/>
                    </w:rPr>
                    <w:t>90</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500</w:t>
                  </w:r>
                  <w:r>
                    <w:rPr>
                      <w:rFonts w:hint="eastAsia" w:ascii="Times New Roman" w:hAnsi="Times New Roman" w:cs="Times New Roman"/>
                      <w:color w:val="auto"/>
                      <w:highlight w:val="none"/>
                      <w:u w:val="none"/>
                      <w:lang w:val="en-US" w:eastAsia="zh-CN"/>
                    </w:rPr>
                    <w:t>m</w:t>
                  </w:r>
                </w:p>
              </w:tc>
              <w:tc>
                <w:tcPr>
                  <w:tcW w:w="528" w:type="pct"/>
                  <w:noWrap w:val="0"/>
                  <w:vAlign w:val="center"/>
                </w:tcPr>
                <w:p>
                  <w:pPr>
                    <w:spacing w:line="240" w:lineRule="auto"/>
                    <w:jc w:val="center"/>
                    <w:rPr>
                      <w:rFonts w:hint="eastAsia" w:cs="Times New Roman"/>
                      <w:color w:val="auto"/>
                      <w:szCs w:val="21"/>
                      <w:highlight w:val="none"/>
                      <w:u w:val="none"/>
                      <w:lang w:val="en-US" w:eastAsia="zh-CN"/>
                    </w:rPr>
                  </w:pPr>
                  <w:r>
                    <w:rPr>
                      <w:rFonts w:hint="eastAsia" w:cs="Times New Roman"/>
                      <w:color w:val="auto"/>
                      <w:szCs w:val="21"/>
                      <w:highlight w:val="none"/>
                      <w:u w:val="none"/>
                      <w:lang w:val="en-US" w:eastAsia="zh-CN"/>
                    </w:rPr>
                    <w:t>90</w:t>
                  </w:r>
                  <w:r>
                    <w:rPr>
                      <w:rFonts w:hint="eastAsia" w:ascii="Times New Roman" w:hAnsi="Times New Roman" w:cs="Times New Roman"/>
                      <w:color w:val="auto"/>
                      <w:szCs w:val="21"/>
                      <w:highlight w:val="none"/>
                      <w:u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7" w:type="pct"/>
                  <w:vMerge w:val="continue"/>
                  <w:noWrap w:val="0"/>
                  <w:vAlign w:val="center"/>
                </w:tcPr>
                <w:p>
                  <w:pPr>
                    <w:spacing w:line="240" w:lineRule="auto"/>
                    <w:jc w:val="center"/>
                    <w:rPr>
                      <w:rFonts w:hint="default" w:ascii="Times New Roman" w:hAnsi="Times New Roman" w:cs="Times New Roman"/>
                      <w:color w:val="auto"/>
                      <w:szCs w:val="21"/>
                      <w:highlight w:val="none"/>
                      <w:u w:val="none"/>
                    </w:rPr>
                  </w:pPr>
                </w:p>
              </w:tc>
              <w:tc>
                <w:tcPr>
                  <w:tcW w:w="789" w:type="pct"/>
                  <w:noWrap w:val="0"/>
                  <w:vAlign w:val="center"/>
                </w:tcPr>
                <w:p>
                  <w:pPr>
                    <w:spacing w:line="240" w:lineRule="auto"/>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111.830464</w:t>
                  </w:r>
                </w:p>
              </w:tc>
              <w:tc>
                <w:tcPr>
                  <w:tcW w:w="715" w:type="pct"/>
                  <w:noWrap w:val="0"/>
                  <w:vAlign w:val="center"/>
                </w:tcPr>
                <w:p>
                  <w:pPr>
                    <w:spacing w:line="240" w:lineRule="auto"/>
                    <w:jc w:val="both"/>
                    <w:rPr>
                      <w:rFonts w:hint="default" w:cs="Times New Roman"/>
                      <w:color w:val="auto"/>
                      <w:highlight w:val="none"/>
                      <w:u w:val="none"/>
                      <w:lang w:val="en-US" w:eastAsia="zh-CN"/>
                    </w:rPr>
                  </w:pPr>
                  <w:r>
                    <w:rPr>
                      <w:rFonts w:hint="eastAsia" w:cs="Times New Roman"/>
                      <w:color w:val="auto"/>
                      <w:highlight w:val="none"/>
                      <w:u w:val="none"/>
                      <w:lang w:val="en-US" w:eastAsia="zh-CN"/>
                    </w:rPr>
                    <w:t>29.631381</w:t>
                  </w:r>
                </w:p>
              </w:tc>
              <w:tc>
                <w:tcPr>
                  <w:tcW w:w="647" w:type="pct"/>
                  <w:noWrap w:val="0"/>
                  <w:vAlign w:val="center"/>
                </w:tcPr>
                <w:p>
                  <w:pPr>
                    <w:spacing w:line="240" w:lineRule="auto"/>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居民40户</w:t>
                  </w:r>
                </w:p>
              </w:tc>
              <w:tc>
                <w:tcPr>
                  <w:tcW w:w="560" w:type="pct"/>
                  <w:noWrap w:val="0"/>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二类</w:t>
                  </w:r>
                </w:p>
              </w:tc>
              <w:tc>
                <w:tcPr>
                  <w:tcW w:w="581" w:type="pct"/>
                  <w:noWrap w:val="0"/>
                  <w:vAlign w:val="center"/>
                </w:tcPr>
                <w:p>
                  <w:pPr>
                    <w:spacing w:line="240" w:lineRule="auto"/>
                    <w:jc w:val="center"/>
                    <w:rPr>
                      <w:rFonts w:hint="eastAsia" w:cs="Times New Roman"/>
                      <w:color w:val="auto"/>
                      <w:highlight w:val="none"/>
                      <w:u w:val="none"/>
                      <w:lang w:val="en-US" w:eastAsia="zh-CN"/>
                    </w:rPr>
                  </w:pPr>
                  <w:r>
                    <w:rPr>
                      <w:rFonts w:hint="eastAsia" w:cs="Times New Roman"/>
                      <w:color w:val="auto"/>
                      <w:highlight w:val="none"/>
                      <w:u w:val="none"/>
                      <w:lang w:val="en-US" w:eastAsia="zh-CN"/>
                    </w:rPr>
                    <w:t>WS</w:t>
                  </w:r>
                </w:p>
              </w:tc>
              <w:tc>
                <w:tcPr>
                  <w:tcW w:w="739" w:type="pct"/>
                  <w:noWrap w:val="0"/>
                  <w:vAlign w:val="center"/>
                </w:tcPr>
                <w:p>
                  <w:pPr>
                    <w:spacing w:line="240" w:lineRule="auto"/>
                    <w:jc w:val="center"/>
                    <w:rPr>
                      <w:rFonts w:hint="eastAsia" w:cs="Times New Roman"/>
                      <w:color w:val="auto"/>
                      <w:highlight w:val="none"/>
                      <w:u w:val="none"/>
                      <w:lang w:val="en-US" w:eastAsia="zh-CN"/>
                    </w:rPr>
                  </w:pPr>
                  <w:r>
                    <w:rPr>
                      <w:rFonts w:hint="eastAsia" w:cs="Times New Roman"/>
                      <w:color w:val="auto"/>
                      <w:highlight w:val="none"/>
                      <w:u w:val="none"/>
                      <w:lang w:val="en-US" w:eastAsia="zh-CN"/>
                    </w:rPr>
                    <w:t>206</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500</w:t>
                  </w:r>
                  <w:r>
                    <w:rPr>
                      <w:rFonts w:hint="eastAsia" w:ascii="Times New Roman" w:hAnsi="Times New Roman" w:cs="Times New Roman"/>
                      <w:color w:val="auto"/>
                      <w:highlight w:val="none"/>
                      <w:u w:val="none"/>
                      <w:lang w:val="en-US" w:eastAsia="zh-CN"/>
                    </w:rPr>
                    <w:t>m</w:t>
                  </w:r>
                </w:p>
              </w:tc>
              <w:tc>
                <w:tcPr>
                  <w:tcW w:w="528" w:type="pct"/>
                  <w:noWrap w:val="0"/>
                  <w:vAlign w:val="center"/>
                </w:tcPr>
                <w:p>
                  <w:pPr>
                    <w:spacing w:line="240" w:lineRule="auto"/>
                    <w:jc w:val="center"/>
                    <w:rPr>
                      <w:rFonts w:hint="eastAsia" w:cs="Times New Roman"/>
                      <w:color w:val="auto"/>
                      <w:szCs w:val="21"/>
                      <w:highlight w:val="none"/>
                      <w:u w:val="none"/>
                      <w:lang w:val="en-US" w:eastAsia="zh-CN"/>
                    </w:rPr>
                  </w:pPr>
                  <w:r>
                    <w:rPr>
                      <w:rFonts w:hint="eastAsia" w:cs="Times New Roman"/>
                      <w:color w:val="auto"/>
                      <w:szCs w:val="21"/>
                      <w:highlight w:val="none"/>
                      <w:u w:val="none"/>
                      <w:lang w:val="en-US" w:eastAsia="zh-CN"/>
                    </w:rPr>
                    <w:t>206</w:t>
                  </w:r>
                  <w:r>
                    <w:rPr>
                      <w:rFonts w:hint="eastAsia" w:ascii="Times New Roman" w:hAnsi="Times New Roman" w:cs="Times New Roman"/>
                      <w:color w:val="auto"/>
                      <w:szCs w:val="21"/>
                      <w:highlight w:val="none"/>
                      <w:u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7" w:type="pct"/>
                  <w:vMerge w:val="continue"/>
                  <w:noWrap w:val="0"/>
                  <w:vAlign w:val="center"/>
                </w:tcPr>
                <w:p>
                  <w:pPr>
                    <w:spacing w:line="240" w:lineRule="auto"/>
                    <w:jc w:val="center"/>
                    <w:rPr>
                      <w:rFonts w:hint="default" w:ascii="Times New Roman" w:hAnsi="Times New Roman" w:cs="Times New Roman"/>
                      <w:color w:val="auto"/>
                      <w:szCs w:val="21"/>
                      <w:highlight w:val="none"/>
                      <w:u w:val="none"/>
                    </w:rPr>
                  </w:pPr>
                </w:p>
              </w:tc>
              <w:tc>
                <w:tcPr>
                  <w:tcW w:w="789" w:type="pct"/>
                  <w:noWrap w:val="0"/>
                  <w:vAlign w:val="center"/>
                </w:tcPr>
                <w:p>
                  <w:pPr>
                    <w:spacing w:line="240" w:lineRule="auto"/>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111.836890</w:t>
                  </w:r>
                </w:p>
              </w:tc>
              <w:tc>
                <w:tcPr>
                  <w:tcW w:w="715" w:type="pct"/>
                  <w:noWrap w:val="0"/>
                  <w:vAlign w:val="center"/>
                </w:tcPr>
                <w:p>
                  <w:pPr>
                    <w:spacing w:line="240" w:lineRule="auto"/>
                    <w:jc w:val="both"/>
                    <w:rPr>
                      <w:rFonts w:hint="default" w:cs="Times New Roman"/>
                      <w:color w:val="auto"/>
                      <w:highlight w:val="none"/>
                      <w:u w:val="none"/>
                      <w:lang w:val="en-US" w:eastAsia="zh-CN"/>
                    </w:rPr>
                  </w:pPr>
                  <w:r>
                    <w:rPr>
                      <w:rFonts w:hint="eastAsia" w:cs="Times New Roman"/>
                      <w:color w:val="auto"/>
                      <w:highlight w:val="none"/>
                      <w:u w:val="none"/>
                      <w:lang w:val="en-US" w:eastAsia="zh-CN"/>
                    </w:rPr>
                    <w:t>29.634347</w:t>
                  </w:r>
                </w:p>
              </w:tc>
              <w:tc>
                <w:tcPr>
                  <w:tcW w:w="1094" w:type="dxa"/>
                  <w:noWrap w:val="0"/>
                  <w:vAlign w:val="center"/>
                </w:tcPr>
                <w:p>
                  <w:pPr>
                    <w:spacing w:line="240" w:lineRule="auto"/>
                    <w:jc w:val="center"/>
                    <w:rPr>
                      <w:rFonts w:hint="eastAsia" w:cs="Times New Roman"/>
                      <w:color w:val="auto"/>
                      <w:szCs w:val="21"/>
                      <w:highlight w:val="none"/>
                      <w:u w:val="none"/>
                      <w:lang w:val="en-US" w:eastAsia="zh-CN"/>
                    </w:rPr>
                  </w:pPr>
                  <w:r>
                    <w:rPr>
                      <w:rFonts w:hint="eastAsia" w:cs="Times New Roman"/>
                      <w:color w:val="auto"/>
                      <w:szCs w:val="21"/>
                      <w:highlight w:val="none"/>
                      <w:u w:val="none"/>
                      <w:lang w:val="en-US" w:eastAsia="zh-CN"/>
                    </w:rPr>
                    <w:t>居民10户</w:t>
                  </w:r>
                </w:p>
              </w:tc>
              <w:tc>
                <w:tcPr>
                  <w:tcW w:w="947" w:type="dxa"/>
                  <w:noWrap w:val="0"/>
                  <w:vAlign w:val="center"/>
                </w:tcPr>
                <w:p>
                  <w:pPr>
                    <w:spacing w:line="240" w:lineRule="auto"/>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二类</w:t>
                  </w:r>
                </w:p>
              </w:tc>
              <w:tc>
                <w:tcPr>
                  <w:tcW w:w="982" w:type="dxa"/>
                  <w:noWrap w:val="0"/>
                  <w:vAlign w:val="center"/>
                </w:tcPr>
                <w:p>
                  <w:pPr>
                    <w:spacing w:line="240" w:lineRule="auto"/>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EN</w:t>
                  </w:r>
                </w:p>
              </w:tc>
              <w:tc>
                <w:tcPr>
                  <w:tcW w:w="1249" w:type="dxa"/>
                  <w:noWrap w:val="0"/>
                  <w:vAlign w:val="center"/>
                </w:tcPr>
                <w:p>
                  <w:pPr>
                    <w:spacing w:line="240" w:lineRule="auto"/>
                    <w:jc w:val="center"/>
                    <w:rPr>
                      <w:rFonts w:hint="eastAsia" w:cs="Times New Roman"/>
                      <w:color w:val="auto"/>
                      <w:highlight w:val="none"/>
                      <w:u w:val="none"/>
                      <w:lang w:val="en-US" w:eastAsia="zh-CN"/>
                    </w:rPr>
                  </w:pPr>
                  <w:r>
                    <w:rPr>
                      <w:rFonts w:hint="eastAsia" w:cs="Times New Roman"/>
                      <w:color w:val="auto"/>
                      <w:highlight w:val="none"/>
                      <w:u w:val="none"/>
                      <w:lang w:val="en-US" w:eastAsia="zh-CN"/>
                    </w:rPr>
                    <w:t>265</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500</w:t>
                  </w:r>
                  <w:r>
                    <w:rPr>
                      <w:rFonts w:hint="eastAsia" w:ascii="Times New Roman" w:hAnsi="Times New Roman" w:cs="Times New Roman"/>
                      <w:color w:val="auto"/>
                      <w:highlight w:val="none"/>
                      <w:u w:val="none"/>
                      <w:lang w:val="en-US" w:eastAsia="zh-CN"/>
                    </w:rPr>
                    <w:t>m</w:t>
                  </w:r>
                </w:p>
              </w:tc>
              <w:tc>
                <w:tcPr>
                  <w:tcW w:w="893" w:type="dxa"/>
                  <w:noWrap w:val="0"/>
                  <w:vAlign w:val="center"/>
                </w:tcPr>
                <w:p>
                  <w:pPr>
                    <w:spacing w:line="240" w:lineRule="auto"/>
                    <w:jc w:val="center"/>
                    <w:rPr>
                      <w:rFonts w:hint="eastAsia" w:cs="Times New Roman"/>
                      <w:color w:val="auto"/>
                      <w:szCs w:val="21"/>
                      <w:highlight w:val="none"/>
                      <w:u w:val="none"/>
                      <w:lang w:val="en-US" w:eastAsia="zh-CN"/>
                    </w:rPr>
                  </w:pPr>
                  <w:r>
                    <w:rPr>
                      <w:rFonts w:hint="eastAsia" w:cs="Times New Roman"/>
                      <w:color w:val="auto"/>
                      <w:szCs w:val="21"/>
                      <w:highlight w:val="none"/>
                      <w:u w:val="none"/>
                      <w:lang w:val="en-US" w:eastAsia="zh-CN"/>
                    </w:rPr>
                    <w:t>265</w:t>
                  </w:r>
                  <w:r>
                    <w:rPr>
                      <w:rFonts w:hint="eastAsia" w:ascii="Times New Roman" w:hAnsi="Times New Roman" w:cs="Times New Roman"/>
                      <w:color w:val="auto"/>
                      <w:szCs w:val="21"/>
                      <w:highlight w:val="none"/>
                      <w:u w:val="none"/>
                      <w:lang w:val="en-US" w:eastAsia="zh-CN"/>
                    </w:rPr>
                    <w:t>m</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val="en-US" w:eastAsia="zh-CN"/>
              </w:rPr>
            </w:pPr>
            <w:r>
              <w:rPr>
                <w:rFonts w:hint="eastAsia" w:ascii="Times New Roman" w:hAnsi="Times New Roman" w:eastAsia="宋体" w:cs="Times New Roman"/>
                <w:b/>
                <w:bCs/>
                <w:color w:val="auto"/>
                <w:sz w:val="24"/>
                <w:szCs w:val="21"/>
                <w:highlight w:val="none"/>
                <w:lang w:val="en-US" w:eastAsia="zh-CN"/>
              </w:rPr>
              <w:t>2、声环境</w:t>
            </w:r>
          </w:p>
          <w:p>
            <w:pPr>
              <w:spacing w:line="360" w:lineRule="auto"/>
              <w:ind w:firstLine="48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距离厂界50m范围内无声环境保护目标。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val="en-US" w:eastAsia="zh-CN"/>
              </w:rPr>
            </w:pPr>
            <w:r>
              <w:rPr>
                <w:rFonts w:hint="eastAsia" w:ascii="Times New Roman" w:hAnsi="Times New Roman" w:eastAsia="宋体" w:cs="Times New Roman"/>
                <w:b/>
                <w:bCs/>
                <w:color w:val="auto"/>
                <w:sz w:val="24"/>
                <w:szCs w:val="21"/>
                <w:highlight w:val="none"/>
                <w:lang w:val="en-US" w:eastAsia="zh-CN"/>
              </w:rPr>
              <w:t>3、地下水环境</w:t>
            </w:r>
          </w:p>
          <w:p>
            <w:pPr>
              <w:spacing w:line="360" w:lineRule="auto"/>
              <w:ind w:firstLine="480"/>
              <w:rPr>
                <w:rFonts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4"/>
                <w:highlight w:val="none"/>
                <w:u w:val="none"/>
                <w:lang w:eastAsia="zh-CN"/>
              </w:rPr>
              <w:t>本项目厂界外</w:t>
            </w:r>
            <w:r>
              <w:rPr>
                <w:rFonts w:hint="eastAsia" w:ascii="Times New Roman" w:hAnsi="Times New Roman" w:eastAsia="宋体" w:cs="Times New Roman"/>
                <w:color w:val="auto"/>
                <w:sz w:val="24"/>
                <w:szCs w:val="24"/>
                <w:highlight w:val="none"/>
                <w:u w:val="none"/>
                <w:lang w:val="en-US" w:eastAsia="zh-CN"/>
              </w:rPr>
              <w:t>500米范围内无地下水集中式饮用水水源和热水、矿泉水、温泉等特殊地下水资源</w:t>
            </w:r>
            <w:r>
              <w:rPr>
                <w:rFonts w:ascii="Times New Roman" w:hAnsi="Times New Roman" w:eastAsia="宋体" w:cs="Times New Roman"/>
                <w:color w:val="auto"/>
                <w:sz w:val="24"/>
                <w:szCs w:val="21"/>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val="en-US" w:eastAsia="zh-CN"/>
              </w:rPr>
            </w:pPr>
            <w:r>
              <w:rPr>
                <w:rFonts w:hint="eastAsia" w:ascii="Times New Roman" w:hAnsi="Times New Roman" w:eastAsia="宋体" w:cs="Times New Roman"/>
                <w:b/>
                <w:bCs/>
                <w:color w:val="auto"/>
                <w:sz w:val="24"/>
                <w:szCs w:val="21"/>
                <w:highlight w:val="none"/>
                <w:lang w:val="en-US" w:eastAsia="zh-CN"/>
              </w:rPr>
              <w:t>4、生态保护目标</w:t>
            </w:r>
          </w:p>
          <w:p>
            <w:pPr>
              <w:spacing w:line="360" w:lineRule="auto"/>
              <w:ind w:firstLine="480"/>
            </w:pPr>
            <w:r>
              <w:rPr>
                <w:rFonts w:hint="eastAsia" w:ascii="Times New Roman" w:hAnsi="Times New Roman" w:eastAsia="宋体" w:cs="Times New Roman"/>
                <w:color w:val="auto"/>
                <w:sz w:val="24"/>
                <w:szCs w:val="24"/>
                <w:highlight w:val="none"/>
                <w:u w:val="none"/>
                <w:lang w:val="en-US" w:eastAsia="zh-CN"/>
              </w:rPr>
              <w:t>本项目</w:t>
            </w:r>
            <w:r>
              <w:rPr>
                <w:rFonts w:hint="eastAsia" w:cs="Times New Roman"/>
                <w:color w:val="auto"/>
                <w:sz w:val="24"/>
                <w:szCs w:val="24"/>
                <w:highlight w:val="none"/>
                <w:u w:val="none"/>
                <w:lang w:val="en-US" w:eastAsia="zh-CN"/>
              </w:rPr>
              <w:t>厂房租赁澧县高新区创新创业园标准化厂房</w:t>
            </w:r>
            <w:r>
              <w:rPr>
                <w:rFonts w:hint="eastAsia" w:ascii="Times New Roman" w:hAnsi="Times New Roman" w:eastAsia="宋体" w:cs="Times New Roman"/>
                <w:color w:val="auto"/>
                <w:sz w:val="24"/>
                <w:szCs w:val="24"/>
                <w:highlight w:val="none"/>
                <w:u w:val="none"/>
                <w:lang w:val="en-US" w:eastAsia="zh-CN"/>
              </w:rPr>
              <w:t>，用地范围内无生态环境保护目标。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613"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污染物排放控制标准</w:t>
            </w:r>
          </w:p>
        </w:tc>
        <w:tc>
          <w:tcPr>
            <w:tcW w:w="8489" w:type="dxa"/>
          </w:tcPr>
          <w:p>
            <w:pPr>
              <w:spacing w:line="360" w:lineRule="auto"/>
              <w:ind w:firstLine="360" w:firstLineChars="150"/>
              <w:outlineLvl w:val="0"/>
              <w:rPr>
                <w:rFonts w:hint="eastAsia"/>
                <w:color w:val="auto"/>
                <w:sz w:val="24"/>
                <w:szCs w:val="24"/>
                <w:u w:val="none"/>
                <w:lang w:eastAsia="zh-CN"/>
              </w:rPr>
            </w:pPr>
            <w:r>
              <w:rPr>
                <w:rFonts w:hint="eastAsia"/>
                <w:color w:val="auto"/>
                <w:sz w:val="24"/>
                <w:szCs w:val="24"/>
                <w:u w:val="none"/>
                <w:lang w:val="en-US" w:eastAsia="zh-CN"/>
              </w:rPr>
              <w:t>2、</w:t>
            </w:r>
            <w:r>
              <w:rPr>
                <w:rFonts w:hint="eastAsia"/>
                <w:color w:val="auto"/>
                <w:sz w:val="24"/>
                <w:szCs w:val="24"/>
                <w:u w:val="none"/>
                <w:lang w:eastAsia="zh-CN"/>
              </w:rPr>
              <w:t>污染物排放标准</w:t>
            </w:r>
          </w:p>
          <w:p>
            <w:pPr>
              <w:spacing w:line="360" w:lineRule="auto"/>
              <w:ind w:firstLine="360" w:firstLineChars="150"/>
              <w:outlineLvl w:val="0"/>
              <w:rPr>
                <w:color w:val="auto"/>
                <w:sz w:val="24"/>
                <w:szCs w:val="24"/>
                <w:u w:val="none"/>
                <w:lang w:eastAsia="zh-CN"/>
              </w:rPr>
            </w:pPr>
            <w:r>
              <w:rPr>
                <w:color w:val="auto"/>
                <w:sz w:val="24"/>
                <w:szCs w:val="24"/>
                <w:u w:val="none"/>
                <w:lang w:eastAsia="zh-CN"/>
              </w:rPr>
              <w:t>（</w:t>
            </w:r>
            <w:r>
              <w:rPr>
                <w:color w:val="auto"/>
                <w:sz w:val="24"/>
                <w:szCs w:val="24"/>
                <w:u w:val="none"/>
                <w:lang w:val="en-US" w:eastAsia="zh-CN"/>
              </w:rPr>
              <w:t>1</w:t>
            </w:r>
            <w:r>
              <w:rPr>
                <w:color w:val="auto"/>
                <w:sz w:val="24"/>
                <w:szCs w:val="24"/>
                <w:u w:val="none"/>
                <w:lang w:eastAsia="zh-CN"/>
              </w:rPr>
              <w:t>）废水排放标准</w:t>
            </w:r>
          </w:p>
          <w:p>
            <w:pPr>
              <w:spacing w:line="360" w:lineRule="auto"/>
              <w:ind w:firstLine="360" w:firstLineChars="150"/>
              <w:outlineLvl w:val="0"/>
              <w:rPr>
                <w:rFonts w:hint="eastAsia"/>
                <w:b/>
                <w:color w:val="auto"/>
                <w:highlight w:val="none"/>
                <w:u w:val="none"/>
              </w:rPr>
            </w:pPr>
            <w:r>
              <w:rPr>
                <w:color w:val="auto"/>
                <w:sz w:val="24"/>
                <w:szCs w:val="24"/>
                <w:u w:val="none"/>
              </w:rPr>
              <w:t>本项</w:t>
            </w:r>
            <w:r>
              <w:rPr>
                <w:color w:val="auto"/>
                <w:sz w:val="24"/>
                <w:szCs w:val="24"/>
                <w:u w:val="none"/>
                <w:lang w:eastAsia="zh-CN"/>
              </w:rPr>
              <w:t>无工艺废水外排，本项目产生的生活污水</w:t>
            </w:r>
            <w:r>
              <w:rPr>
                <w:color w:val="auto"/>
                <w:sz w:val="24"/>
                <w:highlight w:val="none"/>
                <w:u w:val="none"/>
              </w:rPr>
              <w:t>执行</w:t>
            </w:r>
            <w:r>
              <w:rPr>
                <w:rFonts w:hint="eastAsia"/>
                <w:color w:val="auto"/>
                <w:sz w:val="24"/>
                <w:highlight w:val="none"/>
                <w:u w:val="none"/>
                <w:lang w:eastAsia="zh-CN"/>
              </w:rPr>
              <w:t>《污水综合排放标准》（</w:t>
            </w:r>
            <w:r>
              <w:rPr>
                <w:rFonts w:hint="eastAsia"/>
                <w:color w:val="auto"/>
                <w:sz w:val="24"/>
                <w:highlight w:val="none"/>
                <w:u w:val="none"/>
                <w:lang w:val="en-US" w:eastAsia="zh-CN"/>
              </w:rPr>
              <w:t>GB8978-1996</w:t>
            </w:r>
            <w:r>
              <w:rPr>
                <w:rFonts w:hint="eastAsia"/>
                <w:color w:val="auto"/>
                <w:sz w:val="24"/>
                <w:highlight w:val="none"/>
                <w:u w:val="none"/>
                <w:lang w:eastAsia="zh-CN"/>
              </w:rPr>
              <w:t>）表</w:t>
            </w:r>
            <w:r>
              <w:rPr>
                <w:rFonts w:hint="eastAsia"/>
                <w:color w:val="auto"/>
                <w:sz w:val="24"/>
                <w:highlight w:val="none"/>
                <w:u w:val="none"/>
                <w:lang w:val="en-US" w:eastAsia="zh-CN"/>
              </w:rPr>
              <w:t>4中三级标准</w:t>
            </w:r>
            <w:r>
              <w:rPr>
                <w:rFonts w:hint="eastAsia"/>
                <w:color w:val="auto"/>
                <w:sz w:val="24"/>
                <w:szCs w:val="20"/>
                <w:u w:val="none"/>
              </w:rPr>
              <w:t>，因而项目废水总排口执行标准如下</w:t>
            </w:r>
            <w:r>
              <w:rPr>
                <w:color w:val="auto"/>
                <w:sz w:val="24"/>
                <w:highlight w:val="none"/>
                <w:u w:val="none"/>
                <w:lang w:val="en-GB"/>
              </w:rPr>
              <w:t>。</w:t>
            </w:r>
            <w:r>
              <w:rPr>
                <w:color w:val="auto"/>
                <w:sz w:val="24"/>
                <w:highlight w:val="none"/>
                <w:u w:val="none"/>
              </w:rPr>
              <w:t xml:space="preserve"> </w:t>
            </w:r>
          </w:p>
          <w:p>
            <w:pPr>
              <w:snapToGrid w:val="0"/>
              <w:spacing w:line="360" w:lineRule="auto"/>
              <w:jc w:val="center"/>
              <w:rPr>
                <w:b/>
                <w:color w:val="auto"/>
                <w:highlight w:val="none"/>
                <w:u w:val="none"/>
              </w:rPr>
            </w:pPr>
            <w:r>
              <w:rPr>
                <w:rFonts w:hint="eastAsia"/>
                <w:b/>
                <w:color w:val="auto"/>
                <w:highlight w:val="none"/>
                <w:u w:val="none"/>
              </w:rPr>
              <w:t>表</w:t>
            </w:r>
            <w:r>
              <w:rPr>
                <w:rFonts w:hint="eastAsia"/>
                <w:b/>
                <w:color w:val="auto"/>
                <w:highlight w:val="none"/>
                <w:u w:val="none"/>
                <w:lang w:val="en-US" w:eastAsia="zh-CN"/>
              </w:rPr>
              <w:t xml:space="preserve">3-6 </w:t>
            </w:r>
            <w:r>
              <w:rPr>
                <w:b/>
                <w:color w:val="auto"/>
                <w:highlight w:val="none"/>
                <w:u w:val="none"/>
              </w:rPr>
              <w:t>项目水污染物排放限值  单位：mg/L，pH除外</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67"/>
              <w:gridCol w:w="851"/>
              <w:gridCol w:w="923"/>
              <w:gridCol w:w="906"/>
              <w:gridCol w:w="1051"/>
              <w:gridCol w:w="869"/>
              <w:gridCol w:w="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8" w:hRule="atLeast"/>
                <w:jc w:val="center"/>
              </w:trPr>
              <w:tc>
                <w:tcPr>
                  <w:tcW w:w="1718" w:type="pct"/>
                  <w:vAlign w:val="center"/>
                </w:tcPr>
                <w:p>
                  <w:pPr>
                    <w:snapToGrid w:val="0"/>
                    <w:spacing w:line="240" w:lineRule="auto"/>
                    <w:jc w:val="center"/>
                    <w:rPr>
                      <w:b/>
                      <w:color w:val="auto"/>
                      <w:highlight w:val="none"/>
                      <w:u w:val="none"/>
                    </w:rPr>
                  </w:pPr>
                  <w:r>
                    <w:rPr>
                      <w:b/>
                      <w:color w:val="auto"/>
                      <w:highlight w:val="none"/>
                      <w:u w:val="none"/>
                    </w:rPr>
                    <w:t>污染物</w:t>
                  </w:r>
                </w:p>
              </w:tc>
              <w:tc>
                <w:tcPr>
                  <w:tcW w:w="510" w:type="pct"/>
                  <w:tcMar>
                    <w:left w:w="0" w:type="dxa"/>
                    <w:right w:w="0" w:type="dxa"/>
                  </w:tcMar>
                  <w:vAlign w:val="center"/>
                </w:tcPr>
                <w:p>
                  <w:pPr>
                    <w:snapToGrid w:val="0"/>
                    <w:spacing w:line="240" w:lineRule="auto"/>
                    <w:jc w:val="center"/>
                    <w:rPr>
                      <w:b/>
                      <w:color w:val="auto"/>
                      <w:highlight w:val="none"/>
                      <w:u w:val="none"/>
                    </w:rPr>
                  </w:pPr>
                  <w:r>
                    <w:rPr>
                      <w:b/>
                      <w:color w:val="auto"/>
                      <w:highlight w:val="none"/>
                      <w:u w:val="none"/>
                    </w:rPr>
                    <w:t>pH</w:t>
                  </w:r>
                </w:p>
              </w:tc>
              <w:tc>
                <w:tcPr>
                  <w:tcW w:w="553" w:type="pct"/>
                  <w:tcMar>
                    <w:left w:w="0" w:type="dxa"/>
                    <w:right w:w="0" w:type="dxa"/>
                  </w:tcMar>
                  <w:vAlign w:val="center"/>
                </w:tcPr>
                <w:p>
                  <w:pPr>
                    <w:snapToGrid w:val="0"/>
                    <w:spacing w:line="240" w:lineRule="auto"/>
                    <w:jc w:val="center"/>
                    <w:rPr>
                      <w:b/>
                      <w:color w:val="auto"/>
                      <w:highlight w:val="none"/>
                      <w:u w:val="none"/>
                    </w:rPr>
                  </w:pPr>
                  <w:r>
                    <w:rPr>
                      <w:b/>
                      <w:color w:val="auto"/>
                      <w:highlight w:val="none"/>
                      <w:u w:val="none"/>
                    </w:rPr>
                    <w:t>BOD</w:t>
                  </w:r>
                  <w:r>
                    <w:rPr>
                      <w:b/>
                      <w:color w:val="auto"/>
                      <w:highlight w:val="none"/>
                      <w:u w:val="none"/>
                      <w:vertAlign w:val="subscript"/>
                    </w:rPr>
                    <w:t>5</w:t>
                  </w:r>
                </w:p>
              </w:tc>
              <w:tc>
                <w:tcPr>
                  <w:tcW w:w="543" w:type="pct"/>
                  <w:tcMar>
                    <w:left w:w="0" w:type="dxa"/>
                    <w:right w:w="0" w:type="dxa"/>
                  </w:tcMar>
                  <w:vAlign w:val="center"/>
                </w:tcPr>
                <w:p>
                  <w:pPr>
                    <w:snapToGrid w:val="0"/>
                    <w:spacing w:line="240" w:lineRule="auto"/>
                    <w:jc w:val="center"/>
                    <w:rPr>
                      <w:b/>
                      <w:color w:val="auto"/>
                      <w:spacing w:val="-20"/>
                      <w:highlight w:val="none"/>
                      <w:u w:val="none"/>
                    </w:rPr>
                  </w:pPr>
                  <w:r>
                    <w:rPr>
                      <w:b/>
                      <w:color w:val="auto"/>
                      <w:spacing w:val="-20"/>
                      <w:highlight w:val="none"/>
                      <w:u w:val="none"/>
                    </w:rPr>
                    <w:t>COD</w:t>
                  </w:r>
                  <w:r>
                    <w:rPr>
                      <w:b/>
                      <w:color w:val="auto"/>
                      <w:spacing w:val="-20"/>
                      <w:highlight w:val="none"/>
                      <w:u w:val="none"/>
                      <w:vertAlign w:val="subscript"/>
                    </w:rPr>
                    <w:t>Cr</w:t>
                  </w:r>
                </w:p>
              </w:tc>
              <w:tc>
                <w:tcPr>
                  <w:tcW w:w="630" w:type="pct"/>
                  <w:tcMar>
                    <w:left w:w="0" w:type="dxa"/>
                    <w:right w:w="0" w:type="dxa"/>
                  </w:tcMar>
                  <w:vAlign w:val="center"/>
                </w:tcPr>
                <w:p>
                  <w:pPr>
                    <w:snapToGrid w:val="0"/>
                    <w:spacing w:line="240" w:lineRule="auto"/>
                    <w:jc w:val="center"/>
                    <w:rPr>
                      <w:b/>
                      <w:color w:val="auto"/>
                      <w:highlight w:val="none"/>
                      <w:u w:val="none"/>
                    </w:rPr>
                  </w:pPr>
                  <w:r>
                    <w:rPr>
                      <w:b/>
                      <w:color w:val="auto"/>
                      <w:highlight w:val="none"/>
                      <w:u w:val="none"/>
                    </w:rPr>
                    <w:t>SS</w:t>
                  </w:r>
                </w:p>
              </w:tc>
              <w:tc>
                <w:tcPr>
                  <w:tcW w:w="521" w:type="pct"/>
                  <w:tcMar>
                    <w:left w:w="0" w:type="dxa"/>
                    <w:right w:w="0" w:type="dxa"/>
                  </w:tcMar>
                  <w:vAlign w:val="center"/>
                </w:tcPr>
                <w:p>
                  <w:pPr>
                    <w:snapToGrid w:val="0"/>
                    <w:spacing w:line="240" w:lineRule="auto"/>
                    <w:jc w:val="center"/>
                    <w:rPr>
                      <w:b/>
                      <w:color w:val="auto"/>
                      <w:highlight w:val="none"/>
                      <w:u w:val="none"/>
                    </w:rPr>
                  </w:pPr>
                  <w:r>
                    <w:rPr>
                      <w:b/>
                      <w:color w:val="auto"/>
                      <w:highlight w:val="none"/>
                      <w:u w:val="none"/>
                    </w:rPr>
                    <w:t>NH</w:t>
                  </w:r>
                  <w:r>
                    <w:rPr>
                      <w:b/>
                      <w:color w:val="auto"/>
                      <w:highlight w:val="none"/>
                      <w:u w:val="none"/>
                      <w:vertAlign w:val="subscript"/>
                    </w:rPr>
                    <w:t>3</w:t>
                  </w:r>
                  <w:r>
                    <w:rPr>
                      <w:b/>
                      <w:color w:val="auto"/>
                      <w:highlight w:val="none"/>
                      <w:u w:val="none"/>
                    </w:rPr>
                    <w:t>-N</w:t>
                  </w:r>
                </w:p>
              </w:tc>
              <w:tc>
                <w:tcPr>
                  <w:tcW w:w="522" w:type="pct"/>
                  <w:tcMar>
                    <w:left w:w="0" w:type="dxa"/>
                    <w:right w:w="0" w:type="dxa"/>
                  </w:tcMar>
                  <w:vAlign w:val="center"/>
                </w:tcPr>
                <w:p>
                  <w:pPr>
                    <w:snapToGrid w:val="0"/>
                    <w:spacing w:line="240" w:lineRule="auto"/>
                    <w:jc w:val="center"/>
                    <w:rPr>
                      <w:rFonts w:hint="eastAsia" w:eastAsia="宋体"/>
                      <w:b/>
                      <w:color w:val="auto"/>
                      <w:highlight w:val="none"/>
                      <w:u w:val="none"/>
                      <w:lang w:eastAsia="zh-CN"/>
                    </w:rPr>
                  </w:pPr>
                  <w:r>
                    <w:rPr>
                      <w:rFonts w:hint="eastAsia"/>
                      <w:b/>
                      <w:color w:val="auto"/>
                      <w:highlight w:val="none"/>
                      <w:u w:val="none"/>
                      <w:lang w:eastAsia="zh-CN"/>
                    </w:rPr>
                    <w:t>动植物油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0" w:hRule="atLeast"/>
                <w:jc w:val="center"/>
              </w:trPr>
              <w:tc>
                <w:tcPr>
                  <w:tcW w:w="1718" w:type="pct"/>
                  <w:vAlign w:val="center"/>
                </w:tcPr>
                <w:p>
                  <w:pPr>
                    <w:snapToGrid w:val="0"/>
                    <w:spacing w:line="240" w:lineRule="auto"/>
                    <w:jc w:val="center"/>
                    <w:rPr>
                      <w:b/>
                      <w:color w:val="auto"/>
                      <w:highlight w:val="none"/>
                      <w:u w:val="none"/>
                    </w:rPr>
                  </w:pPr>
                  <w:r>
                    <w:rPr>
                      <w:rFonts w:hint="eastAsia"/>
                      <w:color w:val="auto"/>
                      <w:highlight w:val="none"/>
                      <w:u w:val="none"/>
                    </w:rPr>
                    <w:t>（GB8978-1996）表4中三级标准</w:t>
                  </w:r>
                </w:p>
              </w:tc>
              <w:tc>
                <w:tcPr>
                  <w:tcW w:w="510" w:type="pct"/>
                  <w:tcMar>
                    <w:left w:w="0" w:type="dxa"/>
                    <w:right w:w="0" w:type="dxa"/>
                  </w:tcMar>
                  <w:vAlign w:val="center"/>
                </w:tcPr>
                <w:p>
                  <w:pPr>
                    <w:snapToGrid w:val="0"/>
                    <w:spacing w:line="240" w:lineRule="auto"/>
                    <w:jc w:val="center"/>
                    <w:rPr>
                      <w:b/>
                      <w:color w:val="auto"/>
                      <w:highlight w:val="none"/>
                      <w:u w:val="none"/>
                    </w:rPr>
                  </w:pPr>
                  <w:r>
                    <w:rPr>
                      <w:color w:val="auto"/>
                      <w:highlight w:val="none"/>
                      <w:u w:val="none"/>
                    </w:rPr>
                    <w:t>6-9</w:t>
                  </w:r>
                </w:p>
              </w:tc>
              <w:tc>
                <w:tcPr>
                  <w:tcW w:w="553" w:type="pct"/>
                  <w:tcMar>
                    <w:left w:w="0" w:type="dxa"/>
                    <w:right w:w="0" w:type="dxa"/>
                  </w:tcMar>
                  <w:vAlign w:val="center"/>
                </w:tcPr>
                <w:p>
                  <w:pPr>
                    <w:snapToGrid w:val="0"/>
                    <w:spacing w:line="240" w:lineRule="auto"/>
                    <w:jc w:val="center"/>
                    <w:rPr>
                      <w:b/>
                      <w:color w:val="auto"/>
                      <w:highlight w:val="none"/>
                      <w:u w:val="none"/>
                    </w:rPr>
                  </w:pPr>
                  <w:r>
                    <w:rPr>
                      <w:color w:val="auto"/>
                      <w:highlight w:val="none"/>
                      <w:u w:val="none"/>
                    </w:rPr>
                    <w:t>≤300</w:t>
                  </w:r>
                </w:p>
              </w:tc>
              <w:tc>
                <w:tcPr>
                  <w:tcW w:w="543" w:type="pct"/>
                  <w:tcMar>
                    <w:left w:w="0" w:type="dxa"/>
                    <w:right w:w="0" w:type="dxa"/>
                  </w:tcMar>
                  <w:vAlign w:val="center"/>
                </w:tcPr>
                <w:p>
                  <w:pPr>
                    <w:snapToGrid w:val="0"/>
                    <w:spacing w:line="240" w:lineRule="auto"/>
                    <w:jc w:val="center"/>
                    <w:rPr>
                      <w:b/>
                      <w:color w:val="auto"/>
                      <w:spacing w:val="-20"/>
                      <w:highlight w:val="none"/>
                      <w:u w:val="none"/>
                    </w:rPr>
                  </w:pPr>
                  <w:r>
                    <w:rPr>
                      <w:color w:val="auto"/>
                      <w:highlight w:val="none"/>
                      <w:u w:val="none"/>
                    </w:rPr>
                    <w:t>≤500</w:t>
                  </w:r>
                </w:p>
              </w:tc>
              <w:tc>
                <w:tcPr>
                  <w:tcW w:w="630" w:type="pct"/>
                  <w:tcMar>
                    <w:left w:w="0" w:type="dxa"/>
                    <w:right w:w="0" w:type="dxa"/>
                  </w:tcMar>
                  <w:vAlign w:val="center"/>
                </w:tcPr>
                <w:p>
                  <w:pPr>
                    <w:snapToGrid w:val="0"/>
                    <w:spacing w:line="240" w:lineRule="auto"/>
                    <w:jc w:val="center"/>
                    <w:rPr>
                      <w:b/>
                      <w:color w:val="auto"/>
                      <w:highlight w:val="none"/>
                      <w:u w:val="none"/>
                    </w:rPr>
                  </w:pPr>
                  <w:r>
                    <w:rPr>
                      <w:color w:val="auto"/>
                      <w:highlight w:val="none"/>
                      <w:u w:val="none"/>
                    </w:rPr>
                    <w:t>≤400</w:t>
                  </w:r>
                </w:p>
              </w:tc>
              <w:tc>
                <w:tcPr>
                  <w:tcW w:w="521" w:type="pct"/>
                  <w:tcMar>
                    <w:left w:w="0" w:type="dxa"/>
                    <w:right w:w="0" w:type="dxa"/>
                  </w:tcMar>
                  <w:vAlign w:val="center"/>
                </w:tcPr>
                <w:p>
                  <w:pPr>
                    <w:snapToGrid w:val="0"/>
                    <w:spacing w:line="240" w:lineRule="auto"/>
                    <w:jc w:val="center"/>
                    <w:rPr>
                      <w:b/>
                      <w:color w:val="auto"/>
                      <w:highlight w:val="none"/>
                      <w:u w:val="none"/>
                    </w:rPr>
                  </w:pPr>
                  <w:r>
                    <w:rPr>
                      <w:color w:val="auto"/>
                      <w:highlight w:val="none"/>
                      <w:u w:val="none"/>
                    </w:rPr>
                    <w:t>/</w:t>
                  </w:r>
                </w:p>
              </w:tc>
              <w:tc>
                <w:tcPr>
                  <w:tcW w:w="522"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r>
                    <w:rPr>
                      <w:rFonts w:hint="eastAsia"/>
                      <w:color w:val="auto"/>
                      <w:highlight w:val="none"/>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1718" w:type="pct"/>
                  <w:vAlign w:val="center"/>
                </w:tcPr>
                <w:p>
                  <w:pPr>
                    <w:snapToGrid w:val="0"/>
                    <w:spacing w:line="240" w:lineRule="auto"/>
                    <w:jc w:val="center"/>
                    <w:rPr>
                      <w:color w:val="auto"/>
                      <w:highlight w:val="none"/>
                      <w:u w:val="none"/>
                    </w:rPr>
                  </w:pPr>
                  <w:r>
                    <w:rPr>
                      <w:color w:val="auto"/>
                      <w:highlight w:val="none"/>
                      <w:u w:val="none"/>
                    </w:rPr>
                    <w:t>本项目执行标准值</w:t>
                  </w:r>
                </w:p>
              </w:tc>
              <w:tc>
                <w:tcPr>
                  <w:tcW w:w="510" w:type="pct"/>
                  <w:tcMar>
                    <w:left w:w="0" w:type="dxa"/>
                    <w:right w:w="0" w:type="dxa"/>
                  </w:tcMar>
                  <w:vAlign w:val="center"/>
                </w:tcPr>
                <w:p>
                  <w:pPr>
                    <w:snapToGrid w:val="0"/>
                    <w:spacing w:line="240" w:lineRule="auto"/>
                    <w:jc w:val="center"/>
                    <w:rPr>
                      <w:color w:val="auto"/>
                      <w:highlight w:val="none"/>
                      <w:u w:val="none"/>
                    </w:rPr>
                  </w:pPr>
                  <w:r>
                    <w:rPr>
                      <w:color w:val="auto"/>
                      <w:highlight w:val="none"/>
                      <w:u w:val="none"/>
                    </w:rPr>
                    <w:t>6-9</w:t>
                  </w:r>
                </w:p>
              </w:tc>
              <w:tc>
                <w:tcPr>
                  <w:tcW w:w="553"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r>
                    <w:rPr>
                      <w:rFonts w:hint="eastAsia"/>
                      <w:color w:val="auto"/>
                      <w:highlight w:val="none"/>
                      <w:u w:val="none"/>
                      <w:lang w:val="en-US" w:eastAsia="zh-CN"/>
                    </w:rPr>
                    <w:t>300</w:t>
                  </w:r>
                </w:p>
              </w:tc>
              <w:tc>
                <w:tcPr>
                  <w:tcW w:w="543"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r>
                    <w:rPr>
                      <w:rFonts w:hint="eastAsia"/>
                      <w:color w:val="auto"/>
                      <w:highlight w:val="none"/>
                      <w:u w:val="none"/>
                      <w:lang w:val="en-US" w:eastAsia="zh-CN"/>
                    </w:rPr>
                    <w:t>500</w:t>
                  </w:r>
                </w:p>
              </w:tc>
              <w:tc>
                <w:tcPr>
                  <w:tcW w:w="630"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r>
                    <w:rPr>
                      <w:rFonts w:hint="eastAsia"/>
                      <w:color w:val="auto"/>
                      <w:highlight w:val="none"/>
                      <w:u w:val="none"/>
                      <w:lang w:val="en-US" w:eastAsia="zh-CN"/>
                    </w:rPr>
                    <w:t>400</w:t>
                  </w:r>
                </w:p>
              </w:tc>
              <w:tc>
                <w:tcPr>
                  <w:tcW w:w="521"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p>
              </w:tc>
              <w:tc>
                <w:tcPr>
                  <w:tcW w:w="522" w:type="pct"/>
                  <w:tcMar>
                    <w:left w:w="0" w:type="dxa"/>
                    <w:right w:w="0" w:type="dxa"/>
                  </w:tcMar>
                  <w:vAlign w:val="center"/>
                </w:tcPr>
                <w:p>
                  <w:pPr>
                    <w:snapToGrid w:val="0"/>
                    <w:spacing w:line="240" w:lineRule="auto"/>
                    <w:jc w:val="center"/>
                    <w:rPr>
                      <w:rFonts w:hint="default" w:eastAsia="宋体"/>
                      <w:color w:val="auto"/>
                      <w:highlight w:val="none"/>
                      <w:u w:val="none"/>
                      <w:lang w:val="en-US" w:eastAsia="zh-CN"/>
                    </w:rPr>
                  </w:pPr>
                  <w:r>
                    <w:rPr>
                      <w:color w:val="auto"/>
                      <w:highlight w:val="none"/>
                      <w:u w:val="none"/>
                    </w:rPr>
                    <w:t>≤</w:t>
                  </w:r>
                  <w:r>
                    <w:rPr>
                      <w:rFonts w:hint="eastAsia"/>
                      <w:color w:val="auto"/>
                      <w:highlight w:val="none"/>
                      <w:u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u w:val="none"/>
                <w:lang w:eastAsia="zh-CN"/>
              </w:rPr>
            </w:pPr>
            <w:r>
              <w:rPr>
                <w:color w:val="auto"/>
                <w:sz w:val="24"/>
                <w:highlight w:val="none"/>
                <w:u w:val="none"/>
              </w:rPr>
              <w:t xml:space="preserve"> </w:t>
            </w:r>
            <w:r>
              <w:rPr>
                <w:rFonts w:hint="eastAsia" w:ascii="Times New Roman" w:hAnsi="Times New Roman" w:eastAsia="宋体" w:cs="Times New Roman"/>
                <w:color w:val="auto"/>
                <w:sz w:val="24"/>
                <w:szCs w:val="24"/>
                <w:u w:val="none"/>
                <w:lang w:eastAsia="zh-CN"/>
              </w:rPr>
              <w:t>（</w:t>
            </w:r>
            <w:r>
              <w:rPr>
                <w:rFonts w:hint="eastAsia" w:ascii="Times New Roman" w:hAnsi="Times New Roman" w:eastAsia="宋体" w:cs="Times New Roman"/>
                <w:color w:val="auto"/>
                <w:sz w:val="24"/>
                <w:szCs w:val="24"/>
                <w:u w:val="none"/>
                <w:lang w:val="en-US" w:eastAsia="zh-CN"/>
              </w:rPr>
              <w:t>2</w:t>
            </w:r>
            <w:r>
              <w:rPr>
                <w:rFonts w:hint="eastAsia" w:ascii="Times New Roman" w:hAnsi="Times New Roman" w:eastAsia="宋体" w:cs="Times New Roman"/>
                <w:color w:val="auto"/>
                <w:sz w:val="24"/>
                <w:szCs w:val="24"/>
                <w:u w:val="none"/>
                <w:lang w:eastAsia="zh-CN"/>
              </w:rPr>
              <w:t>）</w:t>
            </w:r>
            <w:r>
              <w:rPr>
                <w:rFonts w:ascii="Times New Roman" w:hAnsi="Times New Roman" w:eastAsia="宋体" w:cs="Times New Roman"/>
                <w:color w:val="auto"/>
                <w:sz w:val="24"/>
                <w:szCs w:val="24"/>
                <w:u w:val="none"/>
                <w:lang w:eastAsia="zh-CN"/>
              </w:rPr>
              <w:t>废气排放标准</w:t>
            </w:r>
          </w:p>
          <w:p>
            <w:pPr>
              <w:spacing w:line="360" w:lineRule="auto"/>
              <w:ind w:firstLine="360" w:firstLineChars="150"/>
              <w:outlineLvl w:val="0"/>
              <w:rPr>
                <w:color w:val="000000" w:themeColor="text1"/>
                <w:sz w:val="24"/>
                <w:u w:val="none"/>
                <w14:textFill>
                  <w14:solidFill>
                    <w14:schemeClr w14:val="tx1"/>
                  </w14:solidFill>
                </w14:textFill>
              </w:rPr>
            </w:pPr>
            <w:r>
              <w:rPr>
                <w:rFonts w:hint="eastAsia"/>
                <w:color w:val="000000" w:themeColor="text1"/>
                <w:sz w:val="24"/>
                <w:u w:val="none"/>
                <w:lang w:eastAsia="zh-CN"/>
                <w14:textFill>
                  <w14:solidFill>
                    <w14:schemeClr w14:val="tx1"/>
                  </w14:solidFill>
                </w14:textFill>
              </w:rPr>
              <w:t>项目废气主要为天然气燃烧</w:t>
            </w:r>
            <w:r>
              <w:rPr>
                <w:rFonts w:hint="eastAsia"/>
                <w:color w:val="000000" w:themeColor="text1"/>
                <w:sz w:val="24"/>
                <w:u w:val="none"/>
                <w:lang w:val="en-US" w:eastAsia="zh-CN"/>
                <w14:textFill>
                  <w14:solidFill>
                    <w14:schemeClr w14:val="tx1"/>
                  </w14:solidFill>
                </w14:textFill>
              </w:rPr>
              <w:t>及烘干过程</w:t>
            </w:r>
            <w:r>
              <w:rPr>
                <w:rFonts w:hint="eastAsia"/>
                <w:color w:val="000000" w:themeColor="text1"/>
                <w:sz w:val="24"/>
                <w:u w:val="none"/>
                <w:lang w:eastAsia="zh-CN"/>
                <w14:textFill>
                  <w14:solidFill>
                    <w14:schemeClr w14:val="tx1"/>
                  </w14:solidFill>
                </w14:textFill>
              </w:rPr>
              <w:t>过程中产生的</w:t>
            </w:r>
            <w:r>
              <w:rPr>
                <w:rFonts w:hint="eastAsia"/>
                <w:color w:val="000000" w:themeColor="text1"/>
                <w:sz w:val="24"/>
                <w:u w:val="none"/>
                <w:lang w:val="en-US" w:eastAsia="zh-CN"/>
                <w14:textFill>
                  <w14:solidFill>
                    <w14:schemeClr w14:val="tx1"/>
                  </w14:solidFill>
                </w14:textFill>
              </w:rPr>
              <w:t>颗粒物SO</w:t>
            </w:r>
            <w:r>
              <w:rPr>
                <w:rFonts w:hint="eastAsia"/>
                <w:color w:val="000000" w:themeColor="text1"/>
                <w:sz w:val="24"/>
                <w:u w:val="none"/>
                <w:vertAlign w:val="subscript"/>
                <w:lang w:val="en-US" w:eastAsia="zh-CN"/>
                <w14:textFill>
                  <w14:solidFill>
                    <w14:schemeClr w14:val="tx1"/>
                  </w14:solidFill>
                </w14:textFill>
              </w:rPr>
              <w:t>2</w:t>
            </w:r>
            <w:r>
              <w:rPr>
                <w:rFonts w:hint="eastAsia"/>
                <w:color w:val="000000" w:themeColor="text1"/>
                <w:sz w:val="24"/>
                <w:u w:val="none"/>
                <w:lang w:val="en-US" w:eastAsia="zh-CN"/>
                <w14:textFill>
                  <w14:solidFill>
                    <w14:schemeClr w14:val="tx1"/>
                  </w14:solidFill>
                </w14:textFill>
              </w:rPr>
              <w:t>、NO</w:t>
            </w:r>
            <w:r>
              <w:rPr>
                <w:rFonts w:hint="eastAsia"/>
                <w:color w:val="000000" w:themeColor="text1"/>
                <w:sz w:val="24"/>
                <w:u w:val="none"/>
                <w:vertAlign w:val="subscript"/>
                <w:lang w:val="en-US" w:eastAsia="zh-CN"/>
                <w14:textFill>
                  <w14:solidFill>
                    <w14:schemeClr w14:val="tx1"/>
                  </w14:solidFill>
                </w14:textFill>
              </w:rPr>
              <w:t xml:space="preserve"> X</w:t>
            </w:r>
            <w:r>
              <w:rPr>
                <w:rFonts w:hint="eastAsia"/>
                <w:color w:val="000000" w:themeColor="text1"/>
                <w:sz w:val="24"/>
                <w:u w:val="none"/>
                <w:vertAlign w:val="baseline"/>
                <w:lang w:val="en-US" w:eastAsia="zh-CN"/>
                <w14:textFill>
                  <w14:solidFill>
                    <w14:schemeClr w14:val="tx1"/>
                  </w14:solidFill>
                </w14:textFill>
              </w:rPr>
              <w:t>、非甲烷总烃</w:t>
            </w:r>
            <w:r>
              <w:rPr>
                <w:rFonts w:hint="eastAsia"/>
                <w:color w:val="000000" w:themeColor="text1"/>
                <w:sz w:val="24"/>
                <w:u w:val="none"/>
                <w:lang w:val="en-US" w:eastAsia="zh-CN"/>
                <w14:textFill>
                  <w14:solidFill>
                    <w14:schemeClr w14:val="tx1"/>
                  </w14:solidFill>
                </w14:textFill>
              </w:rPr>
              <w:t>执行</w:t>
            </w:r>
            <w:r>
              <w:rPr>
                <w:rFonts w:hint="eastAsia"/>
                <w:color w:val="000000" w:themeColor="text1"/>
                <w:sz w:val="24"/>
                <w:u w:val="none"/>
                <w:lang w:eastAsia="zh-CN"/>
                <w14:textFill>
                  <w14:solidFill>
                    <w14:schemeClr w14:val="tx1"/>
                  </w14:solidFill>
                </w14:textFill>
              </w:rPr>
              <w:t>《大气污染物综合排放标准》（</w:t>
            </w:r>
            <w:r>
              <w:rPr>
                <w:rFonts w:hint="eastAsia"/>
                <w:color w:val="000000" w:themeColor="text1"/>
                <w:sz w:val="24"/>
                <w:u w:val="none"/>
                <w:lang w:val="en-US" w:eastAsia="zh-CN"/>
                <w14:textFill>
                  <w14:solidFill>
                    <w14:schemeClr w14:val="tx1"/>
                  </w14:solidFill>
                </w14:textFill>
              </w:rPr>
              <w:t>GB16297-1996</w:t>
            </w:r>
            <w:r>
              <w:rPr>
                <w:rFonts w:hint="eastAsia"/>
                <w:color w:val="000000" w:themeColor="text1"/>
                <w:sz w:val="24"/>
                <w:u w:val="none"/>
                <w:lang w:eastAsia="zh-CN"/>
                <w14:textFill>
                  <w14:solidFill>
                    <w14:schemeClr w14:val="tx1"/>
                  </w14:solidFill>
                </w14:textFill>
              </w:rPr>
              <w:t>）无组织排放标准限值</w:t>
            </w:r>
            <w:r>
              <w:rPr>
                <w:rFonts w:hint="eastAsia"/>
                <w:color w:val="000000" w:themeColor="text1"/>
                <w:sz w:val="24"/>
                <w:u w:val="none"/>
                <w:lang w:val="en-US" w:eastAsia="zh-CN"/>
                <w14:textFill>
                  <w14:solidFill>
                    <w14:schemeClr w14:val="tx1"/>
                  </w14:solidFill>
                </w14:textFill>
              </w:rPr>
              <w:t>；厂区内挥发性有机物（本项目以非甲烷总烃计）执行《</w:t>
            </w:r>
            <w:r>
              <w:rPr>
                <w:rFonts w:hint="eastAsia" w:cs="Times New Roman"/>
                <w:color w:val="auto"/>
                <w:sz w:val="24"/>
                <w:szCs w:val="24"/>
                <w:u w:val="none"/>
                <w:lang w:val="en-US" w:eastAsia="zh-CN"/>
              </w:rPr>
              <w:t>挥发性有机物无组织排放控制标准》（GB37822-2019）表A.1VOC</w:t>
            </w:r>
            <w:r>
              <w:rPr>
                <w:rFonts w:hint="eastAsia" w:cs="Times New Roman"/>
                <w:color w:val="auto"/>
                <w:sz w:val="24"/>
                <w:szCs w:val="24"/>
                <w:u w:val="none"/>
                <w:vertAlign w:val="subscript"/>
                <w:lang w:val="en-US" w:eastAsia="zh-CN"/>
              </w:rPr>
              <w:t>S</w:t>
            </w:r>
            <w:r>
              <w:rPr>
                <w:rFonts w:hint="eastAsia" w:cs="Times New Roman"/>
                <w:color w:val="auto"/>
                <w:sz w:val="24"/>
                <w:szCs w:val="24"/>
                <w:u w:val="none"/>
                <w:lang w:val="en-US" w:eastAsia="zh-CN"/>
              </w:rPr>
              <w:t>无组织排放限值，抛光打磨颗粒物执行</w:t>
            </w:r>
            <w:r>
              <w:rPr>
                <w:rFonts w:hint="eastAsia"/>
                <w:color w:val="000000" w:themeColor="text1"/>
                <w:sz w:val="24"/>
                <w:u w:val="none"/>
                <w:lang w:eastAsia="zh-CN"/>
                <w14:textFill>
                  <w14:solidFill>
                    <w14:schemeClr w14:val="tx1"/>
                  </w14:solidFill>
                </w14:textFill>
              </w:rPr>
              <w:t>《大气污染物综合排放标准》（</w:t>
            </w:r>
            <w:r>
              <w:rPr>
                <w:rFonts w:hint="eastAsia"/>
                <w:color w:val="000000" w:themeColor="text1"/>
                <w:sz w:val="24"/>
                <w:u w:val="none"/>
                <w:lang w:val="en-US" w:eastAsia="zh-CN"/>
                <w14:textFill>
                  <w14:solidFill>
                    <w14:schemeClr w14:val="tx1"/>
                  </w14:solidFill>
                </w14:textFill>
              </w:rPr>
              <w:t>GB16297-1996</w:t>
            </w:r>
            <w:r>
              <w:rPr>
                <w:rFonts w:hint="eastAsia"/>
                <w:color w:val="000000" w:themeColor="text1"/>
                <w:sz w:val="24"/>
                <w:u w:val="none"/>
                <w:lang w:eastAsia="zh-CN"/>
                <w14:textFill>
                  <w14:solidFill>
                    <w14:schemeClr w14:val="tx1"/>
                  </w14:solidFill>
                </w14:textFill>
              </w:rPr>
              <w:t>）无组织排放标准限值，</w:t>
            </w:r>
            <w:r>
              <w:rPr>
                <w:color w:val="000000" w:themeColor="text1"/>
                <w:sz w:val="24"/>
                <w:u w:val="none"/>
                <w14:textFill>
                  <w14:solidFill>
                    <w14:schemeClr w14:val="tx1"/>
                  </w14:solidFill>
                </w14:textFill>
              </w:rPr>
              <w:t>污染物及其浓度限值见下表。</w:t>
            </w:r>
          </w:p>
          <w:p>
            <w:pPr>
              <w:snapToGrid w:val="0"/>
              <w:spacing w:line="240" w:lineRule="auto"/>
              <w:jc w:val="center"/>
              <w:rPr>
                <w:rFonts w:hint="default" w:eastAsia="宋体"/>
                <w:b/>
                <w:color w:val="000000" w:themeColor="text1"/>
                <w:u w:val="none"/>
                <w:lang w:val="en-US" w:eastAsia="zh-CN"/>
                <w14:textFill>
                  <w14:solidFill>
                    <w14:schemeClr w14:val="tx1"/>
                  </w14:solidFill>
                </w14:textFill>
              </w:rPr>
            </w:pPr>
            <w:r>
              <w:rPr>
                <w:b/>
                <w:color w:val="000000" w:themeColor="text1"/>
                <w:u w:val="none"/>
                <w14:textFill>
                  <w14:solidFill>
                    <w14:schemeClr w14:val="tx1"/>
                  </w14:solidFill>
                </w14:textFill>
              </w:rPr>
              <w:t>表</w:t>
            </w:r>
            <w:r>
              <w:rPr>
                <w:rFonts w:hint="eastAsia"/>
                <w:b/>
                <w:color w:val="000000" w:themeColor="text1"/>
                <w:u w:val="none"/>
                <w:lang w:val="en-US" w:eastAsia="zh-CN"/>
                <w14:textFill>
                  <w14:solidFill>
                    <w14:schemeClr w14:val="tx1"/>
                  </w14:solidFill>
                </w14:textFill>
              </w:rPr>
              <w:t xml:space="preserve">3-7 </w:t>
            </w:r>
            <w:r>
              <w:rPr>
                <w:b/>
                <w:color w:val="000000" w:themeColor="text1"/>
                <w:u w:val="none"/>
                <w14:textFill>
                  <w14:solidFill>
                    <w14:schemeClr w14:val="tx1"/>
                  </w14:solidFill>
                </w14:textFill>
              </w:rPr>
              <w:t>本项目大气污染物排放标准</w:t>
            </w:r>
            <w:r>
              <w:rPr>
                <w:rFonts w:hint="eastAsia"/>
                <w:b/>
                <w:color w:val="000000" w:themeColor="text1"/>
                <w:u w:val="none"/>
                <w:lang w:val="en-US" w:eastAsia="zh-CN"/>
                <w14:textFill>
                  <w14:solidFill>
                    <w14:schemeClr w14:val="tx1"/>
                  </w14:solidFill>
                </w14:textFill>
              </w:rPr>
              <w:t xml:space="preserve">  单位mg/m</w:t>
            </w:r>
            <w:r>
              <w:rPr>
                <w:rFonts w:hint="eastAsia"/>
                <w:b/>
                <w:color w:val="000000" w:themeColor="text1"/>
                <w:u w:val="none"/>
                <w:vertAlign w:val="superscript"/>
                <w:lang w:val="en-US" w:eastAsia="zh-CN"/>
                <w14:textFill>
                  <w14:solidFill>
                    <w14:schemeClr w14:val="tx1"/>
                  </w14:solidFill>
                </w14:textFill>
              </w:rPr>
              <w:t>3</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autofit"/>
              <w:tblCellMar>
                <w:top w:w="0" w:type="dxa"/>
                <w:left w:w="0" w:type="dxa"/>
                <w:bottom w:w="0" w:type="dxa"/>
                <w:right w:w="0" w:type="dxa"/>
              </w:tblCellMar>
            </w:tblPr>
            <w:tblGrid>
              <w:gridCol w:w="1992"/>
              <w:gridCol w:w="1088"/>
              <w:gridCol w:w="2106"/>
              <w:gridCol w:w="136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765" w:hRule="exact"/>
                <w:jc w:val="center"/>
              </w:trPr>
              <w:tc>
                <w:tcPr>
                  <w:tcW w:w="1194" w:type="pct"/>
                  <w:tcBorders>
                    <w:tl2br w:val="nil"/>
                    <w:tr2bl w:val="nil"/>
                  </w:tcBorders>
                  <w:vAlign w:val="center"/>
                </w:tcPr>
                <w:p>
                  <w:pPr>
                    <w:pStyle w:val="80"/>
                    <w:spacing w:before="147"/>
                    <w:jc w:val="center"/>
                    <w:rPr>
                      <w:color w:val="000000" w:themeColor="text1"/>
                      <w:sz w:val="21"/>
                      <w:szCs w:val="21"/>
                      <w:u w:val="none"/>
                      <w14:textFill>
                        <w14:solidFill>
                          <w14:schemeClr w14:val="tx1"/>
                        </w14:solidFill>
                      </w14:textFill>
                    </w:rPr>
                  </w:pPr>
                  <w:r>
                    <w:rPr>
                      <w:b/>
                      <w:bCs/>
                      <w:color w:val="000000" w:themeColor="text1"/>
                      <w:sz w:val="21"/>
                      <w:szCs w:val="21"/>
                      <w:u w:val="none"/>
                      <w14:textFill>
                        <w14:solidFill>
                          <w14:schemeClr w14:val="tx1"/>
                        </w14:solidFill>
                      </w14:textFill>
                    </w:rPr>
                    <w:t>标准</w:t>
                  </w:r>
                </w:p>
              </w:tc>
              <w:tc>
                <w:tcPr>
                  <w:tcW w:w="652" w:type="pct"/>
                  <w:tcBorders>
                    <w:tl2br w:val="nil"/>
                    <w:tr2bl w:val="nil"/>
                  </w:tcBorders>
                  <w:vAlign w:val="center"/>
                </w:tcPr>
                <w:p>
                  <w:pPr>
                    <w:pStyle w:val="80"/>
                    <w:spacing w:before="147"/>
                    <w:jc w:val="center"/>
                    <w:rPr>
                      <w:color w:val="000000" w:themeColor="text1"/>
                      <w:sz w:val="21"/>
                      <w:szCs w:val="21"/>
                      <w:u w:val="none"/>
                      <w14:textFill>
                        <w14:solidFill>
                          <w14:schemeClr w14:val="tx1"/>
                        </w14:solidFill>
                      </w14:textFill>
                    </w:rPr>
                  </w:pPr>
                  <w:r>
                    <w:rPr>
                      <w:b/>
                      <w:bCs/>
                      <w:color w:val="000000" w:themeColor="text1"/>
                      <w:spacing w:val="1"/>
                      <w:sz w:val="21"/>
                      <w:szCs w:val="21"/>
                      <w:u w:val="none"/>
                      <w14:textFill>
                        <w14:solidFill>
                          <w14:schemeClr w14:val="tx1"/>
                        </w14:solidFill>
                      </w14:textFill>
                    </w:rPr>
                    <w:t>污染物</w:t>
                  </w:r>
                </w:p>
              </w:tc>
              <w:tc>
                <w:tcPr>
                  <w:tcW w:w="2081" w:type="pct"/>
                  <w:gridSpan w:val="2"/>
                  <w:tcBorders>
                    <w:tl2br w:val="nil"/>
                    <w:tr2bl w:val="nil"/>
                  </w:tcBorders>
                  <w:vAlign w:val="center"/>
                </w:tcPr>
                <w:p>
                  <w:pPr>
                    <w:pStyle w:val="80"/>
                    <w:spacing w:before="147"/>
                    <w:jc w:val="center"/>
                    <w:rPr>
                      <w:color w:val="000000" w:themeColor="text1"/>
                      <w:sz w:val="21"/>
                      <w:szCs w:val="21"/>
                      <w:u w:val="none"/>
                      <w14:textFill>
                        <w14:solidFill>
                          <w14:schemeClr w14:val="tx1"/>
                        </w14:solidFill>
                      </w14:textFill>
                    </w:rPr>
                  </w:pPr>
                  <w:r>
                    <w:rPr>
                      <w:b/>
                      <w:bCs/>
                      <w:color w:val="000000" w:themeColor="text1"/>
                      <w:spacing w:val="1"/>
                      <w:sz w:val="21"/>
                      <w:szCs w:val="21"/>
                      <w:u w:val="none"/>
                      <w14:textFill>
                        <w14:solidFill>
                          <w14:schemeClr w14:val="tx1"/>
                        </w14:solidFill>
                      </w14:textFill>
                    </w:rPr>
                    <w:t>无组织排放监控浓度限值</w:t>
                  </w:r>
                </w:p>
              </w:tc>
              <w:tc>
                <w:tcPr>
                  <w:tcW w:w="1071" w:type="pct"/>
                  <w:tcBorders>
                    <w:tl2br w:val="nil"/>
                    <w:tr2bl w:val="nil"/>
                  </w:tcBorders>
                  <w:vAlign w:val="center"/>
                </w:tcPr>
                <w:p>
                  <w:pPr>
                    <w:pStyle w:val="80"/>
                    <w:spacing w:before="147"/>
                    <w:jc w:val="center"/>
                    <w:rPr>
                      <w:rFonts w:hint="eastAsia" w:eastAsia="宋体"/>
                      <w:b/>
                      <w:bCs/>
                      <w:color w:val="000000" w:themeColor="text1"/>
                      <w:spacing w:val="1"/>
                      <w:sz w:val="21"/>
                      <w:szCs w:val="21"/>
                      <w:u w:val="none"/>
                      <w:lang w:val="en-US" w:eastAsia="zh-CN"/>
                      <w14:textFill>
                        <w14:solidFill>
                          <w14:schemeClr w14:val="tx1"/>
                        </w14:solidFill>
                      </w14:textFill>
                    </w:rPr>
                  </w:pPr>
                  <w:r>
                    <w:rPr>
                      <w:rFonts w:hint="eastAsia"/>
                      <w:b/>
                      <w:bCs/>
                      <w:color w:val="000000" w:themeColor="text1"/>
                      <w:spacing w:val="1"/>
                      <w:sz w:val="21"/>
                      <w:szCs w:val="21"/>
                      <w:u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868" w:hRule="exact"/>
                <w:jc w:val="center"/>
              </w:trPr>
              <w:tc>
                <w:tcPr>
                  <w:tcW w:w="1194" w:type="pct"/>
                  <w:tcBorders>
                    <w:tl2br w:val="nil"/>
                    <w:tr2bl w:val="nil"/>
                  </w:tcBorders>
                  <w:vAlign w:val="center"/>
                </w:tcPr>
                <w:p>
                  <w:pPr>
                    <w:snapToGrid w:val="0"/>
                    <w:jc w:val="center"/>
                    <w:rPr>
                      <w:color w:val="000000" w:themeColor="text1"/>
                      <w:sz w:val="21"/>
                      <w:szCs w:val="21"/>
                      <w:u w:val="none"/>
                      <w14:textFill>
                        <w14:solidFill>
                          <w14:schemeClr w14:val="tx1"/>
                        </w14:solidFill>
                      </w14:textFill>
                    </w:rPr>
                  </w:pPr>
                  <w:r>
                    <w:rPr>
                      <w:rFonts w:hint="eastAsia" w:cs="Times New Roman"/>
                      <w:color w:val="auto"/>
                      <w:sz w:val="21"/>
                      <w:szCs w:val="21"/>
                      <w:u w:val="none"/>
                      <w:lang w:val="en-US" w:eastAsia="zh-CN"/>
                    </w:rPr>
                    <w:t>GB37822-2019《挥发性有机物无组织排放控制标准》</w:t>
                  </w:r>
                </w:p>
              </w:tc>
              <w:tc>
                <w:tcPr>
                  <w:tcW w:w="652" w:type="pct"/>
                  <w:tcBorders>
                    <w:tl2br w:val="nil"/>
                    <w:tr2bl w:val="nil"/>
                  </w:tcBorders>
                  <w:vAlign w:val="center"/>
                </w:tcPr>
                <w:p>
                  <w:pPr>
                    <w:snapToGrid w:val="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非甲烷总烃</w:t>
                  </w:r>
                </w:p>
              </w:tc>
              <w:tc>
                <w:tcPr>
                  <w:tcW w:w="1262" w:type="pct"/>
                  <w:tcBorders>
                    <w:tl2br w:val="nil"/>
                    <w:tr2bl w:val="nil"/>
                  </w:tcBorders>
                  <w:vAlign w:val="center"/>
                </w:tcPr>
                <w:p>
                  <w:pPr>
                    <w:snapToGrid w:val="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eastAsia="zh-CN"/>
                      <w14:textFill>
                        <w14:solidFill>
                          <w14:schemeClr w14:val="tx1"/>
                        </w14:solidFill>
                      </w14:textFill>
                    </w:rPr>
                    <w:t>监控点处</w:t>
                  </w:r>
                  <w:r>
                    <w:rPr>
                      <w:rFonts w:hint="eastAsia"/>
                      <w:color w:val="000000" w:themeColor="text1"/>
                      <w:sz w:val="21"/>
                      <w:szCs w:val="21"/>
                      <w:u w:val="none"/>
                      <w:lang w:val="en-US" w:eastAsia="zh-CN"/>
                      <w14:textFill>
                        <w14:solidFill>
                          <w14:schemeClr w14:val="tx1"/>
                        </w14:solidFill>
                      </w14:textFill>
                    </w:rPr>
                    <w:t>1h平均浓度值</w:t>
                  </w:r>
                </w:p>
              </w:tc>
              <w:tc>
                <w:tcPr>
                  <w:tcW w:w="818" w:type="pct"/>
                  <w:tcBorders>
                    <w:tl2br w:val="nil"/>
                    <w:tr2bl w:val="nil"/>
                  </w:tcBorders>
                  <w:vAlign w:val="center"/>
                </w:tcPr>
                <w:p>
                  <w:pPr>
                    <w:snapToGrid w:val="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10.0</w:t>
                  </w:r>
                </w:p>
              </w:tc>
              <w:tc>
                <w:tcPr>
                  <w:tcW w:w="1071"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13" w:hRule="exact"/>
                <w:jc w:val="center"/>
              </w:trPr>
              <w:tc>
                <w:tcPr>
                  <w:tcW w:w="1194" w:type="pct"/>
                  <w:vMerge w:val="restart"/>
                  <w:tcBorders>
                    <w:tl2br w:val="nil"/>
                    <w:tr2bl w:val="nil"/>
                  </w:tcBorders>
                  <w:vAlign w:val="center"/>
                </w:tcPr>
                <w:p>
                  <w:pPr>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GB16297-1996</w:t>
                  </w:r>
                  <w:r>
                    <w:rPr>
                      <w:rFonts w:hint="eastAsia" w:cs="Times New Roman"/>
                      <w:color w:val="auto"/>
                      <w:sz w:val="21"/>
                      <w:szCs w:val="21"/>
                      <w:u w:val="none"/>
                      <w:lang w:val="en-US" w:eastAsia="zh-CN"/>
                    </w:rPr>
                    <w:t>《大气污染物综合排放标准》</w:t>
                  </w:r>
                </w:p>
              </w:tc>
              <w:tc>
                <w:tcPr>
                  <w:tcW w:w="652" w:type="pct"/>
                  <w:tcBorders>
                    <w:tl2br w:val="nil"/>
                    <w:tr2bl w:val="nil"/>
                  </w:tcBorders>
                  <w:vAlign w:val="center"/>
                </w:tcPr>
                <w:p>
                  <w:pPr>
                    <w:snapToGrid w:val="0"/>
                    <w:jc w:val="center"/>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颗粒物</w:t>
                  </w:r>
                </w:p>
              </w:tc>
              <w:tc>
                <w:tcPr>
                  <w:tcW w:w="1262" w:type="pct"/>
                  <w:tcBorders>
                    <w:tl2br w:val="nil"/>
                    <w:tr2bl w:val="nil"/>
                  </w:tcBorders>
                  <w:vAlign w:val="center"/>
                </w:tcPr>
                <w:p>
                  <w:pPr>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周界外浓度最高点</w:t>
                  </w:r>
                </w:p>
              </w:tc>
              <w:tc>
                <w:tcPr>
                  <w:tcW w:w="818"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1.0</w:t>
                  </w:r>
                </w:p>
              </w:tc>
              <w:tc>
                <w:tcPr>
                  <w:tcW w:w="1071"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13" w:hRule="exact"/>
                <w:jc w:val="center"/>
              </w:trPr>
              <w:tc>
                <w:tcPr>
                  <w:tcW w:w="1194" w:type="pct"/>
                  <w:vMerge w:val="continue"/>
                  <w:tcBorders>
                    <w:tl2br w:val="nil"/>
                    <w:tr2bl w:val="nil"/>
                  </w:tcBorders>
                  <w:vAlign w:val="center"/>
                </w:tcPr>
                <w:p>
                  <w:pPr>
                    <w:snapToGrid w:val="0"/>
                    <w:jc w:val="center"/>
                    <w:rPr>
                      <w:color w:val="000000" w:themeColor="text1"/>
                      <w:sz w:val="21"/>
                      <w:szCs w:val="21"/>
                      <w:u w:val="none"/>
                      <w14:textFill>
                        <w14:solidFill>
                          <w14:schemeClr w14:val="tx1"/>
                        </w14:solidFill>
                      </w14:textFill>
                    </w:rPr>
                  </w:pPr>
                </w:p>
              </w:tc>
              <w:tc>
                <w:tcPr>
                  <w:tcW w:w="652" w:type="pct"/>
                  <w:tcBorders>
                    <w:tl2br w:val="nil"/>
                    <w:tr2bl w:val="nil"/>
                  </w:tcBorders>
                  <w:vAlign w:val="center"/>
                </w:tcPr>
                <w:p>
                  <w:pPr>
                    <w:snapToGrid w:val="0"/>
                    <w:jc w:val="center"/>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SO</w:t>
                  </w:r>
                  <w:r>
                    <w:rPr>
                      <w:rFonts w:hint="eastAsia"/>
                      <w:color w:val="000000" w:themeColor="text1"/>
                      <w:sz w:val="21"/>
                      <w:szCs w:val="21"/>
                      <w:u w:val="none"/>
                      <w:vertAlign w:val="subscript"/>
                      <w:lang w:val="en-US" w:eastAsia="zh-CN"/>
                      <w14:textFill>
                        <w14:solidFill>
                          <w14:schemeClr w14:val="tx1"/>
                        </w14:solidFill>
                      </w14:textFill>
                    </w:rPr>
                    <w:t>2</w:t>
                  </w:r>
                </w:p>
              </w:tc>
              <w:tc>
                <w:tcPr>
                  <w:tcW w:w="1262" w:type="pct"/>
                  <w:tcBorders>
                    <w:tl2br w:val="nil"/>
                    <w:tr2bl w:val="nil"/>
                  </w:tcBorders>
                  <w:vAlign w:val="center"/>
                </w:tcPr>
                <w:p>
                  <w:pPr>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周界外浓度最高点</w:t>
                  </w:r>
                </w:p>
              </w:tc>
              <w:tc>
                <w:tcPr>
                  <w:tcW w:w="818"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0.4</w:t>
                  </w:r>
                </w:p>
              </w:tc>
              <w:tc>
                <w:tcPr>
                  <w:tcW w:w="1071"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13" w:hRule="exact"/>
                <w:jc w:val="center"/>
              </w:trPr>
              <w:tc>
                <w:tcPr>
                  <w:tcW w:w="1194" w:type="pct"/>
                  <w:vMerge w:val="continue"/>
                  <w:tcBorders>
                    <w:tl2br w:val="nil"/>
                    <w:tr2bl w:val="nil"/>
                  </w:tcBorders>
                  <w:vAlign w:val="center"/>
                </w:tcPr>
                <w:p>
                  <w:pPr>
                    <w:snapToGrid w:val="0"/>
                    <w:jc w:val="center"/>
                    <w:rPr>
                      <w:color w:val="000000" w:themeColor="text1"/>
                      <w:sz w:val="21"/>
                      <w:szCs w:val="21"/>
                      <w:u w:val="none"/>
                      <w14:textFill>
                        <w14:solidFill>
                          <w14:schemeClr w14:val="tx1"/>
                        </w14:solidFill>
                      </w14:textFill>
                    </w:rPr>
                  </w:pPr>
                </w:p>
              </w:tc>
              <w:tc>
                <w:tcPr>
                  <w:tcW w:w="652" w:type="pct"/>
                  <w:tcBorders>
                    <w:tl2br w:val="nil"/>
                    <w:tr2bl w:val="nil"/>
                  </w:tcBorders>
                  <w:vAlign w:val="center"/>
                </w:tcPr>
                <w:p>
                  <w:pPr>
                    <w:snapToGrid w:val="0"/>
                    <w:jc w:val="center"/>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NO</w:t>
                  </w:r>
                  <w:r>
                    <w:rPr>
                      <w:rFonts w:hint="eastAsia"/>
                      <w:color w:val="000000" w:themeColor="text1"/>
                      <w:sz w:val="21"/>
                      <w:szCs w:val="21"/>
                      <w:u w:val="none"/>
                      <w:vertAlign w:val="subscript"/>
                      <w:lang w:val="en-US" w:eastAsia="zh-CN"/>
                      <w14:textFill>
                        <w14:solidFill>
                          <w14:schemeClr w14:val="tx1"/>
                        </w14:solidFill>
                      </w14:textFill>
                    </w:rPr>
                    <w:t>X</w:t>
                  </w:r>
                </w:p>
              </w:tc>
              <w:tc>
                <w:tcPr>
                  <w:tcW w:w="1262" w:type="pct"/>
                  <w:tcBorders>
                    <w:tl2br w:val="nil"/>
                    <w:tr2bl w:val="nil"/>
                  </w:tcBorders>
                  <w:vAlign w:val="center"/>
                </w:tcPr>
                <w:p>
                  <w:pPr>
                    <w:snapToGrid w:val="0"/>
                    <w:jc w:val="center"/>
                    <w:rPr>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周界外浓度最高点</w:t>
                  </w:r>
                </w:p>
              </w:tc>
              <w:tc>
                <w:tcPr>
                  <w:tcW w:w="818"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0.12</w:t>
                  </w:r>
                </w:p>
              </w:tc>
              <w:tc>
                <w:tcPr>
                  <w:tcW w:w="1071"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313" w:hRule="exact"/>
                <w:jc w:val="center"/>
              </w:trPr>
              <w:tc>
                <w:tcPr>
                  <w:tcW w:w="1194" w:type="pct"/>
                  <w:vMerge w:val="continue"/>
                  <w:tcBorders>
                    <w:tl2br w:val="nil"/>
                    <w:tr2bl w:val="nil"/>
                  </w:tcBorders>
                  <w:vAlign w:val="center"/>
                </w:tcPr>
                <w:p>
                  <w:pPr>
                    <w:snapToGrid w:val="0"/>
                    <w:jc w:val="center"/>
                    <w:rPr>
                      <w:color w:val="000000" w:themeColor="text1"/>
                      <w:sz w:val="21"/>
                      <w:szCs w:val="21"/>
                      <w:u w:val="none"/>
                      <w14:textFill>
                        <w14:solidFill>
                          <w14:schemeClr w14:val="tx1"/>
                        </w14:solidFill>
                      </w14:textFill>
                    </w:rPr>
                  </w:pPr>
                </w:p>
              </w:tc>
              <w:tc>
                <w:tcPr>
                  <w:tcW w:w="652" w:type="pct"/>
                  <w:tcBorders>
                    <w:tl2br w:val="nil"/>
                    <w:tr2bl w:val="nil"/>
                  </w:tcBorders>
                  <w:vAlign w:val="center"/>
                </w:tcPr>
                <w:p>
                  <w:pPr>
                    <w:snapToGrid w:val="0"/>
                    <w:jc w:val="center"/>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非甲烷总烃</w:t>
                  </w:r>
                </w:p>
              </w:tc>
              <w:tc>
                <w:tcPr>
                  <w:tcW w:w="1262"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周界外浓度最高点</w:t>
                  </w:r>
                </w:p>
              </w:tc>
              <w:tc>
                <w:tcPr>
                  <w:tcW w:w="818"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4.0</w:t>
                  </w:r>
                </w:p>
              </w:tc>
              <w:tc>
                <w:tcPr>
                  <w:tcW w:w="1071" w:type="pct"/>
                  <w:tcBorders>
                    <w:tl2br w:val="nil"/>
                    <w:tr2bl w:val="nil"/>
                  </w:tcBorders>
                  <w:vAlign w:val="center"/>
                </w:tcPr>
                <w:p>
                  <w:pPr>
                    <w:snapToGrid w:val="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u w:val="none"/>
              </w:rPr>
            </w:pPr>
            <w:r>
              <w:rPr>
                <w:rFonts w:hint="eastAsia"/>
                <w:color w:val="auto"/>
                <w:sz w:val="24"/>
                <w:highlight w:val="none"/>
                <w:u w:val="none"/>
                <w:lang w:eastAsia="zh-CN"/>
              </w:rPr>
              <w:t>（</w:t>
            </w:r>
            <w:r>
              <w:rPr>
                <w:rFonts w:hint="eastAsia"/>
                <w:color w:val="auto"/>
                <w:sz w:val="24"/>
                <w:highlight w:val="none"/>
                <w:u w:val="none"/>
                <w:lang w:val="en-US" w:eastAsia="zh-CN"/>
              </w:rPr>
              <w:t>3</w:t>
            </w:r>
            <w:r>
              <w:rPr>
                <w:rFonts w:hint="eastAsia"/>
                <w:color w:val="auto"/>
                <w:sz w:val="24"/>
                <w:highlight w:val="none"/>
                <w:u w:val="none"/>
                <w:lang w:eastAsia="zh-CN"/>
              </w:rPr>
              <w:t>）</w:t>
            </w:r>
            <w:r>
              <w:rPr>
                <w:color w:val="auto"/>
                <w:sz w:val="24"/>
                <w:highlight w:val="none"/>
                <w:u w:val="none"/>
              </w:rPr>
              <w:t>噪声排放标准</w:t>
            </w:r>
          </w:p>
          <w:p>
            <w:pPr>
              <w:spacing w:line="360" w:lineRule="auto"/>
              <w:ind w:firstLine="496"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营运期：</w:t>
            </w:r>
            <w:r>
              <w:rPr>
                <w:rFonts w:ascii="Times New Roman" w:hAnsi="Times New Roman" w:eastAsia="宋体" w:cs="Times New Roman"/>
                <w:color w:val="auto"/>
                <w:spacing w:val="4"/>
                <w:sz w:val="24"/>
                <w:szCs w:val="24"/>
                <w:highlight w:val="none"/>
              </w:rPr>
              <w:t>厂界噪声执行</w:t>
            </w:r>
            <w:r>
              <w:rPr>
                <w:rFonts w:ascii="Times New Roman" w:hAnsi="Times New Roman" w:eastAsia="宋体" w:cs="Times New Roman"/>
                <w:color w:val="auto"/>
                <w:sz w:val="24"/>
                <w:szCs w:val="21"/>
                <w:highlight w:val="none"/>
              </w:rPr>
              <w:t>《工业企业厂界环境噪声排放标准》（GB12348-2008）</w:t>
            </w:r>
            <w:r>
              <w:rPr>
                <w:rFonts w:hint="eastAsia" w:cs="Times New Roman"/>
                <w:color w:val="auto"/>
                <w:sz w:val="24"/>
                <w:szCs w:val="21"/>
                <w:highlight w:val="none"/>
                <w:lang w:val="en-US" w:eastAsia="zh-CN"/>
              </w:rPr>
              <w:t>3</w:t>
            </w:r>
            <w:r>
              <w:rPr>
                <w:rFonts w:hint="eastAsia" w:ascii="Times New Roman" w:hAnsi="Times New Roman" w:eastAsia="宋体" w:cs="Times New Roman"/>
                <w:color w:val="auto"/>
                <w:sz w:val="24"/>
                <w:szCs w:val="21"/>
                <w:highlight w:val="none"/>
              </w:rPr>
              <w:t>类</w:t>
            </w:r>
            <w:r>
              <w:rPr>
                <w:rFonts w:ascii="Times New Roman" w:hAnsi="Times New Roman" w:eastAsia="宋体" w:cs="Times New Roman"/>
                <w:color w:val="auto"/>
                <w:sz w:val="24"/>
                <w:szCs w:val="21"/>
                <w:highlight w:val="none"/>
              </w:rPr>
              <w:t>标准</w:t>
            </w:r>
            <w:r>
              <w:rPr>
                <w:rFonts w:ascii="Times New Roman" w:hAnsi="Times New Roman" w:eastAsia="宋体" w:cs="Times New Roman"/>
                <w:color w:val="auto"/>
                <w:sz w:val="24"/>
                <w:szCs w:val="24"/>
                <w:highlight w:val="none"/>
              </w:rPr>
              <w:t>。</w:t>
            </w:r>
          </w:p>
          <w:p>
            <w:pPr>
              <w:spacing w:line="240" w:lineRule="auto"/>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 xml:space="preserve">8 </w:t>
            </w:r>
            <w:r>
              <w:rPr>
                <w:rFonts w:ascii="Times New Roman" w:hAnsi="Times New Roman" w:eastAsia="宋体" w:cs="Times New Roman"/>
                <w:b/>
                <w:color w:val="auto"/>
                <w:sz w:val="21"/>
                <w:szCs w:val="21"/>
                <w:highlight w:val="none"/>
              </w:rPr>
              <w:t>工业企业厂界噪声限值  单位：dB(A)</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917"/>
              <w:gridCol w:w="2239"/>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9" w:type="pct"/>
                  <w:noWrap w:val="0"/>
                  <w:vAlign w:val="center"/>
                </w:tcPr>
                <w:p>
                  <w:pPr>
                    <w:adjustRightInd w:val="0"/>
                    <w:snapToGrid w:val="0"/>
                    <w:jc w:val="center"/>
                    <w:rPr>
                      <w:rFonts w:hint="eastAsia" w:ascii="Times New Roman" w:hAnsi="Times New Roman" w:eastAsia="宋体" w:cs="Times New Roman"/>
                      <w:b/>
                      <w:bCs/>
                      <w:color w:val="auto"/>
                      <w:szCs w:val="21"/>
                      <w:highlight w:val="none"/>
                      <w:lang w:eastAsia="zh-CN"/>
                    </w:rPr>
                  </w:pPr>
                  <w:r>
                    <w:rPr>
                      <w:rFonts w:hint="eastAsia" w:cs="Times New Roman"/>
                      <w:b/>
                      <w:bCs/>
                      <w:color w:val="auto"/>
                      <w:szCs w:val="21"/>
                      <w:highlight w:val="none"/>
                      <w:lang w:eastAsia="zh-CN"/>
                    </w:rPr>
                    <w:t>区域</w:t>
                  </w:r>
                </w:p>
              </w:tc>
              <w:tc>
                <w:tcPr>
                  <w:tcW w:w="1149"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标准</w:t>
                  </w:r>
                </w:p>
              </w:tc>
              <w:tc>
                <w:tcPr>
                  <w:tcW w:w="1342"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昼间</w:t>
                  </w:r>
                </w:p>
              </w:tc>
              <w:tc>
                <w:tcPr>
                  <w:tcW w:w="1358" w:type="pct"/>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49" w:type="pct"/>
                  <w:noWrap w:val="0"/>
                  <w:vAlign w:val="center"/>
                </w:tcPr>
                <w:p>
                  <w:pPr>
                    <w:adjustRightInd w:val="0"/>
                    <w:snapToGrid w:val="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东、南、西、北侧</w:t>
                  </w:r>
                </w:p>
              </w:tc>
              <w:tc>
                <w:tcPr>
                  <w:tcW w:w="1149" w:type="pct"/>
                  <w:noWrap w:val="0"/>
                  <w:vAlign w:val="center"/>
                </w:tcPr>
                <w:p>
                  <w:pPr>
                    <w:adjustRightInd w:val="0"/>
                    <w:snapToGrid w:val="0"/>
                    <w:jc w:val="center"/>
                    <w:rPr>
                      <w:rFonts w:ascii="Times New Roman" w:hAnsi="Times New Roman" w:eastAsia="宋体" w:cs="Times New Roman"/>
                      <w:color w:val="auto"/>
                      <w:szCs w:val="21"/>
                      <w:highlight w:val="none"/>
                    </w:rPr>
                  </w:pPr>
                  <w:r>
                    <w:rPr>
                      <w:rFonts w:hint="eastAsia" w:cs="Times New Roman"/>
                      <w:color w:val="auto"/>
                      <w:szCs w:val="21"/>
                      <w:highlight w:val="none"/>
                      <w:lang w:val="en-US" w:eastAsia="zh-CN"/>
                    </w:rPr>
                    <w:t>3</w:t>
                  </w:r>
                  <w:r>
                    <w:rPr>
                      <w:rFonts w:ascii="Times New Roman" w:hAnsi="Times New Roman" w:eastAsia="宋体" w:cs="Times New Roman"/>
                      <w:color w:val="auto"/>
                      <w:szCs w:val="21"/>
                      <w:highlight w:val="none"/>
                    </w:rPr>
                    <w:t>类</w:t>
                  </w:r>
                </w:p>
              </w:tc>
              <w:tc>
                <w:tcPr>
                  <w:tcW w:w="1342"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65</w:t>
                  </w:r>
                </w:p>
              </w:tc>
              <w:tc>
                <w:tcPr>
                  <w:tcW w:w="1358" w:type="pct"/>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lang w:eastAsia="zh-CN"/>
              </w:rPr>
            </w:pPr>
            <w:r>
              <w:rPr>
                <w:rFonts w:hint="eastAsia"/>
                <w:color w:val="auto"/>
                <w:sz w:val="24"/>
                <w:highlight w:val="none"/>
                <w:u w:val="none"/>
                <w:lang w:eastAsia="zh-CN"/>
              </w:rPr>
              <w:t>（</w:t>
            </w:r>
            <w:r>
              <w:rPr>
                <w:rFonts w:hint="eastAsia"/>
                <w:color w:val="auto"/>
                <w:sz w:val="24"/>
                <w:highlight w:val="none"/>
                <w:u w:val="none"/>
                <w:lang w:val="en-US" w:eastAsia="zh-CN"/>
              </w:rPr>
              <w:t>4</w:t>
            </w:r>
            <w:r>
              <w:rPr>
                <w:rFonts w:hint="eastAsia"/>
                <w:color w:val="auto"/>
                <w:sz w:val="24"/>
                <w:highlight w:val="none"/>
                <w:u w:val="none"/>
                <w:lang w:eastAsia="zh-CN"/>
              </w:rPr>
              <w:t>）固体废物排放标准</w:t>
            </w:r>
          </w:p>
          <w:p>
            <w:pPr>
              <w:pStyle w:val="4"/>
              <w:ind w:firstLine="496" w:firstLineChars="200"/>
              <w:jc w:val="both"/>
            </w:pPr>
            <w:r>
              <w:rPr>
                <w:rFonts w:ascii="Times New Roman" w:hAnsi="Times New Roman" w:eastAsia="宋体" w:cs="Times New Roman"/>
                <w:bCs w:val="0"/>
                <w:color w:val="auto"/>
                <w:spacing w:val="4"/>
                <w:kern w:val="2"/>
                <w:sz w:val="24"/>
                <w:szCs w:val="24"/>
                <w:highlight w:val="none"/>
                <w:lang w:val="en-US" w:eastAsia="zh-CN" w:bidi="ar-SA"/>
              </w:rPr>
              <w:t>一般固体废物执行</w:t>
            </w:r>
            <w:r>
              <w:rPr>
                <w:rFonts w:hint="eastAsia" w:ascii="Times New Roman" w:hAnsi="Times New Roman" w:eastAsia="宋体" w:cs="Times New Roman"/>
                <w:bCs w:val="0"/>
                <w:color w:val="auto"/>
                <w:spacing w:val="4"/>
                <w:kern w:val="2"/>
                <w:sz w:val="24"/>
                <w:szCs w:val="24"/>
                <w:highlight w:val="none"/>
                <w:lang w:val="de-DE" w:eastAsia="zh-CN" w:bidi="ar-SA"/>
              </w:rPr>
              <w:t>《一般工业固体废物贮存和填埋污染控制标准》（GB18599-20</w:t>
            </w:r>
            <w:r>
              <w:rPr>
                <w:rFonts w:hint="eastAsia" w:ascii="Times New Roman" w:hAnsi="Times New Roman" w:eastAsia="宋体" w:cs="Times New Roman"/>
                <w:bCs w:val="0"/>
                <w:color w:val="auto"/>
                <w:spacing w:val="4"/>
                <w:kern w:val="2"/>
                <w:sz w:val="24"/>
                <w:szCs w:val="24"/>
                <w:highlight w:val="none"/>
                <w:lang w:val="en-US" w:eastAsia="zh-CN" w:bidi="ar-SA"/>
              </w:rPr>
              <w:t>20</w:t>
            </w:r>
            <w:r>
              <w:rPr>
                <w:rFonts w:hint="eastAsia" w:ascii="Times New Roman" w:hAnsi="Times New Roman" w:eastAsia="宋体" w:cs="Times New Roman"/>
                <w:bCs w:val="0"/>
                <w:color w:val="auto"/>
                <w:spacing w:val="4"/>
                <w:kern w:val="2"/>
                <w:sz w:val="24"/>
                <w:szCs w:val="24"/>
                <w:highlight w:val="none"/>
                <w:lang w:val="de-DE" w:eastAsia="zh-CN" w:bidi="ar-SA"/>
              </w:rPr>
              <w:t>）</w:t>
            </w:r>
            <w:r>
              <w:rPr>
                <w:rFonts w:hint="eastAsia" w:ascii="Times New Roman" w:hAnsi="Times New Roman" w:eastAsia="宋体" w:cs="Times New Roman"/>
                <w:bCs w:val="0"/>
                <w:color w:val="auto"/>
                <w:spacing w:val="4"/>
                <w:kern w:val="2"/>
                <w:sz w:val="24"/>
                <w:szCs w:val="24"/>
                <w:highlight w:val="none"/>
                <w:lang w:val="en-US" w:eastAsia="zh-CN" w:bidi="ar-SA"/>
              </w:rPr>
              <w:t>；</w:t>
            </w:r>
            <w:r>
              <w:rPr>
                <w:rFonts w:hint="eastAsia" w:ascii="Times New Roman" w:hAnsi="Times New Roman" w:eastAsia="宋体" w:cs="Times New Roman"/>
                <w:bCs w:val="0"/>
                <w:color w:val="auto"/>
                <w:spacing w:val="4"/>
                <w:kern w:val="2"/>
                <w:sz w:val="24"/>
                <w:szCs w:val="24"/>
                <w:highlight w:val="none"/>
                <w:u w:val="single"/>
                <w:lang w:val="en-US" w:eastAsia="zh-CN" w:bidi="ar-SA"/>
              </w:rPr>
              <w:t>危险废物执行</w:t>
            </w:r>
            <w:r>
              <w:rPr>
                <w:rFonts w:hint="default" w:ascii="Times New Roman" w:hAnsi="Times New Roman" w:eastAsia="宋体" w:cs="Times New Roman"/>
                <w:bCs w:val="0"/>
                <w:color w:val="auto"/>
                <w:spacing w:val="4"/>
                <w:kern w:val="2"/>
                <w:sz w:val="24"/>
                <w:szCs w:val="24"/>
                <w:highlight w:val="none"/>
                <w:u w:val="single"/>
                <w:lang w:val="en-US" w:eastAsia="zh-CN" w:bidi="ar-SA"/>
              </w:rPr>
              <w:t>《危险废物贮存污染控制标准》（GB18597-2023）要求执行</w:t>
            </w:r>
            <w:r>
              <w:rPr>
                <w:rFonts w:hint="eastAsia" w:ascii="Times New Roman" w:hAnsi="Times New Roman" w:eastAsia="宋体" w:cs="Times New Roman"/>
                <w:bCs w:val="0"/>
                <w:color w:val="auto"/>
                <w:spacing w:val="4"/>
                <w:kern w:val="2"/>
                <w:sz w:val="24"/>
                <w:szCs w:val="24"/>
                <w:highlight w:val="none"/>
                <w:lang w:val="en-US" w:eastAsia="zh-CN" w:bidi="ar-SA"/>
              </w:rPr>
              <w:t>；生活垃圾建设单位分类收集后由环卫部门统一清运处置</w:t>
            </w:r>
            <w:r>
              <w:rPr>
                <w:rFonts w:hint="eastAsia" w:ascii="Times New Roman" w:hAnsi="Times New Roman" w:eastAsia="宋体" w:cs="Times New Roman"/>
                <w:bCs w:val="0"/>
                <w:color w:val="auto"/>
                <w:spacing w:val="4"/>
                <w:kern w:val="2"/>
                <w:sz w:val="24"/>
                <w:szCs w:val="24"/>
                <w:highlight w:val="none"/>
                <w:lang w:val="de-DE"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613" w:type="dxa"/>
            <w:vAlign w:val="center"/>
          </w:tcPr>
          <w:p>
            <w:pPr>
              <w:adjustRightInd w:val="0"/>
              <w:snapToGrid w:val="0"/>
              <w:jc w:val="center"/>
              <w:rPr>
                <w:rFonts w:ascii="宋体" w:hAnsi="宋体" w:cs="宋体"/>
                <w:kern w:val="0"/>
                <w:szCs w:val="21"/>
              </w:rPr>
            </w:pPr>
            <w:r>
              <w:rPr>
                <w:rFonts w:ascii="宋体" w:hAnsi="宋体" w:cs="宋体"/>
                <w:szCs w:val="21"/>
              </w:rPr>
              <w:t>总量 控制 指标</w:t>
            </w:r>
          </w:p>
        </w:tc>
        <w:tc>
          <w:tcPr>
            <w:tcW w:w="848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u w:val="none"/>
                <w:lang w:val="en-US" w:eastAsia="zh-CN"/>
              </w:rPr>
            </w:pPr>
            <w:r>
              <w:rPr>
                <w:rFonts w:hint="eastAsia"/>
                <w:color w:val="auto"/>
                <w:sz w:val="24"/>
                <w:szCs w:val="24"/>
                <w:u w:val="none"/>
                <w:lang w:eastAsia="zh-CN"/>
              </w:rPr>
              <w:t>项目涉及总量控制指标为</w:t>
            </w:r>
            <w:r>
              <w:rPr>
                <w:rFonts w:hint="eastAsia"/>
                <w:color w:val="auto"/>
                <w:sz w:val="24"/>
                <w:szCs w:val="24"/>
                <w:u w:val="none"/>
                <w:lang w:val="en-US" w:eastAsia="zh-CN"/>
              </w:rPr>
              <w:t>NH</w:t>
            </w:r>
            <w:r>
              <w:rPr>
                <w:rFonts w:hint="eastAsia"/>
                <w:color w:val="auto"/>
                <w:sz w:val="24"/>
                <w:szCs w:val="24"/>
                <w:u w:val="none"/>
                <w:vertAlign w:val="subscript"/>
                <w:lang w:val="en-US" w:eastAsia="zh-CN"/>
              </w:rPr>
              <w:t>3</w:t>
            </w:r>
            <w:r>
              <w:rPr>
                <w:rFonts w:hint="eastAsia"/>
                <w:color w:val="auto"/>
                <w:sz w:val="24"/>
                <w:szCs w:val="24"/>
                <w:u w:val="none"/>
                <w:lang w:val="en-US" w:eastAsia="zh-CN"/>
              </w:rPr>
              <w:t>-N、COD</w:t>
            </w:r>
            <w:r>
              <w:rPr>
                <w:rFonts w:hint="eastAsia"/>
                <w:color w:val="auto"/>
                <w:sz w:val="24"/>
                <w:szCs w:val="24"/>
                <w:u w:val="none"/>
                <w:vertAlign w:val="subscript"/>
                <w:lang w:val="en-US" w:eastAsia="zh-CN"/>
              </w:rPr>
              <w:t>cr、</w:t>
            </w:r>
            <w:r>
              <w:rPr>
                <w:rFonts w:hint="eastAsia"/>
                <w:color w:val="auto"/>
                <w:sz w:val="24"/>
                <w:szCs w:val="24"/>
                <w:u w:val="none"/>
                <w:vertAlign w:val="baseline"/>
                <w:lang w:val="en-US" w:eastAsia="zh-CN"/>
              </w:rPr>
              <w:t>VOC</w:t>
            </w:r>
            <w:r>
              <w:rPr>
                <w:rFonts w:hint="eastAsia"/>
                <w:color w:val="auto"/>
                <w:sz w:val="24"/>
                <w:szCs w:val="24"/>
                <w:u w:val="none"/>
                <w:vertAlign w:val="subscript"/>
                <w:lang w:val="en-US" w:eastAsia="zh-CN"/>
              </w:rPr>
              <w:t>s</w:t>
            </w:r>
            <w:r>
              <w:rPr>
                <w:rFonts w:hint="eastAsia"/>
                <w:color w:val="auto"/>
                <w:sz w:val="24"/>
                <w:szCs w:val="24"/>
                <w:u w:val="none"/>
                <w:vertAlign w:val="baseline"/>
                <w:lang w:val="en-US" w:eastAsia="zh-CN"/>
              </w:rPr>
              <w:t>。</w:t>
            </w:r>
            <w:r>
              <w:rPr>
                <w:rFonts w:hint="eastAsia"/>
                <w:color w:val="auto"/>
                <w:sz w:val="24"/>
                <w:szCs w:val="24"/>
                <w:u w:val="none"/>
                <w:lang w:eastAsia="zh-CN"/>
              </w:rPr>
              <w:t>本项目为改扩建项目，不新增工作人员，因此本项目生活废水量不增加，因此涉及</w:t>
            </w:r>
            <w:r>
              <w:rPr>
                <w:rFonts w:hint="eastAsia"/>
                <w:color w:val="auto"/>
                <w:sz w:val="24"/>
                <w:szCs w:val="24"/>
                <w:u w:val="none"/>
                <w:lang w:val="en-US" w:eastAsia="zh-CN"/>
              </w:rPr>
              <w:t>NH</w:t>
            </w:r>
            <w:r>
              <w:rPr>
                <w:rFonts w:hint="eastAsia"/>
                <w:color w:val="auto"/>
                <w:sz w:val="24"/>
                <w:szCs w:val="24"/>
                <w:u w:val="none"/>
                <w:vertAlign w:val="subscript"/>
                <w:lang w:val="en-US" w:eastAsia="zh-CN"/>
              </w:rPr>
              <w:t>3</w:t>
            </w:r>
            <w:r>
              <w:rPr>
                <w:rFonts w:hint="eastAsia"/>
                <w:color w:val="auto"/>
                <w:sz w:val="24"/>
                <w:szCs w:val="24"/>
                <w:u w:val="none"/>
                <w:lang w:val="en-US" w:eastAsia="zh-CN"/>
              </w:rPr>
              <w:t>-N、COD</w:t>
            </w:r>
            <w:r>
              <w:rPr>
                <w:rFonts w:hint="eastAsia"/>
                <w:color w:val="auto"/>
                <w:sz w:val="24"/>
                <w:szCs w:val="24"/>
                <w:u w:val="none"/>
                <w:vertAlign w:val="subscript"/>
                <w:lang w:val="en-US" w:eastAsia="zh-CN"/>
              </w:rPr>
              <w:t>cr</w:t>
            </w:r>
            <w:r>
              <w:rPr>
                <w:rFonts w:hint="eastAsia"/>
                <w:color w:val="auto"/>
                <w:sz w:val="24"/>
                <w:szCs w:val="24"/>
                <w:u w:val="none"/>
                <w:lang w:eastAsia="zh-CN"/>
              </w:rPr>
              <w:t>总量不增加。根据工程分析可知，涉及</w:t>
            </w:r>
            <w:r>
              <w:rPr>
                <w:rFonts w:hint="eastAsia"/>
                <w:color w:val="auto"/>
                <w:sz w:val="24"/>
                <w:szCs w:val="24"/>
                <w:u w:val="none"/>
                <w:lang w:val="en-US" w:eastAsia="zh-CN"/>
              </w:rPr>
              <w:t>VOC</w:t>
            </w:r>
            <w:r>
              <w:rPr>
                <w:rFonts w:hint="eastAsia"/>
                <w:color w:val="auto"/>
                <w:sz w:val="24"/>
                <w:szCs w:val="24"/>
                <w:u w:val="none"/>
                <w:vertAlign w:val="subscript"/>
                <w:lang w:val="en-US" w:eastAsia="zh-CN"/>
              </w:rPr>
              <w:t>s</w:t>
            </w:r>
            <w:r>
              <w:rPr>
                <w:rFonts w:hint="eastAsia"/>
                <w:color w:val="auto"/>
                <w:sz w:val="24"/>
                <w:szCs w:val="24"/>
                <w:u w:val="none"/>
                <w:lang w:val="en-US" w:eastAsia="zh-CN"/>
              </w:rPr>
              <w:t>排放量为2.40t/a，因此建议VOC</w:t>
            </w:r>
            <w:r>
              <w:rPr>
                <w:rFonts w:hint="eastAsia"/>
                <w:color w:val="auto"/>
                <w:sz w:val="24"/>
                <w:szCs w:val="24"/>
                <w:u w:val="none"/>
                <w:vertAlign w:val="subscript"/>
                <w:lang w:val="en-US" w:eastAsia="zh-CN"/>
              </w:rPr>
              <w:t>s</w:t>
            </w:r>
            <w:r>
              <w:rPr>
                <w:rFonts w:hint="eastAsia"/>
                <w:color w:val="auto"/>
                <w:sz w:val="24"/>
                <w:szCs w:val="24"/>
                <w:u w:val="none"/>
                <w:lang w:val="en-US" w:eastAsia="zh-CN"/>
              </w:rPr>
              <w:t>总量指标为2.40t/a。</w:t>
            </w:r>
          </w:p>
          <w:p/>
          <w:p/>
          <w:p/>
          <w:p>
            <w:pPr>
              <w:pStyle w:val="2"/>
            </w:pPr>
          </w:p>
          <w:p/>
          <w:p>
            <w:pPr>
              <w:pStyle w:val="7"/>
            </w:pPr>
          </w:p>
          <w:p/>
          <w:p>
            <w:pPr>
              <w:pStyle w:val="7"/>
            </w:pPr>
          </w:p>
          <w:p/>
          <w:p>
            <w:pPr>
              <w:pStyle w:val="2"/>
            </w:pPr>
          </w:p>
          <w:p>
            <w:pPr>
              <w:bidi w:val="0"/>
            </w:pPr>
          </w:p>
          <w:p/>
          <w:p/>
        </w:tc>
      </w:tr>
    </w:tbl>
    <w:p>
      <w:pPr>
        <w:pStyle w:val="25"/>
        <w:jc w:val="both"/>
        <w:outlineLvl w:val="0"/>
        <w:rPr>
          <w:rFonts w:ascii="黑体" w:hAnsi="黑体" w:eastAsia="黑体"/>
          <w:snapToGrid w:val="0"/>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snapToGrid w:val="0"/>
        <w:spacing w:before="0" w:beforeAutospacing="0" w:after="0" w:afterAutospacing="0"/>
        <w:jc w:val="center"/>
        <w:outlineLvl w:val="0"/>
        <w:rPr>
          <w:rFonts w:ascii="黑体" w:hAnsi="黑体" w:eastAsia="黑体"/>
          <w:snapToGrid w:val="0"/>
          <w:color w:val="000000"/>
          <w:sz w:val="30"/>
          <w:szCs w:val="30"/>
        </w:rPr>
      </w:pPr>
      <w:bookmarkStart w:id="5" w:name="_Hlk54167917"/>
      <w:r>
        <w:rPr>
          <w:rFonts w:hint="eastAsia" w:ascii="黑体" w:hAnsi="黑体" w:eastAsia="黑体"/>
          <w:snapToGrid w:val="0"/>
          <w:color w:val="000000"/>
          <w:sz w:val="30"/>
          <w:szCs w:val="30"/>
        </w:rPr>
        <w:t>四、主要环境影响和保护措施</w:t>
      </w:r>
    </w:p>
    <w:tbl>
      <w:tblPr>
        <w:tblStyle w:val="28"/>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4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544" w:type="dxa"/>
            <w:vAlign w:val="center"/>
          </w:tcPr>
          <w:p>
            <w:pPr>
              <w:adjustRightInd w:val="0"/>
              <w:snapToGrid w:val="0"/>
              <w:jc w:val="center"/>
              <w:rPr>
                <w:rFonts w:ascii="宋体" w:hAnsi="宋体" w:cs="宋体"/>
                <w:szCs w:val="21"/>
              </w:rPr>
            </w:pPr>
            <w:r>
              <w:rPr>
                <w:rFonts w:hint="eastAsia" w:ascii="宋体" w:hAnsi="宋体" w:cs="宋体"/>
                <w:szCs w:val="21"/>
              </w:rPr>
              <w:t>施工</w:t>
            </w:r>
          </w:p>
          <w:p>
            <w:pPr>
              <w:adjustRightInd w:val="0"/>
              <w:snapToGrid w:val="0"/>
              <w:jc w:val="center"/>
              <w:rPr>
                <w:rFonts w:ascii="宋体" w:hAnsi="宋体" w:cs="宋体"/>
                <w:szCs w:val="21"/>
              </w:rPr>
            </w:pPr>
            <w:r>
              <w:rPr>
                <w:rFonts w:hint="eastAsia" w:ascii="宋体" w:hAnsi="宋体" w:cs="宋体"/>
                <w:szCs w:val="21"/>
              </w:rPr>
              <w:t>期环</w:t>
            </w:r>
          </w:p>
          <w:p>
            <w:pPr>
              <w:adjustRightInd w:val="0"/>
              <w:snapToGrid w:val="0"/>
              <w:jc w:val="center"/>
              <w:rPr>
                <w:rFonts w:ascii="宋体" w:hAnsi="宋体" w:cs="宋体"/>
                <w:szCs w:val="21"/>
              </w:rPr>
            </w:pPr>
            <w:r>
              <w:rPr>
                <w:rFonts w:hint="eastAsia" w:ascii="宋体" w:hAnsi="宋体" w:cs="宋体"/>
                <w:szCs w:val="21"/>
              </w:rPr>
              <w:t>境保</w:t>
            </w:r>
          </w:p>
          <w:p>
            <w:pPr>
              <w:adjustRightInd w:val="0"/>
              <w:snapToGrid w:val="0"/>
              <w:jc w:val="center"/>
              <w:rPr>
                <w:rFonts w:ascii="宋体" w:hAnsi="宋体" w:cs="宋体"/>
                <w:szCs w:val="21"/>
              </w:rPr>
            </w:pPr>
            <w:r>
              <w:rPr>
                <w:rFonts w:hint="eastAsia" w:ascii="宋体" w:hAnsi="宋体" w:cs="宋体"/>
                <w:szCs w:val="21"/>
              </w:rPr>
              <w:t>护措</w:t>
            </w:r>
          </w:p>
          <w:p>
            <w:pPr>
              <w:adjustRightInd w:val="0"/>
              <w:snapToGrid w:val="0"/>
              <w:jc w:val="center"/>
              <w:rPr>
                <w:rFonts w:ascii="宋体" w:hAnsi="宋体" w:cs="宋体"/>
                <w:kern w:val="0"/>
                <w:szCs w:val="21"/>
              </w:rPr>
            </w:pPr>
            <w:r>
              <w:rPr>
                <w:rFonts w:hint="eastAsia" w:ascii="宋体" w:hAnsi="宋体" w:cs="宋体"/>
                <w:szCs w:val="21"/>
              </w:rPr>
              <w:t>施</w:t>
            </w:r>
          </w:p>
        </w:tc>
        <w:tc>
          <w:tcPr>
            <w:tcW w:w="13488" w:type="dxa"/>
            <w:vAlign w:val="center"/>
          </w:tcPr>
          <w:p>
            <w:pPr>
              <w:spacing w:line="360" w:lineRule="auto"/>
              <w:rPr>
                <w:b/>
                <w:bCs/>
                <w:color w:val="auto"/>
                <w:sz w:val="28"/>
                <w:szCs w:val="28"/>
              </w:rPr>
            </w:pPr>
            <w:r>
              <w:rPr>
                <w:rFonts w:hint="eastAsia"/>
                <w:b/>
                <w:bCs/>
                <w:color w:val="auto"/>
                <w:sz w:val="28"/>
                <w:szCs w:val="28"/>
              </w:rPr>
              <w:t>施工期</w:t>
            </w:r>
            <w:r>
              <w:rPr>
                <w:b/>
                <w:bCs/>
                <w:color w:val="auto"/>
                <w:sz w:val="28"/>
                <w:szCs w:val="28"/>
              </w:rPr>
              <w:t>工程分析</w:t>
            </w:r>
          </w:p>
          <w:p>
            <w:pPr>
              <w:spacing w:line="360" w:lineRule="auto"/>
              <w:ind w:firstLine="480" w:firstLineChars="200"/>
              <w:rPr>
                <w:rFonts w:hint="eastAsia" w:eastAsia="宋体"/>
                <w:color w:val="auto"/>
                <w:sz w:val="24"/>
                <w:szCs w:val="24"/>
                <w:u w:val="none"/>
                <w:lang w:eastAsia="zh-CN"/>
              </w:rPr>
            </w:pPr>
            <w:r>
              <w:rPr>
                <w:color w:val="auto"/>
                <w:sz w:val="24"/>
                <w:szCs w:val="24"/>
                <w:u w:val="none"/>
              </w:rPr>
              <w:t>本项目选址在</w:t>
            </w:r>
            <w:r>
              <w:rPr>
                <w:rFonts w:hint="eastAsia"/>
                <w:color w:val="auto"/>
                <w:sz w:val="24"/>
                <w:szCs w:val="24"/>
                <w:u w:val="none"/>
                <w:lang w:val="en-US" w:eastAsia="zh-CN"/>
              </w:rPr>
              <w:t>湖南省常德市澧县高新区创新创业园B5栋一层，</w:t>
            </w:r>
            <w:r>
              <w:rPr>
                <w:rFonts w:hint="eastAsia"/>
                <w:color w:val="auto"/>
                <w:sz w:val="24"/>
                <w:szCs w:val="24"/>
                <w:u w:val="none"/>
                <w:lang w:eastAsia="zh-CN"/>
              </w:rPr>
              <w:t>租赁湖南新澧州投资发展有限公司创新创业园标准化厂房进行本项目建设</w:t>
            </w:r>
            <w:r>
              <w:rPr>
                <w:color w:val="auto"/>
                <w:sz w:val="24"/>
                <w:szCs w:val="24"/>
                <w:u w:val="none"/>
              </w:rPr>
              <w:t>，</w:t>
            </w:r>
            <w:r>
              <w:rPr>
                <w:rFonts w:hint="eastAsia"/>
                <w:color w:val="auto"/>
                <w:sz w:val="24"/>
                <w:szCs w:val="24"/>
                <w:u w:val="none"/>
                <w:lang w:eastAsia="zh-CN"/>
              </w:rPr>
              <w:t>因此</w:t>
            </w:r>
            <w:r>
              <w:rPr>
                <w:color w:val="auto"/>
                <w:sz w:val="24"/>
                <w:szCs w:val="24"/>
                <w:u w:val="none"/>
              </w:rPr>
              <w:t>本项目不进行土建工程建设，本项目只是</w:t>
            </w:r>
            <w:r>
              <w:rPr>
                <w:rFonts w:hint="eastAsia"/>
                <w:color w:val="auto"/>
                <w:sz w:val="24"/>
                <w:szCs w:val="24"/>
                <w:u w:val="none"/>
                <w:lang w:eastAsia="zh-CN"/>
              </w:rPr>
              <w:t>对改扩建的设备进行安装和更换</w:t>
            </w:r>
            <w:r>
              <w:rPr>
                <w:color w:val="auto"/>
                <w:sz w:val="24"/>
                <w:szCs w:val="24"/>
                <w:u w:val="none"/>
              </w:rPr>
              <w:t>，</w:t>
            </w:r>
            <w:r>
              <w:rPr>
                <w:rFonts w:hint="eastAsia"/>
                <w:color w:val="auto"/>
                <w:sz w:val="24"/>
                <w:szCs w:val="24"/>
                <w:u w:val="none"/>
                <w:lang w:eastAsia="zh-CN"/>
              </w:rPr>
              <w:t>安装工人均居住在附近，产生的生活废水依托创新创业园区，能够合理处置；生活垃圾由工业园统一清运处置，</w:t>
            </w:r>
            <w:r>
              <w:rPr>
                <w:color w:val="auto"/>
                <w:sz w:val="24"/>
                <w:szCs w:val="24"/>
                <w:u w:val="none"/>
              </w:rPr>
              <w:t>在本项目正式运营之前会进行安装调试，将会产生一定的噪声。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32"/>
                <w:szCs w:val="32"/>
                <w:lang w:eastAsia="zh-CN"/>
              </w:rPr>
            </w:pPr>
            <w:r>
              <w:rPr>
                <w:rFonts w:hint="eastAsia"/>
                <w:color w:val="auto"/>
                <w:sz w:val="24"/>
                <w:szCs w:val="24"/>
                <w:highlight w:val="none"/>
                <w:u w:val="none"/>
              </w:rPr>
              <w:t>本项目施工期较短</w:t>
            </w:r>
            <w:r>
              <w:rPr>
                <w:rFonts w:hint="eastAsia"/>
                <w:color w:val="auto"/>
                <w:sz w:val="24"/>
                <w:szCs w:val="24"/>
                <w:highlight w:val="none"/>
                <w:u w:val="none"/>
                <w:lang w:eastAsia="zh-CN"/>
              </w:rPr>
              <w:t>，约</w:t>
            </w:r>
            <w:r>
              <w:rPr>
                <w:rFonts w:hint="eastAsia"/>
                <w:color w:val="auto"/>
                <w:sz w:val="24"/>
                <w:szCs w:val="24"/>
                <w:highlight w:val="none"/>
                <w:u w:val="none"/>
                <w:lang w:val="en-US" w:eastAsia="zh-CN"/>
              </w:rPr>
              <w:t>1周</w:t>
            </w:r>
            <w:r>
              <w:rPr>
                <w:rFonts w:hint="eastAsia"/>
                <w:color w:val="auto"/>
                <w:sz w:val="24"/>
                <w:szCs w:val="24"/>
                <w:highlight w:val="none"/>
                <w:u w:val="none"/>
              </w:rPr>
              <w:t>，</w:t>
            </w:r>
            <w:r>
              <w:rPr>
                <w:rFonts w:hint="eastAsia"/>
                <w:color w:val="auto"/>
                <w:sz w:val="24"/>
                <w:szCs w:val="24"/>
                <w:highlight w:val="none"/>
                <w:u w:val="none"/>
                <w:lang w:eastAsia="zh-CN"/>
              </w:rPr>
              <w:t>且周边</w:t>
            </w:r>
            <w:r>
              <w:rPr>
                <w:rFonts w:hint="eastAsia"/>
                <w:color w:val="auto"/>
                <w:sz w:val="24"/>
                <w:szCs w:val="24"/>
                <w:highlight w:val="none"/>
                <w:u w:val="none"/>
                <w:lang w:val="en-US" w:eastAsia="zh-CN"/>
              </w:rPr>
              <w:t>50米范围内</w:t>
            </w:r>
            <w:r>
              <w:rPr>
                <w:rFonts w:hint="eastAsia"/>
                <w:color w:val="auto"/>
                <w:sz w:val="24"/>
                <w:szCs w:val="24"/>
                <w:highlight w:val="none"/>
                <w:u w:val="none"/>
                <w:lang w:eastAsia="zh-CN"/>
              </w:rPr>
              <w:t>无居民，</w:t>
            </w:r>
            <w:r>
              <w:rPr>
                <w:rFonts w:hint="eastAsia"/>
                <w:color w:val="auto"/>
                <w:sz w:val="24"/>
                <w:szCs w:val="24"/>
                <w:highlight w:val="none"/>
                <w:u w:val="none"/>
              </w:rPr>
              <w:t>对周边环境影响较小</w:t>
            </w:r>
            <w:r>
              <w:t>。</w:t>
            </w:r>
          </w:p>
          <w:p/>
          <w:p>
            <w:pPr>
              <w:pStyle w:val="15"/>
            </w:pPr>
          </w:p>
          <w:p>
            <w:pPr>
              <w:pStyle w:val="15"/>
            </w:pPr>
          </w:p>
          <w:p>
            <w:pPr>
              <w:pStyle w:val="15"/>
            </w:pPr>
          </w:p>
          <w:p>
            <w:pPr>
              <w:pStyle w:val="15"/>
            </w:pPr>
          </w:p>
          <w:p>
            <w:pPr>
              <w:pStyle w:val="15"/>
              <w:ind w:left="0" w:leftChars="0" w:firstLine="0" w:firstLineChars="0"/>
            </w:pPr>
          </w:p>
          <w:p>
            <w:pPr>
              <w:pStyle w:val="2"/>
            </w:pPr>
          </w:p>
        </w:tc>
      </w:tr>
    </w:tbl>
    <w:p>
      <w:pPr>
        <w:adjustRightInd w:val="0"/>
        <w:snapToGrid w:val="0"/>
        <w:jc w:val="center"/>
        <w:rPr>
          <w:rFonts w:ascii="宋体" w:hAnsi="宋体" w:cs="宋体"/>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br w:type="page"/>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7" w:hRule="atLeast"/>
          <w:jc w:val="center"/>
        </w:trPr>
        <w:tc>
          <w:tcPr>
            <w:tcW w:w="734" w:type="dxa"/>
            <w:vAlign w:val="center"/>
          </w:tcPr>
          <w:p>
            <w:pPr>
              <w:adjustRightInd w:val="0"/>
              <w:snapToGrid w:val="0"/>
              <w:jc w:val="center"/>
              <w:rPr>
                <w:rFonts w:ascii="宋体" w:hAnsi="宋体" w:cs="宋体"/>
                <w:szCs w:val="21"/>
              </w:rPr>
            </w:pPr>
            <w:r>
              <w:rPr>
                <w:rFonts w:hint="eastAsia" w:ascii="宋体" w:hAnsi="宋体" w:cs="宋体"/>
                <w:szCs w:val="21"/>
              </w:rPr>
              <w:t>运营</w:t>
            </w:r>
          </w:p>
          <w:p>
            <w:pPr>
              <w:adjustRightInd w:val="0"/>
              <w:snapToGrid w:val="0"/>
              <w:jc w:val="center"/>
              <w:rPr>
                <w:rFonts w:ascii="宋体" w:hAnsi="宋体" w:cs="宋体"/>
                <w:szCs w:val="21"/>
              </w:rPr>
            </w:pPr>
            <w:r>
              <w:rPr>
                <w:rFonts w:hint="eastAsia" w:ascii="宋体" w:hAnsi="宋体" w:cs="宋体"/>
                <w:szCs w:val="21"/>
              </w:rPr>
              <w:t>期环</w:t>
            </w:r>
          </w:p>
          <w:p>
            <w:pPr>
              <w:adjustRightInd w:val="0"/>
              <w:snapToGrid w:val="0"/>
              <w:jc w:val="center"/>
              <w:rPr>
                <w:rFonts w:ascii="宋体" w:hAnsi="宋体" w:cs="宋体"/>
                <w:szCs w:val="21"/>
              </w:rPr>
            </w:pPr>
            <w:r>
              <w:rPr>
                <w:rFonts w:hint="eastAsia" w:ascii="宋体" w:hAnsi="宋体" w:cs="宋体"/>
                <w:szCs w:val="21"/>
              </w:rPr>
              <w:t>境影</w:t>
            </w:r>
          </w:p>
          <w:p>
            <w:pPr>
              <w:adjustRightInd w:val="0"/>
              <w:snapToGrid w:val="0"/>
              <w:jc w:val="center"/>
              <w:rPr>
                <w:rFonts w:ascii="宋体" w:hAnsi="宋体" w:cs="宋体"/>
                <w:szCs w:val="21"/>
              </w:rPr>
            </w:pPr>
            <w:r>
              <w:rPr>
                <w:rFonts w:hint="eastAsia" w:ascii="宋体" w:hAnsi="宋体" w:cs="宋体"/>
                <w:szCs w:val="21"/>
              </w:rPr>
              <w:t>响和</w:t>
            </w:r>
          </w:p>
          <w:p>
            <w:pPr>
              <w:adjustRightInd w:val="0"/>
              <w:snapToGrid w:val="0"/>
              <w:jc w:val="center"/>
              <w:rPr>
                <w:rFonts w:ascii="宋体" w:hAnsi="宋体" w:cs="宋体"/>
                <w:szCs w:val="21"/>
              </w:rPr>
            </w:pPr>
            <w:r>
              <w:rPr>
                <w:rFonts w:hint="eastAsia" w:ascii="宋体" w:hAnsi="宋体" w:cs="宋体"/>
                <w:szCs w:val="21"/>
              </w:rPr>
              <w:t>保护</w:t>
            </w:r>
          </w:p>
          <w:p>
            <w:pPr>
              <w:adjustRightInd w:val="0"/>
              <w:snapToGrid w:val="0"/>
              <w:jc w:val="center"/>
              <w:rPr>
                <w:rFonts w:ascii="宋体" w:hAnsi="宋体" w:cs="宋体"/>
                <w:szCs w:val="21"/>
              </w:rPr>
            </w:pPr>
            <w:r>
              <w:rPr>
                <w:rFonts w:hint="eastAsia" w:ascii="宋体" w:hAnsi="宋体" w:cs="宋体"/>
                <w:szCs w:val="21"/>
              </w:rPr>
              <w:t>措施</w:t>
            </w:r>
          </w:p>
        </w:tc>
        <w:tc>
          <w:tcPr>
            <w:tcW w:w="13440" w:type="dxa"/>
          </w:tcPr>
          <w:p>
            <w:pPr>
              <w:pStyle w:val="2"/>
              <w:rPr>
                <w:rFonts w:hint="default" w:ascii="Times New Roman" w:hAnsi="Times New Roman" w:cs="Times New Roman"/>
                <w:sz w:val="21"/>
                <w:szCs w:val="21"/>
                <w:u w:val="none"/>
              </w:rPr>
            </w:pPr>
            <w:r>
              <w:rPr>
                <w:rFonts w:hint="default" w:ascii="Times New Roman" w:hAnsi="Times New Roman" w:cs="Times New Roman"/>
                <w:sz w:val="21"/>
                <w:szCs w:val="21"/>
                <w:u w:val="none"/>
              </w:rPr>
              <w:t>一、废气</w:t>
            </w:r>
          </w:p>
          <w:p>
            <w:pPr>
              <w:pStyle w:val="2"/>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表4-</w:t>
            </w:r>
            <w:r>
              <w:rPr>
                <w:rFonts w:hint="eastAsia" w:cs="Times New Roman"/>
                <w:b/>
                <w:bCs/>
                <w:sz w:val="21"/>
                <w:szCs w:val="21"/>
                <w:u w:val="none"/>
                <w:lang w:val="en-US" w:eastAsia="zh-CN"/>
              </w:rPr>
              <w:t>1</w:t>
            </w:r>
            <w:r>
              <w:rPr>
                <w:rFonts w:hint="default" w:ascii="Times New Roman" w:hAnsi="Times New Roman" w:cs="Times New Roman"/>
                <w:b/>
                <w:bCs/>
                <w:sz w:val="21"/>
                <w:szCs w:val="21"/>
                <w:u w:val="none"/>
              </w:rPr>
              <w:t xml:space="preserve">  废气产排污情况</w:t>
            </w:r>
          </w:p>
          <w:tbl>
            <w:tblPr>
              <w:tblStyle w:val="29"/>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85"/>
              <w:gridCol w:w="809"/>
              <w:gridCol w:w="711"/>
              <w:gridCol w:w="731"/>
              <w:gridCol w:w="731"/>
              <w:gridCol w:w="812"/>
              <w:gridCol w:w="651"/>
              <w:gridCol w:w="731"/>
              <w:gridCol w:w="592"/>
              <w:gridCol w:w="869"/>
              <w:gridCol w:w="627"/>
              <w:gridCol w:w="835"/>
              <w:gridCol w:w="734"/>
              <w:gridCol w:w="735"/>
              <w:gridCol w:w="736"/>
              <w:gridCol w:w="7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vAlign w:val="center"/>
                </w:tcPr>
                <w:p>
                  <w:pPr>
                    <w:pStyle w:val="2"/>
                    <w:spacing w:before="0" w:after="0" w:line="240" w:lineRule="auto"/>
                    <w:ind w:right="0"/>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序号</w:t>
                  </w:r>
                </w:p>
              </w:tc>
              <w:tc>
                <w:tcPr>
                  <w:tcW w:w="785" w:type="dxa"/>
                  <w:vMerge w:val="restart"/>
                  <w:vAlign w:val="center"/>
                </w:tcPr>
                <w:p>
                  <w:pPr>
                    <w:pStyle w:val="2"/>
                    <w:tabs>
                      <w:tab w:val="left" w:pos="420"/>
                    </w:tabs>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产污环节</w:t>
                  </w:r>
                </w:p>
              </w:tc>
              <w:tc>
                <w:tcPr>
                  <w:tcW w:w="809" w:type="dxa"/>
                  <w:vMerge w:val="restart"/>
                  <w:vAlign w:val="center"/>
                </w:tcPr>
                <w:p>
                  <w:pPr>
                    <w:pStyle w:val="2"/>
                    <w:bidi/>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污染物种类</w:t>
                  </w:r>
                </w:p>
              </w:tc>
              <w:tc>
                <w:tcPr>
                  <w:tcW w:w="711"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废气量</w:t>
                  </w:r>
                </w:p>
              </w:tc>
              <w:tc>
                <w:tcPr>
                  <w:tcW w:w="731"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rPr>
                    <w:t>产生浓度</w:t>
                  </w:r>
                  <w:r>
                    <w:rPr>
                      <w:rFonts w:hint="default" w:ascii="Times New Roman" w:hAnsi="Times New Roman" w:cs="Times New Roman"/>
                      <w:b/>
                      <w:bCs/>
                      <w:sz w:val="21"/>
                      <w:szCs w:val="21"/>
                      <w:u w:val="none"/>
                      <w:lang w:val="en-US" w:eastAsia="zh-CN"/>
                    </w:rPr>
                    <w:t>mg/m</w:t>
                  </w:r>
                  <w:r>
                    <w:rPr>
                      <w:rFonts w:hint="default" w:ascii="Times New Roman" w:hAnsi="Times New Roman" w:cs="Times New Roman"/>
                      <w:b/>
                      <w:bCs/>
                      <w:sz w:val="21"/>
                      <w:szCs w:val="21"/>
                      <w:u w:val="none"/>
                      <w:vertAlign w:val="superscript"/>
                      <w:lang w:val="en-US" w:eastAsia="zh-CN"/>
                    </w:rPr>
                    <w:t>3</w:t>
                  </w:r>
                </w:p>
              </w:tc>
              <w:tc>
                <w:tcPr>
                  <w:tcW w:w="731"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排放形式</w:t>
                  </w:r>
                </w:p>
              </w:tc>
              <w:tc>
                <w:tcPr>
                  <w:tcW w:w="4282" w:type="dxa"/>
                  <w:gridSpan w:val="6"/>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治理设施</w:t>
                  </w:r>
                </w:p>
              </w:tc>
              <w:tc>
                <w:tcPr>
                  <w:tcW w:w="835"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有组织排放口编号</w:t>
                  </w:r>
                </w:p>
              </w:tc>
              <w:tc>
                <w:tcPr>
                  <w:tcW w:w="734"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污染物排放浓度</w:t>
                  </w:r>
                  <w:r>
                    <w:rPr>
                      <w:rFonts w:hint="default" w:ascii="Times New Roman" w:hAnsi="Times New Roman" w:cs="Times New Roman"/>
                      <w:b/>
                      <w:bCs/>
                      <w:sz w:val="21"/>
                      <w:szCs w:val="21"/>
                      <w:u w:val="none"/>
                      <w:lang w:val="en-US" w:eastAsia="zh-CN"/>
                    </w:rPr>
                    <w:t>mg/m</w:t>
                  </w:r>
                  <w:r>
                    <w:rPr>
                      <w:rFonts w:hint="default" w:ascii="Times New Roman" w:hAnsi="Times New Roman" w:cs="Times New Roman"/>
                      <w:b/>
                      <w:bCs/>
                      <w:sz w:val="21"/>
                      <w:szCs w:val="21"/>
                      <w:u w:val="none"/>
                      <w:vertAlign w:val="superscript"/>
                      <w:lang w:val="en-US" w:eastAsia="zh-CN"/>
                    </w:rPr>
                    <w:t>3</w:t>
                  </w:r>
                </w:p>
              </w:tc>
              <w:tc>
                <w:tcPr>
                  <w:tcW w:w="735" w:type="dxa"/>
                  <w:vMerge w:val="restart"/>
                  <w:vAlign w:val="center"/>
                </w:tcPr>
                <w:p>
                  <w:pPr>
                    <w:pStyle w:val="2"/>
                    <w:spacing w:before="0" w:after="0" w:line="240" w:lineRule="auto"/>
                    <w:ind w:right="0"/>
                    <w:jc w:val="center"/>
                    <w:rPr>
                      <w:rFonts w:hint="default" w:ascii="Times New Roman" w:hAnsi="Times New Roman" w:eastAsia="宋体" w:cs="Times New Roman"/>
                      <w:b/>
                      <w:bCs/>
                      <w:sz w:val="21"/>
                      <w:szCs w:val="21"/>
                      <w:u w:val="none"/>
                      <w:lang w:val="en-US" w:eastAsia="zh-CN"/>
                    </w:rPr>
                  </w:pPr>
                  <w:r>
                    <w:rPr>
                      <w:rFonts w:hint="default" w:ascii="Times New Roman" w:hAnsi="Times New Roman" w:cs="Times New Roman"/>
                      <w:b/>
                      <w:bCs/>
                      <w:sz w:val="21"/>
                      <w:szCs w:val="21"/>
                      <w:u w:val="none"/>
                    </w:rPr>
                    <w:t>污染物</w:t>
                  </w:r>
                  <w:r>
                    <w:rPr>
                      <w:rFonts w:hint="eastAsia" w:cs="Times New Roman"/>
                      <w:b/>
                      <w:bCs/>
                      <w:sz w:val="21"/>
                      <w:szCs w:val="21"/>
                      <w:u w:val="none"/>
                      <w:lang w:val="en-US" w:eastAsia="zh-CN"/>
                    </w:rPr>
                    <w:t>排放量（t/a）</w:t>
                  </w:r>
                </w:p>
              </w:tc>
              <w:tc>
                <w:tcPr>
                  <w:tcW w:w="736" w:type="dxa"/>
                  <w:vMerge w:val="restart"/>
                  <w:vAlign w:val="center"/>
                </w:tcPr>
                <w:p>
                  <w:pPr>
                    <w:pStyle w:val="2"/>
                    <w:spacing w:before="0" w:after="0" w:line="240" w:lineRule="auto"/>
                    <w:ind w:right="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rPr>
                    <w:t>排污口基本情况</w:t>
                  </w:r>
                </w:p>
              </w:tc>
              <w:tc>
                <w:tcPr>
                  <w:tcW w:w="1472" w:type="dxa"/>
                  <w:gridSpan w:val="2"/>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85"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809"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11"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1"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1"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812"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污染防治设施名称</w:t>
                  </w:r>
                </w:p>
              </w:tc>
              <w:tc>
                <w:tcPr>
                  <w:tcW w:w="651"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编号</w:t>
                  </w:r>
                </w:p>
              </w:tc>
              <w:tc>
                <w:tcPr>
                  <w:tcW w:w="731"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处理能力</w:t>
                  </w:r>
                </w:p>
              </w:tc>
              <w:tc>
                <w:tcPr>
                  <w:tcW w:w="592"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收集效率</w:t>
                  </w:r>
                </w:p>
              </w:tc>
              <w:tc>
                <w:tcPr>
                  <w:tcW w:w="869"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治理工艺及去除率</w:t>
                  </w:r>
                </w:p>
              </w:tc>
              <w:tc>
                <w:tcPr>
                  <w:tcW w:w="627"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是否为可行技术</w:t>
                  </w:r>
                </w:p>
              </w:tc>
              <w:tc>
                <w:tcPr>
                  <w:tcW w:w="835"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4"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5"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6" w:type="dxa"/>
                  <w:vMerge w:val="continue"/>
                  <w:vAlign w:val="center"/>
                </w:tcPr>
                <w:p>
                  <w:pPr>
                    <w:pStyle w:val="2"/>
                    <w:spacing w:before="0" w:after="0" w:line="240" w:lineRule="auto"/>
                    <w:ind w:right="0"/>
                    <w:jc w:val="center"/>
                    <w:rPr>
                      <w:rFonts w:hint="default" w:ascii="Times New Roman" w:hAnsi="Times New Roman" w:cs="Times New Roman"/>
                      <w:b/>
                      <w:bCs/>
                      <w:sz w:val="21"/>
                      <w:szCs w:val="21"/>
                      <w:u w:val="none"/>
                    </w:rPr>
                  </w:pPr>
                </w:p>
              </w:tc>
              <w:tc>
                <w:tcPr>
                  <w:tcW w:w="736" w:type="dxa"/>
                  <w:vAlign w:val="center"/>
                </w:tcPr>
                <w:p>
                  <w:pPr>
                    <w:pStyle w:val="2"/>
                    <w:tabs>
                      <w:tab w:val="left" w:pos="420"/>
                    </w:tabs>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排放浓度</w:t>
                  </w:r>
                </w:p>
              </w:tc>
              <w:tc>
                <w:tcPr>
                  <w:tcW w:w="736" w:type="dxa"/>
                  <w:vAlign w:val="center"/>
                </w:tcPr>
                <w:p>
                  <w:pPr>
                    <w:pStyle w:val="2"/>
                    <w:spacing w:before="0" w:after="0" w:line="240" w:lineRule="auto"/>
                    <w:ind w:right="0"/>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w:t>
                  </w:r>
                </w:p>
              </w:tc>
              <w:tc>
                <w:tcPr>
                  <w:tcW w:w="785" w:type="dxa"/>
                  <w:vMerge w:val="restart"/>
                  <w:vAlign w:val="center"/>
                </w:tcPr>
                <w:p>
                  <w:pPr>
                    <w:keepNext w:val="0"/>
                    <w:keepLines w:val="0"/>
                    <w:suppressLineNumbers w:val="0"/>
                    <w:spacing w:before="0" w:beforeAutospacing="0" w:after="0" w:afterAutospacing="0"/>
                    <w:ind w:left="0" w:leftChars="0" w:right="0" w:rightChars="0"/>
                    <w:jc w:val="center"/>
                    <w:rPr>
                      <w:rFonts w:hint="eastAsia"/>
                      <w:color w:val="auto"/>
                      <w:sz w:val="21"/>
                      <w:szCs w:val="21"/>
                      <w:u w:val="none"/>
                      <w:lang w:eastAsia="zh-CN"/>
                    </w:rPr>
                  </w:pPr>
                  <w:r>
                    <w:rPr>
                      <w:rFonts w:hint="eastAsia"/>
                      <w:color w:val="auto"/>
                      <w:sz w:val="21"/>
                      <w:szCs w:val="21"/>
                      <w:u w:val="none"/>
                      <w:lang w:eastAsia="zh-CN"/>
                    </w:rPr>
                    <w:t>天然气燃烧</w:t>
                  </w:r>
                  <w:r>
                    <w:rPr>
                      <w:rFonts w:hint="eastAsia"/>
                      <w:color w:val="auto"/>
                      <w:sz w:val="21"/>
                      <w:szCs w:val="21"/>
                      <w:u w:val="none"/>
                      <w:lang w:val="en-US" w:eastAsia="zh-CN"/>
                    </w:rPr>
                    <w:t>及烘干</w:t>
                  </w:r>
                  <w:r>
                    <w:rPr>
                      <w:rFonts w:hint="eastAsia"/>
                      <w:color w:val="auto"/>
                      <w:sz w:val="21"/>
                      <w:szCs w:val="21"/>
                      <w:u w:val="none"/>
                      <w:lang w:eastAsia="zh-CN"/>
                    </w:rPr>
                    <w:t>废气（</w:t>
                  </w:r>
                  <w:r>
                    <w:rPr>
                      <w:rFonts w:hint="eastAsia"/>
                      <w:color w:val="auto"/>
                      <w:sz w:val="21"/>
                      <w:szCs w:val="21"/>
                      <w:u w:val="none"/>
                      <w:lang w:val="en-US" w:eastAsia="zh-CN"/>
                    </w:rPr>
                    <w:t>G1</w:t>
                  </w:r>
                  <w:r>
                    <w:rPr>
                      <w:rFonts w:hint="eastAsia"/>
                      <w:color w:val="auto"/>
                      <w:sz w:val="21"/>
                      <w:szCs w:val="21"/>
                      <w:u w:val="none"/>
                      <w:lang w:eastAsia="zh-CN"/>
                    </w:rPr>
                    <w:t>）</w:t>
                  </w:r>
                </w:p>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颗粒物</w:t>
                  </w:r>
                </w:p>
              </w:tc>
              <w:tc>
                <w:tcPr>
                  <w:tcW w:w="711"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r>
                    <w:rPr>
                      <w:rFonts w:hint="default" w:ascii="Times New Roman" w:hAnsi="Times New Roman" w:eastAsia="TimesNewRomanPSMT" w:cs="Times New Roman"/>
                      <w:b w:val="0"/>
                      <w:bCs w:val="0"/>
                      <w:i w:val="0"/>
                      <w:iCs w:val="0"/>
                      <w:color w:val="000000"/>
                      <w:kern w:val="0"/>
                      <w:sz w:val="21"/>
                      <w:szCs w:val="21"/>
                      <w:u w:val="none"/>
                      <w:lang w:val="en-US" w:eastAsia="zh-CN" w:bidi="ar"/>
                    </w:rPr>
                    <w:t>129.29m</w:t>
                  </w:r>
                  <w:r>
                    <w:rPr>
                      <w:rFonts w:hint="default" w:ascii="Times New Roman" w:hAnsi="Times New Roman" w:eastAsia="TimesNewRomanPSMT" w:cs="Times New Roman"/>
                      <w:b w:val="0"/>
                      <w:bCs w:val="0"/>
                      <w:i w:val="0"/>
                      <w:iCs w:val="0"/>
                      <w:color w:val="000000"/>
                      <w:kern w:val="0"/>
                      <w:sz w:val="21"/>
                      <w:szCs w:val="21"/>
                      <w:u w:val="none"/>
                      <w:vertAlign w:val="superscript"/>
                      <w:lang w:val="en-US" w:eastAsia="zh-CN" w:bidi="ar"/>
                    </w:rPr>
                    <w:t>3</w:t>
                  </w:r>
                  <w:r>
                    <w:rPr>
                      <w:rFonts w:hint="default" w:ascii="Times New Roman" w:hAnsi="Times New Roman" w:eastAsia="TimesNewRomanPSMT" w:cs="Times New Roman"/>
                      <w:b w:val="0"/>
                      <w:bCs w:val="0"/>
                      <w:i w:val="0"/>
                      <w:iCs w:val="0"/>
                      <w:color w:val="000000"/>
                      <w:kern w:val="0"/>
                      <w:sz w:val="21"/>
                      <w:szCs w:val="21"/>
                      <w:u w:val="none"/>
                      <w:lang w:val="en-US" w:eastAsia="zh-CN" w:bidi="ar"/>
                    </w:rPr>
                    <w:t>/h</w:t>
                  </w:r>
                </w:p>
              </w:tc>
              <w:tc>
                <w:tcPr>
                  <w:tcW w:w="73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1"/>
                      <w:szCs w:val="21"/>
                      <w:u w:val="none"/>
                      <w:lang w:val="en-US" w:eastAsia="zh-CN"/>
                    </w:rPr>
                  </w:pPr>
                  <w:r>
                    <w:rPr>
                      <w:rFonts w:hint="eastAsia" w:cs="Times New Roman"/>
                      <w:color w:val="000000"/>
                      <w:kern w:val="0"/>
                      <w:sz w:val="21"/>
                      <w:szCs w:val="21"/>
                      <w:u w:val="none"/>
                      <w:lang w:val="en-US" w:eastAsia="zh-CN" w:bidi="ar"/>
                    </w:rPr>
                    <w:t>/</w:t>
                  </w:r>
                </w:p>
              </w:tc>
              <w:tc>
                <w:tcPr>
                  <w:tcW w:w="731"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无组织</w:t>
                  </w:r>
                </w:p>
              </w:tc>
              <w:tc>
                <w:tcPr>
                  <w:tcW w:w="812"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lang w:val="en-US"/>
                    </w:rPr>
                  </w:pPr>
                  <w:r>
                    <w:rPr>
                      <w:rFonts w:hint="default" w:ascii="Times New Roman" w:hAnsi="Times New Roman" w:cs="Times New Roman"/>
                      <w:sz w:val="21"/>
                      <w:szCs w:val="21"/>
                      <w:u w:val="none"/>
                      <w:lang w:val="en-US" w:eastAsia="zh-CN"/>
                    </w:rPr>
                    <w:t>/</w:t>
                  </w:r>
                </w:p>
              </w:tc>
              <w:tc>
                <w:tcPr>
                  <w:tcW w:w="651"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w:t>
                  </w:r>
                </w:p>
              </w:tc>
              <w:tc>
                <w:tcPr>
                  <w:tcW w:w="731"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w:t>
                  </w:r>
                </w:p>
              </w:tc>
              <w:tc>
                <w:tcPr>
                  <w:tcW w:w="592" w:type="dxa"/>
                  <w:vMerge w:val="restart"/>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w:t>
                  </w:r>
                </w:p>
              </w:tc>
              <w:tc>
                <w:tcPr>
                  <w:tcW w:w="869" w:type="dxa"/>
                  <w:vMerge w:val="restart"/>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eastAsia" w:ascii="Times New Roman" w:hAnsi="Times New Roman" w:cs="Times New Roman"/>
                      <w:sz w:val="21"/>
                      <w:szCs w:val="21"/>
                      <w:u w:val="none"/>
                      <w:lang w:val="en-US" w:eastAsia="zh-CN"/>
                    </w:rPr>
                    <w:t>/</w:t>
                  </w:r>
                </w:p>
              </w:tc>
              <w:tc>
                <w:tcPr>
                  <w:tcW w:w="627" w:type="dxa"/>
                  <w:vMerge w:val="restart"/>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w:t>
                  </w:r>
                </w:p>
              </w:tc>
              <w:tc>
                <w:tcPr>
                  <w:tcW w:w="835" w:type="dxa"/>
                  <w:vMerge w:val="restart"/>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w:t>
                  </w:r>
                </w:p>
              </w:tc>
              <w:tc>
                <w:tcPr>
                  <w:tcW w:w="73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u w:val="none"/>
                      <w:lang w:val="en-US" w:eastAsia="zh-CN"/>
                    </w:rPr>
                  </w:pPr>
                  <w:r>
                    <w:rPr>
                      <w:rFonts w:hint="eastAsia" w:cs="Times New Roman"/>
                      <w:color w:val="000000"/>
                      <w:kern w:val="0"/>
                      <w:sz w:val="21"/>
                      <w:szCs w:val="21"/>
                      <w:u w:val="none"/>
                      <w:lang w:val="en-US" w:eastAsia="zh-CN" w:bidi="ar"/>
                    </w:rPr>
                    <w:t>/</w:t>
                  </w:r>
                </w:p>
              </w:tc>
              <w:tc>
                <w:tcPr>
                  <w:tcW w:w="73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u w:val="none"/>
                    </w:rPr>
                  </w:pPr>
                  <w:r>
                    <w:rPr>
                      <w:rFonts w:hint="default" w:ascii="Times New Roman" w:hAnsi="Times New Roman" w:cs="Times New Roman"/>
                      <w:color w:val="auto"/>
                      <w:kern w:val="0"/>
                      <w:sz w:val="21"/>
                      <w:szCs w:val="21"/>
                      <w:u w:val="none"/>
                      <w:lang w:val="en-US" w:eastAsia="zh-CN" w:bidi="ar"/>
                    </w:rPr>
                    <w:t>0.00</w:t>
                  </w:r>
                  <w:r>
                    <w:rPr>
                      <w:rFonts w:hint="eastAsia" w:cs="Times New Roman"/>
                      <w:color w:val="auto"/>
                      <w:kern w:val="0"/>
                      <w:sz w:val="21"/>
                      <w:szCs w:val="21"/>
                      <w:u w:val="none"/>
                      <w:lang w:val="en-US" w:eastAsia="zh-CN" w:bidi="ar"/>
                    </w:rPr>
                    <w:t>3</w:t>
                  </w:r>
                </w:p>
              </w:tc>
              <w:tc>
                <w:tcPr>
                  <w:tcW w:w="736" w:type="dxa"/>
                  <w:vMerge w:val="restart"/>
                  <w:vAlign w:val="center"/>
                </w:tcPr>
                <w:p>
                  <w:pPr>
                    <w:pStyle w:val="2"/>
                    <w:spacing w:before="0" w:after="0" w:line="240" w:lineRule="auto"/>
                    <w:ind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w:t>
                  </w:r>
                </w:p>
              </w:tc>
              <w:tc>
                <w:tcPr>
                  <w:tcW w:w="736" w:type="dxa"/>
                  <w:vAlign w:val="center"/>
                </w:tcPr>
                <w:p>
                  <w:pPr>
                    <w:pStyle w:val="2"/>
                    <w:spacing w:before="0" w:after="0" w:line="240" w:lineRule="auto"/>
                    <w:ind w:right="0"/>
                    <w:jc w:val="center"/>
                    <w:rPr>
                      <w:rFonts w:hint="default" w:ascii="Times New Roman" w:hAnsi="Times New Roman" w:cs="Times New Roman"/>
                      <w:color w:val="auto"/>
                      <w:sz w:val="21"/>
                      <w:szCs w:val="21"/>
                      <w:u w:val="none"/>
                      <w:lang w:val="en-US"/>
                    </w:rPr>
                  </w:pPr>
                  <w:r>
                    <w:rPr>
                      <w:rFonts w:hint="eastAsia" w:cs="Times New Roman"/>
                      <w:color w:val="auto"/>
                      <w:sz w:val="21"/>
                      <w:szCs w:val="21"/>
                      <w:u w:val="none"/>
                      <w:lang w:val="en-US" w:eastAsia="zh-CN"/>
                    </w:rPr>
                    <w:t>1.0</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736" w:type="dxa"/>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785"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eastAsia="zh-CN"/>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SO</w:t>
                  </w:r>
                  <w:r>
                    <w:rPr>
                      <w:rFonts w:hint="eastAsia" w:cs="Times New Roman"/>
                      <w:color w:val="auto"/>
                      <w:sz w:val="21"/>
                      <w:szCs w:val="21"/>
                      <w:u w:val="none"/>
                      <w:vertAlign w:val="subscript"/>
                      <w:lang w:val="en-US" w:eastAsia="zh-CN"/>
                    </w:rPr>
                    <w:t>2</w:t>
                  </w:r>
                </w:p>
              </w:tc>
              <w:tc>
                <w:tcPr>
                  <w:tcW w:w="71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73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lang w:val="en-US" w:eastAsia="zh-CN"/>
                    </w:rPr>
                  </w:pPr>
                  <w:r>
                    <w:rPr>
                      <w:rFonts w:hint="eastAsia" w:cs="Times New Roman"/>
                      <w:color w:val="000000"/>
                      <w:kern w:val="0"/>
                      <w:sz w:val="21"/>
                      <w:szCs w:val="21"/>
                      <w:u w:val="none"/>
                      <w:lang w:val="en-US" w:eastAsia="zh-CN" w:bidi="ar"/>
                    </w:rPr>
                    <w:t>/</w:t>
                  </w:r>
                </w:p>
              </w:tc>
              <w:tc>
                <w:tcPr>
                  <w:tcW w:w="731" w:type="dxa"/>
                  <w:vMerge w:val="continue"/>
                  <w:vAlign w:val="center"/>
                </w:tcPr>
                <w:p>
                  <w:pPr>
                    <w:spacing w:before="0" w:after="0" w:line="240" w:lineRule="auto"/>
                    <w:ind w:right="0"/>
                    <w:jc w:val="center"/>
                    <w:rPr>
                      <w:rFonts w:hint="default" w:ascii="Times New Roman" w:hAnsi="Times New Roman" w:cs="Times New Roman"/>
                      <w:sz w:val="21"/>
                      <w:szCs w:val="21"/>
                      <w:u w:val="none"/>
                      <w:lang w:val="en-US" w:eastAsia="zh-CN"/>
                    </w:rPr>
                  </w:pPr>
                </w:p>
              </w:tc>
              <w:tc>
                <w:tcPr>
                  <w:tcW w:w="812"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65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73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592"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869"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627"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835"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73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u w:val="none"/>
                    </w:rPr>
                  </w:pPr>
                  <w:r>
                    <w:rPr>
                      <w:rFonts w:hint="eastAsia" w:cs="Times New Roman"/>
                      <w:color w:val="000000"/>
                      <w:kern w:val="0"/>
                      <w:sz w:val="21"/>
                      <w:szCs w:val="21"/>
                      <w:u w:val="none"/>
                      <w:lang w:val="en-US" w:eastAsia="zh-CN" w:bidi="ar"/>
                    </w:rPr>
                    <w:t>/</w:t>
                  </w:r>
                </w:p>
              </w:tc>
              <w:tc>
                <w:tcPr>
                  <w:tcW w:w="73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u w:val="none"/>
                      <w:lang w:val="en-US"/>
                    </w:rPr>
                  </w:pPr>
                  <w:r>
                    <w:rPr>
                      <w:rFonts w:hint="default" w:ascii="Times New Roman" w:hAnsi="Times New Roman" w:cs="Times New Roman"/>
                      <w:color w:val="auto"/>
                      <w:kern w:val="0"/>
                      <w:sz w:val="21"/>
                      <w:szCs w:val="21"/>
                      <w:u w:val="none"/>
                      <w:lang w:val="en-US" w:eastAsia="zh-CN" w:bidi="ar"/>
                    </w:rPr>
                    <w:t>0.00</w:t>
                  </w:r>
                  <w:r>
                    <w:rPr>
                      <w:rFonts w:hint="eastAsia" w:cs="Times New Roman"/>
                      <w:color w:val="auto"/>
                      <w:kern w:val="0"/>
                      <w:sz w:val="21"/>
                      <w:szCs w:val="21"/>
                      <w:u w:val="none"/>
                      <w:lang w:val="en-US" w:eastAsia="zh-CN" w:bidi="ar"/>
                    </w:rPr>
                    <w:t>1</w:t>
                  </w:r>
                </w:p>
              </w:tc>
              <w:tc>
                <w:tcPr>
                  <w:tcW w:w="736"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u w:val="none"/>
                    </w:rPr>
                  </w:pPr>
                </w:p>
              </w:tc>
              <w:tc>
                <w:tcPr>
                  <w:tcW w:w="736" w:type="dxa"/>
                  <w:vAlign w:val="center"/>
                </w:tcPr>
                <w:p>
                  <w:pPr>
                    <w:pStyle w:val="2"/>
                    <w:spacing w:before="0" w:after="0" w:line="240" w:lineRule="auto"/>
                    <w:ind w:right="0"/>
                    <w:jc w:val="center"/>
                    <w:rPr>
                      <w:rFonts w:hint="default" w:ascii="Times New Roman" w:hAnsi="Times New Roman" w:cs="Times New Roman"/>
                      <w:color w:val="auto"/>
                      <w:sz w:val="21"/>
                      <w:szCs w:val="21"/>
                      <w:u w:val="none"/>
                      <w:lang w:val="en-US"/>
                    </w:rPr>
                  </w:pPr>
                  <w:r>
                    <w:rPr>
                      <w:rFonts w:hint="eastAsia" w:cs="Times New Roman"/>
                      <w:color w:val="auto"/>
                      <w:sz w:val="21"/>
                      <w:szCs w:val="21"/>
                      <w:u w:val="none"/>
                      <w:lang w:val="en-US" w:eastAsia="zh-CN"/>
                    </w:rPr>
                    <w:t>0.40</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736" w:type="dxa"/>
                  <w:vAlign w:val="center"/>
                </w:tcPr>
                <w:p>
                  <w:pPr>
                    <w:pStyle w:val="2"/>
                    <w:spacing w:before="0" w:after="0" w:line="240" w:lineRule="auto"/>
                    <w:ind w:right="0"/>
                    <w:jc w:val="center"/>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785"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eastAsia="zh-CN"/>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NO</w:t>
                  </w:r>
                  <w:r>
                    <w:rPr>
                      <w:rFonts w:hint="eastAsia" w:cs="Times New Roman"/>
                      <w:color w:val="auto"/>
                      <w:sz w:val="21"/>
                      <w:szCs w:val="21"/>
                      <w:u w:val="none"/>
                      <w:vertAlign w:val="subscript"/>
                      <w:lang w:val="en-US" w:eastAsia="zh-CN"/>
                    </w:rPr>
                    <w:t>X</w:t>
                  </w:r>
                </w:p>
              </w:tc>
              <w:tc>
                <w:tcPr>
                  <w:tcW w:w="71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73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lang w:val="en-US" w:eastAsia="zh-CN"/>
                    </w:rPr>
                  </w:pPr>
                  <w:r>
                    <w:rPr>
                      <w:rFonts w:hint="eastAsia" w:cs="Times New Roman"/>
                      <w:color w:val="000000"/>
                      <w:kern w:val="0"/>
                      <w:sz w:val="21"/>
                      <w:szCs w:val="21"/>
                      <w:u w:val="none"/>
                      <w:lang w:val="en-US" w:eastAsia="zh-CN" w:bidi="ar"/>
                    </w:rPr>
                    <w:t>/</w:t>
                  </w:r>
                </w:p>
              </w:tc>
              <w:tc>
                <w:tcPr>
                  <w:tcW w:w="731" w:type="dxa"/>
                  <w:vMerge w:val="continue"/>
                  <w:vAlign w:val="center"/>
                </w:tcPr>
                <w:p>
                  <w:pPr>
                    <w:spacing w:before="0" w:after="0" w:line="240" w:lineRule="auto"/>
                    <w:ind w:right="0"/>
                    <w:jc w:val="center"/>
                    <w:rPr>
                      <w:rFonts w:hint="default" w:ascii="Times New Roman" w:hAnsi="Times New Roman" w:cs="Times New Roman"/>
                      <w:sz w:val="21"/>
                      <w:szCs w:val="21"/>
                      <w:u w:val="none"/>
                      <w:lang w:val="en-US" w:eastAsia="zh-CN"/>
                    </w:rPr>
                  </w:pPr>
                </w:p>
              </w:tc>
              <w:tc>
                <w:tcPr>
                  <w:tcW w:w="812"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65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731"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592"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869"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627"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835"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lang w:val="en-US" w:eastAsia="zh-CN"/>
                    </w:rPr>
                  </w:pPr>
                </w:p>
              </w:tc>
              <w:tc>
                <w:tcPr>
                  <w:tcW w:w="73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u w:val="none"/>
                      <w:lang w:val="en-US" w:eastAsia="zh-CN"/>
                    </w:rPr>
                  </w:pPr>
                  <w:r>
                    <w:rPr>
                      <w:rFonts w:hint="eastAsia" w:cs="Times New Roman"/>
                      <w:color w:val="000000"/>
                      <w:kern w:val="0"/>
                      <w:sz w:val="21"/>
                      <w:szCs w:val="21"/>
                      <w:u w:val="none"/>
                      <w:lang w:val="en-US" w:eastAsia="zh-CN" w:bidi="ar"/>
                    </w:rPr>
                    <w:t>/</w:t>
                  </w:r>
                </w:p>
              </w:tc>
              <w:tc>
                <w:tcPr>
                  <w:tcW w:w="73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kern w:val="0"/>
                      <w:sz w:val="21"/>
                      <w:szCs w:val="21"/>
                      <w:u w:val="none"/>
                      <w:lang w:val="en-US" w:eastAsia="zh-CN" w:bidi="ar"/>
                    </w:rPr>
                    <w:t>0.0</w:t>
                  </w:r>
                  <w:r>
                    <w:rPr>
                      <w:rFonts w:hint="eastAsia" w:cs="Times New Roman"/>
                      <w:color w:val="auto"/>
                      <w:kern w:val="0"/>
                      <w:sz w:val="21"/>
                      <w:szCs w:val="21"/>
                      <w:u w:val="none"/>
                      <w:lang w:val="en-US" w:eastAsia="zh-CN" w:bidi="ar"/>
                    </w:rPr>
                    <w:t>2</w:t>
                  </w:r>
                </w:p>
              </w:tc>
              <w:tc>
                <w:tcPr>
                  <w:tcW w:w="736" w:type="dxa"/>
                  <w:vMerge w:val="continue"/>
                  <w:vAlign w:val="center"/>
                </w:tcPr>
                <w:p>
                  <w:pPr>
                    <w:pStyle w:val="2"/>
                    <w:spacing w:before="0" w:after="0" w:line="240" w:lineRule="auto"/>
                    <w:ind w:right="0"/>
                    <w:jc w:val="center"/>
                    <w:rPr>
                      <w:rFonts w:hint="eastAsia" w:cs="Times New Roman"/>
                      <w:color w:val="auto"/>
                      <w:sz w:val="21"/>
                      <w:szCs w:val="21"/>
                      <w:u w:val="none"/>
                      <w:lang w:val="en-US" w:eastAsia="zh-CN"/>
                    </w:rPr>
                  </w:pPr>
                </w:p>
              </w:tc>
              <w:tc>
                <w:tcPr>
                  <w:tcW w:w="736" w:type="dxa"/>
                  <w:vAlign w:val="center"/>
                </w:tcPr>
                <w:p>
                  <w:pPr>
                    <w:pStyle w:val="2"/>
                    <w:spacing w:before="0" w:after="0" w:line="240" w:lineRule="auto"/>
                    <w:ind w:right="0"/>
                    <w:jc w:val="center"/>
                    <w:rPr>
                      <w:rFonts w:hint="eastAsia" w:cs="Times New Roman"/>
                      <w:color w:val="auto"/>
                      <w:sz w:val="21"/>
                      <w:szCs w:val="21"/>
                      <w:u w:val="none"/>
                      <w:lang w:val="en-US" w:eastAsia="zh-CN"/>
                    </w:rPr>
                  </w:pPr>
                  <w:r>
                    <w:rPr>
                      <w:rFonts w:hint="eastAsia" w:cs="Times New Roman"/>
                      <w:color w:val="auto"/>
                      <w:sz w:val="21"/>
                      <w:szCs w:val="21"/>
                      <w:u w:val="none"/>
                      <w:lang w:val="en-US" w:eastAsia="zh-CN"/>
                    </w:rPr>
                    <w:t>0.12</w:t>
                  </w:r>
                  <w:r>
                    <w:rPr>
                      <w:rFonts w:hint="default" w:ascii="Times New Roman" w:hAnsi="Times New Roman" w:cs="Times New Roman"/>
                      <w:color w:val="auto"/>
                      <w:sz w:val="21"/>
                      <w:szCs w:val="21"/>
                      <w:u w:val="none"/>
                    </w:rPr>
                    <w:t>mg/m</w:t>
                  </w:r>
                  <w:r>
                    <w:rPr>
                      <w:rFonts w:hint="default" w:ascii="Times New Roman" w:hAnsi="Times New Roman" w:cs="Times New Roman"/>
                      <w:color w:val="auto"/>
                      <w:sz w:val="21"/>
                      <w:szCs w:val="21"/>
                      <w:u w:val="none"/>
                      <w:vertAlign w:val="superscript"/>
                    </w:rPr>
                    <w:t>3</w:t>
                  </w:r>
                </w:p>
              </w:tc>
              <w:tc>
                <w:tcPr>
                  <w:tcW w:w="736" w:type="dxa"/>
                  <w:vAlign w:val="center"/>
                </w:tcPr>
                <w:p>
                  <w:pPr>
                    <w:pStyle w:val="2"/>
                    <w:spacing w:before="0" w:after="0" w:line="240" w:lineRule="auto"/>
                    <w:ind w:right="0"/>
                    <w:jc w:val="center"/>
                    <w:rPr>
                      <w:rFonts w:hint="default" w:cs="Times New Roman"/>
                      <w:sz w:val="21"/>
                      <w:szCs w:val="21"/>
                      <w:u w:val="none"/>
                      <w:lang w:val="en-US" w:eastAsia="zh-CN"/>
                    </w:rPr>
                  </w:pPr>
                  <w:r>
                    <w:rPr>
                      <w:rFonts w:hint="eastAsia" w:cs="Times New Roman"/>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vAlign w:val="center"/>
                </w:tcPr>
                <w:p>
                  <w:pPr>
                    <w:pStyle w:val="2"/>
                    <w:spacing w:before="0" w:after="0" w:line="240" w:lineRule="auto"/>
                    <w:ind w:right="0"/>
                    <w:jc w:val="center"/>
                    <w:rPr>
                      <w:rFonts w:hint="default" w:ascii="Times New Roman" w:hAnsi="Times New Roman" w:cs="Times New Roman"/>
                      <w:sz w:val="21"/>
                      <w:szCs w:val="21"/>
                      <w:u w:val="none"/>
                    </w:rPr>
                  </w:pPr>
                </w:p>
              </w:tc>
              <w:tc>
                <w:tcPr>
                  <w:tcW w:w="785"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VOC</w:t>
                  </w:r>
                  <w:r>
                    <w:rPr>
                      <w:rFonts w:hint="eastAsia" w:cs="Times New Roman"/>
                      <w:color w:val="auto"/>
                      <w:sz w:val="21"/>
                      <w:szCs w:val="21"/>
                      <w:u w:val="none"/>
                      <w:vertAlign w:val="subscript"/>
                      <w:lang w:val="en-US" w:eastAsia="zh-CN"/>
                    </w:rPr>
                    <w:t>s</w:t>
                  </w:r>
                  <w:r>
                    <w:rPr>
                      <w:rFonts w:hint="eastAsia" w:cs="Times New Roman"/>
                      <w:color w:val="auto"/>
                      <w:sz w:val="21"/>
                      <w:szCs w:val="21"/>
                      <w:u w:val="none"/>
                      <w:lang w:val="en-US" w:eastAsia="zh-CN"/>
                    </w:rPr>
                    <w:t>（以非甲烷总烃计）</w:t>
                  </w:r>
                </w:p>
              </w:tc>
              <w:tc>
                <w:tcPr>
                  <w:tcW w:w="711" w:type="dxa"/>
                  <w:vAlign w:val="center"/>
                </w:tcPr>
                <w:p>
                  <w:pPr>
                    <w:spacing w:before="0" w:after="0" w:line="240" w:lineRule="auto"/>
                    <w:ind w:right="0"/>
                    <w:jc w:val="center"/>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w:t>
                  </w:r>
                </w:p>
              </w:tc>
              <w:tc>
                <w:tcPr>
                  <w:tcW w:w="731"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1" w:type="dxa"/>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无组织</w:t>
                  </w:r>
                </w:p>
              </w:tc>
              <w:tc>
                <w:tcPr>
                  <w:tcW w:w="812" w:type="dxa"/>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w:t>
                  </w:r>
                </w:p>
              </w:tc>
              <w:tc>
                <w:tcPr>
                  <w:tcW w:w="651"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1" w:type="dxa"/>
                  <w:vAlign w:val="center"/>
                </w:tcPr>
                <w:p>
                  <w:pPr>
                    <w:spacing w:before="0" w:after="0" w:line="240" w:lineRule="auto"/>
                    <w:ind w:right="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80%</w:t>
                  </w:r>
                </w:p>
              </w:tc>
              <w:tc>
                <w:tcPr>
                  <w:tcW w:w="592"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869"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ascii="Times New Roman" w:hAnsi="Times New Roman" w:cs="Times New Roman"/>
                      <w:sz w:val="21"/>
                      <w:szCs w:val="21"/>
                      <w:u w:val="none"/>
                      <w:lang w:val="en-US" w:eastAsia="zh-CN"/>
                    </w:rPr>
                    <w:t>循环燃烧</w:t>
                  </w:r>
                </w:p>
              </w:tc>
              <w:tc>
                <w:tcPr>
                  <w:tcW w:w="627"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835"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4" w:type="dxa"/>
                  <w:vAlign w:val="center"/>
                </w:tcPr>
                <w:p>
                  <w:pPr>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5" w:type="dxa"/>
                  <w:vAlign w:val="center"/>
                </w:tcPr>
                <w:p>
                  <w:pPr>
                    <w:pStyle w:val="2"/>
                    <w:spacing w:before="0" w:after="0" w:line="240" w:lineRule="auto"/>
                    <w:ind w:right="0"/>
                    <w:jc w:val="center"/>
                    <w:rPr>
                      <w:rFonts w:hint="default" w:ascii="Times New Roman" w:hAnsi="Times New Roman" w:eastAsia="宋体" w:cs="Times New Roman"/>
                      <w:sz w:val="21"/>
                      <w:szCs w:val="21"/>
                      <w:u w:val="none"/>
                      <w:lang w:val="en-US" w:eastAsia="zh-CN"/>
                    </w:rPr>
                  </w:pPr>
                  <w:r>
                    <w:rPr>
                      <w:rFonts w:hint="eastAsia" w:cs="Times New Roman"/>
                      <w:sz w:val="21"/>
                      <w:szCs w:val="21"/>
                      <w:u w:val="none"/>
                      <w:lang w:val="en-US" w:eastAsia="zh-CN"/>
                    </w:rPr>
                    <w:t>1</w:t>
                  </w:r>
                </w:p>
              </w:tc>
              <w:tc>
                <w:tcPr>
                  <w:tcW w:w="736" w:type="dxa"/>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6" w:type="dxa"/>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4.0</w:t>
                  </w:r>
                  <w:r>
                    <w:rPr>
                      <w:rFonts w:hint="default" w:ascii="Times New Roman" w:hAnsi="Times New Roman" w:cs="Times New Roman"/>
                      <w:sz w:val="21"/>
                      <w:szCs w:val="21"/>
                      <w:u w:val="none"/>
                    </w:rPr>
                    <w:t>mg/m</w:t>
                  </w:r>
                  <w:r>
                    <w:rPr>
                      <w:rFonts w:hint="default" w:ascii="Times New Roman" w:hAnsi="Times New Roman" w:cs="Times New Roman"/>
                      <w:sz w:val="21"/>
                      <w:szCs w:val="21"/>
                      <w:u w:val="none"/>
                      <w:vertAlign w:val="superscript"/>
                    </w:rPr>
                    <w:t>3</w:t>
                  </w:r>
                </w:p>
              </w:tc>
              <w:tc>
                <w:tcPr>
                  <w:tcW w:w="736" w:type="dxa"/>
                  <w:vAlign w:val="center"/>
                </w:tcPr>
                <w:p>
                  <w:pPr>
                    <w:pStyle w:val="2"/>
                    <w:spacing w:before="0" w:after="0" w:line="240" w:lineRule="auto"/>
                    <w:ind w:right="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pStyle w:val="2"/>
                    <w:spacing w:before="0" w:after="0" w:line="240" w:lineRule="auto"/>
                    <w:ind w:right="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val="en-US" w:eastAsia="zh-CN"/>
                    </w:rPr>
                    <w:t>2</w:t>
                  </w:r>
                </w:p>
              </w:tc>
              <w:tc>
                <w:tcPr>
                  <w:tcW w:w="78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抛光打磨颗粒物（G3）</w:t>
                  </w: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szCs w:val="21"/>
                      <w:u w:val="none"/>
                    </w:rPr>
                  </w:pPr>
                  <w:r>
                    <w:rPr>
                      <w:rFonts w:hint="eastAsia" w:cs="Times New Roman"/>
                      <w:color w:val="auto"/>
                      <w:sz w:val="21"/>
                      <w:szCs w:val="21"/>
                      <w:u w:val="none"/>
                      <w:lang w:val="en-US" w:eastAsia="zh-CN"/>
                    </w:rPr>
                    <w:t>颗粒物</w:t>
                  </w:r>
                </w:p>
              </w:tc>
              <w:tc>
                <w:tcPr>
                  <w:tcW w:w="711"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3000m</w:t>
                  </w:r>
                  <w:r>
                    <w:rPr>
                      <w:rFonts w:hint="eastAsia" w:cs="Times New Roman"/>
                      <w:sz w:val="21"/>
                      <w:szCs w:val="21"/>
                      <w:u w:val="none"/>
                      <w:vertAlign w:val="superscript"/>
                      <w:lang w:val="en-US" w:eastAsia="zh-CN"/>
                    </w:rPr>
                    <w:t>3</w:t>
                  </w:r>
                  <w:r>
                    <w:rPr>
                      <w:rFonts w:hint="eastAsia" w:cs="Times New Roman"/>
                      <w:sz w:val="21"/>
                      <w:szCs w:val="21"/>
                      <w:u w:val="none"/>
                      <w:lang w:val="en-US" w:eastAsia="zh-CN"/>
                    </w:rPr>
                    <w:t>/h</w:t>
                  </w:r>
                </w:p>
              </w:tc>
              <w:tc>
                <w:tcPr>
                  <w:tcW w:w="731"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3667</w:t>
                  </w:r>
                </w:p>
              </w:tc>
              <w:tc>
                <w:tcPr>
                  <w:tcW w:w="731"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eastAsia="zh-CN"/>
                    </w:rPr>
                    <w:t>无组织</w:t>
                  </w:r>
                </w:p>
              </w:tc>
              <w:tc>
                <w:tcPr>
                  <w:tcW w:w="812"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除尘设施</w:t>
                  </w:r>
                </w:p>
              </w:tc>
              <w:tc>
                <w:tcPr>
                  <w:tcW w:w="651" w:type="dxa"/>
                  <w:vAlign w:val="center"/>
                </w:tcPr>
                <w:p>
                  <w:pPr>
                    <w:pStyle w:val="2"/>
                    <w:spacing w:before="0" w:after="0" w:line="240" w:lineRule="auto"/>
                    <w:ind w:right="0" w:rightChars="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TA001</w:t>
                  </w:r>
                </w:p>
              </w:tc>
              <w:tc>
                <w:tcPr>
                  <w:tcW w:w="731"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99%</w:t>
                  </w:r>
                </w:p>
              </w:tc>
              <w:tc>
                <w:tcPr>
                  <w:tcW w:w="592" w:type="dxa"/>
                  <w:vAlign w:val="center"/>
                </w:tcPr>
                <w:p>
                  <w:pPr>
                    <w:pStyle w:val="2"/>
                    <w:spacing w:before="0" w:after="0" w:line="240" w:lineRule="auto"/>
                    <w:ind w:right="0" w:rightChars="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100</w:t>
                  </w:r>
                </w:p>
              </w:tc>
              <w:tc>
                <w:tcPr>
                  <w:tcW w:w="869"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布袋除尘99</w:t>
                  </w:r>
                  <w:r>
                    <w:rPr>
                      <w:rFonts w:hint="default" w:ascii="Times New Roman" w:hAnsi="Times New Roman" w:cs="Times New Roman"/>
                      <w:sz w:val="21"/>
                      <w:szCs w:val="21"/>
                      <w:u w:val="none"/>
                    </w:rPr>
                    <w:t>%</w:t>
                  </w:r>
                </w:p>
              </w:tc>
              <w:tc>
                <w:tcPr>
                  <w:tcW w:w="627"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eastAsia="zh-CN"/>
                    </w:rPr>
                    <w:t>是</w:t>
                  </w:r>
                </w:p>
              </w:tc>
              <w:tc>
                <w:tcPr>
                  <w:tcW w:w="835" w:type="dxa"/>
                  <w:vAlign w:val="center"/>
                </w:tcPr>
                <w:p>
                  <w:pPr>
                    <w:pStyle w:val="2"/>
                    <w:spacing w:before="0" w:after="0" w:line="240" w:lineRule="auto"/>
                    <w:ind w:right="0" w:rightChars="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w:t>
                  </w:r>
                </w:p>
              </w:tc>
              <w:tc>
                <w:tcPr>
                  <w:tcW w:w="734" w:type="dxa"/>
                  <w:vAlign w:val="center"/>
                </w:tcPr>
                <w:p>
                  <w:pPr>
                    <w:pStyle w:val="2"/>
                    <w:spacing w:before="0" w:after="0" w:line="240" w:lineRule="auto"/>
                    <w:ind w:right="0" w:rightChars="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36.67</w:t>
                  </w:r>
                </w:p>
              </w:tc>
              <w:tc>
                <w:tcPr>
                  <w:tcW w:w="735" w:type="dxa"/>
                  <w:vAlign w:val="center"/>
                </w:tcPr>
                <w:p>
                  <w:pPr>
                    <w:pStyle w:val="2"/>
                    <w:spacing w:before="0" w:after="0" w:line="240" w:lineRule="auto"/>
                    <w:ind w:right="0" w:rightChars="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0.</w:t>
                  </w:r>
                  <w:r>
                    <w:rPr>
                      <w:rFonts w:hint="eastAsia" w:cs="Times New Roman"/>
                      <w:sz w:val="21"/>
                      <w:szCs w:val="21"/>
                      <w:u w:val="none"/>
                      <w:lang w:val="en-US" w:eastAsia="zh-CN"/>
                    </w:rPr>
                    <w:t>11</w:t>
                  </w:r>
                </w:p>
              </w:tc>
              <w:tc>
                <w:tcPr>
                  <w:tcW w:w="736"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c>
                <w:tcPr>
                  <w:tcW w:w="736"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1.0</w:t>
                  </w:r>
                  <w:r>
                    <w:rPr>
                      <w:rFonts w:hint="default" w:ascii="Times New Roman" w:hAnsi="Times New Roman" w:cs="Times New Roman"/>
                      <w:sz w:val="21"/>
                      <w:szCs w:val="21"/>
                      <w:u w:val="none"/>
                    </w:rPr>
                    <w:t>mg/m</w:t>
                  </w:r>
                  <w:r>
                    <w:rPr>
                      <w:rFonts w:hint="default" w:ascii="Times New Roman" w:hAnsi="Times New Roman" w:cs="Times New Roman"/>
                      <w:sz w:val="21"/>
                      <w:szCs w:val="21"/>
                      <w:u w:val="none"/>
                      <w:vertAlign w:val="superscript"/>
                    </w:rPr>
                    <w:t>3</w:t>
                  </w:r>
                </w:p>
              </w:tc>
              <w:tc>
                <w:tcPr>
                  <w:tcW w:w="736" w:type="dxa"/>
                  <w:vAlign w:val="center"/>
                </w:tcPr>
                <w:p>
                  <w:pPr>
                    <w:pStyle w:val="2"/>
                    <w:spacing w:before="0" w:after="0" w:line="240" w:lineRule="auto"/>
                    <w:ind w:right="0" w:rightChars="0"/>
                    <w:jc w:val="center"/>
                    <w:rPr>
                      <w:rFonts w:hint="default" w:ascii="Times New Roman" w:hAnsi="Times New Roman" w:cs="Times New Roman"/>
                      <w:sz w:val="21"/>
                      <w:szCs w:val="21"/>
                      <w:u w:val="none"/>
                    </w:rPr>
                  </w:pPr>
                  <w:r>
                    <w:rPr>
                      <w:rFonts w:hint="eastAsia" w:cs="Times New Roman"/>
                      <w:sz w:val="21"/>
                      <w:szCs w:val="21"/>
                      <w:u w:val="none"/>
                      <w:lang w:val="en-US" w:eastAsia="zh-CN"/>
                    </w:rPr>
                    <w:t>/</w:t>
                  </w:r>
                </w:p>
              </w:tc>
            </w:tr>
          </w:tbl>
          <w:p>
            <w:pPr>
              <w:pStyle w:val="2"/>
              <w:spacing w:before="0" w:after="0" w:line="360" w:lineRule="auto"/>
              <w:ind w:right="0"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1、废气污染物产排污情况</w:t>
            </w:r>
          </w:p>
          <w:p>
            <w:pPr>
              <w:shd w:val="clear" w:color="auto" w:fill="auto"/>
              <w:spacing w:line="360" w:lineRule="auto"/>
              <w:ind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本项目废气主要为天然气燃烧</w:t>
            </w:r>
            <w:r>
              <w:rPr>
                <w:rFonts w:hint="eastAsia" w:cs="Times New Roman"/>
                <w:color w:val="auto"/>
                <w:kern w:val="2"/>
                <w:sz w:val="24"/>
                <w:szCs w:val="24"/>
                <w:u w:val="none"/>
                <w:lang w:val="en-US" w:eastAsia="zh-CN" w:bidi="ar-SA"/>
              </w:rPr>
              <w:t>及产品</w:t>
            </w:r>
            <w:r>
              <w:rPr>
                <w:rFonts w:hint="eastAsia" w:ascii="Times New Roman" w:hAnsi="Times New Roman" w:eastAsia="宋体" w:cs="Times New Roman"/>
                <w:color w:val="auto"/>
                <w:kern w:val="2"/>
                <w:sz w:val="24"/>
                <w:szCs w:val="24"/>
                <w:u w:val="none"/>
                <w:lang w:val="en-US" w:eastAsia="zh-CN" w:bidi="ar-SA"/>
              </w:rPr>
              <w:t>过程中产生的颗粒物、SO</w:t>
            </w:r>
            <w:r>
              <w:rPr>
                <w:rFonts w:hint="eastAsia" w:ascii="Times New Roman" w:hAnsi="Times New Roman" w:eastAsia="宋体" w:cs="Times New Roman"/>
                <w:color w:val="auto"/>
                <w:kern w:val="2"/>
                <w:sz w:val="24"/>
                <w:szCs w:val="24"/>
                <w:u w:val="none"/>
                <w:vertAlign w:val="subscript"/>
                <w:lang w:val="en-US" w:eastAsia="zh-CN" w:bidi="ar-SA"/>
              </w:rPr>
              <w:t>2</w:t>
            </w:r>
            <w:r>
              <w:rPr>
                <w:rFonts w:hint="eastAsia" w:ascii="Times New Roman" w:hAnsi="Times New Roman" w:eastAsia="宋体" w:cs="Times New Roman"/>
                <w:color w:val="auto"/>
                <w:kern w:val="2"/>
                <w:sz w:val="24"/>
                <w:szCs w:val="24"/>
                <w:u w:val="none"/>
                <w:lang w:val="en-US" w:eastAsia="zh-CN" w:bidi="ar-SA"/>
              </w:rPr>
              <w:t>、NO</w:t>
            </w:r>
            <w:r>
              <w:rPr>
                <w:rFonts w:hint="eastAsia" w:ascii="Times New Roman" w:hAnsi="Times New Roman" w:eastAsia="宋体" w:cs="Times New Roman"/>
                <w:color w:val="auto"/>
                <w:kern w:val="2"/>
                <w:sz w:val="24"/>
                <w:szCs w:val="24"/>
                <w:u w:val="none"/>
                <w:vertAlign w:val="subscript"/>
                <w:lang w:val="en-US" w:eastAsia="zh-CN" w:bidi="ar-SA"/>
              </w:rPr>
              <w:t>X</w:t>
            </w:r>
            <w:r>
              <w:rPr>
                <w:rFonts w:hint="eastAsia" w:cs="Times New Roman"/>
                <w:color w:val="auto"/>
                <w:kern w:val="2"/>
                <w:sz w:val="24"/>
                <w:szCs w:val="24"/>
                <w:u w:val="none"/>
                <w:vertAlign w:val="subscript"/>
                <w:lang w:val="en-US" w:eastAsia="zh-CN" w:bidi="ar-SA"/>
              </w:rPr>
              <w:t>、</w:t>
            </w:r>
            <w:r>
              <w:rPr>
                <w:rFonts w:hint="eastAsia" w:ascii="Times New Roman" w:hAnsi="Times New Roman" w:eastAsia="宋体" w:cs="Times New Roman"/>
                <w:color w:val="auto"/>
                <w:kern w:val="2"/>
                <w:sz w:val="24"/>
                <w:szCs w:val="24"/>
                <w:u w:val="none"/>
                <w:lang w:val="en-US" w:eastAsia="zh-CN" w:bidi="ar-SA"/>
              </w:rPr>
              <w:t>挥发性有机物（本项目以非甲烷总烃计）</w:t>
            </w:r>
            <w:r>
              <w:rPr>
                <w:rFonts w:hint="eastAsia" w:cs="Times New Roman"/>
                <w:color w:val="auto"/>
                <w:kern w:val="2"/>
                <w:sz w:val="24"/>
                <w:szCs w:val="24"/>
                <w:u w:val="none"/>
                <w:vertAlign w:val="baseline"/>
                <w:lang w:val="en-US" w:eastAsia="zh-CN" w:bidi="ar-SA"/>
              </w:rPr>
              <w:t>以及抛光打磨工序产生的颗粒物</w:t>
            </w:r>
            <w:r>
              <w:rPr>
                <w:rFonts w:hint="eastAsia" w:ascii="Times New Roman" w:hAnsi="Times New Roman" w:eastAsia="宋体" w:cs="Times New Roman"/>
                <w:color w:val="auto"/>
                <w:kern w:val="2"/>
                <w:sz w:val="24"/>
                <w:szCs w:val="24"/>
                <w:u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u w:val="none"/>
                <w:lang w:eastAsia="zh-CN"/>
              </w:rPr>
            </w:pPr>
            <w:r>
              <w:rPr>
                <w:rFonts w:hint="eastAsia" w:cs="Times New Roman"/>
                <w:color w:val="auto"/>
                <w:sz w:val="24"/>
                <w:szCs w:val="24"/>
                <w:u w:val="none"/>
                <w:lang w:eastAsia="zh-CN"/>
              </w:rPr>
              <w:t>①天然气燃烧</w:t>
            </w:r>
            <w:r>
              <w:rPr>
                <w:rFonts w:hint="eastAsia" w:cs="Times New Roman"/>
                <w:color w:val="auto"/>
                <w:sz w:val="24"/>
                <w:szCs w:val="24"/>
                <w:u w:val="none"/>
                <w:lang w:val="en-US" w:eastAsia="zh-CN"/>
              </w:rPr>
              <w:t>烘干</w:t>
            </w:r>
            <w:r>
              <w:rPr>
                <w:rFonts w:hint="eastAsia" w:cs="Times New Roman"/>
                <w:color w:val="auto"/>
                <w:sz w:val="24"/>
                <w:szCs w:val="24"/>
                <w:u w:val="none"/>
                <w:lang w:eastAsia="zh-CN"/>
              </w:rPr>
              <w:t>废气（</w:t>
            </w:r>
            <w:r>
              <w:rPr>
                <w:rFonts w:hint="eastAsia" w:cs="Times New Roman"/>
                <w:color w:val="auto"/>
                <w:sz w:val="24"/>
                <w:szCs w:val="24"/>
                <w:u w:val="none"/>
                <w:lang w:val="en-US" w:eastAsia="zh-CN"/>
              </w:rPr>
              <w:t>G1</w:t>
            </w:r>
            <w:r>
              <w:rPr>
                <w:rFonts w:hint="eastAsia" w:cs="Times New Roman"/>
                <w:color w:val="auto"/>
                <w:sz w:val="24"/>
                <w:szCs w:val="24"/>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u w:val="none"/>
                <w:vertAlign w:val="baseline"/>
                <w:lang w:val="en-US" w:eastAsia="zh-CN"/>
              </w:rPr>
            </w:pPr>
            <w:r>
              <w:rPr>
                <w:rFonts w:hint="eastAsia" w:cs="Times New Roman"/>
                <w:color w:val="auto"/>
                <w:sz w:val="24"/>
                <w:szCs w:val="24"/>
                <w:u w:val="none"/>
                <w:lang w:val="en-US" w:eastAsia="zh-CN"/>
              </w:rPr>
              <w:t>本项目供热能源采用天然气，厂区内共两套天然气加热设备，循环燃烧后无组织排放，天然气燃烧过程中会产生颗粒物、SO</w:t>
            </w:r>
            <w:r>
              <w:rPr>
                <w:rFonts w:hint="eastAsia" w:cs="Times New Roman"/>
                <w:color w:val="auto"/>
                <w:sz w:val="24"/>
                <w:szCs w:val="24"/>
                <w:u w:val="none"/>
                <w:vertAlign w:val="subscript"/>
                <w:lang w:val="en-US" w:eastAsia="zh-CN"/>
              </w:rPr>
              <w:t>2</w:t>
            </w:r>
            <w:r>
              <w:rPr>
                <w:rFonts w:hint="eastAsia" w:cs="Times New Roman"/>
                <w:color w:val="auto"/>
                <w:sz w:val="24"/>
                <w:szCs w:val="24"/>
                <w:u w:val="none"/>
                <w:lang w:val="en-US" w:eastAsia="zh-CN"/>
              </w:rPr>
              <w:t>、NO</w:t>
            </w:r>
            <w:r>
              <w:rPr>
                <w:rFonts w:hint="eastAsia" w:cs="Times New Roman"/>
                <w:color w:val="auto"/>
                <w:sz w:val="24"/>
                <w:szCs w:val="24"/>
                <w:u w:val="none"/>
                <w:vertAlign w:val="subscript"/>
                <w:lang w:val="en-US" w:eastAsia="zh-CN"/>
              </w:rPr>
              <w:t>X</w:t>
            </w:r>
            <w:r>
              <w:rPr>
                <w:rFonts w:hint="eastAsia" w:cs="Times New Roman"/>
                <w:color w:val="auto"/>
                <w:sz w:val="24"/>
                <w:szCs w:val="24"/>
                <w:u w:val="none"/>
                <w:lang w:val="en-US" w:eastAsia="zh-CN"/>
              </w:rPr>
              <w:t>，根据企业设备介绍，1h加热需要燃烧天然气12m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lang w:val="en-US" w:eastAsia="zh-CN"/>
              </w:rPr>
              <w:t>，本项目一天生产8h，因此需要燃烧天然气28800m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lang w:val="en-US" w:eastAsia="zh-CN"/>
              </w:rPr>
              <w:t>/a（96m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lang w:val="en-US" w:eastAsia="zh-CN"/>
              </w:rPr>
              <w:t>/d）</w:t>
            </w:r>
            <w:r>
              <w:rPr>
                <w:rFonts w:hint="eastAsia" w:cs="Times New Roman"/>
                <w:color w:val="auto"/>
                <w:sz w:val="24"/>
                <w:szCs w:val="24"/>
                <w:u w:val="none"/>
                <w:vertAlign w:val="baseline"/>
                <w:lang w:val="en-US" w:eastAsia="zh-CN"/>
              </w:rPr>
              <w:t>，天然气燃烧产污核算方法根据</w:t>
            </w:r>
            <w:r>
              <w:rPr>
                <w:rFonts w:ascii="宋体" w:hAnsi="宋体" w:eastAsia="宋体" w:cs="宋体"/>
                <w:b w:val="0"/>
                <w:bCs w:val="0"/>
                <w:i w:val="0"/>
                <w:iCs w:val="0"/>
                <w:color w:val="auto"/>
                <w:kern w:val="0"/>
                <w:sz w:val="24"/>
                <w:szCs w:val="24"/>
                <w:u w:val="none"/>
                <w:lang w:val="en-US" w:eastAsia="zh-CN" w:bidi="ar"/>
              </w:rPr>
              <w:t>参照《污染源源强核算技术指南 锅炉》（</w:t>
            </w:r>
            <w:r>
              <w:rPr>
                <w:rFonts w:ascii="TimesNewRomanPSMT" w:hAnsi="TimesNewRomanPSMT" w:eastAsia="TimesNewRomanPSMT" w:cs="TimesNewRomanPSMT"/>
                <w:b w:val="0"/>
                <w:bCs w:val="0"/>
                <w:i w:val="0"/>
                <w:iCs w:val="0"/>
                <w:color w:val="auto"/>
                <w:kern w:val="0"/>
                <w:sz w:val="24"/>
                <w:szCs w:val="24"/>
                <w:u w:val="none"/>
                <w:lang w:val="en-US" w:eastAsia="zh-CN" w:bidi="ar"/>
              </w:rPr>
              <w:t>HJ991-2018</w:t>
            </w:r>
            <w:r>
              <w:rPr>
                <w:rFonts w:ascii="宋体" w:hAnsi="宋体" w:eastAsia="宋体" w:cs="宋体"/>
                <w:b w:val="0"/>
                <w:bCs w:val="0"/>
                <w:i w:val="0"/>
                <w:iCs w:val="0"/>
                <w:color w:val="auto"/>
                <w:kern w:val="0"/>
                <w:sz w:val="24"/>
                <w:szCs w:val="24"/>
                <w:u w:val="none"/>
                <w:lang w:val="en-US" w:eastAsia="zh-CN" w:bidi="ar"/>
              </w:rPr>
              <w:t>）产物系数法。二氧化硫、氮氧化物产污系数参照《排放源统计调查产排污核算方法和系数手册》</w:t>
            </w:r>
            <w:r>
              <w:rPr>
                <w:rFonts w:hint="eastAsia" w:ascii="宋体" w:hAnsi="宋体" w:cs="宋体"/>
                <w:b w:val="0"/>
                <w:bCs w:val="0"/>
                <w:i w:val="0"/>
                <w:iCs w:val="0"/>
                <w:color w:val="auto"/>
                <w:kern w:val="0"/>
                <w:sz w:val="24"/>
                <w:szCs w:val="24"/>
                <w:u w:val="none"/>
                <w:lang w:val="en-US" w:eastAsia="zh-CN" w:bidi="ar"/>
              </w:rPr>
              <w:t>：</w:t>
            </w:r>
            <w:r>
              <w:rPr>
                <w:rFonts w:ascii="TimesNewRomanPSMT" w:hAnsi="TimesNewRomanPSMT" w:eastAsia="TimesNewRomanPSMT" w:cs="TimesNewRomanPSMT"/>
                <w:b w:val="0"/>
                <w:bCs w:val="0"/>
                <w:i w:val="0"/>
                <w:iCs w:val="0"/>
                <w:color w:val="auto"/>
                <w:kern w:val="0"/>
                <w:sz w:val="24"/>
                <w:szCs w:val="24"/>
                <w:u w:val="none"/>
                <w:lang w:val="en-US" w:eastAsia="zh-CN" w:bidi="ar"/>
              </w:rPr>
              <w:t>4430</w:t>
            </w:r>
            <w:r>
              <w:rPr>
                <w:rFonts w:ascii="宋体" w:hAnsi="宋体" w:eastAsia="宋体" w:cs="宋体"/>
                <w:b w:val="0"/>
                <w:bCs w:val="0"/>
                <w:i w:val="0"/>
                <w:iCs w:val="0"/>
                <w:color w:val="auto"/>
                <w:kern w:val="0"/>
                <w:sz w:val="24"/>
                <w:szCs w:val="24"/>
                <w:u w:val="none"/>
                <w:lang w:val="en-US" w:eastAsia="zh-CN" w:bidi="ar"/>
              </w:rPr>
              <w:t>工业锅炉（热力生产和供应行业）产排污系数表</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天然气工业锅炉，天然气燃烧工业废气量为</w:t>
            </w:r>
            <w:r>
              <w:rPr>
                <w:rFonts w:ascii="TimesNewRomanPSMT" w:hAnsi="TimesNewRomanPSMT" w:eastAsia="TimesNewRomanPSMT" w:cs="TimesNewRomanPSMT"/>
                <w:b w:val="0"/>
                <w:bCs w:val="0"/>
                <w:i w:val="0"/>
                <w:iCs w:val="0"/>
                <w:color w:val="auto"/>
                <w:kern w:val="0"/>
                <w:sz w:val="24"/>
                <w:szCs w:val="24"/>
                <w:u w:val="none"/>
                <w:lang w:val="en-US" w:eastAsia="zh-CN" w:bidi="ar"/>
              </w:rPr>
              <w:t>107753</w:t>
            </w:r>
            <w:r>
              <w:rPr>
                <w:rFonts w:ascii="宋体" w:hAnsi="宋体" w:eastAsia="宋体" w:cs="宋体"/>
                <w:b w:val="0"/>
                <w:bCs w:val="0"/>
                <w:i w:val="0"/>
                <w:iCs w:val="0"/>
                <w:color w:val="auto"/>
                <w:kern w:val="0"/>
                <w:sz w:val="24"/>
                <w:szCs w:val="24"/>
                <w:u w:val="none"/>
                <w:lang w:val="en-US" w:eastAsia="zh-CN" w:bidi="ar"/>
              </w:rPr>
              <w:t>标立方米</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万立方米</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原料；</w:t>
            </w:r>
            <w:r>
              <w:rPr>
                <w:rFonts w:hint="default" w:ascii="Times New Roman" w:hAnsi="Times New Roman" w:cs="Times New Roman"/>
                <w:b w:val="0"/>
                <w:bCs w:val="0"/>
                <w:i w:val="0"/>
                <w:iCs w:val="0"/>
                <w:color w:val="auto"/>
                <w:kern w:val="0"/>
                <w:sz w:val="24"/>
                <w:szCs w:val="24"/>
                <w:u w:val="none"/>
                <w:lang w:val="en-US" w:eastAsia="zh-CN" w:bidi="ar"/>
              </w:rPr>
              <w:t>SO</w:t>
            </w:r>
            <w:r>
              <w:rPr>
                <w:rFonts w:hint="default" w:ascii="Times New Roman" w:hAnsi="Times New Roman" w:cs="Times New Roman"/>
                <w:b w:val="0"/>
                <w:bCs w:val="0"/>
                <w:i w:val="0"/>
                <w:iCs w:val="0"/>
                <w:color w:val="auto"/>
                <w:kern w:val="0"/>
                <w:sz w:val="24"/>
                <w:szCs w:val="24"/>
                <w:u w:val="none"/>
                <w:vertAlign w:val="subscript"/>
                <w:lang w:val="en-US" w:eastAsia="zh-CN" w:bidi="ar"/>
              </w:rPr>
              <w:t>2</w:t>
            </w:r>
            <w:r>
              <w:rPr>
                <w:rFonts w:ascii="宋体" w:hAnsi="宋体" w:eastAsia="宋体" w:cs="宋体"/>
                <w:b w:val="0"/>
                <w:bCs w:val="0"/>
                <w:i w:val="0"/>
                <w:iCs w:val="0"/>
                <w:color w:val="auto"/>
                <w:kern w:val="0"/>
                <w:sz w:val="24"/>
                <w:szCs w:val="24"/>
                <w:u w:val="none"/>
                <w:lang w:val="en-US" w:eastAsia="zh-CN" w:bidi="ar"/>
              </w:rPr>
              <w:t>产污系数为</w:t>
            </w:r>
            <w:r>
              <w:rPr>
                <w:rFonts w:ascii="TimesNewRomanPSMT" w:hAnsi="TimesNewRomanPSMT" w:eastAsia="TimesNewRomanPSMT" w:cs="TimesNewRomanPSMT"/>
                <w:b w:val="0"/>
                <w:bCs w:val="0"/>
                <w:i w:val="0"/>
                <w:iCs w:val="0"/>
                <w:color w:val="auto"/>
                <w:kern w:val="0"/>
                <w:sz w:val="24"/>
                <w:szCs w:val="24"/>
                <w:u w:val="none"/>
                <w:lang w:val="en-US" w:eastAsia="zh-CN" w:bidi="ar"/>
              </w:rPr>
              <w:t>0.02Skg/</w:t>
            </w:r>
            <w:r>
              <w:rPr>
                <w:rFonts w:ascii="宋体" w:hAnsi="宋体" w:eastAsia="宋体" w:cs="宋体"/>
                <w:b w:val="0"/>
                <w:bCs w:val="0"/>
                <w:i w:val="0"/>
                <w:iCs w:val="0"/>
                <w:color w:val="auto"/>
                <w:kern w:val="0"/>
                <w:sz w:val="24"/>
                <w:szCs w:val="24"/>
                <w:u w:val="none"/>
                <w:lang w:val="en-US" w:eastAsia="zh-CN" w:bidi="ar"/>
              </w:rPr>
              <w:t>万立方米</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原料（</w:t>
            </w:r>
            <w:r>
              <w:rPr>
                <w:rFonts w:ascii="TimesNewRomanPSMT" w:hAnsi="TimesNewRomanPSMT" w:eastAsia="TimesNewRomanPSMT" w:cs="TimesNewRomanPSMT"/>
                <w:b w:val="0"/>
                <w:bCs w:val="0"/>
                <w:i w:val="0"/>
                <w:iCs w:val="0"/>
                <w:color w:val="auto"/>
                <w:kern w:val="0"/>
                <w:sz w:val="24"/>
                <w:szCs w:val="24"/>
                <w:u w:val="none"/>
                <w:lang w:val="en-US" w:eastAsia="zh-CN" w:bidi="ar"/>
              </w:rPr>
              <w:t>S=</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2</w:t>
            </w:r>
            <w:r>
              <w:rPr>
                <w:rFonts w:ascii="TimesNewRomanPSMT" w:hAnsi="TimesNewRomanPSMT" w:eastAsia="TimesNewRomanPSMT" w:cs="TimesNewRomanPSMT"/>
                <w:b w:val="0"/>
                <w:bCs w:val="0"/>
                <w:i w:val="0"/>
                <w:iCs w:val="0"/>
                <w:color w:val="auto"/>
                <w:kern w:val="0"/>
                <w:sz w:val="24"/>
                <w:szCs w:val="24"/>
                <w:u w:val="none"/>
                <w:lang w:val="en-US" w:eastAsia="zh-CN" w:bidi="ar"/>
              </w:rPr>
              <w:t>0</w:t>
            </w:r>
            <w:r>
              <w:rPr>
                <w:rFonts w:ascii="宋体" w:hAnsi="宋体" w:eastAsia="宋体" w:cs="宋体"/>
                <w:b w:val="0"/>
                <w:bCs w:val="0"/>
                <w:i w:val="0"/>
                <w:iCs w:val="0"/>
                <w:color w:val="auto"/>
                <w:kern w:val="0"/>
                <w:sz w:val="24"/>
                <w:szCs w:val="24"/>
                <w:u w:val="none"/>
                <w:lang w:val="en-US" w:eastAsia="zh-CN" w:bidi="ar"/>
              </w:rPr>
              <w:t>，</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0.4</w:t>
            </w:r>
            <w:r>
              <w:rPr>
                <w:rFonts w:ascii="TimesNewRomanPSMT" w:hAnsi="TimesNewRomanPSMT" w:eastAsia="TimesNewRomanPSMT" w:cs="TimesNewRomanPSMT"/>
                <w:b w:val="0"/>
                <w:bCs w:val="0"/>
                <w:i w:val="0"/>
                <w:iCs w:val="0"/>
                <w:color w:val="auto"/>
                <w:kern w:val="0"/>
                <w:sz w:val="24"/>
                <w:szCs w:val="24"/>
                <w:u w:val="none"/>
                <w:lang w:val="en-US" w:eastAsia="zh-CN" w:bidi="ar"/>
              </w:rPr>
              <w:t>kg/</w:t>
            </w:r>
            <w:r>
              <w:rPr>
                <w:rFonts w:ascii="宋体" w:hAnsi="宋体" w:eastAsia="宋体" w:cs="宋体"/>
                <w:b w:val="0"/>
                <w:bCs w:val="0"/>
                <w:i w:val="0"/>
                <w:iCs w:val="0"/>
                <w:color w:val="auto"/>
                <w:kern w:val="0"/>
                <w:sz w:val="24"/>
                <w:szCs w:val="24"/>
                <w:u w:val="none"/>
                <w:lang w:val="en-US" w:eastAsia="zh-CN" w:bidi="ar"/>
              </w:rPr>
              <w:t>万立方米</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原料）；</w:t>
            </w:r>
            <w:r>
              <w:rPr>
                <w:rFonts w:hint="default" w:ascii="Times New Roman" w:hAnsi="Times New Roman" w:cs="Times New Roman"/>
                <w:b w:val="0"/>
                <w:bCs w:val="0"/>
                <w:i w:val="0"/>
                <w:iCs w:val="0"/>
                <w:color w:val="auto"/>
                <w:kern w:val="0"/>
                <w:sz w:val="24"/>
                <w:szCs w:val="24"/>
                <w:u w:val="none"/>
                <w:lang w:val="en-US" w:eastAsia="zh-CN" w:bidi="ar"/>
              </w:rPr>
              <w:t>NO</w:t>
            </w:r>
            <w:r>
              <w:rPr>
                <w:rFonts w:hint="default" w:ascii="Times New Roman" w:hAnsi="Times New Roman" w:cs="Times New Roman"/>
                <w:b w:val="0"/>
                <w:bCs w:val="0"/>
                <w:i w:val="0"/>
                <w:iCs w:val="0"/>
                <w:color w:val="auto"/>
                <w:kern w:val="0"/>
                <w:sz w:val="24"/>
                <w:szCs w:val="24"/>
                <w:u w:val="none"/>
                <w:vertAlign w:val="subscript"/>
                <w:lang w:val="en-US" w:eastAsia="zh-CN" w:bidi="ar"/>
              </w:rPr>
              <w:t>X</w:t>
            </w:r>
            <w:r>
              <w:rPr>
                <w:rFonts w:ascii="宋体" w:hAnsi="宋体" w:eastAsia="宋体" w:cs="宋体"/>
                <w:b w:val="0"/>
                <w:bCs w:val="0"/>
                <w:i w:val="0"/>
                <w:iCs w:val="0"/>
                <w:color w:val="auto"/>
                <w:kern w:val="0"/>
                <w:sz w:val="24"/>
                <w:szCs w:val="24"/>
                <w:u w:val="none"/>
                <w:lang w:val="en-US" w:eastAsia="zh-CN" w:bidi="ar"/>
              </w:rPr>
              <w:t>产污系数为</w:t>
            </w:r>
            <w:r>
              <w:rPr>
                <w:rFonts w:ascii="TimesNewRomanPSMT" w:hAnsi="TimesNewRomanPSMT" w:eastAsia="TimesNewRomanPSMT" w:cs="TimesNewRomanPSMT"/>
                <w:b w:val="0"/>
                <w:bCs w:val="0"/>
                <w:i w:val="0"/>
                <w:iCs w:val="0"/>
                <w:color w:val="auto"/>
                <w:kern w:val="0"/>
                <w:sz w:val="24"/>
                <w:szCs w:val="24"/>
                <w:u w:val="none"/>
                <w:lang w:val="en-US" w:eastAsia="zh-CN" w:bidi="ar"/>
              </w:rPr>
              <w:t>6.97kg/</w:t>
            </w:r>
            <w:r>
              <w:rPr>
                <w:rFonts w:ascii="宋体" w:hAnsi="宋体" w:eastAsia="宋体" w:cs="宋体"/>
                <w:b w:val="0"/>
                <w:bCs w:val="0"/>
                <w:i w:val="0"/>
                <w:iCs w:val="0"/>
                <w:color w:val="auto"/>
                <w:kern w:val="0"/>
                <w:sz w:val="24"/>
                <w:szCs w:val="24"/>
                <w:u w:val="none"/>
                <w:lang w:val="en-US" w:eastAsia="zh-CN" w:bidi="ar"/>
              </w:rPr>
              <w:t>万立方米</w:t>
            </w:r>
            <w:r>
              <w:rPr>
                <w:rFonts w:ascii="TimesNewRomanPSMT" w:hAnsi="TimesNewRomanPSMT" w:eastAsia="TimesNewRomanPSMT" w:cs="TimesNewRomanPSMT"/>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原料；烟尘排放系数参照《第一次全国污染源普查工业污染源产排污系数手册》第</w:t>
            </w:r>
            <w:r>
              <w:rPr>
                <w:rFonts w:ascii="TimesNewRomanPSMT" w:hAnsi="TimesNewRomanPSMT" w:eastAsia="TimesNewRomanPSMT" w:cs="TimesNewRomanPSMT"/>
                <w:b w:val="0"/>
                <w:bCs w:val="0"/>
                <w:i w:val="0"/>
                <w:iCs w:val="0"/>
                <w:color w:val="auto"/>
                <w:kern w:val="0"/>
                <w:sz w:val="24"/>
                <w:szCs w:val="24"/>
                <w:u w:val="none"/>
                <w:lang w:val="en-US" w:eastAsia="zh-CN" w:bidi="ar"/>
              </w:rPr>
              <w:t>10</w:t>
            </w:r>
            <w:r>
              <w:rPr>
                <w:rFonts w:ascii="宋体" w:hAnsi="宋体" w:eastAsia="宋体" w:cs="宋体"/>
                <w:b w:val="0"/>
                <w:bCs w:val="0"/>
                <w:i w:val="0"/>
                <w:iCs w:val="0"/>
                <w:color w:val="auto"/>
                <w:kern w:val="0"/>
                <w:sz w:val="24"/>
                <w:szCs w:val="24"/>
                <w:u w:val="none"/>
                <w:lang w:val="en-US" w:eastAsia="zh-CN" w:bidi="ar"/>
              </w:rPr>
              <w:t>分册</w:t>
            </w:r>
            <w:r>
              <w:rPr>
                <w:rFonts w:ascii="TimesNewRomanPSMT" w:hAnsi="TimesNewRomanPSMT" w:eastAsia="TimesNewRomanPSMT" w:cs="TimesNewRomanPSMT"/>
                <w:b w:val="0"/>
                <w:bCs w:val="0"/>
                <w:i w:val="0"/>
                <w:iCs w:val="0"/>
                <w:color w:val="auto"/>
                <w:kern w:val="0"/>
                <w:sz w:val="24"/>
                <w:szCs w:val="24"/>
                <w:u w:val="none"/>
                <w:lang w:val="en-US" w:eastAsia="zh-CN" w:bidi="ar"/>
              </w:rPr>
              <w:t>4411</w:t>
            </w:r>
            <w:r>
              <w:rPr>
                <w:rFonts w:ascii="宋体" w:hAnsi="宋体" w:eastAsia="宋体" w:cs="宋体"/>
                <w:b w:val="0"/>
                <w:bCs w:val="0"/>
                <w:i w:val="0"/>
                <w:iCs w:val="0"/>
                <w:color w:val="auto"/>
                <w:kern w:val="0"/>
                <w:sz w:val="24"/>
                <w:szCs w:val="24"/>
                <w:u w:val="none"/>
                <w:lang w:val="en-US" w:eastAsia="zh-CN" w:bidi="ar"/>
              </w:rPr>
              <w:t>火力发电行业燃烧天然气的机组烟尘产生量</w:t>
            </w:r>
            <w:r>
              <w:rPr>
                <w:rFonts w:ascii="TimesNewRomanPSMT" w:hAnsi="TimesNewRomanPSMT" w:eastAsia="TimesNewRomanPSMT" w:cs="TimesNewRomanPSMT"/>
                <w:b w:val="0"/>
                <w:bCs w:val="0"/>
                <w:i w:val="0"/>
                <w:iCs w:val="0"/>
                <w:color w:val="auto"/>
                <w:kern w:val="0"/>
                <w:sz w:val="24"/>
                <w:szCs w:val="24"/>
                <w:u w:val="none"/>
                <w:lang w:val="en-US" w:eastAsia="zh-CN" w:bidi="ar"/>
              </w:rPr>
              <w:t>1.04kg/</w:t>
            </w:r>
            <w:r>
              <w:rPr>
                <w:rFonts w:ascii="宋体" w:hAnsi="宋体" w:eastAsia="宋体" w:cs="宋体"/>
                <w:b w:val="0"/>
                <w:bCs w:val="0"/>
                <w:i w:val="0"/>
                <w:iCs w:val="0"/>
                <w:color w:val="auto"/>
                <w:kern w:val="0"/>
                <w:sz w:val="24"/>
                <w:szCs w:val="24"/>
                <w:u w:val="none"/>
                <w:lang w:val="en-US" w:eastAsia="zh-CN" w:bidi="ar"/>
              </w:rPr>
              <w:t>万</w:t>
            </w:r>
            <w:r>
              <w:rPr>
                <w:rFonts w:ascii="TimesNewRomanPSMT" w:hAnsi="TimesNewRomanPSMT" w:eastAsia="TimesNewRomanPSMT" w:cs="TimesNewRomanPSMT"/>
                <w:b w:val="0"/>
                <w:bCs w:val="0"/>
                <w:i w:val="0"/>
                <w:iCs w:val="0"/>
                <w:color w:val="auto"/>
                <w:kern w:val="0"/>
                <w:sz w:val="24"/>
                <w:szCs w:val="24"/>
                <w:u w:val="none"/>
                <w:lang w:val="en-US" w:eastAsia="zh-CN" w:bidi="ar"/>
              </w:rPr>
              <w:t>m</w:t>
            </w:r>
            <w:r>
              <w:rPr>
                <w:rFonts w:ascii="TimesNewRomanPSMT" w:hAnsi="TimesNewRomanPSMT" w:eastAsia="TimesNewRomanPSMT" w:cs="TimesNewRomanPSMT"/>
                <w:b w:val="0"/>
                <w:bCs w:val="0"/>
                <w:i w:val="0"/>
                <w:iCs w:val="0"/>
                <w:color w:val="auto"/>
                <w:kern w:val="0"/>
                <w:sz w:val="24"/>
                <w:szCs w:val="24"/>
                <w:u w:val="none"/>
                <w:vertAlign w:val="superscript"/>
                <w:lang w:val="en-US" w:eastAsia="zh-CN" w:bidi="ar"/>
              </w:rPr>
              <w:t>3</w:t>
            </w:r>
            <w:r>
              <w:rPr>
                <w:rFonts w:ascii="宋体" w:hAnsi="宋体" w:eastAsia="宋体" w:cs="宋体"/>
                <w:b w:val="0"/>
                <w:bCs w:val="0"/>
                <w:i w:val="0"/>
                <w:iCs w:val="0"/>
                <w:color w:val="auto"/>
                <w:kern w:val="0"/>
                <w:sz w:val="24"/>
                <w:szCs w:val="24"/>
                <w:u w:val="none"/>
                <w:lang w:val="en-US" w:eastAsia="zh-CN" w:bidi="ar"/>
              </w:rPr>
              <w:t>天然气。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i w:val="0"/>
                <w:iCs w:val="0"/>
                <w:color w:val="000000"/>
                <w:kern w:val="0"/>
                <w:sz w:val="24"/>
                <w:szCs w:val="24"/>
                <w:u w:val="none"/>
                <w:lang w:val="en-US" w:eastAsia="zh-CN" w:bidi="ar"/>
              </w:rPr>
            </w:pPr>
            <w:r>
              <w:rPr>
                <w:rFonts w:ascii="宋体" w:hAnsi="宋体" w:eastAsia="宋体" w:cs="宋体"/>
                <w:b w:val="0"/>
                <w:bCs w:val="0"/>
                <w:i w:val="0"/>
                <w:iCs w:val="0"/>
                <w:color w:val="auto"/>
                <w:kern w:val="0"/>
                <w:sz w:val="24"/>
                <w:szCs w:val="24"/>
                <w:u w:val="none"/>
                <w:lang w:val="en-US" w:eastAsia="zh-CN" w:bidi="ar"/>
              </w:rPr>
              <w:t>则天然气燃烧废气量为</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31.03</w:t>
            </w:r>
            <w:r>
              <w:rPr>
                <w:rFonts w:ascii="宋体" w:hAnsi="宋体" w:eastAsia="宋体" w:cs="宋体"/>
                <w:b w:val="0"/>
                <w:bCs w:val="0"/>
                <w:i w:val="0"/>
                <w:iCs w:val="0"/>
                <w:color w:val="auto"/>
                <w:kern w:val="0"/>
                <w:sz w:val="24"/>
                <w:szCs w:val="24"/>
                <w:u w:val="none"/>
                <w:lang w:val="en-US" w:eastAsia="zh-CN" w:bidi="ar"/>
              </w:rPr>
              <w:t>万</w:t>
            </w:r>
            <w:r>
              <w:rPr>
                <w:rFonts w:ascii="TimesNewRomanPSMT" w:hAnsi="TimesNewRomanPSMT" w:eastAsia="TimesNewRomanPSMT" w:cs="TimesNewRomanPSMT"/>
                <w:b w:val="0"/>
                <w:bCs w:val="0"/>
                <w:i w:val="0"/>
                <w:iCs w:val="0"/>
                <w:color w:val="auto"/>
                <w:kern w:val="0"/>
                <w:sz w:val="24"/>
                <w:szCs w:val="24"/>
                <w:u w:val="none"/>
                <w:lang w:val="en-US" w:eastAsia="zh-CN" w:bidi="ar"/>
              </w:rPr>
              <w:t>m</w:t>
            </w:r>
            <w:r>
              <w:rPr>
                <w:rFonts w:ascii="TimesNewRomanPSMT" w:hAnsi="TimesNewRomanPSMT" w:eastAsia="TimesNewRomanPSMT" w:cs="TimesNewRomanPSMT"/>
                <w:b w:val="0"/>
                <w:bCs w:val="0"/>
                <w:i w:val="0"/>
                <w:iCs w:val="0"/>
                <w:color w:val="auto"/>
                <w:kern w:val="0"/>
                <w:sz w:val="24"/>
                <w:szCs w:val="24"/>
                <w:u w:val="none"/>
                <w:vertAlign w:val="superscript"/>
                <w:lang w:val="en-US" w:eastAsia="zh-CN" w:bidi="ar"/>
              </w:rPr>
              <w:t>3</w:t>
            </w:r>
            <w:r>
              <w:rPr>
                <w:rFonts w:ascii="TimesNewRomanPSMT" w:hAnsi="TimesNewRomanPSMT" w:eastAsia="TimesNewRomanPSMT" w:cs="TimesNewRomanPSMT"/>
                <w:b w:val="0"/>
                <w:bCs w:val="0"/>
                <w:i w:val="0"/>
                <w:iCs w:val="0"/>
                <w:color w:val="auto"/>
                <w:kern w:val="0"/>
                <w:sz w:val="24"/>
                <w:szCs w:val="24"/>
                <w:u w:val="none"/>
                <w:lang w:val="en-US" w:eastAsia="zh-CN" w:bidi="ar"/>
              </w:rPr>
              <w:t>/a</w:t>
            </w:r>
            <w:r>
              <w:rPr>
                <w:rFonts w:ascii="宋体" w:hAnsi="宋体" w:eastAsia="宋体" w:cs="宋体"/>
                <w:b w:val="0"/>
                <w:bCs w:val="0"/>
                <w:i w:val="0"/>
                <w:iCs w:val="0"/>
                <w:color w:val="auto"/>
                <w:kern w:val="0"/>
                <w:sz w:val="24"/>
                <w:szCs w:val="24"/>
                <w:u w:val="none"/>
                <w:lang w:val="en-US" w:eastAsia="zh-CN" w:bidi="ar"/>
              </w:rPr>
              <w:t>（</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129.29</w:t>
            </w:r>
            <w:r>
              <w:rPr>
                <w:rFonts w:ascii="TimesNewRomanPSMT" w:hAnsi="TimesNewRomanPSMT" w:eastAsia="TimesNewRomanPSMT" w:cs="TimesNewRomanPSMT"/>
                <w:b w:val="0"/>
                <w:bCs w:val="0"/>
                <w:i w:val="0"/>
                <w:iCs w:val="0"/>
                <w:color w:val="auto"/>
                <w:kern w:val="0"/>
                <w:sz w:val="24"/>
                <w:szCs w:val="24"/>
                <w:u w:val="none"/>
                <w:lang w:val="en-US" w:eastAsia="zh-CN" w:bidi="ar"/>
              </w:rPr>
              <w:t>m</w:t>
            </w:r>
            <w:r>
              <w:rPr>
                <w:rFonts w:ascii="TimesNewRomanPSMT" w:hAnsi="TimesNewRomanPSMT" w:eastAsia="TimesNewRomanPSMT" w:cs="TimesNewRomanPSMT"/>
                <w:b w:val="0"/>
                <w:bCs w:val="0"/>
                <w:i w:val="0"/>
                <w:iCs w:val="0"/>
                <w:color w:val="auto"/>
                <w:kern w:val="0"/>
                <w:sz w:val="24"/>
                <w:szCs w:val="24"/>
                <w:u w:val="none"/>
                <w:vertAlign w:val="superscript"/>
                <w:lang w:val="en-US" w:eastAsia="zh-CN" w:bidi="ar"/>
              </w:rPr>
              <w:t>3</w:t>
            </w:r>
            <w:r>
              <w:rPr>
                <w:rFonts w:ascii="TimesNewRomanPSMT" w:hAnsi="TimesNewRomanPSMT" w:eastAsia="TimesNewRomanPSMT" w:cs="TimesNewRomanPSMT"/>
                <w:b w:val="0"/>
                <w:bCs w:val="0"/>
                <w:i w:val="0"/>
                <w:iCs w:val="0"/>
                <w:color w:val="auto"/>
                <w:kern w:val="0"/>
                <w:sz w:val="24"/>
                <w:szCs w:val="24"/>
                <w:u w:val="none"/>
                <w:lang w:val="en-US" w:eastAsia="zh-CN" w:bidi="ar"/>
              </w:rPr>
              <w:t>/h</w:t>
            </w:r>
            <w:r>
              <w:rPr>
                <w:rFonts w:ascii="宋体" w:hAnsi="宋体" w:eastAsia="宋体" w:cs="宋体"/>
                <w:b w:val="0"/>
                <w:bCs w:val="0"/>
                <w:i w:val="0"/>
                <w:iCs w:val="0"/>
                <w:color w:val="auto"/>
                <w:kern w:val="0"/>
                <w:sz w:val="24"/>
                <w:szCs w:val="24"/>
                <w:u w:val="none"/>
                <w:lang w:val="en-US" w:eastAsia="zh-CN" w:bidi="ar"/>
              </w:rPr>
              <w:t>）</w:t>
            </w:r>
            <w:r>
              <w:rPr>
                <w:rFonts w:hint="eastAsia" w:ascii="宋体" w:hAnsi="宋体" w:cs="宋体"/>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烟尘产生量（排放量</w:t>
            </w:r>
            <w:r>
              <w:rPr>
                <w:rFonts w:hint="eastAsia" w:ascii="宋体" w:hAnsi="宋体" w:cs="宋体"/>
                <w:b w:val="0"/>
                <w:bCs w:val="0"/>
                <w:i w:val="0"/>
                <w:iCs w:val="0"/>
                <w:color w:val="auto"/>
                <w:kern w:val="0"/>
                <w:sz w:val="24"/>
                <w:szCs w:val="24"/>
                <w:u w:val="none"/>
                <w:lang w:val="en-US" w:eastAsia="zh-CN" w:bidi="ar"/>
              </w:rPr>
              <w:t>）</w:t>
            </w:r>
            <w:r>
              <w:rPr>
                <w:rFonts w:ascii="宋体" w:hAnsi="宋体" w:eastAsia="宋体" w:cs="宋体"/>
                <w:b w:val="0"/>
                <w:bCs w:val="0"/>
                <w:i w:val="0"/>
                <w:iCs w:val="0"/>
                <w:color w:val="auto"/>
                <w:kern w:val="0"/>
                <w:sz w:val="24"/>
                <w:szCs w:val="24"/>
                <w:u w:val="none"/>
                <w:lang w:val="en-US" w:eastAsia="zh-CN" w:bidi="ar"/>
              </w:rPr>
              <w:t>为</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0.003</w:t>
            </w:r>
            <w:r>
              <w:rPr>
                <w:rFonts w:ascii="TimesNewRomanPSMT" w:hAnsi="TimesNewRomanPSMT" w:eastAsia="TimesNewRomanPSMT" w:cs="TimesNewRomanPSMT"/>
                <w:b w:val="0"/>
                <w:bCs w:val="0"/>
                <w:i w:val="0"/>
                <w:iCs w:val="0"/>
                <w:color w:val="auto"/>
                <w:kern w:val="0"/>
                <w:sz w:val="24"/>
                <w:szCs w:val="24"/>
                <w:u w:val="none"/>
                <w:lang w:val="en-US" w:eastAsia="zh-CN" w:bidi="ar"/>
              </w:rPr>
              <w:t>t/a</w:t>
            </w:r>
            <w:r>
              <w:rPr>
                <w:rFonts w:ascii="宋体" w:hAnsi="宋体" w:eastAsia="宋体" w:cs="宋体"/>
                <w:b w:val="0"/>
                <w:bCs w:val="0"/>
                <w:i w:val="0"/>
                <w:iCs w:val="0"/>
                <w:color w:val="auto"/>
                <w:kern w:val="0"/>
                <w:sz w:val="24"/>
                <w:szCs w:val="24"/>
                <w:u w:val="none"/>
                <w:lang w:val="en-US" w:eastAsia="zh-CN" w:bidi="ar"/>
              </w:rPr>
              <w:t>（</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0.001</w:t>
            </w:r>
            <w:r>
              <w:rPr>
                <w:rFonts w:ascii="TimesNewRomanPSMT" w:hAnsi="TimesNewRomanPSMT" w:eastAsia="TimesNewRomanPSMT" w:cs="TimesNewRomanPSMT"/>
                <w:b w:val="0"/>
                <w:bCs w:val="0"/>
                <w:i w:val="0"/>
                <w:iCs w:val="0"/>
                <w:color w:val="auto"/>
                <w:kern w:val="0"/>
                <w:sz w:val="24"/>
                <w:szCs w:val="24"/>
                <w:u w:val="none"/>
                <w:lang w:val="en-US" w:eastAsia="zh-CN" w:bidi="ar"/>
              </w:rPr>
              <w:t>kg/h</w:t>
            </w:r>
            <w:r>
              <w:rPr>
                <w:rFonts w:ascii="宋体" w:hAnsi="宋体" w:eastAsia="宋体" w:cs="宋体"/>
                <w:b w:val="0"/>
                <w:bCs w:val="0"/>
                <w:i w:val="0"/>
                <w:iCs w:val="0"/>
                <w:color w:val="auto"/>
                <w:kern w:val="0"/>
                <w:sz w:val="24"/>
                <w:szCs w:val="24"/>
                <w:u w:val="none"/>
                <w:lang w:val="en-US" w:eastAsia="zh-CN" w:bidi="ar"/>
              </w:rPr>
              <w:t>），</w:t>
            </w:r>
            <w:r>
              <w:rPr>
                <w:rFonts w:hint="default" w:ascii="Times New Roman" w:hAnsi="Times New Roman" w:cs="Times New Roman"/>
                <w:b w:val="0"/>
                <w:bCs w:val="0"/>
                <w:i w:val="0"/>
                <w:iCs w:val="0"/>
                <w:color w:val="auto"/>
                <w:kern w:val="0"/>
                <w:sz w:val="24"/>
                <w:szCs w:val="24"/>
                <w:u w:val="none"/>
                <w:lang w:val="en-US" w:eastAsia="zh-CN" w:bidi="ar"/>
              </w:rPr>
              <w:t>SO</w:t>
            </w:r>
            <w:r>
              <w:rPr>
                <w:rFonts w:hint="default" w:ascii="Times New Roman" w:hAnsi="Times New Roman" w:cs="Times New Roman"/>
                <w:b w:val="0"/>
                <w:bCs w:val="0"/>
                <w:i w:val="0"/>
                <w:iCs w:val="0"/>
                <w:color w:val="auto"/>
                <w:kern w:val="0"/>
                <w:sz w:val="24"/>
                <w:szCs w:val="24"/>
                <w:u w:val="none"/>
                <w:vertAlign w:val="subscript"/>
                <w:lang w:val="en-US" w:eastAsia="zh-CN" w:bidi="ar"/>
              </w:rPr>
              <w:t>2</w:t>
            </w:r>
            <w:r>
              <w:rPr>
                <w:rFonts w:ascii="宋体" w:hAnsi="宋体" w:eastAsia="宋体" w:cs="宋体"/>
                <w:b w:val="0"/>
                <w:bCs w:val="0"/>
                <w:i w:val="0"/>
                <w:iCs w:val="0"/>
                <w:color w:val="auto"/>
                <w:kern w:val="0"/>
                <w:sz w:val="24"/>
                <w:szCs w:val="24"/>
                <w:u w:val="none"/>
                <w:lang w:val="en-US" w:eastAsia="zh-CN" w:bidi="ar"/>
              </w:rPr>
              <w:t>产生量（排放量）为</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0.001</w:t>
            </w:r>
            <w:r>
              <w:rPr>
                <w:rFonts w:ascii="TimesNewRomanPSMT" w:hAnsi="TimesNewRomanPSMT" w:eastAsia="TimesNewRomanPSMT" w:cs="TimesNewRomanPSMT"/>
                <w:b w:val="0"/>
                <w:bCs w:val="0"/>
                <w:i w:val="0"/>
                <w:iCs w:val="0"/>
                <w:color w:val="auto"/>
                <w:kern w:val="0"/>
                <w:sz w:val="24"/>
                <w:szCs w:val="24"/>
                <w:u w:val="none"/>
                <w:lang w:val="en-US" w:eastAsia="zh-CN" w:bidi="ar"/>
              </w:rPr>
              <w:t>t/a</w:t>
            </w:r>
            <w:r>
              <w:rPr>
                <w:rFonts w:ascii="宋体" w:hAnsi="宋体" w:eastAsia="宋体" w:cs="宋体"/>
                <w:b w:val="0"/>
                <w:bCs w:val="0"/>
                <w:i w:val="0"/>
                <w:iCs w:val="0"/>
                <w:color w:val="auto"/>
                <w:kern w:val="0"/>
                <w:sz w:val="24"/>
                <w:szCs w:val="24"/>
                <w:u w:val="none"/>
                <w:lang w:val="en-US" w:eastAsia="zh-CN" w:bidi="ar"/>
              </w:rPr>
              <w:t>（</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0.0005</w:t>
            </w:r>
            <w:r>
              <w:rPr>
                <w:rFonts w:ascii="TimesNewRomanPSMT" w:hAnsi="TimesNewRomanPSMT" w:eastAsia="TimesNewRomanPSMT" w:cs="TimesNewRomanPSMT"/>
                <w:b w:val="0"/>
                <w:bCs w:val="0"/>
                <w:i w:val="0"/>
                <w:iCs w:val="0"/>
                <w:color w:val="auto"/>
                <w:kern w:val="0"/>
                <w:sz w:val="24"/>
                <w:szCs w:val="24"/>
                <w:u w:val="none"/>
                <w:lang w:val="en-US" w:eastAsia="zh-CN" w:bidi="ar"/>
              </w:rPr>
              <w:t>kg/h</w:t>
            </w:r>
            <w:r>
              <w:rPr>
                <w:rFonts w:ascii="宋体" w:hAnsi="宋体" w:eastAsia="宋体" w:cs="宋体"/>
                <w:b w:val="0"/>
                <w:bCs w:val="0"/>
                <w:i w:val="0"/>
                <w:iCs w:val="0"/>
                <w:color w:val="auto"/>
                <w:kern w:val="0"/>
                <w:sz w:val="24"/>
                <w:szCs w:val="24"/>
                <w:u w:val="none"/>
                <w:lang w:val="en-US" w:eastAsia="zh-CN" w:bidi="ar"/>
              </w:rPr>
              <w:t>）</w:t>
            </w:r>
            <w:r>
              <w:rPr>
                <w:rFonts w:hint="eastAsia" w:ascii="宋体" w:hAnsi="宋体" w:cs="宋体"/>
                <w:b w:val="0"/>
                <w:bCs w:val="0"/>
                <w:i w:val="0"/>
                <w:iCs w:val="0"/>
                <w:color w:val="auto"/>
                <w:kern w:val="0"/>
                <w:sz w:val="24"/>
                <w:szCs w:val="24"/>
                <w:u w:val="none"/>
                <w:lang w:val="en-US" w:eastAsia="zh-CN" w:bidi="ar"/>
              </w:rPr>
              <w:t>，</w:t>
            </w:r>
            <w:r>
              <w:rPr>
                <w:rFonts w:hint="default" w:ascii="Times New Roman" w:hAnsi="Times New Roman" w:cs="Times New Roman"/>
                <w:b w:val="0"/>
                <w:bCs w:val="0"/>
                <w:i w:val="0"/>
                <w:iCs w:val="0"/>
                <w:color w:val="auto"/>
                <w:kern w:val="0"/>
                <w:sz w:val="24"/>
                <w:szCs w:val="24"/>
                <w:u w:val="none"/>
                <w:lang w:val="en-US" w:eastAsia="zh-CN" w:bidi="ar"/>
              </w:rPr>
              <w:t>NO</w:t>
            </w:r>
            <w:r>
              <w:rPr>
                <w:rFonts w:hint="default" w:ascii="Times New Roman" w:hAnsi="Times New Roman" w:cs="Times New Roman"/>
                <w:b w:val="0"/>
                <w:bCs w:val="0"/>
                <w:i w:val="0"/>
                <w:iCs w:val="0"/>
                <w:color w:val="auto"/>
                <w:kern w:val="0"/>
                <w:sz w:val="24"/>
                <w:szCs w:val="24"/>
                <w:u w:val="none"/>
                <w:vertAlign w:val="subscript"/>
                <w:lang w:val="en-US" w:eastAsia="zh-CN" w:bidi="ar"/>
              </w:rPr>
              <w:t>X</w:t>
            </w:r>
            <w:r>
              <w:rPr>
                <w:rFonts w:ascii="宋体" w:hAnsi="宋体" w:eastAsia="宋体" w:cs="宋体"/>
                <w:b w:val="0"/>
                <w:bCs w:val="0"/>
                <w:i w:val="0"/>
                <w:iCs w:val="0"/>
                <w:color w:val="auto"/>
                <w:kern w:val="0"/>
                <w:sz w:val="24"/>
                <w:szCs w:val="24"/>
                <w:u w:val="none"/>
                <w:lang w:val="en-US" w:eastAsia="zh-CN" w:bidi="ar"/>
              </w:rPr>
              <w:t>产生量（排放量）为</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0.02</w:t>
            </w:r>
            <w:r>
              <w:rPr>
                <w:rFonts w:ascii="TimesNewRomanPSMT" w:hAnsi="TimesNewRomanPSMT" w:eastAsia="TimesNewRomanPSMT" w:cs="TimesNewRomanPSMT"/>
                <w:b w:val="0"/>
                <w:bCs w:val="0"/>
                <w:i w:val="0"/>
                <w:iCs w:val="0"/>
                <w:color w:val="auto"/>
                <w:kern w:val="0"/>
                <w:sz w:val="24"/>
                <w:szCs w:val="24"/>
                <w:u w:val="none"/>
                <w:lang w:val="en-US" w:eastAsia="zh-CN" w:bidi="ar"/>
              </w:rPr>
              <w:t>t/a</w:t>
            </w:r>
            <w:r>
              <w:rPr>
                <w:rFonts w:ascii="宋体" w:hAnsi="宋体" w:eastAsia="宋体" w:cs="宋体"/>
                <w:b w:val="0"/>
                <w:bCs w:val="0"/>
                <w:i w:val="0"/>
                <w:iCs w:val="0"/>
                <w:color w:val="auto"/>
                <w:kern w:val="0"/>
                <w:sz w:val="24"/>
                <w:szCs w:val="24"/>
                <w:u w:val="none"/>
                <w:lang w:val="en-US" w:eastAsia="zh-CN" w:bidi="ar"/>
              </w:rPr>
              <w:t>（</w:t>
            </w:r>
            <w:r>
              <w:rPr>
                <w:rFonts w:hint="eastAsia" w:ascii="TimesNewRomanPSMT" w:hAnsi="TimesNewRomanPSMT" w:eastAsia="TimesNewRomanPSMT" w:cs="TimesNewRomanPSMT"/>
                <w:b w:val="0"/>
                <w:bCs w:val="0"/>
                <w:i w:val="0"/>
                <w:iCs w:val="0"/>
                <w:color w:val="auto"/>
                <w:kern w:val="0"/>
                <w:sz w:val="24"/>
                <w:szCs w:val="24"/>
                <w:u w:val="none"/>
                <w:lang w:val="en-US" w:eastAsia="zh-CN" w:bidi="ar"/>
              </w:rPr>
              <w:t>0.008</w:t>
            </w:r>
            <w:r>
              <w:rPr>
                <w:rFonts w:ascii="TimesNewRomanPSMT" w:hAnsi="TimesNewRomanPSMT" w:eastAsia="TimesNewRomanPSMT" w:cs="TimesNewRomanPSMT"/>
                <w:b w:val="0"/>
                <w:bCs w:val="0"/>
                <w:i w:val="0"/>
                <w:iCs w:val="0"/>
                <w:color w:val="auto"/>
                <w:kern w:val="0"/>
                <w:sz w:val="24"/>
                <w:szCs w:val="24"/>
                <w:u w:val="none"/>
                <w:lang w:val="en-US" w:eastAsia="zh-CN" w:bidi="ar"/>
              </w:rPr>
              <w:t>kg/h</w:t>
            </w:r>
            <w:r>
              <w:rPr>
                <w:rFonts w:ascii="宋体" w:hAnsi="宋体" w:eastAsia="宋体" w:cs="宋体"/>
                <w:b w:val="0"/>
                <w:bCs w:val="0"/>
                <w:i w:val="0"/>
                <w:iCs w:val="0"/>
                <w:color w:val="auto"/>
                <w:kern w:val="0"/>
                <w:sz w:val="24"/>
                <w:szCs w:val="24"/>
                <w:u w:val="none"/>
                <w:lang w:val="en-US" w:eastAsia="zh-CN" w:bidi="ar"/>
              </w:rPr>
              <w:t>）</w:t>
            </w:r>
            <w:r>
              <w:rPr>
                <w:rFonts w:hint="default" w:ascii="Times New Roman" w:hAnsi="Times New Roman" w:eastAsia="宋体" w:cs="Times New Roman"/>
                <w:b w:val="0"/>
                <w:bCs w:val="0"/>
                <w:i w:val="0"/>
                <w:iCs w:val="0"/>
                <w:color w:val="auto"/>
                <w:kern w:val="0"/>
                <w:sz w:val="24"/>
                <w:szCs w:val="24"/>
                <w:u w:val="none"/>
                <w:lang w:val="en-US" w:eastAsia="zh-CN" w:bidi="ar"/>
              </w:rPr>
              <w:t>，</w:t>
            </w:r>
            <w:r>
              <w:rPr>
                <w:rFonts w:hint="eastAsia" w:cs="Times New Roman"/>
                <w:b w:val="0"/>
                <w:bCs w:val="0"/>
                <w:i w:val="0"/>
                <w:iCs w:val="0"/>
                <w:color w:val="auto"/>
                <w:kern w:val="0"/>
                <w:sz w:val="24"/>
                <w:szCs w:val="24"/>
                <w:u w:val="none"/>
                <w:lang w:val="en-US" w:eastAsia="zh-CN" w:bidi="ar"/>
              </w:rPr>
              <w:t>能够</w:t>
            </w:r>
            <w:r>
              <w:rPr>
                <w:rFonts w:hint="default" w:ascii="Times New Roman" w:hAnsi="Times New Roman" w:cs="Times New Roman"/>
                <w:b w:val="0"/>
                <w:bCs w:val="0"/>
                <w:i w:val="0"/>
                <w:iCs w:val="0"/>
                <w:color w:val="auto"/>
                <w:kern w:val="0"/>
                <w:sz w:val="24"/>
                <w:szCs w:val="24"/>
                <w:u w:val="none"/>
                <w:lang w:val="en-US" w:eastAsia="zh-CN" w:bidi="ar"/>
              </w:rPr>
              <w:t>满足</w:t>
            </w:r>
            <w:r>
              <w:rPr>
                <w:rFonts w:hint="eastAsia" w:ascii="Times New Roman" w:eastAsia="宋体"/>
                <w:color w:val="auto"/>
                <w:sz w:val="24"/>
                <w:u w:val="none"/>
                <w:lang w:val="en-US" w:eastAsia="zh-CN"/>
              </w:rPr>
              <w:t>《</w:t>
            </w:r>
            <w:r>
              <w:rPr>
                <w:rFonts w:hint="eastAsia"/>
                <w:color w:val="auto"/>
                <w:sz w:val="24"/>
                <w:u w:val="none"/>
                <w:lang w:val="en-US" w:eastAsia="zh-CN"/>
              </w:rPr>
              <w:t>大气污染物综合排放标准</w:t>
            </w:r>
            <w:r>
              <w:rPr>
                <w:rFonts w:hint="eastAsia" w:ascii="Times New Roman" w:eastAsia="宋体"/>
                <w:color w:val="auto"/>
                <w:sz w:val="24"/>
                <w:u w:val="none"/>
                <w:lang w:val="en-US" w:eastAsia="zh-CN"/>
              </w:rPr>
              <w:t>》</w:t>
            </w:r>
            <w:r>
              <w:rPr>
                <w:rFonts w:hint="eastAsia"/>
                <w:color w:val="auto"/>
                <w:sz w:val="24"/>
                <w:u w:val="none"/>
                <w:lang w:val="en-US" w:eastAsia="zh-CN"/>
              </w:rPr>
              <w:t>（GB16297-1996)</w:t>
            </w:r>
            <w:r>
              <w:rPr>
                <w:rFonts w:hint="eastAsia" w:ascii="Times New Roman" w:eastAsia="宋体"/>
                <w:color w:val="auto"/>
                <w:sz w:val="24"/>
                <w:u w:val="none"/>
                <w:lang w:val="en-US" w:eastAsia="zh-CN"/>
              </w:rPr>
              <w:t>中</w:t>
            </w:r>
            <w:r>
              <w:rPr>
                <w:rFonts w:hint="eastAsia"/>
                <w:color w:val="auto"/>
                <w:sz w:val="24"/>
                <w:u w:val="none"/>
                <w:lang w:val="en-US" w:eastAsia="zh-CN"/>
              </w:rPr>
              <w:t>颗粒物、SO</w:t>
            </w:r>
            <w:r>
              <w:rPr>
                <w:rFonts w:hint="eastAsia"/>
                <w:color w:val="auto"/>
                <w:sz w:val="24"/>
                <w:u w:val="none"/>
                <w:vertAlign w:val="subscript"/>
                <w:lang w:val="en-US" w:eastAsia="zh-CN"/>
              </w:rPr>
              <w:t>2</w:t>
            </w:r>
            <w:r>
              <w:rPr>
                <w:rFonts w:hint="eastAsia"/>
                <w:color w:val="auto"/>
                <w:sz w:val="24"/>
                <w:u w:val="none"/>
                <w:lang w:val="en-US" w:eastAsia="zh-CN"/>
              </w:rPr>
              <w:t>、NO</w:t>
            </w:r>
            <w:r>
              <w:rPr>
                <w:rFonts w:hint="eastAsia"/>
                <w:color w:val="auto"/>
                <w:sz w:val="24"/>
                <w:u w:val="none"/>
                <w:vertAlign w:val="subscript"/>
                <w:lang w:val="en-US" w:eastAsia="zh-CN"/>
              </w:rPr>
              <w:t>X</w:t>
            </w:r>
            <w:r>
              <w:rPr>
                <w:rFonts w:hint="eastAsia" w:ascii="Times New Roman" w:eastAsia="宋体"/>
                <w:color w:val="auto"/>
                <w:sz w:val="24"/>
                <w:u w:val="none"/>
                <w:lang w:val="en-US" w:eastAsia="zh-CN"/>
              </w:rPr>
              <w:t>排放限值</w:t>
            </w:r>
            <w:r>
              <w:rPr>
                <w:rFonts w:ascii="宋体" w:hAnsi="宋体" w:eastAsia="宋体" w:cs="宋体"/>
                <w:b w:val="0"/>
                <w:bCs w:val="0"/>
                <w:i w:val="0"/>
                <w:iCs w:val="0"/>
                <w:color w:val="auto"/>
                <w:kern w:val="0"/>
                <w:sz w:val="24"/>
                <w:szCs w:val="24"/>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133EDD"/>
                <w:sz w:val="24"/>
                <w:szCs w:val="24"/>
                <w:u w:val="single"/>
                <w:lang w:val="en-US" w:eastAsia="zh-CN"/>
              </w:rPr>
            </w:pPr>
            <w:r>
              <w:rPr>
                <w:rFonts w:hint="eastAsia" w:cs="Times New Roman"/>
                <w:color w:val="133EDD"/>
                <w:sz w:val="24"/>
                <w:szCs w:val="24"/>
                <w:u w:val="single"/>
                <w:lang w:val="en-US" w:eastAsia="zh-CN"/>
              </w:rPr>
              <w:t>根据资料可知，白乳胶成分中聚乙烯醇理化性质，聚乙烯醇的熔点大于300℃，纸管胶（白乳胶）烘干加热温度为80℃，因此在加热过程中产生量较少，根据《排放源统计调查产排污核算方法和系数手册》中“造纸和纸制品业（22）加工纸制品（2223）行业系数表”确定VOCs产污系数为910克/吨-产品，本项目采用更环保白乳胶，纸管胶为水基型胶粘剂，产品量为5200t/a，则VOC</w:t>
            </w:r>
            <w:r>
              <w:rPr>
                <w:rFonts w:hint="eastAsia" w:cs="Times New Roman"/>
                <w:color w:val="133EDD"/>
                <w:sz w:val="24"/>
                <w:szCs w:val="24"/>
                <w:u w:val="single"/>
                <w:vertAlign w:val="subscript"/>
                <w:lang w:val="en-US" w:eastAsia="zh-CN"/>
              </w:rPr>
              <w:t>s</w:t>
            </w:r>
            <w:r>
              <w:rPr>
                <w:rFonts w:hint="eastAsia" w:cs="Times New Roman"/>
                <w:color w:val="133EDD"/>
                <w:sz w:val="24"/>
                <w:szCs w:val="24"/>
                <w:u w:val="single"/>
                <w:lang w:val="en-US" w:eastAsia="zh-CN"/>
              </w:rPr>
              <w:t xml:space="preserve"> （以非甲烷总烃计）产生量为4.73t/a。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cs="Times New Roman"/>
                <w:color w:val="133EDD"/>
                <w:sz w:val="24"/>
                <w:szCs w:val="24"/>
                <w:u w:val="single"/>
                <w:lang w:val="en-US" w:eastAsia="zh-CN"/>
              </w:rPr>
            </w:pPr>
            <w:r>
              <w:rPr>
                <w:rFonts w:hint="eastAsia" w:cs="Times New Roman"/>
                <w:color w:val="133EDD"/>
                <w:sz w:val="24"/>
                <w:szCs w:val="24"/>
                <w:u w:val="single"/>
                <w:lang w:val="en-US" w:eastAsia="zh-CN"/>
              </w:rPr>
              <w:t>企业原有产品量为8000t/a，根据VOCs产污系数为910克/吨-产品计算，原有工程技改后的VOC</w:t>
            </w:r>
            <w:r>
              <w:rPr>
                <w:rFonts w:hint="eastAsia" w:cs="Times New Roman"/>
                <w:color w:val="133EDD"/>
                <w:sz w:val="24"/>
                <w:szCs w:val="24"/>
                <w:u w:val="single"/>
                <w:vertAlign w:val="subscript"/>
                <w:lang w:val="en-US" w:eastAsia="zh-CN"/>
              </w:rPr>
              <w:t>s</w:t>
            </w:r>
            <w:r>
              <w:rPr>
                <w:rFonts w:hint="eastAsia" w:cs="Times New Roman"/>
                <w:color w:val="133EDD"/>
                <w:sz w:val="24"/>
                <w:szCs w:val="24"/>
                <w:u w:val="single"/>
                <w:lang w:val="en-US" w:eastAsia="zh-CN"/>
              </w:rPr>
              <w:t xml:space="preserve"> （以非甲烷总烃计）产生量为7.28t/a，则VOC</w:t>
            </w:r>
            <w:r>
              <w:rPr>
                <w:rFonts w:hint="eastAsia" w:cs="Times New Roman"/>
                <w:color w:val="133EDD"/>
                <w:sz w:val="24"/>
                <w:szCs w:val="24"/>
                <w:u w:val="single"/>
                <w:vertAlign w:val="subscript"/>
                <w:lang w:val="en-US" w:eastAsia="zh-CN"/>
              </w:rPr>
              <w:t>s</w:t>
            </w:r>
            <w:r>
              <w:rPr>
                <w:rFonts w:hint="eastAsia" w:cs="Times New Roman"/>
                <w:color w:val="133EDD"/>
                <w:sz w:val="24"/>
                <w:szCs w:val="24"/>
                <w:u w:val="single"/>
                <w:lang w:val="en-US" w:eastAsia="zh-CN"/>
              </w:rPr>
              <w:t xml:space="preserve"> （以非甲烷总烃计）扩建技改后总产生量为12.01t/a，产生速率为5.0kg/h，根据工艺可知，本项目VOC</w:t>
            </w:r>
            <w:r>
              <w:rPr>
                <w:rFonts w:hint="eastAsia" w:cs="Times New Roman"/>
                <w:color w:val="133EDD"/>
                <w:sz w:val="24"/>
                <w:szCs w:val="24"/>
                <w:u w:val="single"/>
                <w:vertAlign w:val="subscript"/>
                <w:lang w:val="en-US" w:eastAsia="zh-CN"/>
              </w:rPr>
              <w:t>s</w:t>
            </w:r>
            <w:r>
              <w:rPr>
                <w:rFonts w:hint="eastAsia" w:cs="Times New Roman"/>
                <w:color w:val="133EDD"/>
                <w:sz w:val="24"/>
                <w:szCs w:val="24"/>
                <w:u w:val="single"/>
                <w:lang w:val="en-US" w:eastAsia="zh-CN"/>
              </w:rPr>
              <w:t>经过反复循环燃烧处理，处理效率约为80%，则VOC</w:t>
            </w:r>
            <w:r>
              <w:rPr>
                <w:rFonts w:hint="eastAsia" w:cs="Times New Roman"/>
                <w:color w:val="133EDD"/>
                <w:sz w:val="24"/>
                <w:szCs w:val="24"/>
                <w:u w:val="single"/>
                <w:vertAlign w:val="subscript"/>
                <w:lang w:val="en-US" w:eastAsia="zh-CN"/>
              </w:rPr>
              <w:t>s</w:t>
            </w:r>
            <w:r>
              <w:rPr>
                <w:rFonts w:hint="eastAsia" w:cs="Times New Roman"/>
                <w:color w:val="133EDD"/>
                <w:sz w:val="24"/>
                <w:szCs w:val="24"/>
                <w:u w:val="single"/>
                <w:lang w:val="en-US" w:eastAsia="zh-CN"/>
              </w:rPr>
              <w:t xml:space="preserve"> （以非甲烷总烃计）扩建技改后总排放量为2.402t/a，排放速率为1kg/h。</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Times New Roman" w:hAnsi="Times New Roman" w:cs="Times New Roman"/>
                <w:b w:val="0"/>
                <w:bCs w:val="0"/>
                <w:i w:val="0"/>
                <w:iCs w:val="0"/>
                <w:color w:val="133EDD"/>
                <w:kern w:val="0"/>
                <w:sz w:val="24"/>
                <w:szCs w:val="24"/>
                <w:u w:val="none"/>
                <w:lang w:val="en-US" w:eastAsia="zh-CN" w:bidi="ar"/>
              </w:rPr>
            </w:pPr>
            <w:r>
              <w:rPr>
                <w:rFonts w:hint="eastAsia" w:cs="Times New Roman"/>
                <w:color w:val="133EDD"/>
                <w:sz w:val="24"/>
                <w:szCs w:val="24"/>
                <w:u w:val="single"/>
                <w:lang w:val="en-US" w:eastAsia="zh-CN"/>
              </w:rPr>
              <w:t>根据《2020年挥发性有机物污染防治攻坚方案》可知，使用的原辅材料VOCs 含量（质量比）均低于10%的工序，可不要求采取无组织排放收集和处理措施，排放速率为1kg/h，可满足</w:t>
            </w:r>
            <w:r>
              <w:rPr>
                <w:rFonts w:hint="eastAsia" w:ascii="Times New Roman" w:eastAsia="宋体"/>
                <w:color w:val="133EDD"/>
                <w:sz w:val="24"/>
                <w:u w:val="none"/>
                <w:lang w:val="en-US" w:eastAsia="zh-CN"/>
              </w:rPr>
              <w:t>《</w:t>
            </w:r>
            <w:r>
              <w:rPr>
                <w:rFonts w:hint="eastAsia"/>
                <w:color w:val="133EDD"/>
                <w:sz w:val="24"/>
                <w:u w:val="none"/>
                <w:lang w:val="en-US" w:eastAsia="zh-CN"/>
              </w:rPr>
              <w:t>大气污染物综合排放标准</w:t>
            </w:r>
            <w:r>
              <w:rPr>
                <w:rFonts w:hint="eastAsia" w:ascii="Times New Roman" w:eastAsia="宋体"/>
                <w:color w:val="133EDD"/>
                <w:sz w:val="24"/>
                <w:u w:val="none"/>
                <w:lang w:val="en-US" w:eastAsia="zh-CN"/>
              </w:rPr>
              <w:t>》</w:t>
            </w:r>
            <w:r>
              <w:rPr>
                <w:rFonts w:hint="eastAsia"/>
                <w:color w:val="133EDD"/>
                <w:sz w:val="24"/>
                <w:u w:val="none"/>
                <w:lang w:val="en-US" w:eastAsia="zh-CN"/>
              </w:rPr>
              <w:t>（GB16297-1996)中非甲烷总烃无</w:t>
            </w:r>
            <w:r>
              <w:rPr>
                <w:rFonts w:hint="eastAsia"/>
                <w:color w:val="133EDD"/>
                <w:sz w:val="24"/>
                <w:u w:val="single"/>
                <w:lang w:val="en-US" w:eastAsia="zh-CN"/>
              </w:rPr>
              <w:t>组织排放标准限值</w:t>
            </w:r>
            <w:r>
              <w:rPr>
                <w:rFonts w:hint="eastAsia" w:cs="Times New Roman"/>
                <w:color w:val="133EDD"/>
                <w:sz w:val="24"/>
                <w:szCs w:val="24"/>
                <w:u w:val="singl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bCs/>
                <w:color w:val="133EDD"/>
                <w:u w:val="none"/>
                <w:lang w:val="en-US" w:eastAsia="zh-CN"/>
              </w:rPr>
            </w:pPr>
            <w:r>
              <w:rPr>
                <w:rFonts w:hint="default" w:ascii="Times New Roman" w:hAnsi="Times New Roman" w:cs="Times New Roman"/>
                <w:b w:val="0"/>
                <w:bCs w:val="0"/>
                <w:i w:val="0"/>
                <w:iCs w:val="0"/>
                <w:color w:val="133EDD"/>
                <w:kern w:val="0"/>
                <w:sz w:val="24"/>
                <w:szCs w:val="24"/>
                <w:u w:val="none"/>
                <w:lang w:val="en-US" w:eastAsia="zh-CN" w:bidi="ar"/>
              </w:rPr>
              <w:t>具体</w:t>
            </w:r>
            <w:r>
              <w:rPr>
                <w:rFonts w:hint="eastAsia" w:ascii="Times New Roman" w:hAnsi="Times New Roman" w:cs="Times New Roman"/>
                <w:b w:val="0"/>
                <w:bCs w:val="0"/>
                <w:i w:val="0"/>
                <w:iCs w:val="0"/>
                <w:color w:val="133EDD"/>
                <w:kern w:val="0"/>
                <w:sz w:val="24"/>
                <w:szCs w:val="24"/>
                <w:u w:val="none"/>
                <w:lang w:val="en-US" w:eastAsia="zh-CN" w:bidi="ar"/>
              </w:rPr>
              <w:t>产排污情况</w:t>
            </w:r>
            <w:r>
              <w:rPr>
                <w:rFonts w:hint="default" w:ascii="Times New Roman" w:hAnsi="Times New Roman" w:cs="Times New Roman"/>
                <w:b w:val="0"/>
                <w:bCs w:val="0"/>
                <w:i w:val="0"/>
                <w:iCs w:val="0"/>
                <w:color w:val="133EDD"/>
                <w:kern w:val="0"/>
                <w:sz w:val="24"/>
                <w:szCs w:val="24"/>
                <w:u w:val="none"/>
                <w:lang w:val="en-US" w:eastAsia="zh-CN" w:bidi="ar"/>
              </w:rPr>
              <w:t>见下表4-2。</w:t>
            </w:r>
          </w:p>
          <w:p>
            <w:pPr>
              <w:bidi w:val="0"/>
              <w:jc w:val="center"/>
              <w:rPr>
                <w:rFonts w:hint="eastAsia"/>
                <w:b/>
                <w:bCs/>
                <w:u w:val="none"/>
                <w:lang w:val="en-US" w:eastAsia="zh-CN"/>
              </w:rPr>
            </w:pPr>
          </w:p>
          <w:p>
            <w:pPr>
              <w:bidi w:val="0"/>
              <w:jc w:val="center"/>
              <w:rPr>
                <w:rFonts w:hint="default"/>
                <w:b/>
                <w:bCs/>
                <w:color w:val="133EDD"/>
                <w:u w:val="none"/>
                <w:lang w:val="en-US" w:eastAsia="zh-CN"/>
              </w:rPr>
            </w:pPr>
            <w:r>
              <w:rPr>
                <w:rFonts w:hint="eastAsia"/>
                <w:b/>
                <w:bCs/>
                <w:color w:val="133EDD"/>
                <w:u w:val="none"/>
                <w:lang w:val="en-US" w:eastAsia="zh-CN"/>
              </w:rPr>
              <w:t>表4-2 天然气燃烧及产品烘干产排污情况一览表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10"/>
              <w:gridCol w:w="1279"/>
              <w:gridCol w:w="1409"/>
              <w:gridCol w:w="1403"/>
              <w:gridCol w:w="1372"/>
              <w:gridCol w:w="3"/>
              <w:gridCol w:w="1375"/>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污染源</w:t>
                  </w:r>
                </w:p>
              </w:tc>
              <w:tc>
                <w:tcPr>
                  <w:tcW w:w="685"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污染物名称</w:t>
                  </w:r>
                </w:p>
              </w:tc>
              <w:tc>
                <w:tcPr>
                  <w:tcW w:w="1017" w:type="pct"/>
                  <w:gridSpan w:val="2"/>
                  <w:vAlign w:val="center"/>
                </w:tcPr>
                <w:p>
                  <w:pPr>
                    <w:pStyle w:val="2"/>
                    <w:jc w:val="center"/>
                    <w:rPr>
                      <w:rFonts w:hint="eastAsia"/>
                      <w:color w:val="133EDD"/>
                      <w:sz w:val="21"/>
                      <w:szCs w:val="21"/>
                      <w:u w:val="none"/>
                      <w:vertAlign w:val="baseline"/>
                      <w:lang w:val="en-US" w:eastAsia="zh-CN"/>
                    </w:rPr>
                  </w:pPr>
                  <w:r>
                    <w:rPr>
                      <w:rFonts w:hint="eastAsia"/>
                      <w:color w:val="133EDD"/>
                      <w:sz w:val="21"/>
                      <w:szCs w:val="21"/>
                      <w:u w:val="none"/>
                      <w:vertAlign w:val="baseline"/>
                      <w:lang w:val="en-US" w:eastAsia="zh-CN"/>
                    </w:rPr>
                    <w:t>产生情况</w:t>
                  </w:r>
                </w:p>
              </w:tc>
              <w:tc>
                <w:tcPr>
                  <w:tcW w:w="531"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采取的措施</w:t>
                  </w:r>
                </w:p>
              </w:tc>
              <w:tc>
                <w:tcPr>
                  <w:tcW w:w="1041" w:type="pct"/>
                  <w:gridSpan w:val="3"/>
                  <w:vAlign w:val="center"/>
                </w:tcPr>
                <w:p>
                  <w:pPr>
                    <w:pStyle w:val="2"/>
                    <w:jc w:val="center"/>
                    <w:rPr>
                      <w:rFonts w:hint="eastAsia"/>
                      <w:color w:val="133EDD"/>
                      <w:sz w:val="21"/>
                      <w:szCs w:val="21"/>
                      <w:u w:val="none"/>
                      <w:vertAlign w:val="baseline"/>
                      <w:lang w:val="en-US" w:eastAsia="zh-CN"/>
                    </w:rPr>
                  </w:pPr>
                  <w:r>
                    <w:rPr>
                      <w:rFonts w:hint="eastAsia"/>
                      <w:color w:val="133EDD"/>
                      <w:sz w:val="21"/>
                      <w:szCs w:val="21"/>
                      <w:u w:val="none"/>
                      <w:vertAlign w:val="baseline"/>
                      <w:lang w:val="en-US" w:eastAsia="zh-CN"/>
                    </w:rPr>
                    <w:t>排放情况</w:t>
                  </w:r>
                </w:p>
              </w:tc>
              <w:tc>
                <w:tcPr>
                  <w:tcW w:w="1040"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vAlign w:val="center"/>
                </w:tcPr>
                <w:p>
                  <w:pPr>
                    <w:pStyle w:val="2"/>
                    <w:jc w:val="center"/>
                    <w:rPr>
                      <w:rFonts w:hint="eastAsia"/>
                      <w:color w:val="133EDD"/>
                      <w:sz w:val="21"/>
                      <w:szCs w:val="21"/>
                      <w:u w:val="none"/>
                      <w:vertAlign w:val="baseline"/>
                      <w:lang w:val="en-US" w:eastAsia="zh-CN"/>
                    </w:rPr>
                  </w:pPr>
                </w:p>
              </w:tc>
              <w:tc>
                <w:tcPr>
                  <w:tcW w:w="685" w:type="pct"/>
                  <w:vMerge w:val="continue"/>
                  <w:vAlign w:val="center"/>
                </w:tcPr>
                <w:p>
                  <w:pPr>
                    <w:pStyle w:val="2"/>
                    <w:jc w:val="center"/>
                    <w:rPr>
                      <w:rFonts w:hint="eastAsia"/>
                      <w:color w:val="133EDD"/>
                      <w:sz w:val="21"/>
                      <w:szCs w:val="21"/>
                      <w:u w:val="none"/>
                      <w:vertAlign w:val="baseline"/>
                      <w:lang w:val="en-US" w:eastAsia="zh-CN"/>
                    </w:rPr>
                  </w:pPr>
                </w:p>
              </w:tc>
              <w:tc>
                <w:tcPr>
                  <w:tcW w:w="484" w:type="pct"/>
                  <w:vAlign w:val="center"/>
                </w:tcPr>
                <w:p>
                  <w:pPr>
                    <w:pStyle w:val="2"/>
                    <w:ind w:right="113" w:rightChars="0"/>
                    <w:jc w:val="center"/>
                    <w:rPr>
                      <w:rFonts w:hint="eastAsia"/>
                      <w:color w:val="133EDD"/>
                      <w:sz w:val="21"/>
                      <w:szCs w:val="21"/>
                      <w:u w:val="none"/>
                      <w:vertAlign w:val="baseline"/>
                      <w:lang w:val="en-US" w:eastAsia="zh-CN"/>
                    </w:rPr>
                  </w:pPr>
                  <w:r>
                    <w:rPr>
                      <w:rFonts w:hint="eastAsia"/>
                      <w:color w:val="133EDD"/>
                      <w:sz w:val="21"/>
                      <w:szCs w:val="21"/>
                      <w:u w:val="none"/>
                      <w:vertAlign w:val="baseline"/>
                      <w:lang w:val="en-US" w:eastAsia="zh-CN"/>
                    </w:rPr>
                    <w:t>产生量（t/a）</w:t>
                  </w:r>
                </w:p>
              </w:tc>
              <w:tc>
                <w:tcPr>
                  <w:tcW w:w="533" w:type="pct"/>
                  <w:vAlign w:val="center"/>
                </w:tcPr>
                <w:p>
                  <w:pPr>
                    <w:pStyle w:val="2"/>
                    <w:ind w:right="113" w:rightChars="0"/>
                    <w:jc w:val="center"/>
                    <w:rPr>
                      <w:rFonts w:hint="eastAsia"/>
                      <w:color w:val="133EDD"/>
                      <w:sz w:val="21"/>
                      <w:szCs w:val="21"/>
                      <w:u w:val="none"/>
                      <w:vertAlign w:val="baseline"/>
                      <w:lang w:val="en-US" w:eastAsia="zh-CN"/>
                    </w:rPr>
                  </w:pPr>
                  <w:r>
                    <w:rPr>
                      <w:rFonts w:hint="eastAsia"/>
                      <w:color w:val="133EDD"/>
                      <w:sz w:val="21"/>
                      <w:szCs w:val="21"/>
                      <w:u w:val="none"/>
                      <w:vertAlign w:val="baseline"/>
                      <w:lang w:val="en-US" w:eastAsia="zh-CN"/>
                    </w:rPr>
                    <w:t>产生浓度（</w:t>
                  </w:r>
                  <w:r>
                    <w:rPr>
                      <w:rFonts w:hint="eastAsia" w:cs="Times New Roman"/>
                      <w:b w:val="0"/>
                      <w:bCs w:val="0"/>
                      <w:i w:val="0"/>
                      <w:iCs w:val="0"/>
                      <w:color w:val="133EDD"/>
                      <w:kern w:val="0"/>
                      <w:sz w:val="21"/>
                      <w:szCs w:val="21"/>
                      <w:u w:val="none"/>
                      <w:vertAlign w:val="baseline"/>
                      <w:lang w:val="en-US" w:eastAsia="zh-CN" w:bidi="ar"/>
                    </w:rPr>
                    <w:t>mg/m</w:t>
                  </w:r>
                  <w:r>
                    <w:rPr>
                      <w:rFonts w:hint="eastAsia" w:cs="Times New Roman"/>
                      <w:b w:val="0"/>
                      <w:bCs w:val="0"/>
                      <w:i w:val="0"/>
                      <w:iCs w:val="0"/>
                      <w:color w:val="133EDD"/>
                      <w:kern w:val="0"/>
                      <w:sz w:val="21"/>
                      <w:szCs w:val="21"/>
                      <w:u w:val="none"/>
                      <w:vertAlign w:val="superscript"/>
                      <w:lang w:val="en-US" w:eastAsia="zh-CN" w:bidi="ar"/>
                    </w:rPr>
                    <w:t>3</w:t>
                  </w:r>
                  <w:r>
                    <w:rPr>
                      <w:rFonts w:hint="eastAsia"/>
                      <w:color w:val="133EDD"/>
                      <w:sz w:val="21"/>
                      <w:szCs w:val="21"/>
                      <w:u w:val="none"/>
                      <w:vertAlign w:val="baseline"/>
                      <w:lang w:val="en-US" w:eastAsia="zh-CN"/>
                    </w:rPr>
                    <w:t>）</w:t>
                  </w:r>
                </w:p>
              </w:tc>
              <w:tc>
                <w:tcPr>
                  <w:tcW w:w="531" w:type="pct"/>
                  <w:vMerge w:val="continue"/>
                  <w:vAlign w:val="center"/>
                </w:tcPr>
                <w:p>
                  <w:pPr>
                    <w:pStyle w:val="2"/>
                    <w:jc w:val="center"/>
                    <w:rPr>
                      <w:rFonts w:hint="eastAsia"/>
                      <w:color w:val="133EDD"/>
                      <w:sz w:val="21"/>
                      <w:szCs w:val="21"/>
                      <w:u w:val="none"/>
                      <w:vertAlign w:val="baseline"/>
                      <w:lang w:val="en-US" w:eastAsia="zh-CN"/>
                    </w:rPr>
                  </w:pPr>
                </w:p>
              </w:tc>
              <w:tc>
                <w:tcPr>
                  <w:tcW w:w="519" w:type="pct"/>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排放量（t/a）</w:t>
                  </w:r>
                </w:p>
              </w:tc>
              <w:tc>
                <w:tcPr>
                  <w:tcW w:w="521" w:type="pct"/>
                  <w:gridSpan w:val="2"/>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排放浓度（</w:t>
                  </w:r>
                  <w:r>
                    <w:rPr>
                      <w:rFonts w:hint="eastAsia" w:cs="Times New Roman"/>
                      <w:b w:val="0"/>
                      <w:bCs w:val="0"/>
                      <w:i w:val="0"/>
                      <w:iCs w:val="0"/>
                      <w:color w:val="auto"/>
                      <w:kern w:val="0"/>
                      <w:sz w:val="21"/>
                      <w:szCs w:val="21"/>
                      <w:u w:val="none"/>
                      <w:vertAlign w:val="baseline"/>
                      <w:lang w:val="en-US" w:eastAsia="zh-CN" w:bidi="ar"/>
                    </w:rPr>
                    <w:t>mg/m</w:t>
                  </w:r>
                  <w:r>
                    <w:rPr>
                      <w:rFonts w:hint="eastAsia" w:cs="Times New Roman"/>
                      <w:b w:val="0"/>
                      <w:bCs w:val="0"/>
                      <w:i w:val="0"/>
                      <w:iCs w:val="0"/>
                      <w:color w:val="auto"/>
                      <w:kern w:val="0"/>
                      <w:sz w:val="21"/>
                      <w:szCs w:val="21"/>
                      <w:u w:val="none"/>
                      <w:vertAlign w:val="superscript"/>
                      <w:lang w:val="en-US" w:eastAsia="zh-CN" w:bidi="ar"/>
                    </w:rPr>
                    <w:t>3</w:t>
                  </w:r>
                  <w:r>
                    <w:rPr>
                      <w:rFonts w:hint="eastAsia"/>
                      <w:color w:val="auto"/>
                      <w:sz w:val="21"/>
                      <w:szCs w:val="21"/>
                      <w:u w:val="none"/>
                      <w:vertAlign w:val="baseline"/>
                      <w:lang w:val="en-US" w:eastAsia="zh-CN"/>
                    </w:rPr>
                    <w:t>）</w:t>
                  </w:r>
                </w:p>
              </w:tc>
              <w:tc>
                <w:tcPr>
                  <w:tcW w:w="1040" w:type="pct"/>
                  <w:vMerge w:val="continue"/>
                  <w:vAlign w:val="center"/>
                </w:tcPr>
                <w:p>
                  <w:pPr>
                    <w:pStyle w:val="2"/>
                    <w:jc w:val="center"/>
                    <w:rPr>
                      <w:rFonts w:hint="eastAsia"/>
                      <w:color w:val="133EDD"/>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天然气燃烧及烘干过程</w:t>
                  </w:r>
                </w:p>
              </w:tc>
              <w:tc>
                <w:tcPr>
                  <w:tcW w:w="685"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颗粒物</w:t>
                  </w:r>
                </w:p>
              </w:tc>
              <w:tc>
                <w:tcPr>
                  <w:tcW w:w="484"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0.003</w:t>
                  </w:r>
                </w:p>
              </w:tc>
              <w:tc>
                <w:tcPr>
                  <w:tcW w:w="533"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w:t>
                  </w:r>
                </w:p>
              </w:tc>
              <w:tc>
                <w:tcPr>
                  <w:tcW w:w="531" w:type="pct"/>
                  <w:vMerge w:val="restar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无组织排放</w:t>
                  </w:r>
                </w:p>
              </w:tc>
              <w:tc>
                <w:tcPr>
                  <w:tcW w:w="520" w:type="pct"/>
                  <w:gridSpan w:val="2"/>
                  <w:vAlign w:val="center"/>
                </w:tcPr>
                <w:p>
                  <w:pPr>
                    <w:pStyle w:val="2"/>
                    <w:ind w:right="113" w:rightChars="0"/>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0.003</w:t>
                  </w:r>
                </w:p>
              </w:tc>
              <w:tc>
                <w:tcPr>
                  <w:tcW w:w="1375" w:type="dxa"/>
                  <w:vAlign w:val="center"/>
                </w:tcPr>
                <w:p>
                  <w:pPr>
                    <w:pStyle w:val="2"/>
                    <w:ind w:right="113" w:rightChars="0"/>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w:t>
                  </w:r>
                </w:p>
              </w:tc>
              <w:tc>
                <w:tcPr>
                  <w:tcW w:w="1040" w:type="pct"/>
                  <w:vMerge w:val="restart"/>
                  <w:vAlign w:val="center"/>
                </w:tcPr>
                <w:p>
                  <w:pPr>
                    <w:pStyle w:val="2"/>
                    <w:jc w:val="center"/>
                    <w:rPr>
                      <w:rFonts w:hint="default"/>
                      <w:color w:val="133EDD"/>
                      <w:sz w:val="21"/>
                      <w:szCs w:val="21"/>
                      <w:u w:val="none"/>
                      <w:vertAlign w:val="baseline"/>
                      <w:lang w:val="en-US" w:eastAsia="zh-CN"/>
                    </w:rPr>
                  </w:pPr>
                  <w:r>
                    <w:rPr>
                      <w:rFonts w:hint="eastAsia" w:ascii="Times New Roman" w:eastAsia="宋体"/>
                      <w:color w:val="133EDD"/>
                      <w:sz w:val="21"/>
                      <w:szCs w:val="21"/>
                      <w:u w:val="none"/>
                      <w:lang w:val="en-US" w:eastAsia="zh-CN"/>
                    </w:rPr>
                    <w:t>《</w:t>
                  </w:r>
                  <w:r>
                    <w:rPr>
                      <w:rFonts w:hint="eastAsia"/>
                      <w:color w:val="133EDD"/>
                      <w:sz w:val="21"/>
                      <w:szCs w:val="21"/>
                      <w:u w:val="none"/>
                      <w:lang w:val="en-US" w:eastAsia="zh-CN"/>
                    </w:rPr>
                    <w:t>大气污染物综合排放标准</w:t>
                  </w:r>
                  <w:r>
                    <w:rPr>
                      <w:rFonts w:hint="eastAsia" w:ascii="Times New Roman" w:eastAsia="宋体"/>
                      <w:color w:val="133EDD"/>
                      <w:sz w:val="21"/>
                      <w:szCs w:val="21"/>
                      <w:u w:val="none"/>
                      <w:lang w:val="en-US" w:eastAsia="zh-CN"/>
                    </w:rPr>
                    <w:t>》</w:t>
                  </w:r>
                  <w:r>
                    <w:rPr>
                      <w:rFonts w:hint="eastAsia"/>
                      <w:color w:val="133EDD"/>
                      <w:sz w:val="21"/>
                      <w:szCs w:val="21"/>
                      <w:u w:val="none"/>
                      <w:lang w:val="en-US" w:eastAsia="zh-CN"/>
                    </w:rPr>
                    <w:t>（GB16297-1996)无组织排放标准限值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vAlign w:val="center"/>
                </w:tcPr>
                <w:p>
                  <w:pPr>
                    <w:pStyle w:val="2"/>
                    <w:jc w:val="center"/>
                    <w:rPr>
                      <w:rFonts w:hint="default"/>
                      <w:color w:val="133EDD"/>
                      <w:sz w:val="21"/>
                      <w:szCs w:val="21"/>
                      <w:u w:val="none"/>
                      <w:vertAlign w:val="baseline"/>
                      <w:lang w:val="en-US" w:eastAsia="zh-CN"/>
                    </w:rPr>
                  </w:pPr>
                </w:p>
              </w:tc>
              <w:tc>
                <w:tcPr>
                  <w:tcW w:w="685" w:type="pct"/>
                  <w:vAlign w:val="center"/>
                </w:tcPr>
                <w:p>
                  <w:pPr>
                    <w:pStyle w:val="2"/>
                    <w:jc w:val="center"/>
                    <w:rPr>
                      <w:rFonts w:hint="default"/>
                      <w:color w:val="133EDD"/>
                      <w:sz w:val="21"/>
                      <w:szCs w:val="21"/>
                      <w:u w:val="none"/>
                      <w:vertAlign w:val="baseline"/>
                      <w:lang w:val="en-US" w:eastAsia="zh-CN"/>
                    </w:rPr>
                  </w:pPr>
                  <w:r>
                    <w:rPr>
                      <w:rFonts w:hint="default" w:ascii="Times New Roman" w:hAnsi="Times New Roman" w:cs="Times New Roman"/>
                      <w:b w:val="0"/>
                      <w:bCs w:val="0"/>
                      <w:i w:val="0"/>
                      <w:iCs w:val="0"/>
                      <w:color w:val="133EDD"/>
                      <w:kern w:val="0"/>
                      <w:sz w:val="21"/>
                      <w:szCs w:val="21"/>
                      <w:u w:val="none"/>
                      <w:lang w:val="en-US" w:eastAsia="zh-CN" w:bidi="ar"/>
                    </w:rPr>
                    <w:t>SO</w:t>
                  </w:r>
                  <w:r>
                    <w:rPr>
                      <w:rFonts w:hint="default" w:ascii="Times New Roman" w:hAnsi="Times New Roman" w:cs="Times New Roman"/>
                      <w:b w:val="0"/>
                      <w:bCs w:val="0"/>
                      <w:i w:val="0"/>
                      <w:iCs w:val="0"/>
                      <w:color w:val="133EDD"/>
                      <w:kern w:val="0"/>
                      <w:sz w:val="21"/>
                      <w:szCs w:val="21"/>
                      <w:u w:val="none"/>
                      <w:vertAlign w:val="subscript"/>
                      <w:lang w:val="en-US" w:eastAsia="zh-CN" w:bidi="ar"/>
                    </w:rPr>
                    <w:t>2</w:t>
                  </w:r>
                </w:p>
              </w:tc>
              <w:tc>
                <w:tcPr>
                  <w:tcW w:w="484"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0.001</w:t>
                  </w:r>
                </w:p>
              </w:tc>
              <w:tc>
                <w:tcPr>
                  <w:tcW w:w="53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w:t>
                  </w:r>
                </w:p>
              </w:tc>
              <w:tc>
                <w:tcPr>
                  <w:tcW w:w="531" w:type="pct"/>
                  <w:vMerge w:val="continue"/>
                  <w:vAlign w:val="center"/>
                </w:tcPr>
                <w:p>
                  <w:pPr>
                    <w:pStyle w:val="2"/>
                    <w:jc w:val="center"/>
                    <w:rPr>
                      <w:rFonts w:hint="default"/>
                      <w:color w:val="133EDD"/>
                      <w:sz w:val="21"/>
                      <w:szCs w:val="21"/>
                      <w:u w:val="none"/>
                      <w:vertAlign w:val="baseline"/>
                      <w:lang w:val="en-US" w:eastAsia="zh-CN"/>
                    </w:rPr>
                  </w:pPr>
                </w:p>
              </w:tc>
              <w:tc>
                <w:tcPr>
                  <w:tcW w:w="520" w:type="pct"/>
                  <w:gridSpan w:val="2"/>
                  <w:vAlign w:val="center"/>
                </w:tcPr>
                <w:p>
                  <w:pPr>
                    <w:pStyle w:val="2"/>
                    <w:ind w:right="113" w:rightChars="0"/>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0.001</w:t>
                  </w:r>
                </w:p>
              </w:tc>
              <w:tc>
                <w:tcPr>
                  <w:tcW w:w="13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w:t>
                  </w:r>
                </w:p>
              </w:tc>
              <w:tc>
                <w:tcPr>
                  <w:tcW w:w="1040" w:type="pct"/>
                  <w:vMerge w:val="continue"/>
                  <w:vAlign w:val="center"/>
                </w:tcPr>
                <w:p>
                  <w:pPr>
                    <w:pStyle w:val="2"/>
                    <w:jc w:val="center"/>
                    <w:rPr>
                      <w:rFonts w:hint="default"/>
                      <w:color w:val="133EDD"/>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vAlign w:val="center"/>
                </w:tcPr>
                <w:p>
                  <w:pPr>
                    <w:pStyle w:val="2"/>
                    <w:jc w:val="center"/>
                    <w:rPr>
                      <w:rFonts w:hint="default"/>
                      <w:color w:val="133EDD"/>
                      <w:sz w:val="21"/>
                      <w:szCs w:val="21"/>
                      <w:u w:val="none"/>
                      <w:vertAlign w:val="baseline"/>
                      <w:lang w:val="en-US" w:eastAsia="zh-CN"/>
                    </w:rPr>
                  </w:pPr>
                </w:p>
              </w:tc>
              <w:tc>
                <w:tcPr>
                  <w:tcW w:w="685" w:type="pct"/>
                  <w:vAlign w:val="center"/>
                </w:tcPr>
                <w:p>
                  <w:pPr>
                    <w:pStyle w:val="2"/>
                    <w:jc w:val="center"/>
                    <w:rPr>
                      <w:rFonts w:hint="default"/>
                      <w:color w:val="133EDD"/>
                      <w:sz w:val="21"/>
                      <w:szCs w:val="21"/>
                      <w:u w:val="none"/>
                      <w:vertAlign w:val="baseline"/>
                      <w:lang w:val="en-US" w:eastAsia="zh-CN"/>
                    </w:rPr>
                  </w:pPr>
                  <w:r>
                    <w:rPr>
                      <w:rFonts w:hint="default" w:ascii="Times New Roman" w:hAnsi="Times New Roman" w:cs="Times New Roman"/>
                      <w:b w:val="0"/>
                      <w:bCs w:val="0"/>
                      <w:i w:val="0"/>
                      <w:iCs w:val="0"/>
                      <w:color w:val="133EDD"/>
                      <w:kern w:val="0"/>
                      <w:sz w:val="21"/>
                      <w:szCs w:val="21"/>
                      <w:u w:val="none"/>
                      <w:lang w:val="en-US" w:eastAsia="zh-CN" w:bidi="ar"/>
                    </w:rPr>
                    <w:t>NO</w:t>
                  </w:r>
                  <w:r>
                    <w:rPr>
                      <w:rFonts w:hint="default" w:ascii="Times New Roman" w:hAnsi="Times New Roman" w:cs="Times New Roman"/>
                      <w:b w:val="0"/>
                      <w:bCs w:val="0"/>
                      <w:i w:val="0"/>
                      <w:iCs w:val="0"/>
                      <w:color w:val="133EDD"/>
                      <w:kern w:val="0"/>
                      <w:sz w:val="21"/>
                      <w:szCs w:val="21"/>
                      <w:u w:val="none"/>
                      <w:vertAlign w:val="subscript"/>
                      <w:lang w:val="en-US" w:eastAsia="zh-CN" w:bidi="ar"/>
                    </w:rPr>
                    <w:t>X</w:t>
                  </w:r>
                </w:p>
              </w:tc>
              <w:tc>
                <w:tcPr>
                  <w:tcW w:w="484"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0.02</w:t>
                  </w:r>
                </w:p>
              </w:tc>
              <w:tc>
                <w:tcPr>
                  <w:tcW w:w="53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w:t>
                  </w:r>
                </w:p>
              </w:tc>
              <w:tc>
                <w:tcPr>
                  <w:tcW w:w="531" w:type="pct"/>
                  <w:vMerge w:val="continue"/>
                  <w:vAlign w:val="center"/>
                </w:tcPr>
                <w:p>
                  <w:pPr>
                    <w:pStyle w:val="2"/>
                    <w:jc w:val="center"/>
                    <w:rPr>
                      <w:rFonts w:hint="default"/>
                      <w:color w:val="133EDD"/>
                      <w:sz w:val="21"/>
                      <w:szCs w:val="21"/>
                      <w:u w:val="none"/>
                      <w:vertAlign w:val="baseline"/>
                      <w:lang w:val="en-US" w:eastAsia="zh-CN"/>
                    </w:rPr>
                  </w:pPr>
                </w:p>
              </w:tc>
              <w:tc>
                <w:tcPr>
                  <w:tcW w:w="520" w:type="pct"/>
                  <w:gridSpan w:val="2"/>
                  <w:vAlign w:val="center"/>
                </w:tcPr>
                <w:p>
                  <w:pPr>
                    <w:pStyle w:val="2"/>
                    <w:ind w:right="113" w:rightChars="0"/>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0.02</w:t>
                  </w:r>
                </w:p>
              </w:tc>
              <w:tc>
                <w:tcPr>
                  <w:tcW w:w="13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w:t>
                  </w:r>
                </w:p>
              </w:tc>
              <w:tc>
                <w:tcPr>
                  <w:tcW w:w="1040" w:type="pct"/>
                  <w:vMerge w:val="continue"/>
                  <w:vAlign w:val="center"/>
                </w:tcPr>
                <w:p>
                  <w:pPr>
                    <w:pStyle w:val="2"/>
                    <w:jc w:val="center"/>
                    <w:rPr>
                      <w:rFonts w:hint="default"/>
                      <w:color w:val="133EDD"/>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vAlign w:val="center"/>
                </w:tcPr>
                <w:p>
                  <w:pPr>
                    <w:pStyle w:val="2"/>
                    <w:jc w:val="center"/>
                    <w:rPr>
                      <w:rFonts w:hint="default"/>
                      <w:color w:val="133EDD"/>
                      <w:sz w:val="21"/>
                      <w:szCs w:val="21"/>
                      <w:u w:val="none"/>
                      <w:vertAlign w:val="baseline"/>
                      <w:lang w:val="en-US" w:eastAsia="zh-CN"/>
                    </w:rPr>
                  </w:pPr>
                </w:p>
              </w:tc>
              <w:tc>
                <w:tcPr>
                  <w:tcW w:w="685" w:type="pct"/>
                  <w:vAlign w:val="center"/>
                </w:tcPr>
                <w:p>
                  <w:pPr>
                    <w:pStyle w:val="2"/>
                    <w:jc w:val="center"/>
                    <w:rPr>
                      <w:rFonts w:hint="default" w:ascii="Times New Roman" w:hAnsi="Times New Roman" w:cs="Times New Roman"/>
                      <w:b w:val="0"/>
                      <w:bCs w:val="0"/>
                      <w:i w:val="0"/>
                      <w:iCs w:val="0"/>
                      <w:color w:val="133EDD"/>
                      <w:kern w:val="0"/>
                      <w:sz w:val="21"/>
                      <w:szCs w:val="21"/>
                      <w:u w:val="none"/>
                      <w:lang w:val="en-US" w:eastAsia="zh-CN" w:bidi="ar"/>
                    </w:rPr>
                  </w:pPr>
                  <w:r>
                    <w:rPr>
                      <w:rFonts w:hint="eastAsia" w:cs="Times New Roman"/>
                      <w:b w:val="0"/>
                      <w:bCs w:val="0"/>
                      <w:i w:val="0"/>
                      <w:iCs w:val="0"/>
                      <w:color w:val="133EDD"/>
                      <w:kern w:val="0"/>
                      <w:sz w:val="21"/>
                      <w:szCs w:val="21"/>
                      <w:u w:val="none"/>
                      <w:lang w:val="en-US" w:eastAsia="zh-CN" w:bidi="ar"/>
                    </w:rPr>
                    <w:t>非甲烷总烃</w:t>
                  </w:r>
                </w:p>
              </w:tc>
              <w:tc>
                <w:tcPr>
                  <w:tcW w:w="484"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12.01</w:t>
                  </w:r>
                </w:p>
              </w:tc>
              <w:tc>
                <w:tcPr>
                  <w:tcW w:w="533"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w:t>
                  </w:r>
                </w:p>
              </w:tc>
              <w:tc>
                <w:tcPr>
                  <w:tcW w:w="531" w:type="pct"/>
                  <w:vAlign w:val="center"/>
                </w:tcPr>
                <w:p>
                  <w:pPr>
                    <w:pStyle w:val="2"/>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循环燃烧后无组织排放</w:t>
                  </w:r>
                </w:p>
              </w:tc>
              <w:tc>
                <w:tcPr>
                  <w:tcW w:w="520" w:type="pct"/>
                  <w:gridSpan w:val="2"/>
                  <w:vAlign w:val="center"/>
                </w:tcPr>
                <w:p>
                  <w:pPr>
                    <w:pStyle w:val="2"/>
                    <w:ind w:right="113" w:rightChars="0"/>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2.402</w:t>
                  </w:r>
                </w:p>
              </w:tc>
              <w:tc>
                <w:tcPr>
                  <w:tcW w:w="520" w:type="pct"/>
                  <w:vAlign w:val="center"/>
                </w:tcPr>
                <w:p>
                  <w:pPr>
                    <w:pStyle w:val="2"/>
                    <w:ind w:right="113" w:rightChars="0"/>
                    <w:jc w:val="center"/>
                    <w:rPr>
                      <w:rFonts w:hint="default"/>
                      <w:color w:val="133EDD"/>
                      <w:sz w:val="21"/>
                      <w:szCs w:val="21"/>
                      <w:u w:val="none"/>
                      <w:vertAlign w:val="baseline"/>
                      <w:lang w:val="en-US" w:eastAsia="zh-CN"/>
                    </w:rPr>
                  </w:pPr>
                  <w:r>
                    <w:rPr>
                      <w:rFonts w:hint="eastAsia"/>
                      <w:color w:val="133EDD"/>
                      <w:sz w:val="21"/>
                      <w:szCs w:val="21"/>
                      <w:u w:val="none"/>
                      <w:vertAlign w:val="baseline"/>
                      <w:lang w:val="en-US" w:eastAsia="zh-CN"/>
                    </w:rPr>
                    <w:t>/</w:t>
                  </w:r>
                </w:p>
              </w:tc>
              <w:tc>
                <w:tcPr>
                  <w:tcW w:w="1040" w:type="pct"/>
                  <w:vMerge w:val="continue"/>
                  <w:vAlign w:val="center"/>
                </w:tcPr>
                <w:p>
                  <w:pPr>
                    <w:pStyle w:val="2"/>
                    <w:jc w:val="center"/>
                    <w:rPr>
                      <w:rFonts w:hint="default"/>
                      <w:color w:val="133EDD"/>
                      <w:sz w:val="21"/>
                      <w:szCs w:val="21"/>
                      <w:u w:val="none"/>
                      <w:vertAlign w:val="baseline"/>
                      <w:lang w:val="en-US" w:eastAsia="zh-CN"/>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②</w:t>
            </w:r>
            <w:r>
              <w:rPr>
                <w:rFonts w:hint="eastAsia" w:cs="Times New Roman"/>
                <w:color w:val="auto"/>
                <w:sz w:val="24"/>
                <w:szCs w:val="24"/>
                <w:u w:val="none"/>
                <w:lang w:val="en-US" w:eastAsia="zh-CN"/>
              </w:rPr>
              <w:t>抛光打磨颗粒物（G3）</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u w:val="none"/>
                <w:lang w:val="en-US" w:eastAsia="zh-CN"/>
              </w:rPr>
            </w:pPr>
            <w:r>
              <w:rPr>
                <w:rFonts w:hint="eastAsia" w:cs="Times New Roman"/>
                <w:color w:val="auto"/>
                <w:sz w:val="24"/>
                <w:szCs w:val="24"/>
                <w:u w:val="none"/>
                <w:lang w:val="en-US" w:eastAsia="zh-CN"/>
              </w:rPr>
              <w:t>本项目抛光纸管在抛光打磨过程中会产生一定量的颗粒物，</w:t>
            </w:r>
            <w:r>
              <w:rPr>
                <w:rFonts w:hint="eastAsia" w:ascii="宋体" w:hAnsi="宋体" w:eastAsia="宋体" w:cs="宋体"/>
                <w:b w:val="0"/>
                <w:bCs w:val="0"/>
                <w:i w:val="0"/>
                <w:iCs w:val="0"/>
                <w:color w:val="auto"/>
                <w:kern w:val="0"/>
                <w:sz w:val="24"/>
                <w:szCs w:val="24"/>
                <w:u w:val="none"/>
                <w:lang w:val="en-US" w:eastAsia="zh-CN" w:bidi="ar"/>
              </w:rPr>
              <w:t>本项目采取封闭</w:t>
            </w:r>
            <w:r>
              <w:rPr>
                <w:rFonts w:hint="eastAsia" w:ascii="宋体" w:hAnsi="宋体" w:eastAsia="宋体" w:cs="宋体"/>
                <w:b w:val="0"/>
                <w:bCs w:val="0"/>
                <w:i w:val="0"/>
                <w:iCs w:val="0"/>
                <w:color w:val="000000"/>
                <w:kern w:val="0"/>
                <w:sz w:val="24"/>
                <w:szCs w:val="24"/>
                <w:u w:val="none"/>
                <w:lang w:val="en-US" w:eastAsia="zh-CN" w:bidi="ar"/>
              </w:rPr>
              <w:t>式抛光机，抛光机配备一套袋式除尘器</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风机</w:t>
            </w:r>
            <w:r>
              <w:rPr>
                <w:rFonts w:hint="eastAsia" w:ascii="宋体" w:hAnsi="宋体" w:cs="宋体"/>
                <w:b w:val="0"/>
                <w:bCs w:val="0"/>
                <w:i w:val="0"/>
                <w:iCs w:val="0"/>
                <w:color w:val="000000"/>
                <w:kern w:val="0"/>
                <w:sz w:val="24"/>
                <w:szCs w:val="24"/>
                <w:u w:val="none"/>
                <w:lang w:val="en-US" w:eastAsia="zh-CN" w:bidi="ar"/>
              </w:rPr>
              <w:t>风量</w:t>
            </w:r>
            <w:r>
              <w:rPr>
                <w:rFonts w:hint="eastAsia" w:cs="Times New Roman"/>
                <w:b w:val="0"/>
                <w:bCs w:val="0"/>
                <w:i w:val="0"/>
                <w:iCs w:val="0"/>
                <w:color w:val="000000"/>
                <w:kern w:val="0"/>
                <w:sz w:val="24"/>
                <w:szCs w:val="24"/>
                <w:u w:val="none"/>
                <w:lang w:val="en-US" w:eastAsia="zh-CN" w:bidi="ar"/>
              </w:rPr>
              <w:t>30</w:t>
            </w:r>
            <w:r>
              <w:rPr>
                <w:rFonts w:hint="default" w:ascii="Times New Roman" w:hAnsi="Times New Roman" w:eastAsia="宋体" w:cs="Times New Roman"/>
                <w:b w:val="0"/>
                <w:bCs w:val="0"/>
                <w:i w:val="0"/>
                <w:iCs w:val="0"/>
                <w:color w:val="000000"/>
                <w:kern w:val="0"/>
                <w:sz w:val="24"/>
                <w:szCs w:val="24"/>
                <w:u w:val="none"/>
                <w:lang w:val="en-US" w:eastAsia="zh-CN" w:bidi="ar"/>
              </w:rPr>
              <w:t>00m</w:t>
            </w:r>
            <w:r>
              <w:rPr>
                <w:rFonts w:hint="default" w:ascii="Times New Roman" w:hAnsi="Times New Roman" w:eastAsia="宋体" w:cs="Times New Roman"/>
                <w:b w:val="0"/>
                <w:bCs w:val="0"/>
                <w:i w:val="0"/>
                <w:iCs w:val="0"/>
                <w:color w:val="000000"/>
                <w:kern w:val="0"/>
                <w:sz w:val="24"/>
                <w:szCs w:val="24"/>
                <w:u w:val="none"/>
                <w:vertAlign w:val="superscript"/>
                <w:lang w:val="en-US" w:eastAsia="zh-CN" w:bidi="ar"/>
              </w:rPr>
              <w:t>3</w:t>
            </w:r>
            <w:r>
              <w:rPr>
                <w:rFonts w:hint="default" w:ascii="Times New Roman" w:hAnsi="Times New Roman" w:eastAsia="宋体" w:cs="Times New Roman"/>
                <w:b w:val="0"/>
                <w:bCs w:val="0"/>
                <w:i w:val="0"/>
                <w:iCs w:val="0"/>
                <w:color w:val="000000"/>
                <w:kern w:val="0"/>
                <w:sz w:val="24"/>
                <w:szCs w:val="24"/>
                <w:u w:val="none"/>
                <w:lang w:val="en-US" w:eastAsia="zh-CN" w:bidi="ar"/>
              </w:rPr>
              <w:t>/h</w:t>
            </w:r>
            <w:r>
              <w:rPr>
                <w:rFonts w:hint="eastAsia" w:ascii="宋体" w:hAnsi="宋体" w:eastAsia="宋体" w:cs="宋体"/>
                <w:b w:val="0"/>
                <w:bCs w:val="0"/>
                <w:i w:val="0"/>
                <w:iCs w:val="0"/>
                <w:color w:val="000000"/>
                <w:kern w:val="0"/>
                <w:sz w:val="24"/>
                <w:szCs w:val="24"/>
                <w:u w:val="none"/>
                <w:lang w:val="en-US" w:eastAsia="zh-CN" w:bidi="ar"/>
              </w:rPr>
              <w:t>，抛光粉尘经袋式除尘器处理后排放。抛光下来的粉尘被风机吹入布袋中，</w:t>
            </w:r>
            <w:r>
              <w:rPr>
                <w:rFonts w:hint="eastAsia" w:ascii="宋体" w:hAnsi="宋体" w:cs="宋体"/>
                <w:b w:val="0"/>
                <w:bCs w:val="0"/>
                <w:i w:val="0"/>
                <w:iCs w:val="0"/>
                <w:color w:val="000000"/>
                <w:kern w:val="0"/>
                <w:sz w:val="24"/>
                <w:szCs w:val="24"/>
                <w:u w:val="none"/>
                <w:lang w:val="en-US" w:eastAsia="zh-CN" w:bidi="ar"/>
              </w:rPr>
              <w:t>收集后外售，</w:t>
            </w:r>
            <w:r>
              <w:rPr>
                <w:rFonts w:hint="eastAsia" w:ascii="宋体" w:hAnsi="宋体" w:eastAsia="宋体" w:cs="宋体"/>
                <w:b w:val="0"/>
                <w:bCs w:val="0"/>
                <w:i w:val="0"/>
                <w:iCs w:val="0"/>
                <w:color w:val="000000"/>
                <w:kern w:val="0"/>
                <w:sz w:val="24"/>
                <w:szCs w:val="24"/>
                <w:u w:val="none"/>
                <w:lang w:val="en-US" w:eastAsia="zh-CN" w:bidi="ar"/>
              </w:rPr>
              <w:t>本项目粉尘产生率通过卷筒纸破损计算公式计算，公式如下</w:t>
            </w:r>
            <w:r>
              <w:rPr>
                <w:rFonts w:hint="eastAsia" w:ascii="宋体" w:hAnsi="宋体" w:cs="宋体"/>
                <w:b w:val="0"/>
                <w:bCs w:val="0"/>
                <w:i w:val="0"/>
                <w:iCs w:val="0"/>
                <w:color w:val="000000"/>
                <w:kern w:val="0"/>
                <w:sz w:val="24"/>
                <w:szCs w:val="24"/>
                <w:u w:val="none"/>
                <w:lang w:val="en-US" w:eastAsia="zh-CN" w:bidi="ar"/>
              </w:rPr>
              <w:t>：</w:t>
            </w:r>
          </w:p>
          <w:p>
            <w:pPr>
              <w:keepNext w:val="0"/>
              <w:keepLines w:val="0"/>
              <w:widowControl/>
              <w:suppressLineNumbers w:val="0"/>
              <w:jc w:val="center"/>
              <w:rPr>
                <w:rFonts w:hint="eastAsia" w:eastAsia="宋体"/>
                <w:u w:val="none"/>
                <w:lang w:eastAsia="zh-CN"/>
              </w:rPr>
            </w:pPr>
            <w:r>
              <w:rPr>
                <w:rFonts w:hint="eastAsia" w:eastAsia="宋体"/>
                <w:u w:val="none"/>
                <w:lang w:eastAsia="zh-CN"/>
              </w:rPr>
              <w:drawing>
                <wp:inline distT="0" distB="0" distL="114300" distR="114300">
                  <wp:extent cx="1824355" cy="512445"/>
                  <wp:effectExtent l="0" t="0" r="4445" b="1905"/>
                  <wp:docPr id="49" name="图片 49" descr="073606bcbf0ed7bfb946e8268e11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073606bcbf0ed7bfb946e8268e119b6"/>
                          <pic:cNvPicPr>
                            <a:picLocks noChangeAspect="1"/>
                          </pic:cNvPicPr>
                        </pic:nvPicPr>
                        <pic:blipFill>
                          <a:blip r:embed="rId12"/>
                          <a:stretch>
                            <a:fillRect/>
                          </a:stretch>
                        </pic:blipFill>
                        <pic:spPr>
                          <a:xfrm>
                            <a:off x="0" y="0"/>
                            <a:ext cx="1824355" cy="51244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D</w:t>
            </w:r>
            <w:r>
              <w:rPr>
                <w:rFonts w:hint="eastAsia" w:ascii="宋体" w:hAnsi="宋体" w:eastAsia="宋体" w:cs="宋体"/>
                <w:b w:val="0"/>
                <w:bCs w:val="0"/>
                <w:i w:val="0"/>
                <w:iCs w:val="0"/>
                <w:color w:val="000000"/>
                <w:kern w:val="0"/>
                <w:sz w:val="24"/>
                <w:szCs w:val="24"/>
                <w:u w:val="none"/>
                <w:lang w:val="en-US" w:eastAsia="zh-CN" w:bidi="ar"/>
              </w:rPr>
              <w:t xml:space="preserve">：纸管外径，本项目取 </w:t>
            </w:r>
            <w:r>
              <w:rPr>
                <w:rFonts w:hint="default" w:ascii="Times New Roman" w:hAnsi="Times New Roman" w:eastAsia="宋体" w:cs="Times New Roman"/>
                <w:b w:val="0"/>
                <w:bCs w:val="0"/>
                <w:i w:val="0"/>
                <w:iCs w:val="0"/>
                <w:color w:val="000000"/>
                <w:kern w:val="0"/>
                <w:sz w:val="24"/>
                <w:szCs w:val="24"/>
                <w:u w:val="none"/>
                <w:lang w:val="en-US" w:eastAsia="zh-CN" w:bidi="ar"/>
              </w:rPr>
              <w:t>30mm</w:t>
            </w:r>
            <w:r>
              <w:rPr>
                <w:rFonts w:hint="eastAsia" w:ascii="宋体" w:hAnsi="宋体" w:eastAsia="宋体" w:cs="宋体"/>
                <w:b w:val="0"/>
                <w:bCs w:val="0"/>
                <w:i w:val="0"/>
                <w:iCs w:val="0"/>
                <w:color w:val="000000"/>
                <w:kern w:val="0"/>
                <w:sz w:val="24"/>
                <w:szCs w:val="24"/>
                <w:u w:val="none"/>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30</w:t>
            </w:r>
            <w:r>
              <w:rPr>
                <w:rFonts w:hint="default"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150mm</w:t>
            </w:r>
            <w:r>
              <w:rPr>
                <w:rFonts w:hint="eastAsia" w:cs="Times New Roman"/>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，产品直径越小损耗率越高</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本次评价保守按最小产品直径取值）。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T</w:t>
            </w:r>
            <w:r>
              <w:rPr>
                <w:rFonts w:hint="eastAsia" w:ascii="Times New Roman" w:hAnsi="Times New Roman" w:eastAsia="宋体" w:cs="Times New Roman"/>
                <w:b w:val="0"/>
                <w:bCs w:val="0"/>
                <w:i w:val="0"/>
                <w:iCs w:val="0"/>
                <w:color w:val="000000"/>
                <w:kern w:val="0"/>
                <w:sz w:val="24"/>
                <w:szCs w:val="24"/>
                <w:u w:val="none"/>
                <w:lang w:val="en-US" w:eastAsia="zh-CN" w:bidi="ar"/>
              </w:rPr>
              <w:t>：破损厚度，本项目为抛光厚度，取</w:t>
            </w:r>
            <w:r>
              <w:rPr>
                <w:rFonts w:hint="default" w:ascii="Times New Roman" w:hAnsi="Times New Roman" w:eastAsia="宋体" w:cs="Times New Roman"/>
                <w:b w:val="0"/>
                <w:bCs w:val="0"/>
                <w:i w:val="0"/>
                <w:iCs w:val="0"/>
                <w:color w:val="000000"/>
                <w:kern w:val="0"/>
                <w:sz w:val="24"/>
                <w:szCs w:val="24"/>
                <w:u w:val="none"/>
                <w:lang w:val="en-US" w:eastAsia="zh-CN" w:bidi="ar"/>
              </w:rPr>
              <w:t>0.5mm</w:t>
            </w:r>
            <w:r>
              <w:rPr>
                <w:rFonts w:hint="eastAsia" w:cs="Times New Roman"/>
                <w:b w:val="0"/>
                <w:bCs w:val="0"/>
                <w:i w:val="0"/>
                <w:iCs w:val="0"/>
                <w:color w:val="000000"/>
                <w:kern w:val="0"/>
                <w:sz w:val="24"/>
                <w:szCs w:val="24"/>
                <w:u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cs="Times New Roman"/>
                <w:color w:val="auto"/>
                <w:sz w:val="24"/>
                <w:szCs w:val="24"/>
                <w:u w:val="none"/>
                <w:lang w:val="en-US" w:eastAsia="zh-CN"/>
              </w:rPr>
            </w:pPr>
            <w:r>
              <w:rPr>
                <w:rFonts w:hint="eastAsia" w:cs="Times New Roman"/>
                <w:color w:val="auto"/>
                <w:sz w:val="24"/>
                <w:szCs w:val="24"/>
                <w:u w:val="none"/>
                <w:lang w:val="en-US" w:eastAsia="zh-CN"/>
              </w:rPr>
              <w:t>经上式计算，产品破损比率为</w:t>
            </w:r>
            <w:r>
              <w:rPr>
                <w:rFonts w:hint="default" w:cs="Times New Roman"/>
                <w:color w:val="auto"/>
                <w:sz w:val="24"/>
                <w:szCs w:val="24"/>
                <w:u w:val="none"/>
                <w:lang w:val="en-US" w:eastAsia="zh-CN"/>
              </w:rPr>
              <w:t>3.3%</w:t>
            </w:r>
            <w:r>
              <w:rPr>
                <w:rFonts w:hint="eastAsia" w:cs="Times New Roman"/>
                <w:color w:val="auto"/>
                <w:sz w:val="24"/>
                <w:szCs w:val="24"/>
                <w:u w:val="none"/>
                <w:lang w:val="en-US" w:eastAsia="zh-CN"/>
              </w:rPr>
              <w:t>。本项目新增抛光产品约80</w:t>
            </w:r>
            <w:r>
              <w:rPr>
                <w:rFonts w:hint="default" w:cs="Times New Roman"/>
                <w:color w:val="auto"/>
                <w:sz w:val="24"/>
                <w:szCs w:val="24"/>
                <w:u w:val="none"/>
                <w:lang w:val="en-US" w:eastAsia="zh-CN"/>
              </w:rPr>
              <w:t>0t</w:t>
            </w:r>
            <w:r>
              <w:rPr>
                <w:rFonts w:hint="eastAsia" w:cs="Times New Roman"/>
                <w:color w:val="auto"/>
                <w:sz w:val="24"/>
                <w:szCs w:val="24"/>
                <w:u w:val="none"/>
                <w:lang w:val="en-US" w:eastAsia="zh-CN"/>
              </w:rPr>
              <w:t>，通过上述公示计算，粉尘产生量为</w:t>
            </w:r>
            <w:r>
              <w:rPr>
                <w:rFonts w:hint="default" w:cs="Times New Roman"/>
                <w:color w:val="auto"/>
                <w:sz w:val="24"/>
                <w:szCs w:val="24"/>
                <w:u w:val="none"/>
                <w:lang w:val="en-US" w:eastAsia="zh-CN"/>
              </w:rPr>
              <w:t>2</w:t>
            </w:r>
            <w:r>
              <w:rPr>
                <w:rFonts w:hint="eastAsia" w:cs="Times New Roman"/>
                <w:color w:val="auto"/>
                <w:sz w:val="24"/>
                <w:szCs w:val="24"/>
                <w:u w:val="none"/>
                <w:lang w:val="en-US" w:eastAsia="zh-CN"/>
              </w:rPr>
              <w:t>6.</w:t>
            </w:r>
            <w:r>
              <w:rPr>
                <w:rFonts w:hint="default" w:cs="Times New Roman"/>
                <w:color w:val="auto"/>
                <w:sz w:val="24"/>
                <w:szCs w:val="24"/>
                <w:u w:val="none"/>
                <w:lang w:val="en-US" w:eastAsia="zh-CN"/>
              </w:rPr>
              <w:t>4t/a</w:t>
            </w:r>
            <w:r>
              <w:rPr>
                <w:rFonts w:hint="eastAsia" w:cs="Times New Roman"/>
                <w:color w:val="auto"/>
                <w:sz w:val="24"/>
                <w:szCs w:val="24"/>
                <w:u w:val="none"/>
                <w:lang w:val="en-US" w:eastAsia="zh-CN"/>
              </w:rPr>
              <w:t>，年工作日</w:t>
            </w:r>
            <w:r>
              <w:rPr>
                <w:rFonts w:hint="default" w:cs="Times New Roman"/>
                <w:color w:val="auto"/>
                <w:sz w:val="24"/>
                <w:szCs w:val="24"/>
                <w:u w:val="none"/>
                <w:lang w:val="en-US" w:eastAsia="zh-CN"/>
              </w:rPr>
              <w:t>300</w:t>
            </w:r>
            <w:r>
              <w:rPr>
                <w:rFonts w:hint="eastAsia" w:cs="Times New Roman"/>
                <w:color w:val="auto"/>
                <w:sz w:val="24"/>
                <w:szCs w:val="24"/>
                <w:u w:val="none"/>
                <w:lang w:val="en-US" w:eastAsia="zh-CN"/>
              </w:rPr>
              <w:t>天，日工作</w:t>
            </w:r>
            <w:r>
              <w:rPr>
                <w:rFonts w:hint="default" w:cs="Times New Roman"/>
                <w:color w:val="auto"/>
                <w:sz w:val="24"/>
                <w:szCs w:val="24"/>
                <w:u w:val="none"/>
                <w:lang w:val="en-US" w:eastAsia="zh-CN"/>
              </w:rPr>
              <w:t>8</w:t>
            </w:r>
            <w:r>
              <w:rPr>
                <w:rFonts w:hint="eastAsia" w:cs="Times New Roman"/>
                <w:color w:val="auto"/>
                <w:sz w:val="24"/>
                <w:szCs w:val="24"/>
                <w:u w:val="none"/>
                <w:lang w:val="en-US" w:eastAsia="zh-CN"/>
              </w:rPr>
              <w:t>小时，则小时产生速率为11</w:t>
            </w:r>
            <w:r>
              <w:rPr>
                <w:rFonts w:hint="default" w:cs="Times New Roman"/>
                <w:color w:val="auto"/>
                <w:sz w:val="24"/>
                <w:szCs w:val="24"/>
                <w:u w:val="none"/>
                <w:lang w:val="en-US" w:eastAsia="zh-CN"/>
              </w:rPr>
              <w:t>kg/h</w:t>
            </w:r>
            <w:r>
              <w:rPr>
                <w:rFonts w:hint="eastAsia" w:cs="Times New Roman"/>
                <w:color w:val="auto"/>
                <w:sz w:val="24"/>
                <w:szCs w:val="24"/>
                <w:u w:val="none"/>
                <w:lang w:val="en-US" w:eastAsia="zh-CN"/>
              </w:rPr>
              <w:t>，袋式除尘去除效率一般可达</w:t>
            </w:r>
            <w:r>
              <w:rPr>
                <w:rFonts w:hint="default" w:cs="Times New Roman"/>
                <w:color w:val="auto"/>
                <w:sz w:val="24"/>
                <w:szCs w:val="24"/>
                <w:u w:val="none"/>
                <w:lang w:val="en-US" w:eastAsia="zh-CN"/>
              </w:rPr>
              <w:t>9</w:t>
            </w:r>
            <w:r>
              <w:rPr>
                <w:rFonts w:hint="eastAsia" w:cs="Times New Roman"/>
                <w:color w:val="auto"/>
                <w:sz w:val="24"/>
                <w:szCs w:val="24"/>
                <w:u w:val="none"/>
                <w:lang w:val="en-US" w:eastAsia="zh-CN"/>
              </w:rPr>
              <w:t>9</w:t>
            </w:r>
            <w:r>
              <w:rPr>
                <w:rFonts w:hint="default" w:cs="Times New Roman"/>
                <w:color w:val="auto"/>
                <w:sz w:val="24"/>
                <w:szCs w:val="24"/>
                <w:u w:val="none"/>
                <w:lang w:val="en-US" w:eastAsia="zh-CN"/>
              </w:rPr>
              <w:t>%</w:t>
            </w:r>
            <w:r>
              <w:rPr>
                <w:rFonts w:hint="eastAsia" w:cs="Times New Roman"/>
                <w:color w:val="auto"/>
                <w:sz w:val="24"/>
                <w:szCs w:val="24"/>
                <w:u w:val="none"/>
                <w:lang w:val="en-US" w:eastAsia="zh-CN"/>
              </w:rPr>
              <w:t>以上，本次评价按</w:t>
            </w:r>
            <w:r>
              <w:rPr>
                <w:rFonts w:hint="default" w:cs="Times New Roman"/>
                <w:color w:val="auto"/>
                <w:sz w:val="24"/>
                <w:szCs w:val="24"/>
                <w:u w:val="none"/>
                <w:lang w:val="en-US" w:eastAsia="zh-CN"/>
              </w:rPr>
              <w:t>9</w:t>
            </w:r>
            <w:r>
              <w:rPr>
                <w:rFonts w:hint="eastAsia" w:cs="Times New Roman"/>
                <w:color w:val="auto"/>
                <w:sz w:val="24"/>
                <w:szCs w:val="24"/>
                <w:u w:val="none"/>
                <w:lang w:val="en-US" w:eastAsia="zh-CN"/>
              </w:rPr>
              <w:t>9</w:t>
            </w:r>
            <w:r>
              <w:rPr>
                <w:rFonts w:hint="default" w:cs="Times New Roman"/>
                <w:color w:val="auto"/>
                <w:sz w:val="24"/>
                <w:szCs w:val="24"/>
                <w:u w:val="none"/>
                <w:lang w:val="en-US" w:eastAsia="zh-CN"/>
              </w:rPr>
              <w:t>%</w:t>
            </w:r>
            <w:r>
              <w:rPr>
                <w:rFonts w:hint="eastAsia" w:cs="Times New Roman"/>
                <w:color w:val="auto"/>
                <w:sz w:val="24"/>
                <w:szCs w:val="24"/>
                <w:u w:val="none"/>
                <w:lang w:val="en-US" w:eastAsia="zh-CN"/>
              </w:rPr>
              <w:t>计，则粉尘年排放量0.264</w:t>
            </w:r>
            <w:r>
              <w:rPr>
                <w:rFonts w:hint="default" w:cs="Times New Roman"/>
                <w:color w:val="auto"/>
                <w:sz w:val="24"/>
                <w:szCs w:val="24"/>
                <w:u w:val="none"/>
                <w:lang w:val="en-US" w:eastAsia="zh-CN"/>
              </w:rPr>
              <w:t>t/a</w:t>
            </w:r>
            <w:r>
              <w:rPr>
                <w:rFonts w:hint="eastAsia" w:cs="Times New Roman"/>
                <w:color w:val="auto"/>
                <w:sz w:val="24"/>
                <w:szCs w:val="24"/>
                <w:u w:val="none"/>
                <w:lang w:val="en-US" w:eastAsia="zh-CN"/>
              </w:rPr>
              <w:t>，排放速率0.11</w:t>
            </w:r>
            <w:r>
              <w:rPr>
                <w:rFonts w:hint="default" w:cs="Times New Roman"/>
                <w:color w:val="auto"/>
                <w:sz w:val="24"/>
                <w:szCs w:val="24"/>
                <w:u w:val="none"/>
                <w:lang w:val="en-US" w:eastAsia="zh-CN"/>
              </w:rPr>
              <w:t>kg/h</w:t>
            </w:r>
            <w:r>
              <w:rPr>
                <w:rFonts w:hint="eastAsia" w:cs="Times New Roman"/>
                <w:color w:val="auto"/>
                <w:sz w:val="24"/>
                <w:szCs w:val="24"/>
                <w:u w:val="none"/>
                <w:lang w:val="en-US" w:eastAsia="zh-CN"/>
              </w:rPr>
              <w:t>，排放浓度为36.67mg/m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lang w:val="en-US" w:eastAsia="zh-CN"/>
              </w:rPr>
              <w:t>，能够满足《大气污染物综合排放标准》（GB16297-1996）无组织排放标准限值，布袋中收集的颗粒物26.136t/a作为固废处理外售。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FF"/>
                <w:kern w:val="2"/>
                <w:sz w:val="24"/>
                <w:szCs w:val="24"/>
                <w:u w:val="none"/>
                <w:lang w:val="en-US" w:eastAsia="zh-CN" w:bidi="ar-SA"/>
              </w:rPr>
            </w:pPr>
            <w:r>
              <w:rPr>
                <w:rFonts w:hint="eastAsia" w:cs="Times New Roman"/>
                <w:bCs/>
                <w:strike w:val="0"/>
                <w:dstrike w:val="0"/>
                <w:color w:val="auto"/>
                <w:sz w:val="24"/>
                <w:szCs w:val="24"/>
                <w:highlight w:val="none"/>
                <w:u w:val="none"/>
                <w:lang w:val="en-US" w:eastAsia="zh-CN"/>
              </w:rPr>
              <w:t>本项目委托湖南鑫韵检测技术有限公司于2023年3月27日本项目进行了污染源监测，对厂区无组织废气进行了检测，检测因子为颗粒物、非甲烷总烃。</w:t>
            </w:r>
          </w:p>
          <w:p>
            <w:pPr>
              <w:pStyle w:val="23"/>
              <w:spacing w:line="240" w:lineRule="auto"/>
              <w:jc w:val="center"/>
              <w:rPr>
                <w:rFonts w:hint="default"/>
                <w:b/>
                <w:bCs/>
                <w:sz w:val="21"/>
                <w:szCs w:val="21"/>
                <w:u w:val="none"/>
                <w:lang w:val="en-US" w:eastAsia="zh-CN"/>
              </w:rPr>
            </w:pPr>
            <w:r>
              <w:rPr>
                <w:rFonts w:hint="eastAsia" w:ascii="Times New Roman" w:hAnsi="Times New Roman" w:eastAsia="宋体" w:cs="Times New Roman"/>
                <w:b/>
                <w:bCs/>
                <w:color w:val="auto"/>
                <w:sz w:val="21"/>
                <w:szCs w:val="21"/>
                <w:highlight w:val="none"/>
                <w:u w:val="none"/>
                <w:lang w:val="en-US" w:eastAsia="zh-CN"/>
              </w:rPr>
              <w:t>表</w:t>
            </w:r>
            <w:r>
              <w:rPr>
                <w:rFonts w:hint="eastAsia" w:cs="Times New Roman"/>
                <w:b/>
                <w:bCs/>
                <w:color w:val="auto"/>
                <w:sz w:val="21"/>
                <w:szCs w:val="21"/>
                <w:highlight w:val="none"/>
                <w:u w:val="none"/>
                <w:lang w:val="en-US" w:eastAsia="zh-CN"/>
              </w:rPr>
              <w:t>4-3</w:t>
            </w:r>
            <w:r>
              <w:rPr>
                <w:rFonts w:hint="eastAsia" w:ascii="Times New Roman" w:hAnsi="Times New Roman" w:eastAsia="宋体" w:cs="Times New Roman"/>
                <w:b/>
                <w:bCs/>
                <w:color w:val="auto"/>
                <w:sz w:val="21"/>
                <w:szCs w:val="21"/>
                <w:highlight w:val="none"/>
                <w:u w:val="none"/>
                <w:lang w:val="en-US" w:eastAsia="zh-CN"/>
              </w:rPr>
              <w:t>无组织废气检测结果一览表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299"/>
              <w:gridCol w:w="1848"/>
              <w:gridCol w:w="1848"/>
              <w:gridCol w:w="185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53" w:type="pct"/>
                  <w:vMerge w:val="restar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检测点位</w:t>
                  </w:r>
                </w:p>
              </w:tc>
              <w:tc>
                <w:tcPr>
                  <w:tcW w:w="1249" w:type="pct"/>
                  <w:vMerge w:val="restar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检测项目</w:t>
                  </w:r>
                </w:p>
              </w:tc>
              <w:tc>
                <w:tcPr>
                  <w:tcW w:w="2098" w:type="pct"/>
                  <w:gridSpan w:val="3"/>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检测结果</w:t>
                  </w:r>
                </w:p>
              </w:tc>
              <w:tc>
                <w:tcPr>
                  <w:tcW w:w="699" w:type="pct"/>
                  <w:vMerge w:val="restar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参考标准值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3" w:type="pct"/>
                  <w:vMerge w:val="continue"/>
                  <w:vAlign w:val="center"/>
                </w:tcPr>
                <w:p>
                  <w:pPr>
                    <w:widowControl/>
                    <w:jc w:val="center"/>
                    <w:textAlignment w:val="center"/>
                    <w:rPr>
                      <w:u w:val="none"/>
                    </w:rPr>
                  </w:pPr>
                </w:p>
              </w:tc>
              <w:tc>
                <w:tcPr>
                  <w:tcW w:w="1249" w:type="pct"/>
                  <w:vMerge w:val="continue"/>
                  <w:vAlign w:val="center"/>
                </w:tcPr>
                <w:p>
                  <w:pPr>
                    <w:widowControl/>
                    <w:jc w:val="center"/>
                    <w:textAlignment w:val="center"/>
                    <w:rPr>
                      <w:u w:val="none"/>
                    </w:rPr>
                  </w:pPr>
                </w:p>
              </w:tc>
              <w:tc>
                <w:tcPr>
                  <w:tcW w:w="2098" w:type="pct"/>
                  <w:gridSpan w:val="3"/>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2023年03月27日</w:t>
                  </w:r>
                </w:p>
              </w:tc>
              <w:tc>
                <w:tcPr>
                  <w:tcW w:w="699" w:type="pct"/>
                  <w:vMerge w:val="continue"/>
                  <w:vAlign w:val="center"/>
                </w:tcPr>
                <w:p>
                  <w:pPr>
                    <w:widowControl/>
                    <w:jc w:val="center"/>
                    <w:textAlignment w:val="center"/>
                    <w:rPr>
                      <w:rFonts w:hint="eastAsia" w:ascii="宋体" w:hAnsi="宋体" w:eastAsia="宋体" w:cs="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3" w:type="pct"/>
                  <w:vMerge w:val="continue"/>
                  <w:vAlign w:val="center"/>
                </w:tcPr>
                <w:p>
                  <w:pPr>
                    <w:widowControl/>
                    <w:jc w:val="center"/>
                    <w:textAlignment w:val="center"/>
                    <w:rPr>
                      <w:rFonts w:hint="eastAsia" w:ascii="宋体" w:hAnsi="宋体" w:eastAsia="宋体" w:cs="宋体"/>
                      <w:szCs w:val="21"/>
                      <w:u w:val="none"/>
                    </w:rPr>
                  </w:pPr>
                </w:p>
              </w:tc>
              <w:tc>
                <w:tcPr>
                  <w:tcW w:w="1249" w:type="pct"/>
                  <w:vMerge w:val="continue"/>
                  <w:vAlign w:val="center"/>
                </w:tcPr>
                <w:p>
                  <w:pPr>
                    <w:widowControl/>
                    <w:jc w:val="center"/>
                    <w:textAlignment w:val="center"/>
                    <w:rPr>
                      <w:rFonts w:hint="eastAsia" w:ascii="宋体" w:hAnsi="宋体" w:eastAsia="宋体" w:cs="宋体"/>
                      <w:szCs w:val="21"/>
                      <w:u w:val="none"/>
                    </w:rPr>
                  </w:pPr>
                </w:p>
              </w:tc>
              <w:tc>
                <w:tcPr>
                  <w:tcW w:w="699" w:type="pc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第一次</w:t>
                  </w:r>
                </w:p>
              </w:tc>
              <w:tc>
                <w:tcPr>
                  <w:tcW w:w="699" w:type="pc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第二次</w:t>
                  </w:r>
                </w:p>
              </w:tc>
              <w:tc>
                <w:tcPr>
                  <w:tcW w:w="699" w:type="pc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rPr>
                    <w:t>第三次</w:t>
                  </w:r>
                </w:p>
              </w:tc>
              <w:tc>
                <w:tcPr>
                  <w:tcW w:w="699" w:type="pct"/>
                  <w:vMerge w:val="continue"/>
                  <w:vAlign w:val="center"/>
                </w:tcPr>
                <w:p>
                  <w:pPr>
                    <w:widowControl/>
                    <w:jc w:val="center"/>
                    <w:textAlignment w:val="center"/>
                    <w:rPr>
                      <w:rFonts w:hint="eastAsia" w:ascii="宋体" w:hAnsi="宋体" w:eastAsia="宋体" w:cs="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Q1</w:t>
                  </w:r>
                </w:p>
              </w:tc>
              <w:tc>
                <w:tcPr>
                  <w:tcW w:w="1249" w:type="pc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color w:val="000000"/>
                      <w:kern w:val="0"/>
                      <w:szCs w:val="21"/>
                      <w:u w:val="none"/>
                    </w:rPr>
                    <w:t>总悬浮颗粒物</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0.150</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0.124</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0.169</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eastAsia" w:ascii="宋体" w:hAnsi="宋体" w:eastAsia="宋体" w:cs="宋体"/>
                      <w:szCs w:val="21"/>
                      <w:u w:val="none"/>
                    </w:rPr>
                  </w:pPr>
                </w:p>
              </w:tc>
              <w:tc>
                <w:tcPr>
                  <w:tcW w:w="1249" w:type="pct"/>
                  <w:vAlign w:val="center"/>
                </w:tcPr>
                <w:p>
                  <w:pPr>
                    <w:widowControl/>
                    <w:jc w:val="center"/>
                    <w:textAlignment w:val="center"/>
                    <w:rPr>
                      <w:rFonts w:hint="eastAsia" w:ascii="宋体" w:hAnsi="宋体" w:eastAsia="宋体" w:cs="宋体"/>
                      <w:color w:val="000000"/>
                      <w:kern w:val="0"/>
                      <w:szCs w:val="21"/>
                      <w:u w:val="none"/>
                      <w:lang w:bidi="ar"/>
                    </w:rPr>
                  </w:pPr>
                  <w:r>
                    <w:rPr>
                      <w:rFonts w:hint="eastAsia" w:ascii="宋体" w:hAnsi="宋体" w:eastAsia="宋体" w:cs="宋体"/>
                      <w:color w:val="000000"/>
                      <w:kern w:val="0"/>
                      <w:szCs w:val="21"/>
                      <w:u w:val="none"/>
                      <w:lang w:bidi="ar"/>
                    </w:rPr>
                    <w:t>非甲烷总烃</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1.03</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0.99</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0.60</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cs="宋体"/>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Q2</w:t>
                  </w:r>
                </w:p>
              </w:tc>
              <w:tc>
                <w:tcPr>
                  <w:tcW w:w="1249" w:type="pct"/>
                  <w:vAlign w:val="center"/>
                </w:tcPr>
                <w:p>
                  <w:pPr>
                    <w:widowControl/>
                    <w:jc w:val="center"/>
                    <w:textAlignment w:val="center"/>
                    <w:rPr>
                      <w:rFonts w:hint="eastAsia" w:ascii="宋体" w:hAnsi="宋体" w:eastAsia="宋体" w:cs="宋体"/>
                      <w:color w:val="000000"/>
                      <w:kern w:val="0"/>
                      <w:szCs w:val="21"/>
                      <w:u w:val="none"/>
                      <w:lang w:bidi="ar"/>
                    </w:rPr>
                  </w:pPr>
                  <w:r>
                    <w:rPr>
                      <w:rFonts w:hint="eastAsia" w:ascii="宋体" w:hAnsi="宋体" w:eastAsia="宋体" w:cs="宋体"/>
                      <w:color w:val="000000"/>
                      <w:kern w:val="0"/>
                      <w:szCs w:val="21"/>
                      <w:u w:val="none"/>
                    </w:rPr>
                    <w:t>总悬浮颗粒物</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0.231</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0.259</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0.242</w:t>
                  </w:r>
                </w:p>
              </w:tc>
              <w:tc>
                <w:tcPr>
                  <w:tcW w:w="699" w:type="pct"/>
                  <w:vAlign w:val="center"/>
                </w:tcPr>
                <w:p>
                  <w:pPr>
                    <w:widowControl/>
                    <w:jc w:val="center"/>
                    <w:textAlignment w:val="center"/>
                    <w:rPr>
                      <w:rFonts w:hint="eastAsia" w:ascii="宋体" w:hAnsi="宋体" w:eastAsia="宋体" w:cs="宋体"/>
                      <w:szCs w:val="21"/>
                      <w:u w:val="none"/>
                    </w:rPr>
                  </w:pPr>
                  <w:r>
                    <w:rPr>
                      <w:rFonts w:hint="eastAsia" w:ascii="宋体" w:hAnsi="宋体" w:eastAsia="宋体" w:cs="宋体"/>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default" w:ascii="宋体" w:hAnsi="宋体" w:eastAsia="宋体" w:cs="宋体"/>
                      <w:szCs w:val="21"/>
                      <w:u w:val="none"/>
                      <w:lang w:val="en-US" w:eastAsia="zh-CN"/>
                    </w:rPr>
                  </w:pPr>
                </w:p>
              </w:tc>
              <w:tc>
                <w:tcPr>
                  <w:tcW w:w="1249" w:type="pct"/>
                  <w:vAlign w:val="center"/>
                </w:tcPr>
                <w:p>
                  <w:pPr>
                    <w:jc w:val="center"/>
                    <w:rPr>
                      <w:rFonts w:hint="eastAsia" w:ascii="宋体" w:hAnsi="宋体" w:eastAsia="宋体" w:cs="宋体"/>
                      <w:color w:val="000000"/>
                      <w:kern w:val="0"/>
                      <w:szCs w:val="21"/>
                      <w:u w:val="none"/>
                      <w:lang w:bidi="ar"/>
                    </w:rPr>
                  </w:pPr>
                  <w:r>
                    <w:rPr>
                      <w:rFonts w:hint="eastAsia" w:ascii="宋体" w:hAnsi="宋体" w:eastAsia="宋体" w:cs="宋体"/>
                      <w:color w:val="000000"/>
                      <w:kern w:val="0"/>
                      <w:szCs w:val="21"/>
                      <w:u w:val="none"/>
                      <w:lang w:bidi="ar"/>
                    </w:rPr>
                    <w:t>非甲烷总烃</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1.54</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2.34</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1.43</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cs="宋体"/>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restar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Q3</w:t>
                  </w:r>
                </w:p>
              </w:tc>
              <w:tc>
                <w:tcPr>
                  <w:tcW w:w="1249" w:type="pct"/>
                  <w:vAlign w:val="center"/>
                </w:tcPr>
                <w:p>
                  <w:pPr>
                    <w:widowControl/>
                    <w:jc w:val="center"/>
                    <w:textAlignment w:val="center"/>
                    <w:rPr>
                      <w:rFonts w:hint="eastAsia" w:ascii="宋体" w:hAnsi="宋体" w:eastAsia="宋体" w:cs="宋体"/>
                      <w:color w:val="000000"/>
                      <w:kern w:val="0"/>
                      <w:szCs w:val="21"/>
                      <w:u w:val="none"/>
                      <w:lang w:bidi="ar"/>
                    </w:rPr>
                  </w:pPr>
                  <w:r>
                    <w:rPr>
                      <w:rFonts w:hint="eastAsia" w:ascii="宋体" w:hAnsi="宋体" w:eastAsia="宋体" w:cs="宋体"/>
                      <w:color w:val="000000"/>
                      <w:kern w:val="0"/>
                      <w:szCs w:val="21"/>
                      <w:u w:val="none"/>
                    </w:rPr>
                    <w:t>总悬浮颗粒物</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0.222</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0.205</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0.197</w:t>
                  </w:r>
                </w:p>
              </w:tc>
              <w:tc>
                <w:tcPr>
                  <w:tcW w:w="699" w:type="pct"/>
                  <w:vAlign w:val="center"/>
                </w:tcPr>
                <w:p>
                  <w:pPr>
                    <w:widowControl/>
                    <w:jc w:val="center"/>
                    <w:textAlignment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 w:type="pct"/>
                  <w:vMerge w:val="continue"/>
                  <w:vAlign w:val="center"/>
                </w:tcPr>
                <w:p>
                  <w:pPr>
                    <w:jc w:val="center"/>
                    <w:rPr>
                      <w:rFonts w:hint="eastAsia" w:ascii="宋体" w:hAnsi="宋体" w:eastAsia="宋体" w:cs="宋体"/>
                      <w:szCs w:val="21"/>
                      <w:u w:val="none"/>
                    </w:rPr>
                  </w:pPr>
                </w:p>
              </w:tc>
              <w:tc>
                <w:tcPr>
                  <w:tcW w:w="1249" w:type="pct"/>
                  <w:vAlign w:val="center"/>
                </w:tcPr>
                <w:p>
                  <w:pPr>
                    <w:widowControl/>
                    <w:jc w:val="center"/>
                    <w:textAlignment w:val="center"/>
                    <w:rPr>
                      <w:rFonts w:hint="eastAsia" w:ascii="宋体" w:hAnsi="宋体" w:eastAsia="宋体" w:cs="宋体"/>
                      <w:color w:val="000000"/>
                      <w:kern w:val="0"/>
                      <w:szCs w:val="21"/>
                      <w:u w:val="none"/>
                      <w:lang w:bidi="ar"/>
                    </w:rPr>
                  </w:pPr>
                  <w:r>
                    <w:rPr>
                      <w:rFonts w:hint="eastAsia" w:ascii="宋体" w:hAnsi="宋体" w:eastAsia="宋体" w:cs="宋体"/>
                      <w:color w:val="000000"/>
                      <w:kern w:val="0"/>
                      <w:szCs w:val="21"/>
                      <w:u w:val="none"/>
                      <w:lang w:bidi="ar"/>
                    </w:rPr>
                    <w:t>非甲烷总烃</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2.02</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1.86</w:t>
                  </w:r>
                </w:p>
              </w:tc>
              <w:tc>
                <w:tcPr>
                  <w:tcW w:w="699" w:type="pct"/>
                  <w:vAlign w:val="center"/>
                </w:tcPr>
                <w:p>
                  <w:pPr>
                    <w:jc w:val="center"/>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1.94</w:t>
                  </w:r>
                </w:p>
              </w:tc>
              <w:tc>
                <w:tcPr>
                  <w:tcW w:w="699" w:type="pct"/>
                  <w:vAlign w:val="center"/>
                </w:tcPr>
                <w:p>
                  <w:pPr>
                    <w:widowControl/>
                    <w:jc w:val="center"/>
                    <w:textAlignment w:val="center"/>
                    <w:rPr>
                      <w:rFonts w:hint="eastAsia" w:ascii="宋体" w:hAnsi="宋体" w:eastAsia="宋体" w:cs="宋体"/>
                      <w:szCs w:val="21"/>
                      <w:u w:val="none"/>
                    </w:rPr>
                  </w:pPr>
                  <w:r>
                    <w:rPr>
                      <w:rFonts w:hint="eastAsia" w:ascii="宋体" w:hAnsi="宋体" w:cs="宋体"/>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000" w:type="pct"/>
                  <w:gridSpan w:val="6"/>
                  <w:vAlign w:val="center"/>
                </w:tcPr>
                <w:p>
                  <w:pPr>
                    <w:jc w:val="left"/>
                    <w:rPr>
                      <w:rFonts w:hint="default" w:ascii="宋体" w:hAnsi="宋体" w:eastAsia="宋体" w:cs="宋体"/>
                      <w:szCs w:val="21"/>
                      <w:u w:val="none"/>
                      <w:lang w:val="en-US" w:eastAsia="zh-CN"/>
                    </w:rPr>
                  </w:pPr>
                  <w:r>
                    <w:rPr>
                      <w:rFonts w:hint="eastAsia" w:ascii="宋体" w:hAnsi="宋体" w:eastAsia="宋体" w:cs="宋体"/>
                      <w:szCs w:val="21"/>
                      <w:u w:val="none"/>
                    </w:rPr>
                    <w:t>备注：1、Q1-Q</w:t>
                  </w:r>
                  <w:r>
                    <w:rPr>
                      <w:rFonts w:hint="eastAsia" w:ascii="宋体" w:hAnsi="宋体" w:eastAsia="宋体" w:cs="宋体"/>
                      <w:szCs w:val="21"/>
                      <w:u w:val="none"/>
                      <w:lang w:val="en-US" w:eastAsia="zh-CN"/>
                    </w:rPr>
                    <w:t>3</w:t>
                  </w:r>
                  <w:r>
                    <w:rPr>
                      <w:rFonts w:hint="eastAsia" w:ascii="宋体" w:hAnsi="宋体" w:eastAsia="宋体" w:cs="宋体"/>
                      <w:szCs w:val="21"/>
                      <w:u w:val="none"/>
                    </w:rPr>
                    <w:t>均为无组织排放废气检测点位：Q1为厂界</w:t>
                  </w:r>
                  <w:r>
                    <w:rPr>
                      <w:rFonts w:hint="eastAsia" w:ascii="宋体" w:hAnsi="宋体" w:eastAsia="宋体" w:cs="宋体"/>
                      <w:szCs w:val="21"/>
                      <w:u w:val="none"/>
                      <w:lang w:eastAsia="zh-CN"/>
                    </w:rPr>
                    <w:t>上风向</w:t>
                  </w:r>
                  <w:r>
                    <w:rPr>
                      <w:rFonts w:hint="eastAsia" w:ascii="宋体" w:hAnsi="宋体" w:eastAsia="宋体" w:cs="宋体"/>
                      <w:szCs w:val="21"/>
                      <w:u w:val="none"/>
                    </w:rPr>
                    <w:t>，Q2为厂界</w:t>
                  </w:r>
                  <w:r>
                    <w:rPr>
                      <w:rFonts w:hint="eastAsia" w:ascii="宋体" w:hAnsi="宋体" w:eastAsia="宋体" w:cs="宋体"/>
                      <w:szCs w:val="21"/>
                      <w:u w:val="none"/>
                      <w:lang w:eastAsia="zh-CN"/>
                    </w:rPr>
                    <w:t>下风向</w:t>
                  </w:r>
                  <w:r>
                    <w:rPr>
                      <w:rFonts w:hint="eastAsia" w:ascii="宋体" w:hAnsi="宋体" w:eastAsia="宋体" w:cs="宋体"/>
                      <w:szCs w:val="21"/>
                      <w:u w:val="none"/>
                      <w:lang w:val="en-US" w:eastAsia="zh-CN"/>
                    </w:rPr>
                    <w:t>1#</w:t>
                  </w:r>
                  <w:r>
                    <w:rPr>
                      <w:rFonts w:hint="eastAsia" w:ascii="宋体" w:hAnsi="宋体" w:eastAsia="宋体" w:cs="宋体"/>
                      <w:szCs w:val="21"/>
                      <w:u w:val="none"/>
                    </w:rPr>
                    <w:t>，Q3为厂界</w:t>
                  </w:r>
                  <w:r>
                    <w:rPr>
                      <w:rFonts w:hint="eastAsia" w:ascii="宋体" w:hAnsi="宋体" w:eastAsia="宋体" w:cs="宋体"/>
                      <w:szCs w:val="21"/>
                      <w:u w:val="none"/>
                      <w:lang w:eastAsia="zh-CN"/>
                    </w:rPr>
                    <w:t>下风向</w:t>
                  </w:r>
                  <w:r>
                    <w:rPr>
                      <w:rFonts w:hint="eastAsia" w:ascii="宋体" w:hAnsi="宋体" w:eastAsia="宋体" w:cs="宋体"/>
                      <w:szCs w:val="21"/>
                      <w:u w:val="none"/>
                      <w:lang w:val="en-US" w:eastAsia="zh-CN"/>
                    </w:rPr>
                    <w:t>2#；</w:t>
                  </w:r>
                </w:p>
                <w:p>
                  <w:pPr>
                    <w:numPr>
                      <w:ilvl w:val="0"/>
                      <w:numId w:val="1"/>
                    </w:numPr>
                    <w:jc w:val="left"/>
                    <w:rPr>
                      <w:rFonts w:hint="default" w:ascii="宋体" w:hAnsi="宋体" w:eastAsia="宋体" w:cs="宋体"/>
                      <w:szCs w:val="21"/>
                      <w:u w:val="none"/>
                      <w:lang w:val="en-US" w:eastAsia="zh-CN"/>
                    </w:rPr>
                  </w:pPr>
                  <w:r>
                    <w:rPr>
                      <w:rFonts w:hint="eastAsia" w:ascii="宋体" w:hAnsi="宋体" w:eastAsia="宋体" w:cs="宋体"/>
                      <w:b w:val="0"/>
                      <w:bCs w:val="0"/>
                      <w:color w:val="000000" w:themeColor="text1"/>
                      <w:szCs w:val="21"/>
                      <w:u w:val="none"/>
                      <w:lang w:eastAsia="zh-CN"/>
                      <w14:textFill>
                        <w14:solidFill>
                          <w14:schemeClr w14:val="tx1"/>
                        </w14:solidFill>
                      </w14:textFill>
                    </w:rPr>
                    <w:t>标</w:t>
                  </w:r>
                  <w:r>
                    <w:rPr>
                      <w:rFonts w:hint="eastAsia" w:ascii="宋体" w:hAnsi="宋体" w:eastAsia="宋体" w:cs="宋体"/>
                      <w:b w:val="0"/>
                      <w:bCs w:val="0"/>
                      <w:color w:val="000000" w:themeColor="text1"/>
                      <w:szCs w:val="21"/>
                      <w:u w:val="none"/>
                      <w14:textFill>
                        <w14:solidFill>
                          <w14:schemeClr w14:val="tx1"/>
                        </w14:solidFill>
                      </w14:textFill>
                    </w:rPr>
                    <w:t>准值</w:t>
                  </w:r>
                  <w:r>
                    <w:rPr>
                      <w:rFonts w:hint="eastAsia" w:ascii="宋体" w:hAnsi="宋体" w:eastAsia="宋体" w:cs="宋体"/>
                      <w:b w:val="0"/>
                      <w:bCs w:val="0"/>
                      <w:color w:val="000000" w:themeColor="text1"/>
                      <w:szCs w:val="21"/>
                      <w:u w:val="none"/>
                      <w:lang w:eastAsia="zh-CN"/>
                      <w14:textFill>
                        <w14:solidFill>
                          <w14:schemeClr w14:val="tx1"/>
                        </w14:solidFill>
                      </w14:textFill>
                    </w:rPr>
                    <w:t>参</w:t>
                  </w:r>
                  <w:r>
                    <w:rPr>
                      <w:rFonts w:hint="eastAsia" w:ascii="宋体" w:hAnsi="宋体" w:eastAsia="宋体" w:cs="宋体"/>
                      <w:b w:val="0"/>
                      <w:bCs w:val="0"/>
                      <w:color w:val="auto"/>
                      <w:szCs w:val="21"/>
                      <w:u w:val="none"/>
                      <w:lang w:eastAsia="zh-CN"/>
                    </w:rPr>
                    <w:t>考</w:t>
                  </w:r>
                  <w:r>
                    <w:rPr>
                      <w:rFonts w:hint="eastAsia" w:ascii="宋体" w:hAnsi="宋体" w:eastAsia="宋体" w:cs="宋体"/>
                      <w:b w:val="0"/>
                      <w:bCs w:val="0"/>
                      <w:color w:val="auto"/>
                      <w:szCs w:val="21"/>
                      <w:u w:val="none"/>
                    </w:rPr>
                    <w:t>《</w:t>
                  </w:r>
                  <w:r>
                    <w:rPr>
                      <w:rFonts w:hint="eastAsia" w:ascii="宋体" w:hAnsi="宋体" w:eastAsia="宋体" w:cs="宋体"/>
                      <w:b w:val="0"/>
                      <w:bCs w:val="0"/>
                      <w:color w:val="auto"/>
                      <w:szCs w:val="21"/>
                      <w:u w:val="none"/>
                      <w:lang w:eastAsia="zh-CN"/>
                    </w:rPr>
                    <w:t>大气污染物综合排放标准</w:t>
                  </w:r>
                  <w:r>
                    <w:rPr>
                      <w:rFonts w:hint="eastAsia" w:ascii="宋体" w:hAnsi="宋体" w:eastAsia="宋体" w:cs="宋体"/>
                      <w:b w:val="0"/>
                      <w:bCs w:val="0"/>
                      <w:color w:val="auto"/>
                      <w:szCs w:val="21"/>
                      <w:u w:val="none"/>
                    </w:rPr>
                    <w:t>》</w:t>
                  </w:r>
                  <w:r>
                    <w:rPr>
                      <w:rFonts w:hint="eastAsia" w:ascii="宋体" w:hAnsi="宋体" w:eastAsia="宋体" w:cs="宋体"/>
                      <w:b w:val="0"/>
                      <w:bCs w:val="0"/>
                      <w:color w:val="auto"/>
                      <w:szCs w:val="21"/>
                      <w:u w:val="none"/>
                      <w:lang w:eastAsia="zh-CN"/>
                    </w:rPr>
                    <w:t>（</w:t>
                  </w:r>
                  <w:r>
                    <w:rPr>
                      <w:rFonts w:hint="eastAsia" w:ascii="宋体" w:hAnsi="宋体" w:eastAsia="宋体" w:cs="宋体"/>
                      <w:b w:val="0"/>
                      <w:bCs w:val="0"/>
                      <w:color w:val="auto"/>
                      <w:szCs w:val="21"/>
                      <w:u w:val="none"/>
                      <w:lang w:val="en-US" w:eastAsia="zh-CN"/>
                    </w:rPr>
                    <w:t>GB16297-96)表2中无组织排放监控浓度限值；</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strike w:val="0"/>
                <w:dstrike w:val="0"/>
                <w:color w:val="auto"/>
                <w:sz w:val="24"/>
                <w:szCs w:val="24"/>
                <w:highlight w:val="none"/>
                <w:u w:val="none"/>
                <w:lang w:val="en-US" w:eastAsia="zh-CN"/>
              </w:rPr>
              <w:t>根据无组织废气检测结果，颗粒物、</w:t>
            </w:r>
            <w:r>
              <w:rPr>
                <w:rFonts w:hint="eastAsia" w:ascii="宋体" w:hAnsi="宋体" w:eastAsia="宋体" w:cs="宋体"/>
                <w:color w:val="auto"/>
                <w:kern w:val="0"/>
                <w:sz w:val="24"/>
                <w:szCs w:val="24"/>
                <w:u w:val="none"/>
                <w:lang w:bidi="ar"/>
              </w:rPr>
              <w:t>非甲烷总烃</w:t>
            </w:r>
            <w:r>
              <w:rPr>
                <w:rFonts w:hint="eastAsia" w:cs="Times New Roman"/>
                <w:b w:val="0"/>
                <w:bCs/>
                <w:strike w:val="0"/>
                <w:dstrike w:val="0"/>
                <w:color w:val="auto"/>
                <w:sz w:val="24"/>
                <w:szCs w:val="24"/>
                <w:highlight w:val="none"/>
                <w:u w:val="none"/>
                <w:lang w:val="en-US" w:eastAsia="zh-CN"/>
              </w:rPr>
              <w:t>能够满足《大气污染物综合排放标准》无组织排放标准限值</w:t>
            </w:r>
            <w:r>
              <w:rPr>
                <w:rFonts w:hint="eastAsia" w:ascii="宋体" w:hAnsi="宋体" w:cs="宋体"/>
                <w:b w:val="0"/>
                <w:bCs w:val="0"/>
                <w:color w:val="auto"/>
                <w:sz w:val="24"/>
                <w:szCs w:val="24"/>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bCs/>
                <w:u w:val="none"/>
                <w:lang w:val="en-US" w:eastAsia="zh-CN"/>
              </w:rPr>
            </w:pPr>
            <w:r>
              <w:rPr>
                <w:rFonts w:hint="default" w:ascii="Times New Roman" w:hAnsi="Times New Roman" w:cs="Times New Roman"/>
                <w:b w:val="0"/>
                <w:bCs w:val="0"/>
                <w:i w:val="0"/>
                <w:iCs w:val="0"/>
                <w:color w:val="000000"/>
                <w:kern w:val="0"/>
                <w:sz w:val="24"/>
                <w:szCs w:val="24"/>
                <w:u w:val="none"/>
                <w:lang w:val="en-US" w:eastAsia="zh-CN" w:bidi="ar"/>
              </w:rPr>
              <w:t>具体</w:t>
            </w:r>
            <w:r>
              <w:rPr>
                <w:rFonts w:hint="eastAsia" w:ascii="Times New Roman" w:hAnsi="Times New Roman" w:cs="Times New Roman"/>
                <w:b w:val="0"/>
                <w:bCs w:val="0"/>
                <w:i w:val="0"/>
                <w:iCs w:val="0"/>
                <w:color w:val="000000"/>
                <w:kern w:val="0"/>
                <w:sz w:val="24"/>
                <w:szCs w:val="24"/>
                <w:u w:val="none"/>
                <w:lang w:val="en-US" w:eastAsia="zh-CN" w:bidi="ar"/>
              </w:rPr>
              <w:t>产排污情况</w:t>
            </w:r>
            <w:r>
              <w:rPr>
                <w:rFonts w:hint="default" w:ascii="Times New Roman" w:hAnsi="Times New Roman" w:cs="Times New Roman"/>
                <w:b w:val="0"/>
                <w:bCs w:val="0"/>
                <w:i w:val="0"/>
                <w:iCs w:val="0"/>
                <w:color w:val="000000"/>
                <w:kern w:val="0"/>
                <w:sz w:val="24"/>
                <w:szCs w:val="24"/>
                <w:u w:val="none"/>
                <w:lang w:val="en-US" w:eastAsia="zh-CN" w:bidi="ar"/>
              </w:rPr>
              <w:t>见下表4-</w:t>
            </w:r>
            <w:r>
              <w:rPr>
                <w:rFonts w:hint="eastAsia" w:cs="Times New Roman"/>
                <w:b w:val="0"/>
                <w:bCs w:val="0"/>
                <w:i w:val="0"/>
                <w:iCs w:val="0"/>
                <w:color w:val="000000"/>
                <w:kern w:val="0"/>
                <w:sz w:val="24"/>
                <w:szCs w:val="24"/>
                <w:u w:val="none"/>
                <w:lang w:val="en-US" w:eastAsia="zh-CN" w:bidi="ar"/>
              </w:rPr>
              <w:t>4</w:t>
            </w:r>
            <w:r>
              <w:rPr>
                <w:rFonts w:hint="default" w:ascii="Times New Roman" w:hAnsi="Times New Roman" w:cs="Times New Roman"/>
                <w:b w:val="0"/>
                <w:bCs w:val="0"/>
                <w:i w:val="0"/>
                <w:iCs w:val="0"/>
                <w:color w:val="000000"/>
                <w:kern w:val="0"/>
                <w:sz w:val="24"/>
                <w:szCs w:val="24"/>
                <w:u w:val="none"/>
                <w:lang w:val="en-US" w:eastAsia="zh-CN" w:bidi="ar"/>
              </w:rPr>
              <w:t>。</w:t>
            </w:r>
          </w:p>
          <w:p>
            <w:pPr>
              <w:bidi w:val="0"/>
              <w:jc w:val="center"/>
              <w:rPr>
                <w:rFonts w:hint="eastAsia"/>
                <w:b/>
                <w:bCs/>
                <w:u w:val="none"/>
                <w:lang w:val="en-US" w:eastAsia="zh-CN"/>
              </w:rPr>
            </w:pPr>
          </w:p>
          <w:p>
            <w:pPr>
              <w:bidi w:val="0"/>
              <w:jc w:val="center"/>
              <w:rPr>
                <w:rFonts w:hint="default"/>
                <w:b/>
                <w:bCs/>
                <w:color w:val="auto"/>
                <w:u w:val="none"/>
                <w:lang w:val="en-US" w:eastAsia="zh-CN"/>
              </w:rPr>
            </w:pPr>
            <w:r>
              <w:rPr>
                <w:rFonts w:hint="eastAsia"/>
                <w:b/>
                <w:bCs/>
                <w:color w:val="auto"/>
                <w:u w:val="none"/>
                <w:lang w:val="en-US" w:eastAsia="zh-CN"/>
              </w:rPr>
              <w:t>表4-4 抛光打磨废气产排污情况一览表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34"/>
              <w:gridCol w:w="1383"/>
              <w:gridCol w:w="1470"/>
              <w:gridCol w:w="1483"/>
              <w:gridCol w:w="1531"/>
              <w:gridCol w:w="1222"/>
              <w:gridCol w:w="127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污染源</w:t>
                  </w:r>
                </w:p>
              </w:tc>
              <w:tc>
                <w:tcPr>
                  <w:tcW w:w="429" w:type="pct"/>
                  <w:vMerge w:val="restar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污染物名称</w:t>
                  </w:r>
                </w:p>
              </w:tc>
              <w:tc>
                <w:tcPr>
                  <w:tcW w:w="523" w:type="pct"/>
                  <w:vMerge w:val="restart"/>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排放方式</w:t>
                  </w:r>
                </w:p>
              </w:tc>
              <w:tc>
                <w:tcPr>
                  <w:tcW w:w="1117" w:type="pct"/>
                  <w:gridSpan w:val="2"/>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产生情况</w:t>
                  </w:r>
                </w:p>
              </w:tc>
              <w:tc>
                <w:tcPr>
                  <w:tcW w:w="579" w:type="pct"/>
                  <w:vMerge w:val="restar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采取的措施</w:t>
                  </w:r>
                </w:p>
              </w:tc>
              <w:tc>
                <w:tcPr>
                  <w:tcW w:w="943" w:type="pct"/>
                  <w:gridSpan w:val="2"/>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排放情况</w:t>
                  </w:r>
                </w:p>
              </w:tc>
              <w:tc>
                <w:tcPr>
                  <w:tcW w:w="1000" w:type="pct"/>
                  <w:vMerge w:val="restar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vAlign w:val="center"/>
                </w:tcPr>
                <w:p>
                  <w:pPr>
                    <w:pStyle w:val="2"/>
                    <w:jc w:val="center"/>
                    <w:rPr>
                      <w:rFonts w:hint="eastAsia"/>
                      <w:color w:val="auto"/>
                      <w:sz w:val="21"/>
                      <w:szCs w:val="21"/>
                      <w:u w:val="none"/>
                      <w:vertAlign w:val="baseline"/>
                      <w:lang w:val="en-US" w:eastAsia="zh-CN"/>
                    </w:rPr>
                  </w:pPr>
                </w:p>
              </w:tc>
              <w:tc>
                <w:tcPr>
                  <w:tcW w:w="429" w:type="pct"/>
                  <w:vMerge w:val="continue"/>
                  <w:vAlign w:val="center"/>
                </w:tcPr>
                <w:p>
                  <w:pPr>
                    <w:pStyle w:val="2"/>
                    <w:jc w:val="center"/>
                    <w:rPr>
                      <w:rFonts w:hint="eastAsia"/>
                      <w:color w:val="auto"/>
                      <w:sz w:val="21"/>
                      <w:szCs w:val="21"/>
                      <w:u w:val="none"/>
                      <w:vertAlign w:val="baseline"/>
                      <w:lang w:val="en-US" w:eastAsia="zh-CN"/>
                    </w:rPr>
                  </w:pPr>
                </w:p>
              </w:tc>
              <w:tc>
                <w:tcPr>
                  <w:tcW w:w="523" w:type="pct"/>
                  <w:vMerge w:val="continue"/>
                  <w:vAlign w:val="center"/>
                </w:tcPr>
                <w:p>
                  <w:pPr>
                    <w:pStyle w:val="2"/>
                    <w:jc w:val="center"/>
                    <w:rPr>
                      <w:rFonts w:hint="eastAsia"/>
                      <w:color w:val="auto"/>
                      <w:sz w:val="21"/>
                      <w:szCs w:val="21"/>
                      <w:u w:val="none"/>
                      <w:vertAlign w:val="baseline"/>
                      <w:lang w:val="en-US" w:eastAsia="zh-CN"/>
                    </w:rPr>
                  </w:pPr>
                </w:p>
              </w:tc>
              <w:tc>
                <w:tcPr>
                  <w:tcW w:w="556" w:type="pct"/>
                  <w:vAlign w:val="center"/>
                </w:tcPr>
                <w:p>
                  <w:pPr>
                    <w:pStyle w:val="2"/>
                    <w:ind w:right="113" w:rightChars="0"/>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产生量（t/a）</w:t>
                  </w:r>
                </w:p>
              </w:tc>
              <w:tc>
                <w:tcPr>
                  <w:tcW w:w="560" w:type="pct"/>
                  <w:vAlign w:val="center"/>
                </w:tcPr>
                <w:p>
                  <w:pPr>
                    <w:pStyle w:val="2"/>
                    <w:ind w:right="113" w:rightChars="0"/>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产生浓度（</w:t>
                  </w:r>
                  <w:r>
                    <w:rPr>
                      <w:rFonts w:hint="eastAsia" w:cs="Times New Roman"/>
                      <w:b w:val="0"/>
                      <w:bCs w:val="0"/>
                      <w:i w:val="0"/>
                      <w:iCs w:val="0"/>
                      <w:color w:val="auto"/>
                      <w:kern w:val="0"/>
                      <w:sz w:val="21"/>
                      <w:szCs w:val="21"/>
                      <w:u w:val="none"/>
                      <w:vertAlign w:val="baseline"/>
                      <w:lang w:val="en-US" w:eastAsia="zh-CN" w:bidi="ar"/>
                    </w:rPr>
                    <w:t>mg/m</w:t>
                  </w:r>
                  <w:r>
                    <w:rPr>
                      <w:rFonts w:hint="eastAsia" w:cs="Times New Roman"/>
                      <w:b w:val="0"/>
                      <w:bCs w:val="0"/>
                      <w:i w:val="0"/>
                      <w:iCs w:val="0"/>
                      <w:color w:val="auto"/>
                      <w:kern w:val="0"/>
                      <w:sz w:val="21"/>
                      <w:szCs w:val="21"/>
                      <w:u w:val="none"/>
                      <w:vertAlign w:val="superscript"/>
                      <w:lang w:val="en-US" w:eastAsia="zh-CN" w:bidi="ar"/>
                    </w:rPr>
                    <w:t>3</w:t>
                  </w:r>
                  <w:r>
                    <w:rPr>
                      <w:rFonts w:hint="eastAsia"/>
                      <w:color w:val="auto"/>
                      <w:sz w:val="21"/>
                      <w:szCs w:val="21"/>
                      <w:u w:val="none"/>
                      <w:vertAlign w:val="baseline"/>
                      <w:lang w:val="en-US" w:eastAsia="zh-CN"/>
                    </w:rPr>
                    <w:t>）</w:t>
                  </w:r>
                </w:p>
              </w:tc>
              <w:tc>
                <w:tcPr>
                  <w:tcW w:w="579" w:type="pct"/>
                  <w:vMerge w:val="continue"/>
                  <w:vAlign w:val="center"/>
                </w:tcPr>
                <w:p>
                  <w:pPr>
                    <w:pStyle w:val="2"/>
                    <w:jc w:val="center"/>
                    <w:rPr>
                      <w:rFonts w:hint="eastAsia"/>
                      <w:color w:val="auto"/>
                      <w:sz w:val="21"/>
                      <w:szCs w:val="21"/>
                      <w:u w:val="none"/>
                      <w:vertAlign w:val="baseline"/>
                      <w:lang w:val="en-US" w:eastAsia="zh-CN"/>
                    </w:rPr>
                  </w:pPr>
                </w:p>
              </w:tc>
              <w:tc>
                <w:tcPr>
                  <w:tcW w:w="462" w:type="pct"/>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排放量（t/a）</w:t>
                  </w:r>
                </w:p>
              </w:tc>
              <w:tc>
                <w:tcPr>
                  <w:tcW w:w="481" w:type="pct"/>
                  <w:vAlign w:val="center"/>
                </w:tcPr>
                <w:p>
                  <w:pPr>
                    <w:pStyle w:val="2"/>
                    <w:jc w:val="center"/>
                    <w:rPr>
                      <w:rFonts w:hint="eastAsia"/>
                      <w:color w:val="auto"/>
                      <w:sz w:val="21"/>
                      <w:szCs w:val="21"/>
                      <w:u w:val="none"/>
                      <w:vertAlign w:val="baseline"/>
                      <w:lang w:val="en-US" w:eastAsia="zh-CN"/>
                    </w:rPr>
                  </w:pPr>
                  <w:r>
                    <w:rPr>
                      <w:rFonts w:hint="eastAsia"/>
                      <w:color w:val="auto"/>
                      <w:sz w:val="21"/>
                      <w:szCs w:val="21"/>
                      <w:u w:val="none"/>
                      <w:vertAlign w:val="baseline"/>
                      <w:lang w:val="en-US" w:eastAsia="zh-CN"/>
                    </w:rPr>
                    <w:t>排放浓度（</w:t>
                  </w:r>
                  <w:r>
                    <w:rPr>
                      <w:rFonts w:hint="eastAsia" w:cs="Times New Roman"/>
                      <w:b w:val="0"/>
                      <w:bCs w:val="0"/>
                      <w:i w:val="0"/>
                      <w:iCs w:val="0"/>
                      <w:color w:val="auto"/>
                      <w:kern w:val="0"/>
                      <w:sz w:val="21"/>
                      <w:szCs w:val="21"/>
                      <w:u w:val="none"/>
                      <w:vertAlign w:val="baseline"/>
                      <w:lang w:val="en-US" w:eastAsia="zh-CN" w:bidi="ar"/>
                    </w:rPr>
                    <w:t>mg/m</w:t>
                  </w:r>
                  <w:r>
                    <w:rPr>
                      <w:rFonts w:hint="eastAsia" w:cs="Times New Roman"/>
                      <w:b w:val="0"/>
                      <w:bCs w:val="0"/>
                      <w:i w:val="0"/>
                      <w:iCs w:val="0"/>
                      <w:color w:val="auto"/>
                      <w:kern w:val="0"/>
                      <w:sz w:val="21"/>
                      <w:szCs w:val="21"/>
                      <w:u w:val="none"/>
                      <w:vertAlign w:val="superscript"/>
                      <w:lang w:val="en-US" w:eastAsia="zh-CN" w:bidi="ar"/>
                    </w:rPr>
                    <w:t>3</w:t>
                  </w:r>
                  <w:r>
                    <w:rPr>
                      <w:rFonts w:hint="eastAsia"/>
                      <w:color w:val="auto"/>
                      <w:sz w:val="21"/>
                      <w:szCs w:val="21"/>
                      <w:u w:val="none"/>
                      <w:vertAlign w:val="baseline"/>
                      <w:lang w:val="en-US" w:eastAsia="zh-CN"/>
                    </w:rPr>
                    <w:t>）</w:t>
                  </w:r>
                </w:p>
              </w:tc>
              <w:tc>
                <w:tcPr>
                  <w:tcW w:w="1000" w:type="pct"/>
                  <w:vMerge w:val="continue"/>
                  <w:vAlign w:val="center"/>
                </w:tcPr>
                <w:p>
                  <w:pPr>
                    <w:pStyle w:val="2"/>
                    <w:jc w:val="center"/>
                    <w:rPr>
                      <w:rFonts w:hint="eastAsia"/>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06"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抛光打磨工序</w:t>
                  </w:r>
                </w:p>
              </w:tc>
              <w:tc>
                <w:tcPr>
                  <w:tcW w:w="429"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颗粒物</w:t>
                  </w:r>
                </w:p>
              </w:tc>
              <w:tc>
                <w:tcPr>
                  <w:tcW w:w="523" w:type="pct"/>
                  <w:vAlign w:val="center"/>
                </w:tcPr>
                <w:p>
                  <w:pPr>
                    <w:pStyle w:val="2"/>
                    <w:jc w:val="center"/>
                    <w:rPr>
                      <w:rFonts w:hint="eastAsia"/>
                      <w:color w:val="auto"/>
                      <w:sz w:val="21"/>
                      <w:szCs w:val="21"/>
                      <w:u w:val="none"/>
                      <w:vertAlign w:val="baseline"/>
                      <w:lang w:val="en-US" w:eastAsia="zh-CN"/>
                    </w:rPr>
                  </w:pPr>
                  <w:r>
                    <w:rPr>
                      <w:rFonts w:hint="eastAsia" w:cs="Times New Roman"/>
                      <w:b w:val="0"/>
                      <w:bCs w:val="0"/>
                      <w:i w:val="0"/>
                      <w:iCs w:val="0"/>
                      <w:color w:val="auto"/>
                      <w:kern w:val="0"/>
                      <w:sz w:val="21"/>
                      <w:szCs w:val="21"/>
                      <w:u w:val="none"/>
                      <w:lang w:val="en-US" w:eastAsia="zh-CN" w:bidi="ar"/>
                    </w:rPr>
                    <w:t>无组织</w:t>
                  </w:r>
                </w:p>
              </w:tc>
              <w:tc>
                <w:tcPr>
                  <w:tcW w:w="556"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26.4</w:t>
                  </w:r>
                </w:p>
              </w:tc>
              <w:tc>
                <w:tcPr>
                  <w:tcW w:w="560"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3666.7</w:t>
                  </w:r>
                </w:p>
              </w:tc>
              <w:tc>
                <w:tcPr>
                  <w:tcW w:w="579" w:type="pct"/>
                  <w:vAlign w:val="center"/>
                </w:tcPr>
                <w:p>
                  <w:pPr>
                    <w:pStyle w:val="2"/>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布袋除尘器收集处理后无组织排放</w:t>
                  </w:r>
                </w:p>
              </w:tc>
              <w:tc>
                <w:tcPr>
                  <w:tcW w:w="462" w:type="pct"/>
                  <w:vAlign w:val="center"/>
                </w:tcPr>
                <w:p>
                  <w:pPr>
                    <w:pStyle w:val="2"/>
                    <w:ind w:right="113" w:rightChars="0"/>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0.264</w:t>
                  </w:r>
                </w:p>
              </w:tc>
              <w:tc>
                <w:tcPr>
                  <w:tcW w:w="481" w:type="pct"/>
                  <w:vAlign w:val="center"/>
                </w:tcPr>
                <w:p>
                  <w:pPr>
                    <w:pStyle w:val="2"/>
                    <w:ind w:right="113" w:rightChars="0"/>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36.67</w:t>
                  </w:r>
                </w:p>
              </w:tc>
              <w:tc>
                <w:tcPr>
                  <w:tcW w:w="1000" w:type="pct"/>
                  <w:vAlign w:val="center"/>
                </w:tcPr>
                <w:p>
                  <w:pPr>
                    <w:pStyle w:val="2"/>
                    <w:jc w:val="center"/>
                    <w:rPr>
                      <w:rFonts w:hint="default"/>
                      <w:color w:val="auto"/>
                      <w:sz w:val="21"/>
                      <w:szCs w:val="21"/>
                      <w:u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《大气污染物综合排放标准》（GB16297-1996）无组织排放标准限值</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s="Times New Roman"/>
                <w:color w:val="auto"/>
                <w:sz w:val="24"/>
                <w:szCs w:val="24"/>
                <w:u w:val="none"/>
                <w:lang w:val="en-US" w:eastAsia="zh-CN"/>
              </w:rPr>
            </w:pPr>
            <w:r>
              <w:rPr>
                <w:rFonts w:hint="eastAsia" w:cs="Times New Roman"/>
                <w:color w:val="auto"/>
                <w:sz w:val="24"/>
                <w:szCs w:val="24"/>
                <w:u w:val="none"/>
                <w:lang w:val="en-US" w:eastAsia="zh-CN"/>
              </w:rPr>
              <w:t>综上所述，项目产生的废气经上述措施处理后，不会对项目周围大气环境产生明显的影响。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cs="Times New Roman"/>
                <w:color w:val="auto"/>
                <w:sz w:val="24"/>
                <w:szCs w:val="24"/>
                <w:u w:val="none"/>
                <w:lang w:val="en-US" w:eastAsia="zh-CN"/>
              </w:rPr>
            </w:pPr>
            <w:r>
              <w:rPr>
                <w:rFonts w:hint="eastAsia" w:cs="Times New Roman"/>
                <w:color w:val="auto"/>
                <w:sz w:val="24"/>
                <w:szCs w:val="24"/>
                <w:u w:val="none"/>
                <w:lang w:val="en-US" w:eastAsia="zh-CN"/>
              </w:rPr>
              <w:t>2、</w:t>
            </w:r>
            <w:r>
              <w:rPr>
                <w:rFonts w:hint="default" w:cs="Times New Roman"/>
                <w:color w:val="auto"/>
                <w:sz w:val="24"/>
                <w:szCs w:val="24"/>
                <w:u w:val="none"/>
                <w:lang w:val="en-US" w:eastAsia="zh-CN"/>
              </w:rPr>
              <w:t>废气污染治理技术可行性分析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olor w:val="auto"/>
                <w:sz w:val="24"/>
                <w:szCs w:val="24"/>
                <w:u w:val="none"/>
                <w:lang w:val="en-US" w:eastAsia="zh-CN"/>
              </w:rPr>
            </w:pPr>
            <w:r>
              <w:rPr>
                <w:rFonts w:hint="eastAsia" w:cs="Times New Roman"/>
                <w:color w:val="auto"/>
                <w:sz w:val="24"/>
                <w:szCs w:val="24"/>
                <w:u w:val="none"/>
                <w:lang w:val="en-US" w:eastAsia="zh-CN"/>
              </w:rPr>
              <w:t>本项目废气主要为粘胶制管烘干过程中会产生挥发性有机物（本项目以非甲烷总烃计）、天然气燃烧过程中产生的颗粒物、SO</w:t>
            </w:r>
            <w:r>
              <w:rPr>
                <w:rFonts w:hint="eastAsia" w:cs="Times New Roman"/>
                <w:color w:val="auto"/>
                <w:sz w:val="24"/>
                <w:szCs w:val="24"/>
                <w:u w:val="none"/>
                <w:vertAlign w:val="subscript"/>
                <w:lang w:val="en-US" w:eastAsia="zh-CN"/>
              </w:rPr>
              <w:t>2</w:t>
            </w:r>
            <w:r>
              <w:rPr>
                <w:rFonts w:hint="eastAsia" w:cs="Times New Roman"/>
                <w:color w:val="auto"/>
                <w:sz w:val="24"/>
                <w:szCs w:val="24"/>
                <w:u w:val="none"/>
                <w:lang w:val="en-US" w:eastAsia="zh-CN"/>
              </w:rPr>
              <w:t>、NO</w:t>
            </w:r>
            <w:r>
              <w:rPr>
                <w:rFonts w:hint="eastAsia" w:cs="Times New Roman"/>
                <w:color w:val="auto"/>
                <w:sz w:val="24"/>
                <w:szCs w:val="24"/>
                <w:u w:val="none"/>
                <w:vertAlign w:val="subscript"/>
                <w:lang w:val="en-US" w:eastAsia="zh-CN"/>
              </w:rPr>
              <w:t>X</w:t>
            </w:r>
            <w:r>
              <w:rPr>
                <w:rFonts w:hint="eastAsia" w:cs="Times New Roman"/>
                <w:color w:val="auto"/>
                <w:sz w:val="24"/>
                <w:szCs w:val="24"/>
                <w:u w:val="none"/>
                <w:lang w:val="en-US" w:eastAsia="zh-CN"/>
              </w:rPr>
              <w:t>以及抛光打磨工序产生的颗粒物，根据《排污许可证申请与核发规范 总则》（HJ942-2018）中废气治理设施工艺包括除尘设施（袋式除尘、电除尘器、其他</w:t>
            </w:r>
            <w:r>
              <w:rPr>
                <w:rFonts w:hint="eastAsia"/>
                <w:color w:val="auto"/>
                <w:sz w:val="24"/>
                <w:szCs w:val="24"/>
                <w:u w:val="none"/>
                <w:lang w:val="en-US" w:eastAsia="zh-CN"/>
              </w:rPr>
              <w:t>等）、脱硝设施、有机废气收集处理设施等；本项目涉及颗粒物除尘以及烘干产生的挥发性有机物，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①本项目天然气燃烧废气无组织排放，天然气为清洁能源，污染物排放浓度能够达到《大气污染物综合排放标准》（GB16297-1996）无组织排放标准限值；烘干产生的挥发性有机物根据《2020年挥发性有机物污染防治攻坚方案》可知，使用的原辅材料VOCs 含量（质量比）均低于10%的工序，可不要求采取无组织排放收集和处理措施，因此本项目烘干工序VOCs （以非甲烷总烃计）无需采取措施，能够满足《大气污染物综合排放标准》（GB16297-1996）非甲烷总烃无组织排放标准限值。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olor w:val="auto"/>
                <w:sz w:val="24"/>
                <w:szCs w:val="24"/>
                <w:u w:val="none"/>
                <w:lang w:eastAsia="zh-CN"/>
              </w:rPr>
            </w:pPr>
            <w:r>
              <w:rPr>
                <w:rFonts w:hint="eastAsia"/>
                <w:color w:val="auto"/>
                <w:sz w:val="24"/>
                <w:szCs w:val="24"/>
                <w:u w:val="none"/>
                <w:lang w:val="en-US" w:eastAsia="zh-CN"/>
              </w:rPr>
              <w:t>②抛光打磨颗粒物设置了布袋除尘器处理，布袋除尘器工作原理是将含尘气体由进气口进入灰斗、或通过敞开法兰口进入滤袋室，含尘气体透过滤袋为净气进入净气室，再经净气室排气口，由风机排走，袋式除尘去除效率一般可达99%以上，经计算颗粒物排放浓度能够满足</w:t>
            </w:r>
            <w:r>
              <w:rPr>
                <w:rFonts w:hint="eastAsia"/>
                <w:color w:val="auto"/>
                <w:sz w:val="24"/>
                <w:szCs w:val="24"/>
                <w:u w:val="none"/>
                <w:lang w:eastAsia="zh-CN"/>
              </w:rPr>
              <w:t>《大气污染物综合排放标准》（</w:t>
            </w:r>
            <w:r>
              <w:rPr>
                <w:rFonts w:hint="eastAsia"/>
                <w:color w:val="auto"/>
                <w:sz w:val="24"/>
                <w:szCs w:val="24"/>
                <w:u w:val="none"/>
                <w:lang w:val="en-US" w:eastAsia="zh-CN"/>
              </w:rPr>
              <w:t>GB16297-1996</w:t>
            </w:r>
            <w:r>
              <w:rPr>
                <w:rFonts w:hint="eastAsia"/>
                <w:color w:val="auto"/>
                <w:sz w:val="24"/>
                <w:szCs w:val="24"/>
                <w:u w:val="none"/>
                <w:lang w:eastAsia="zh-CN"/>
              </w:rPr>
              <w:t>）无组织排放标准限值；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color w:val="auto"/>
                <w:sz w:val="24"/>
                <w:szCs w:val="24"/>
                <w:u w:val="none"/>
                <w:lang w:eastAsia="zh-CN"/>
              </w:rPr>
            </w:pPr>
            <w:r>
              <w:rPr>
                <w:rFonts w:hint="eastAsia"/>
                <w:color w:val="auto"/>
                <w:sz w:val="24"/>
                <w:szCs w:val="24"/>
                <w:u w:val="none"/>
                <w:lang w:val="en-US" w:eastAsia="zh-CN"/>
              </w:rPr>
              <w:t>③</w:t>
            </w:r>
            <w:r>
              <w:rPr>
                <w:rFonts w:hint="eastAsia"/>
                <w:color w:val="auto"/>
                <w:sz w:val="24"/>
                <w:szCs w:val="24"/>
                <w:u w:val="none"/>
                <w:lang w:eastAsia="zh-CN"/>
              </w:rPr>
              <w:t>因此，因此本项目废气治理设施可行。</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二、废水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eastAsia" w:ascii="Times New Roman" w:hAnsi="Times New Roman" w:cs="Times New Roman"/>
                <w:color w:val="auto"/>
                <w:sz w:val="24"/>
                <w:szCs w:val="24"/>
                <w:u w:val="none"/>
                <w:lang w:eastAsia="zh-CN"/>
              </w:rPr>
            </w:pPr>
            <w:r>
              <w:rPr>
                <w:rFonts w:hint="eastAsia" w:ascii="Times New Roman" w:hAnsi="Times New Roman" w:cs="Times New Roman"/>
                <w:color w:val="auto"/>
                <w:sz w:val="24"/>
                <w:szCs w:val="24"/>
                <w:u w:val="none"/>
                <w:lang w:eastAsia="zh-CN"/>
              </w:rPr>
              <w:t>根据企业介绍，本次扩建项目未新增工作人员，因此生活废水量不变。</w:t>
            </w:r>
            <w:r>
              <w:rPr>
                <w:rFonts w:hint="eastAsia" w:cs="Times New Roman"/>
                <w:color w:val="auto"/>
                <w:sz w:val="24"/>
                <w:szCs w:val="24"/>
                <w:u w:val="none"/>
                <w:lang w:eastAsia="zh-CN"/>
              </w:rPr>
              <w:t>本项目根据工艺不产生生产废水。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三、噪声</w:t>
            </w:r>
          </w:p>
          <w:p>
            <w:pPr>
              <w:pStyle w:val="2"/>
              <w:spacing w:before="0" w:after="0" w:line="360" w:lineRule="auto"/>
              <w:jc w:val="center"/>
              <w:rPr>
                <w:rFonts w:hint="default"/>
                <w:color w:val="auto"/>
                <w:u w:val="none"/>
              </w:rPr>
            </w:pPr>
            <w:r>
              <w:rPr>
                <w:rFonts w:hint="default" w:ascii="Times New Roman" w:hAnsi="Times New Roman" w:cs="Times New Roman"/>
                <w:b/>
                <w:bCs/>
                <w:color w:val="auto"/>
                <w:sz w:val="21"/>
                <w:szCs w:val="21"/>
                <w:u w:val="none"/>
              </w:rPr>
              <w:t>表4-</w:t>
            </w:r>
            <w:r>
              <w:rPr>
                <w:rFonts w:hint="eastAsia" w:cs="Times New Roman"/>
                <w:b/>
                <w:bCs/>
                <w:color w:val="auto"/>
                <w:sz w:val="21"/>
                <w:szCs w:val="21"/>
                <w:u w:val="none"/>
                <w:lang w:val="en-US" w:eastAsia="zh-CN"/>
              </w:rPr>
              <w:t>5</w:t>
            </w:r>
            <w:r>
              <w:rPr>
                <w:rFonts w:hint="default" w:ascii="Times New Roman" w:hAnsi="Times New Roman" w:cs="Times New Roman"/>
                <w:b/>
                <w:bCs/>
                <w:color w:val="auto"/>
                <w:sz w:val="21"/>
                <w:szCs w:val="21"/>
                <w:u w:val="none"/>
              </w:rPr>
              <w:t xml:space="preserve"> </w:t>
            </w:r>
            <w:r>
              <w:rPr>
                <w:rFonts w:hint="eastAsia" w:cs="Times New Roman"/>
                <w:b/>
                <w:bCs/>
                <w:color w:val="auto"/>
                <w:sz w:val="21"/>
                <w:szCs w:val="21"/>
                <w:u w:val="none"/>
                <w:lang w:eastAsia="zh-CN"/>
              </w:rPr>
              <w:t>扩建项目</w:t>
            </w:r>
            <w:r>
              <w:rPr>
                <w:rFonts w:hint="default" w:ascii="Times New Roman" w:hAnsi="Times New Roman" w:cs="Times New Roman"/>
                <w:b/>
                <w:bCs/>
                <w:color w:val="auto"/>
                <w:sz w:val="21"/>
                <w:szCs w:val="21"/>
                <w:u w:val="none"/>
              </w:rPr>
              <w:t>噪声产排情况</w:t>
            </w:r>
          </w:p>
          <w:tbl>
            <w:tblPr>
              <w:tblStyle w:val="29"/>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868"/>
              <w:gridCol w:w="1868"/>
              <w:gridCol w:w="1868"/>
              <w:gridCol w:w="1868"/>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9"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噪声源</w:t>
                  </w:r>
                </w:p>
              </w:tc>
              <w:tc>
                <w:tcPr>
                  <w:tcW w:w="1891"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编号</w:t>
                  </w:r>
                </w:p>
              </w:tc>
              <w:tc>
                <w:tcPr>
                  <w:tcW w:w="1891"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产生强度</w:t>
                  </w:r>
                  <w:r>
                    <w:rPr>
                      <w:rFonts w:hint="default" w:ascii="Times New Roman" w:hAnsi="Times New Roman" w:cs="Times New Roman"/>
                      <w:color w:val="auto"/>
                      <w:sz w:val="21"/>
                      <w:szCs w:val="21"/>
                      <w:u w:val="none"/>
                    </w:rPr>
                    <w:t>dB（A）</w:t>
                  </w:r>
                </w:p>
              </w:tc>
              <w:tc>
                <w:tcPr>
                  <w:tcW w:w="1891"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降噪措施</w:t>
                  </w:r>
                </w:p>
              </w:tc>
              <w:tc>
                <w:tcPr>
                  <w:tcW w:w="1891"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排放强度</w:t>
                  </w:r>
                  <w:r>
                    <w:rPr>
                      <w:rFonts w:hint="default" w:ascii="Times New Roman" w:hAnsi="Times New Roman" w:cs="Times New Roman"/>
                      <w:color w:val="auto"/>
                      <w:sz w:val="21"/>
                      <w:szCs w:val="21"/>
                      <w:u w:val="none"/>
                    </w:rPr>
                    <w:t>dB（A）</w:t>
                  </w:r>
                </w:p>
              </w:tc>
              <w:tc>
                <w:tcPr>
                  <w:tcW w:w="1894"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持续时间</w:t>
                  </w:r>
                </w:p>
              </w:tc>
              <w:tc>
                <w:tcPr>
                  <w:tcW w:w="1894" w:type="dxa"/>
                  <w:vAlign w:val="center"/>
                </w:tcPr>
                <w:p>
                  <w:pPr>
                    <w:pStyle w:val="2"/>
                    <w:spacing w:before="0" w:after="0" w:line="240" w:lineRule="auto"/>
                    <w:ind w:right="0"/>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9" w:type="dxa"/>
                  <w:vAlign w:val="center"/>
                </w:tcPr>
                <w:p>
                  <w:pPr>
                    <w:autoSpaceDE w:val="0"/>
                    <w:autoSpaceDN w:val="0"/>
                    <w:adjustRightInd w:val="0"/>
                    <w:jc w:val="center"/>
                    <w:rPr>
                      <w:rFonts w:hint="default" w:ascii="Times New Roman" w:hAnsi="Times New Roman" w:cs="Times New Roman"/>
                      <w:color w:val="auto"/>
                      <w:sz w:val="21"/>
                      <w:szCs w:val="21"/>
                      <w:u w:val="none"/>
                    </w:rPr>
                  </w:pPr>
                  <w:r>
                    <w:rPr>
                      <w:rFonts w:hint="default" w:ascii="Times New Roman" w:hAnsi="Times New Roman" w:cs="Times New Roman"/>
                      <w:b w:val="0"/>
                      <w:bCs w:val="0"/>
                      <w:color w:val="auto"/>
                      <w:kern w:val="0"/>
                      <w:sz w:val="21"/>
                      <w:szCs w:val="21"/>
                      <w:u w:val="none"/>
                      <w:lang w:val="en-US" w:eastAsia="zh-CN"/>
                    </w:rPr>
                    <w:t>天然气加热器</w:t>
                  </w:r>
                  <w:r>
                    <w:rPr>
                      <w:rFonts w:hint="default" w:ascii="Times New Roman" w:hAnsi="Times New Roman" w:cs="Times New Roman"/>
                      <w:b w:val="0"/>
                      <w:bCs w:val="0"/>
                      <w:color w:val="auto"/>
                      <w:kern w:val="0"/>
                      <w:sz w:val="21"/>
                      <w:szCs w:val="21"/>
                      <w:u w:val="none"/>
                      <w:lang w:val="zh-CN"/>
                    </w:rPr>
                    <w:t>烘房（DTY）</w:t>
                  </w:r>
                </w:p>
              </w:tc>
              <w:tc>
                <w:tcPr>
                  <w:tcW w:w="1891"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MF</w:t>
                  </w:r>
                  <w:r>
                    <w:rPr>
                      <w:rFonts w:hint="default" w:ascii="Times New Roman" w:hAnsi="Times New Roman" w:cs="Times New Roman"/>
                      <w:color w:val="auto"/>
                      <w:sz w:val="21"/>
                      <w:szCs w:val="21"/>
                      <w:u w:val="none"/>
                    </w:rPr>
                    <w:t>00</w:t>
                  </w:r>
                  <w:r>
                    <w:rPr>
                      <w:rFonts w:hint="eastAsia" w:cs="Times New Roman"/>
                      <w:color w:val="auto"/>
                      <w:sz w:val="21"/>
                      <w:szCs w:val="21"/>
                      <w:u w:val="none"/>
                      <w:lang w:val="en-US" w:eastAsia="zh-CN"/>
                    </w:rPr>
                    <w:t>0</w:t>
                  </w:r>
                  <w:r>
                    <w:rPr>
                      <w:rFonts w:hint="default" w:ascii="Times New Roman" w:hAnsi="Times New Roman" w:cs="Times New Roman"/>
                      <w:color w:val="auto"/>
                      <w:sz w:val="21"/>
                      <w:szCs w:val="21"/>
                      <w:u w:val="none"/>
                    </w:rPr>
                    <w:t>1</w:t>
                  </w:r>
                </w:p>
              </w:tc>
              <w:tc>
                <w:tcPr>
                  <w:tcW w:w="1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 w:val="21"/>
                      <w:szCs w:val="21"/>
                      <w:u w:val="none"/>
                      <w:lang w:val="en-US"/>
                    </w:rPr>
                  </w:pPr>
                  <w:r>
                    <w:rPr>
                      <w:rFonts w:hint="eastAsia" w:cs="Times New Roman"/>
                      <w:color w:val="auto"/>
                      <w:u w:val="none"/>
                      <w:lang w:val="en-US" w:eastAsia="zh-CN"/>
                    </w:rPr>
                    <w:t>90</w:t>
                  </w:r>
                </w:p>
              </w:tc>
              <w:tc>
                <w:tcPr>
                  <w:tcW w:w="1891" w:type="dxa"/>
                  <w:vMerge w:val="restart"/>
                  <w:vAlign w:val="center"/>
                </w:tcPr>
                <w:p>
                  <w:pPr>
                    <w:pStyle w:val="2"/>
                    <w:spacing w:before="0" w:after="0" w:line="240" w:lineRule="auto"/>
                    <w:ind w:right="0"/>
                    <w:jc w:val="center"/>
                    <w:rPr>
                      <w:rFonts w:hint="eastAsia"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加装减震垫片、厂房隔声、强化设备保养、优化设备布置，</w:t>
                  </w:r>
                  <w:r>
                    <w:rPr>
                      <w:rFonts w:hint="eastAsia" w:cs="Times New Roman"/>
                      <w:color w:val="auto"/>
                      <w:sz w:val="21"/>
                      <w:szCs w:val="21"/>
                      <w:u w:val="none"/>
                      <w:lang w:eastAsia="zh-CN"/>
                    </w:rPr>
                    <w:t>选择低噪声设备</w:t>
                  </w:r>
                </w:p>
              </w:tc>
              <w:tc>
                <w:tcPr>
                  <w:tcW w:w="1891" w:type="dxa"/>
                  <w:vAlign w:val="center"/>
                </w:tcPr>
                <w:p>
                  <w:pPr>
                    <w:pStyle w:val="2"/>
                    <w:spacing w:before="0" w:after="0" w:line="240" w:lineRule="auto"/>
                    <w:ind w:right="0" w:rightChars="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75</w:t>
                  </w:r>
                </w:p>
              </w:tc>
              <w:tc>
                <w:tcPr>
                  <w:tcW w:w="1894" w:type="dxa"/>
                  <w:vAlign w:val="center"/>
                </w:tcPr>
                <w:p>
                  <w:pPr>
                    <w:pStyle w:val="2"/>
                    <w:spacing w:before="0" w:after="0" w:line="240" w:lineRule="auto"/>
                    <w:ind w:right="0" w:rightChars="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8小时</w:t>
                  </w:r>
                </w:p>
              </w:tc>
              <w:tc>
                <w:tcPr>
                  <w:tcW w:w="1894" w:type="dxa"/>
                  <w:vMerge w:val="restart"/>
                  <w:vAlign w:val="center"/>
                </w:tcPr>
                <w:p>
                  <w:pPr>
                    <w:pStyle w:val="2"/>
                    <w:spacing w:before="0" w:after="0" w:line="240" w:lineRule="auto"/>
                    <w:ind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rPr>
                    <w:t>《工业企业厂界环境噪声排放标准》（GB12348-2008）表1中3类标准</w:t>
                  </w:r>
                  <w:r>
                    <w:rPr>
                      <w:rFonts w:hint="eastAsia" w:cs="Times New Roman"/>
                      <w:color w:val="auto"/>
                      <w:sz w:val="21"/>
                      <w:szCs w:val="21"/>
                      <w:u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9" w:type="dxa"/>
                  <w:vAlign w:val="center"/>
                </w:tcPr>
                <w:p>
                  <w:pPr>
                    <w:autoSpaceDE w:val="0"/>
                    <w:autoSpaceDN w:val="0"/>
                    <w:adjustRightInd w:val="0"/>
                    <w:jc w:val="center"/>
                    <w:rPr>
                      <w:rFonts w:hint="default" w:ascii="Times New Roman" w:hAnsi="Times New Roman" w:cs="Times New Roman"/>
                      <w:color w:val="auto"/>
                      <w:sz w:val="21"/>
                      <w:szCs w:val="21"/>
                      <w:u w:val="none"/>
                    </w:rPr>
                  </w:pPr>
                  <w:r>
                    <w:rPr>
                      <w:rFonts w:hint="default" w:ascii="Times New Roman" w:hAnsi="Times New Roman" w:cs="Times New Roman"/>
                      <w:b w:val="0"/>
                      <w:bCs w:val="0"/>
                      <w:color w:val="auto"/>
                      <w:kern w:val="0"/>
                      <w:sz w:val="21"/>
                      <w:szCs w:val="21"/>
                      <w:u w:val="none"/>
                      <w:lang w:val="en-US" w:eastAsia="zh-CN"/>
                    </w:rPr>
                    <w:t>天然气加热器</w:t>
                  </w:r>
                  <w:r>
                    <w:rPr>
                      <w:rFonts w:hint="default" w:ascii="Times New Roman" w:hAnsi="Times New Roman" w:cs="Times New Roman"/>
                      <w:b w:val="0"/>
                      <w:bCs w:val="0"/>
                      <w:color w:val="auto"/>
                      <w:kern w:val="0"/>
                      <w:sz w:val="21"/>
                      <w:szCs w:val="21"/>
                      <w:u w:val="none"/>
                      <w:lang w:val="zh-CN"/>
                    </w:rPr>
                    <w:t>烘房</w:t>
                  </w:r>
                </w:p>
              </w:tc>
              <w:tc>
                <w:tcPr>
                  <w:tcW w:w="1891"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MF</w:t>
                  </w:r>
                  <w:r>
                    <w:rPr>
                      <w:rFonts w:hint="default" w:ascii="Times New Roman" w:hAnsi="Times New Roman" w:cs="Times New Roman"/>
                      <w:color w:val="auto"/>
                      <w:sz w:val="21"/>
                      <w:szCs w:val="21"/>
                      <w:u w:val="none"/>
                    </w:rPr>
                    <w:t>002</w:t>
                  </w:r>
                </w:p>
              </w:tc>
              <w:tc>
                <w:tcPr>
                  <w:tcW w:w="189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 w:val="21"/>
                      <w:szCs w:val="21"/>
                      <w:u w:val="none"/>
                      <w:lang w:val="en-US"/>
                    </w:rPr>
                  </w:pPr>
                  <w:r>
                    <w:rPr>
                      <w:rFonts w:hint="eastAsia" w:cs="Times New Roman"/>
                      <w:color w:val="auto"/>
                      <w:u w:val="none"/>
                      <w:lang w:val="en-US" w:eastAsia="zh-CN"/>
                    </w:rPr>
                    <w:t>80</w:t>
                  </w:r>
                </w:p>
              </w:tc>
              <w:tc>
                <w:tcPr>
                  <w:tcW w:w="189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u w:val="none"/>
                    </w:rPr>
                  </w:pPr>
                </w:p>
              </w:tc>
              <w:tc>
                <w:tcPr>
                  <w:tcW w:w="1891"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65</w:t>
                  </w:r>
                </w:p>
              </w:tc>
              <w:tc>
                <w:tcPr>
                  <w:tcW w:w="1894"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8小时</w:t>
                  </w:r>
                </w:p>
              </w:tc>
              <w:tc>
                <w:tcPr>
                  <w:tcW w:w="1894"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autoSpaceDE w:val="0"/>
                    <w:autoSpaceDN w:val="0"/>
                    <w:adjustRightInd w:val="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b w:val="0"/>
                      <w:bCs w:val="0"/>
                      <w:kern w:val="0"/>
                      <w:sz w:val="21"/>
                      <w:szCs w:val="21"/>
                      <w:u w:val="none"/>
                      <w:lang w:val="en-US" w:eastAsia="zh-CN"/>
                    </w:rPr>
                    <w:t>空气能</w:t>
                  </w:r>
                  <w:r>
                    <w:rPr>
                      <w:rFonts w:hint="default" w:ascii="Times New Roman" w:hAnsi="Times New Roman" w:cs="Times New Roman"/>
                      <w:b w:val="0"/>
                      <w:bCs w:val="0"/>
                      <w:kern w:val="0"/>
                      <w:sz w:val="21"/>
                      <w:szCs w:val="21"/>
                      <w:u w:val="none"/>
                      <w:lang w:val="zh-CN"/>
                    </w:rPr>
                    <w:t>烘房（工业管</w:t>
                  </w:r>
                </w:p>
              </w:tc>
              <w:tc>
                <w:tcPr>
                  <w:tcW w:w="1891" w:type="dxa"/>
                  <w:vAlign w:val="center"/>
                </w:tcPr>
                <w:p>
                  <w:pPr>
                    <w:pStyle w:val="2"/>
                    <w:spacing w:before="0" w:after="0" w:line="240" w:lineRule="auto"/>
                    <w:ind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MF</w:t>
                  </w:r>
                  <w:r>
                    <w:rPr>
                      <w:rFonts w:hint="default" w:ascii="Times New Roman" w:hAnsi="Times New Roman" w:cs="Times New Roman"/>
                      <w:color w:val="auto"/>
                      <w:sz w:val="21"/>
                      <w:szCs w:val="21"/>
                      <w:u w:val="none"/>
                    </w:rPr>
                    <w:t>00</w:t>
                  </w:r>
                  <w:r>
                    <w:rPr>
                      <w:rFonts w:hint="eastAsia" w:cs="Times New Roman"/>
                      <w:color w:val="auto"/>
                      <w:sz w:val="21"/>
                      <w:szCs w:val="21"/>
                      <w:u w:val="none"/>
                      <w:lang w:val="en-US" w:eastAsia="zh-CN"/>
                    </w:rPr>
                    <w:t>3</w:t>
                  </w:r>
                </w:p>
              </w:tc>
              <w:tc>
                <w:tcPr>
                  <w:tcW w:w="1891" w:type="dxa"/>
                  <w:vAlign w:val="center"/>
                </w:tcPr>
                <w:p>
                  <w:pPr>
                    <w:jc w:val="center"/>
                    <w:rPr>
                      <w:rFonts w:hint="default" w:ascii="Times New Roman" w:hAnsi="Times New Roman" w:cs="Times New Roman"/>
                      <w:color w:val="auto"/>
                      <w:sz w:val="21"/>
                      <w:szCs w:val="21"/>
                      <w:u w:val="none"/>
                      <w:lang w:val="en-US"/>
                    </w:rPr>
                  </w:pPr>
                  <w:r>
                    <w:rPr>
                      <w:rFonts w:hint="eastAsia" w:cs="Times New Roman"/>
                      <w:color w:val="auto"/>
                      <w:u w:val="none"/>
                      <w:lang w:val="en-US" w:eastAsia="zh-CN"/>
                    </w:rPr>
                    <w:t>80</w:t>
                  </w:r>
                </w:p>
              </w:tc>
              <w:tc>
                <w:tcPr>
                  <w:tcW w:w="1891"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u w:val="none"/>
                    </w:rPr>
                  </w:pPr>
                </w:p>
              </w:tc>
              <w:tc>
                <w:tcPr>
                  <w:tcW w:w="1891" w:type="dxa"/>
                  <w:vAlign w:val="center"/>
                </w:tcPr>
                <w:p>
                  <w:pPr>
                    <w:pStyle w:val="2"/>
                    <w:spacing w:before="0" w:after="0" w:line="240" w:lineRule="auto"/>
                    <w:ind w:right="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65</w:t>
                  </w:r>
                </w:p>
              </w:tc>
              <w:tc>
                <w:tcPr>
                  <w:tcW w:w="1894"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8小时</w:t>
                  </w:r>
                </w:p>
              </w:tc>
              <w:tc>
                <w:tcPr>
                  <w:tcW w:w="1894" w:type="dxa"/>
                  <w:vMerge w:val="continue"/>
                  <w:vAlign w:val="center"/>
                </w:tcPr>
                <w:p>
                  <w:pPr>
                    <w:pStyle w:val="2"/>
                    <w:spacing w:before="0" w:after="0" w:line="240" w:lineRule="auto"/>
                    <w:ind w:right="0"/>
                    <w:jc w:val="center"/>
                    <w:rPr>
                      <w:rFonts w:hint="default" w:ascii="Times New Roman" w:hAnsi="Times New Roman" w:cs="Times New Roman"/>
                      <w:color w:val="auto"/>
                      <w:sz w:val="21"/>
                      <w:szCs w:val="21"/>
                      <w:u w:val="none"/>
                    </w:rPr>
                  </w:pPr>
                </w:p>
              </w:tc>
            </w:tr>
          </w:tbl>
          <w:p>
            <w:pPr>
              <w:spacing w:line="240" w:lineRule="auto"/>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表 4-</w:t>
            </w:r>
            <w:r>
              <w:rPr>
                <w:rFonts w:hint="eastAsia" w:cs="Times New Roman"/>
                <w:b/>
                <w:bCs/>
                <w:color w:val="auto"/>
                <w:sz w:val="21"/>
                <w:szCs w:val="21"/>
                <w:u w:val="none"/>
                <w:lang w:val="en-US" w:eastAsia="zh-CN"/>
              </w:rPr>
              <w:t>6</w:t>
            </w:r>
            <w:r>
              <w:rPr>
                <w:rFonts w:hint="default" w:ascii="Times New Roman" w:hAnsi="Times New Roman" w:cs="Times New Roman"/>
                <w:b/>
                <w:bCs/>
                <w:color w:val="auto"/>
                <w:sz w:val="21"/>
                <w:szCs w:val="21"/>
                <w:u w:val="none"/>
              </w:rPr>
              <w:t xml:space="preserve"> </w:t>
            </w:r>
            <w:r>
              <w:rPr>
                <w:rFonts w:hint="eastAsia" w:cs="Times New Roman"/>
                <w:b/>
                <w:bCs/>
                <w:color w:val="auto"/>
                <w:sz w:val="21"/>
                <w:szCs w:val="21"/>
                <w:u w:val="none"/>
                <w:lang w:eastAsia="zh-CN"/>
              </w:rPr>
              <w:t>扩建项目</w:t>
            </w:r>
            <w:r>
              <w:rPr>
                <w:rFonts w:hint="default" w:ascii="Times New Roman" w:hAnsi="Times New Roman" w:cs="Times New Roman"/>
                <w:b/>
                <w:bCs/>
                <w:color w:val="auto"/>
                <w:sz w:val="21"/>
                <w:szCs w:val="21"/>
                <w:u w:val="none"/>
              </w:rPr>
              <w:t>工业企业噪声源强调查清单（室内声源）</w:t>
            </w:r>
          </w:p>
          <w:tbl>
            <w:tblPr>
              <w:tblStyle w:val="28"/>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42"/>
              <w:gridCol w:w="1079"/>
              <w:gridCol w:w="1059"/>
              <w:gridCol w:w="831"/>
              <w:gridCol w:w="1103"/>
              <w:gridCol w:w="1653"/>
              <w:gridCol w:w="1769"/>
              <w:gridCol w:w="983"/>
              <w:gridCol w:w="110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853"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序号</w:t>
                  </w:r>
                </w:p>
              </w:tc>
              <w:tc>
                <w:tcPr>
                  <w:tcW w:w="942"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建筑物名称</w:t>
                  </w:r>
                </w:p>
              </w:tc>
              <w:tc>
                <w:tcPr>
                  <w:tcW w:w="1079"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声源名称</w:t>
                  </w:r>
                </w:p>
              </w:tc>
              <w:tc>
                <w:tcPr>
                  <w:tcW w:w="1059"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型号</w:t>
                  </w:r>
                </w:p>
              </w:tc>
              <w:tc>
                <w:tcPr>
                  <w:tcW w:w="831" w:type="dxa"/>
                  <w:vMerge w:val="restart"/>
                  <w:noWrap w:val="0"/>
                  <w:vAlign w:val="center"/>
                </w:tcPr>
                <w:p>
                  <w:pPr>
                    <w:bidi w:val="0"/>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声源源强</w:t>
                  </w:r>
                  <w:r>
                    <w:rPr>
                      <w:rFonts w:hint="default" w:ascii="Times New Roman" w:hAnsi="Times New Roman" w:cs="Times New Roman"/>
                      <w:sz w:val="21"/>
                      <w:szCs w:val="21"/>
                      <w:u w:val="none"/>
                    </w:rPr>
                    <w:t>/dB(A)</w:t>
                  </w:r>
                </w:p>
              </w:tc>
              <w:tc>
                <w:tcPr>
                  <w:tcW w:w="1103"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声源控制措施</w:t>
                  </w:r>
                </w:p>
              </w:tc>
              <w:tc>
                <w:tcPr>
                  <w:tcW w:w="1653"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距室内边界距离/m</w:t>
                  </w:r>
                </w:p>
              </w:tc>
              <w:tc>
                <w:tcPr>
                  <w:tcW w:w="1769"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室内边界声级/dB(A)</w:t>
                  </w:r>
                </w:p>
              </w:tc>
              <w:tc>
                <w:tcPr>
                  <w:tcW w:w="983"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运行时段</w:t>
                  </w:r>
                </w:p>
              </w:tc>
              <w:tc>
                <w:tcPr>
                  <w:tcW w:w="1108"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建筑物插入损失 / dB(A)</w:t>
                  </w:r>
                </w:p>
              </w:tc>
              <w:tc>
                <w:tcPr>
                  <w:tcW w:w="1697" w:type="dxa"/>
                  <w:vMerge w:val="restart"/>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建筑物外噪声（建筑物外1m处）/dB（A）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5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942"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079"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059"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831"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10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65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769"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98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108"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697"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12" w:hRule="atLeast"/>
                <w:jc w:val="center"/>
              </w:trPr>
              <w:tc>
                <w:tcPr>
                  <w:tcW w:w="853" w:type="dxa"/>
                  <w:shd w:val="clear" w:color="auto" w:fill="FFFFFF"/>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w:t>
                  </w:r>
                </w:p>
              </w:tc>
              <w:tc>
                <w:tcPr>
                  <w:tcW w:w="942" w:type="dxa"/>
                  <w:vMerge w:val="restart"/>
                  <w:shd w:val="clear" w:color="auto" w:fill="FFFFFF"/>
                  <w:noWrap w:val="0"/>
                  <w:vAlign w:val="center"/>
                </w:tcPr>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厂</w:t>
                  </w: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房</w:t>
                  </w:r>
                </w:p>
                <w:p>
                  <w:pPr>
                    <w:bidi w:val="0"/>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生</w:t>
                  </w:r>
                </w:p>
                <w:p>
                  <w:pPr>
                    <w:bidi w:val="0"/>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产</w:t>
                  </w:r>
                </w:p>
                <w:p>
                  <w:pPr>
                    <w:bidi w:val="0"/>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车</w:t>
                  </w:r>
                </w:p>
                <w:p>
                  <w:pPr>
                    <w:bidi w:val="0"/>
                    <w:jc w:val="center"/>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eastAsia="zh-CN"/>
                    </w:rPr>
                    <w:t>间</w:t>
                  </w:r>
                </w:p>
              </w:tc>
              <w:tc>
                <w:tcPr>
                  <w:tcW w:w="1079" w:type="dxa"/>
                  <w:shd w:val="clear" w:color="auto" w:fill="FFFFFF"/>
                  <w:noWrap w:val="0"/>
                  <w:vAlign w:val="center"/>
                </w:tcPr>
                <w:p>
                  <w:pPr>
                    <w:autoSpaceDE w:val="0"/>
                    <w:autoSpaceDN w:val="0"/>
                    <w:adjustRightInd w:val="0"/>
                    <w:jc w:val="center"/>
                    <w:rPr>
                      <w:rFonts w:hint="default" w:ascii="Times New Roman" w:hAnsi="Times New Roman" w:cs="Times New Roman"/>
                      <w:sz w:val="21"/>
                      <w:szCs w:val="21"/>
                      <w:u w:val="none"/>
                      <w:lang w:val="en-US" w:eastAsia="zh-CN"/>
                    </w:rPr>
                  </w:pPr>
                  <w:r>
                    <w:rPr>
                      <w:rFonts w:hint="default" w:ascii="Times New Roman" w:hAnsi="Times New Roman" w:cs="Times New Roman"/>
                      <w:b w:val="0"/>
                      <w:bCs w:val="0"/>
                      <w:kern w:val="0"/>
                      <w:sz w:val="21"/>
                      <w:szCs w:val="21"/>
                      <w:u w:val="none"/>
                      <w:lang w:val="en-US" w:eastAsia="zh-CN"/>
                    </w:rPr>
                    <w:t>天然气加热器</w:t>
                  </w:r>
                  <w:r>
                    <w:rPr>
                      <w:rFonts w:hint="default" w:ascii="Times New Roman" w:hAnsi="Times New Roman" w:cs="Times New Roman"/>
                      <w:b w:val="0"/>
                      <w:bCs w:val="0"/>
                      <w:kern w:val="0"/>
                      <w:sz w:val="21"/>
                      <w:szCs w:val="21"/>
                      <w:u w:val="none"/>
                      <w:lang w:val="zh-CN"/>
                    </w:rPr>
                    <w:t>烘房（DTY）</w:t>
                  </w:r>
                </w:p>
              </w:tc>
              <w:tc>
                <w:tcPr>
                  <w:tcW w:w="1059" w:type="dxa"/>
                  <w:shd w:val="clear" w:color="auto" w:fill="FFFFFF"/>
                  <w:noWrap w:val="0"/>
                  <w:vAlign w:val="center"/>
                </w:tcPr>
                <w:p>
                  <w:pPr>
                    <w:autoSpaceDE w:val="0"/>
                    <w:autoSpaceDN w:val="0"/>
                    <w:adjustRightInd w:val="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zh-CN"/>
                    </w:rPr>
                    <w:t>HL-HFDTY</w:t>
                  </w:r>
                </w:p>
              </w:tc>
              <w:tc>
                <w:tcPr>
                  <w:tcW w:w="83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1"/>
                      <w:szCs w:val="21"/>
                      <w:u w:val="none"/>
                      <w:lang w:val="en-US" w:eastAsia="zh-CN"/>
                    </w:rPr>
                  </w:pPr>
                  <w:r>
                    <w:rPr>
                      <w:rFonts w:hint="eastAsia" w:cs="Times New Roman"/>
                      <w:color w:val="auto"/>
                      <w:u w:val="none"/>
                      <w:lang w:val="en-US" w:eastAsia="zh-CN"/>
                    </w:rPr>
                    <w:t>90</w:t>
                  </w:r>
                </w:p>
              </w:tc>
              <w:tc>
                <w:tcPr>
                  <w:tcW w:w="1103" w:type="dxa"/>
                  <w:vMerge w:val="restart"/>
                  <w:shd w:val="clear" w:color="auto" w:fill="FFFFFF"/>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color w:val="auto"/>
                      <w:sz w:val="21"/>
                      <w:szCs w:val="21"/>
                      <w:u w:val="none"/>
                    </w:rPr>
                    <w:t>加装减震垫片、厂房隔声、强化设备保养、优化设备布置，</w:t>
                  </w:r>
                  <w:r>
                    <w:rPr>
                      <w:rFonts w:hint="eastAsia" w:cs="Times New Roman"/>
                      <w:color w:val="auto"/>
                      <w:sz w:val="21"/>
                      <w:szCs w:val="21"/>
                      <w:u w:val="none"/>
                      <w:lang w:eastAsia="zh-CN"/>
                    </w:rPr>
                    <w:t>选择低噪声设备</w:t>
                  </w:r>
                </w:p>
              </w:tc>
              <w:tc>
                <w:tcPr>
                  <w:tcW w:w="1653"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105</w:t>
                  </w:r>
                  <w:r>
                    <w:rPr>
                      <w:rFonts w:hint="default" w:ascii="Times New Roman" w:hAnsi="Times New Roman" w:cs="Times New Roman"/>
                      <w:sz w:val="21"/>
                      <w:szCs w:val="21"/>
                      <w:u w:val="none"/>
                    </w:rPr>
                    <w:t>北：</w:t>
                  </w:r>
                  <w:r>
                    <w:rPr>
                      <w:rFonts w:hint="eastAsia" w:cs="Times New Roman"/>
                      <w:sz w:val="21"/>
                      <w:szCs w:val="21"/>
                      <w:u w:val="none"/>
                      <w:lang w:val="en-US" w:eastAsia="zh-CN"/>
                    </w:rPr>
                    <w:t>10</w:t>
                  </w: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45</w:t>
                  </w:r>
                  <w:r>
                    <w:rPr>
                      <w:rFonts w:hint="default" w:ascii="Times New Roman" w:hAnsi="Times New Roman" w:cs="Times New Roman"/>
                      <w:sz w:val="21"/>
                      <w:szCs w:val="21"/>
                      <w:u w:val="none"/>
                    </w:rPr>
                    <w:t>南：</w:t>
                  </w:r>
                  <w:r>
                    <w:rPr>
                      <w:rFonts w:hint="eastAsia" w:cs="Times New Roman"/>
                      <w:sz w:val="21"/>
                      <w:szCs w:val="21"/>
                      <w:u w:val="none"/>
                      <w:lang w:val="en-US" w:eastAsia="zh-CN"/>
                    </w:rPr>
                    <w:t>8</w:t>
                  </w:r>
                </w:p>
                <w:p>
                  <w:pPr>
                    <w:bidi w:val="0"/>
                    <w:jc w:val="center"/>
                    <w:rPr>
                      <w:rFonts w:hint="default" w:ascii="Times New Roman" w:hAnsi="Times New Roman" w:cs="Times New Roman"/>
                      <w:sz w:val="21"/>
                      <w:szCs w:val="21"/>
                      <w:u w:val="none"/>
                    </w:rPr>
                  </w:pPr>
                </w:p>
              </w:tc>
              <w:tc>
                <w:tcPr>
                  <w:tcW w:w="1769"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55.8</w:t>
                  </w: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72</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60</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75</w:t>
                  </w:r>
                </w:p>
                <w:p>
                  <w:pPr>
                    <w:bidi w:val="0"/>
                    <w:jc w:val="center"/>
                    <w:rPr>
                      <w:rFonts w:hint="default" w:ascii="Times New Roman" w:hAnsi="Times New Roman" w:cs="Times New Roman"/>
                      <w:sz w:val="21"/>
                      <w:szCs w:val="21"/>
                      <w:u w:val="none"/>
                    </w:rPr>
                  </w:pPr>
                </w:p>
              </w:tc>
              <w:tc>
                <w:tcPr>
                  <w:tcW w:w="983" w:type="dxa"/>
                  <w:vMerge w:val="restart"/>
                  <w:shd w:val="clear" w:color="auto" w:fill="FFFFFF"/>
                  <w:noWrap w:val="0"/>
                  <w:vAlign w:val="center"/>
                </w:tcPr>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default" w:ascii="Times New Roman" w:hAnsi="Times New Roman" w:cs="Times New Roman"/>
                      <w:sz w:val="21"/>
                      <w:szCs w:val="21"/>
                      <w:u w:val="none"/>
                    </w:rPr>
                  </w:pPr>
                </w:p>
                <w:p>
                  <w:pPr>
                    <w:bidi w:val="0"/>
                    <w:jc w:val="center"/>
                    <w:rPr>
                      <w:rFonts w:hint="eastAsia"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8:00～12:0 0；</w:t>
                  </w:r>
                  <w:r>
                    <w:rPr>
                      <w:rFonts w:hint="default" w:ascii="Times New Roman" w:hAnsi="Times New Roman" w:cs="Times New Roman"/>
                      <w:sz w:val="21"/>
                      <w:szCs w:val="21"/>
                      <w:u w:val="none"/>
                      <w:lang w:val="en-US" w:eastAsia="zh-CN"/>
                    </w:rPr>
                    <w:t>13</w:t>
                  </w:r>
                  <w:r>
                    <w:rPr>
                      <w:rFonts w:hint="default" w:ascii="Times New Roman" w:hAnsi="Times New Roman" w:cs="Times New Roman"/>
                      <w:sz w:val="21"/>
                      <w:szCs w:val="21"/>
                      <w:u w:val="none"/>
                    </w:rPr>
                    <w:t>:0 0～</w:t>
                  </w:r>
                  <w:r>
                    <w:rPr>
                      <w:rFonts w:hint="default" w:ascii="Times New Roman" w:hAnsi="Times New Roman" w:cs="Times New Roman"/>
                      <w:sz w:val="21"/>
                      <w:szCs w:val="21"/>
                      <w:u w:val="none"/>
                      <w:lang w:val="en-US" w:eastAsia="zh-CN"/>
                    </w:rPr>
                    <w:t>17</w:t>
                  </w:r>
                  <w:r>
                    <w:rPr>
                      <w:rFonts w:hint="default" w:ascii="Times New Roman" w:hAnsi="Times New Roman" w:cs="Times New Roman"/>
                      <w:sz w:val="21"/>
                      <w:szCs w:val="21"/>
                      <w:u w:val="none"/>
                    </w:rPr>
                    <w:t xml:space="preserve">:0 </w:t>
                  </w:r>
                  <w:r>
                    <w:rPr>
                      <w:rFonts w:hint="eastAsia" w:cs="Times New Roman"/>
                      <w:sz w:val="21"/>
                      <w:szCs w:val="21"/>
                      <w:u w:val="none"/>
                      <w:lang w:val="en-US" w:eastAsia="zh-CN"/>
                    </w:rPr>
                    <w:t>0</w:t>
                  </w:r>
                </w:p>
              </w:tc>
              <w:tc>
                <w:tcPr>
                  <w:tcW w:w="1108"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eastAsia" w:cs="Times New Roman"/>
                      <w:sz w:val="21"/>
                      <w:szCs w:val="21"/>
                      <w:u w:val="none"/>
                      <w:lang w:val="en-US" w:eastAsia="zh-CN"/>
                    </w:rPr>
                    <w:t>15</w:t>
                  </w:r>
                </w:p>
              </w:tc>
              <w:tc>
                <w:tcPr>
                  <w:tcW w:w="1697"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40.8</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57</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45</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60</w:t>
                  </w:r>
                </w:p>
                <w:p>
                  <w:pPr>
                    <w:bidi w:val="0"/>
                    <w:jc w:val="center"/>
                    <w:rPr>
                      <w:rFonts w:hint="default" w:ascii="Times New Roman" w:hAnsi="Times New Roman"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83" w:hRule="atLeast"/>
                <w:jc w:val="center"/>
              </w:trPr>
              <w:tc>
                <w:tcPr>
                  <w:tcW w:w="853" w:type="dxa"/>
                  <w:shd w:val="clear" w:color="auto" w:fill="FFFFFF"/>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w:t>
                  </w:r>
                </w:p>
              </w:tc>
              <w:tc>
                <w:tcPr>
                  <w:tcW w:w="942"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079" w:type="dxa"/>
                  <w:shd w:val="clear" w:color="auto" w:fill="FFFFFF"/>
                  <w:noWrap w:val="0"/>
                  <w:vAlign w:val="center"/>
                </w:tcPr>
                <w:p>
                  <w:pPr>
                    <w:autoSpaceDE w:val="0"/>
                    <w:autoSpaceDN w:val="0"/>
                    <w:adjustRightInd w:val="0"/>
                    <w:jc w:val="center"/>
                    <w:rPr>
                      <w:rFonts w:hint="default" w:ascii="Times New Roman" w:hAnsi="Times New Roman" w:cs="Times New Roman"/>
                      <w:sz w:val="21"/>
                      <w:szCs w:val="21"/>
                      <w:u w:val="none"/>
                      <w:lang w:val="en-US" w:eastAsia="zh-CN"/>
                    </w:rPr>
                  </w:pPr>
                  <w:r>
                    <w:rPr>
                      <w:rFonts w:hint="default" w:ascii="Times New Roman" w:hAnsi="Times New Roman" w:cs="Times New Roman"/>
                      <w:b w:val="0"/>
                      <w:bCs w:val="0"/>
                      <w:kern w:val="0"/>
                      <w:sz w:val="21"/>
                      <w:szCs w:val="21"/>
                      <w:u w:val="none"/>
                      <w:lang w:val="en-US" w:eastAsia="zh-CN"/>
                    </w:rPr>
                    <w:t>天然气加热器</w:t>
                  </w:r>
                  <w:r>
                    <w:rPr>
                      <w:rFonts w:hint="default" w:ascii="Times New Roman" w:hAnsi="Times New Roman" w:cs="Times New Roman"/>
                      <w:b w:val="0"/>
                      <w:bCs w:val="0"/>
                      <w:kern w:val="0"/>
                      <w:sz w:val="21"/>
                      <w:szCs w:val="21"/>
                      <w:u w:val="none"/>
                      <w:lang w:val="zh-CN"/>
                    </w:rPr>
                    <w:t>烘房</w:t>
                  </w:r>
                </w:p>
              </w:tc>
              <w:tc>
                <w:tcPr>
                  <w:tcW w:w="1059" w:type="dxa"/>
                  <w:shd w:val="clear" w:color="auto" w:fill="FFFFFF"/>
                  <w:noWrap w:val="0"/>
                  <w:vAlign w:val="center"/>
                </w:tcPr>
                <w:p>
                  <w:pPr>
                    <w:autoSpaceDE w:val="0"/>
                    <w:autoSpaceDN w:val="0"/>
                    <w:adjustRightInd w:val="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zh-CN"/>
                    </w:rPr>
                    <w:t>HL-HFFDY</w:t>
                  </w:r>
                </w:p>
              </w:tc>
              <w:tc>
                <w:tcPr>
                  <w:tcW w:w="83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1"/>
                      <w:szCs w:val="21"/>
                      <w:u w:val="none"/>
                      <w:lang w:val="en-US" w:eastAsia="zh-CN"/>
                    </w:rPr>
                  </w:pPr>
                  <w:r>
                    <w:rPr>
                      <w:rFonts w:hint="eastAsia" w:cs="Times New Roman"/>
                      <w:color w:val="auto"/>
                      <w:u w:val="none"/>
                      <w:lang w:val="en-US" w:eastAsia="zh-CN"/>
                    </w:rPr>
                    <w:t>90</w:t>
                  </w:r>
                </w:p>
              </w:tc>
              <w:tc>
                <w:tcPr>
                  <w:tcW w:w="110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653"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85</w:t>
                  </w:r>
                  <w:r>
                    <w:rPr>
                      <w:rFonts w:hint="default" w:ascii="Times New Roman" w:hAnsi="Times New Roman" w:cs="Times New Roman"/>
                      <w:sz w:val="21"/>
                      <w:szCs w:val="21"/>
                      <w:u w:val="none"/>
                    </w:rPr>
                    <w:t>北：</w:t>
                  </w:r>
                  <w:r>
                    <w:rPr>
                      <w:rFonts w:hint="eastAsia" w:cs="Times New Roman"/>
                      <w:sz w:val="21"/>
                      <w:szCs w:val="21"/>
                      <w:u w:val="none"/>
                      <w:lang w:val="en-US" w:eastAsia="zh-CN"/>
                    </w:rPr>
                    <w:t>10</w:t>
                  </w: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55</w:t>
                  </w:r>
                  <w:r>
                    <w:rPr>
                      <w:rFonts w:hint="default" w:ascii="Times New Roman" w:hAnsi="Times New Roman" w:cs="Times New Roman"/>
                      <w:sz w:val="21"/>
                      <w:szCs w:val="21"/>
                      <w:u w:val="none"/>
                    </w:rPr>
                    <w:t>南：</w:t>
                  </w:r>
                  <w:r>
                    <w:rPr>
                      <w:rFonts w:hint="eastAsia" w:cs="Times New Roman"/>
                      <w:sz w:val="21"/>
                      <w:szCs w:val="21"/>
                      <w:u w:val="none"/>
                      <w:lang w:val="en-US" w:eastAsia="zh-CN"/>
                    </w:rPr>
                    <w:t>8</w:t>
                  </w:r>
                </w:p>
                <w:p>
                  <w:pPr>
                    <w:bidi w:val="0"/>
                    <w:jc w:val="center"/>
                    <w:rPr>
                      <w:rFonts w:hint="default" w:ascii="Times New Roman" w:hAnsi="Times New Roman" w:cs="Times New Roman"/>
                      <w:sz w:val="21"/>
                      <w:szCs w:val="21"/>
                      <w:u w:val="none"/>
                    </w:rPr>
                  </w:pPr>
                </w:p>
              </w:tc>
              <w:tc>
                <w:tcPr>
                  <w:tcW w:w="1769"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63.7</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72</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60</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75</w:t>
                  </w:r>
                </w:p>
                <w:p>
                  <w:pPr>
                    <w:bidi w:val="0"/>
                    <w:jc w:val="center"/>
                    <w:rPr>
                      <w:rFonts w:hint="default" w:ascii="Times New Roman" w:hAnsi="Times New Roman" w:cs="Times New Roman"/>
                      <w:sz w:val="21"/>
                      <w:szCs w:val="21"/>
                      <w:u w:val="none"/>
                    </w:rPr>
                  </w:pPr>
                </w:p>
              </w:tc>
              <w:tc>
                <w:tcPr>
                  <w:tcW w:w="98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108" w:type="dxa"/>
                  <w:shd w:val="clear" w:color="auto" w:fill="FFFFFF"/>
                  <w:noWrap w:val="0"/>
                  <w:vAlign w:val="center"/>
                </w:tcPr>
                <w:p>
                  <w:pPr>
                    <w:bidi w:val="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15</w:t>
                  </w:r>
                </w:p>
              </w:tc>
              <w:tc>
                <w:tcPr>
                  <w:tcW w:w="1697" w:type="dxa"/>
                  <w:shd w:val="clear" w:color="auto" w:fill="FFFFFF"/>
                  <w:noWrap w:val="0"/>
                  <w:vAlign w:val="center"/>
                </w:tcPr>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48.7</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57</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45</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60</w:t>
                  </w:r>
                </w:p>
                <w:p>
                  <w:pPr>
                    <w:bidi w:val="0"/>
                    <w:jc w:val="center"/>
                    <w:rPr>
                      <w:rFonts w:hint="default" w:ascii="Times New Roman" w:hAnsi="Times New Roman" w:cs="Times New Roman"/>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12" w:hRule="atLeast"/>
                <w:jc w:val="center"/>
              </w:trPr>
              <w:tc>
                <w:tcPr>
                  <w:tcW w:w="853" w:type="dxa"/>
                  <w:shd w:val="clear" w:color="auto" w:fill="FFFFFF"/>
                  <w:noWrap w:val="0"/>
                  <w:vAlign w:val="center"/>
                </w:tcPr>
                <w:p>
                  <w:pPr>
                    <w:bidi w:val="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w:t>
                  </w:r>
                </w:p>
              </w:tc>
              <w:tc>
                <w:tcPr>
                  <w:tcW w:w="942"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079" w:type="dxa"/>
                  <w:shd w:val="clear" w:color="auto" w:fill="FFFFFF"/>
                  <w:noWrap w:val="0"/>
                  <w:vAlign w:val="center"/>
                </w:tcPr>
                <w:p>
                  <w:pPr>
                    <w:autoSpaceDE w:val="0"/>
                    <w:autoSpaceDN w:val="0"/>
                    <w:adjustRightInd w:val="0"/>
                    <w:jc w:val="center"/>
                    <w:rPr>
                      <w:rFonts w:hint="default" w:ascii="Times New Roman" w:hAnsi="Times New Roman" w:cs="Times New Roman"/>
                      <w:sz w:val="21"/>
                      <w:szCs w:val="21"/>
                      <w:u w:val="none"/>
                      <w:lang w:val="en-US" w:eastAsia="zh-CN"/>
                    </w:rPr>
                  </w:pPr>
                  <w:r>
                    <w:rPr>
                      <w:rFonts w:hint="default" w:ascii="Times New Roman" w:hAnsi="Times New Roman" w:cs="Times New Roman"/>
                      <w:b w:val="0"/>
                      <w:bCs w:val="0"/>
                      <w:kern w:val="0"/>
                      <w:sz w:val="21"/>
                      <w:szCs w:val="21"/>
                      <w:u w:val="none"/>
                      <w:lang w:val="en-US" w:eastAsia="zh-CN"/>
                    </w:rPr>
                    <w:t>空气能</w:t>
                  </w:r>
                  <w:r>
                    <w:rPr>
                      <w:rFonts w:hint="default" w:ascii="Times New Roman" w:hAnsi="Times New Roman" w:cs="Times New Roman"/>
                      <w:b w:val="0"/>
                      <w:bCs w:val="0"/>
                      <w:kern w:val="0"/>
                      <w:sz w:val="21"/>
                      <w:szCs w:val="21"/>
                      <w:u w:val="none"/>
                      <w:lang w:val="zh-CN"/>
                    </w:rPr>
                    <w:t>烘房（工业管）</w:t>
                  </w:r>
                </w:p>
              </w:tc>
              <w:tc>
                <w:tcPr>
                  <w:tcW w:w="1059" w:type="dxa"/>
                  <w:shd w:val="clear" w:color="auto" w:fill="FFFFFF"/>
                  <w:noWrap w:val="0"/>
                  <w:vAlign w:val="center"/>
                </w:tcPr>
                <w:p>
                  <w:pPr>
                    <w:autoSpaceDE w:val="0"/>
                    <w:autoSpaceDN w:val="0"/>
                    <w:adjustRightInd w:val="0"/>
                    <w:jc w:val="center"/>
                    <w:rPr>
                      <w:rFonts w:hint="default" w:ascii="Times New Roman" w:hAnsi="Times New Roman" w:cs="Times New Roman"/>
                      <w:b w:val="0"/>
                      <w:bCs w:val="0"/>
                      <w:sz w:val="21"/>
                      <w:szCs w:val="21"/>
                      <w:u w:val="none"/>
                      <w:lang w:val="en-US" w:eastAsia="zh-CN"/>
                    </w:rPr>
                  </w:pPr>
                  <w:r>
                    <w:rPr>
                      <w:rFonts w:hint="default" w:ascii="Times New Roman" w:hAnsi="Times New Roman" w:cs="Times New Roman"/>
                      <w:b w:val="0"/>
                      <w:bCs w:val="0"/>
                      <w:kern w:val="0"/>
                      <w:sz w:val="21"/>
                      <w:szCs w:val="21"/>
                      <w:u w:val="none"/>
                      <w:lang w:val="zh-CN"/>
                    </w:rPr>
                    <w:t>HL-HF工业管</w:t>
                  </w:r>
                </w:p>
              </w:tc>
              <w:tc>
                <w:tcPr>
                  <w:tcW w:w="83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1"/>
                      <w:szCs w:val="21"/>
                      <w:u w:val="none"/>
                      <w:lang w:val="en-US" w:eastAsia="zh-CN"/>
                    </w:rPr>
                  </w:pPr>
                  <w:r>
                    <w:rPr>
                      <w:rFonts w:hint="eastAsia" w:cs="Times New Roman"/>
                      <w:color w:val="auto"/>
                      <w:u w:val="none"/>
                      <w:lang w:val="en-US" w:eastAsia="zh-CN"/>
                    </w:rPr>
                    <w:t>85</w:t>
                  </w:r>
                </w:p>
              </w:tc>
              <w:tc>
                <w:tcPr>
                  <w:tcW w:w="110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653"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45</w:t>
                  </w:r>
                </w:p>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8</w:t>
                  </w:r>
                </w:p>
                <w:p>
                  <w:pPr>
                    <w:bidi w:val="0"/>
                    <w:jc w:val="center"/>
                    <w:rPr>
                      <w:rFonts w:hint="default"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105</w:t>
                  </w:r>
                </w:p>
                <w:p>
                  <w:pPr>
                    <w:bidi w:val="0"/>
                    <w:jc w:val="center"/>
                    <w:rPr>
                      <w:rFonts w:hint="default" w:ascii="Times New Roman" w:hAnsi="Times New Roman" w:cs="Times New Roman"/>
                      <w:sz w:val="21"/>
                      <w:szCs w:val="21"/>
                      <w:u w:val="none"/>
                      <w:lang w:val="en-US"/>
                    </w:rPr>
                  </w:pPr>
                  <w:r>
                    <w:rPr>
                      <w:rFonts w:hint="default" w:ascii="Times New Roman" w:hAnsi="Times New Roman" w:cs="Times New Roman"/>
                      <w:sz w:val="21"/>
                      <w:szCs w:val="21"/>
                      <w:u w:val="none"/>
                    </w:rPr>
                    <w:t>南：</w:t>
                  </w:r>
                  <w:r>
                    <w:rPr>
                      <w:rFonts w:hint="eastAsia" w:cs="Times New Roman"/>
                      <w:sz w:val="21"/>
                      <w:szCs w:val="21"/>
                      <w:u w:val="none"/>
                      <w:lang w:val="en-US" w:eastAsia="zh-CN"/>
                    </w:rPr>
                    <w:t>10</w:t>
                  </w:r>
                </w:p>
              </w:tc>
              <w:tc>
                <w:tcPr>
                  <w:tcW w:w="1769" w:type="dxa"/>
                  <w:shd w:val="clear" w:color="auto" w:fill="FFFFFF"/>
                  <w:noWrap w:val="0"/>
                  <w:vAlign w:val="center"/>
                </w:tcPr>
                <w:p>
                  <w:pPr>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60</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70</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50.8</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61.7</w:t>
                  </w:r>
                </w:p>
              </w:tc>
              <w:tc>
                <w:tcPr>
                  <w:tcW w:w="983" w:type="dxa"/>
                  <w:vMerge w:val="continue"/>
                  <w:shd w:val="clear" w:color="auto" w:fill="FFFFFF"/>
                  <w:noWrap w:val="0"/>
                  <w:vAlign w:val="center"/>
                </w:tcPr>
                <w:p>
                  <w:pPr>
                    <w:bidi w:val="0"/>
                    <w:jc w:val="center"/>
                    <w:rPr>
                      <w:rFonts w:hint="default" w:ascii="Times New Roman" w:hAnsi="Times New Roman" w:cs="Times New Roman"/>
                      <w:sz w:val="21"/>
                      <w:szCs w:val="21"/>
                      <w:u w:val="none"/>
                    </w:rPr>
                  </w:pPr>
                </w:p>
              </w:tc>
              <w:tc>
                <w:tcPr>
                  <w:tcW w:w="1108" w:type="dxa"/>
                  <w:shd w:val="clear" w:color="auto" w:fill="FFFFFF"/>
                  <w:noWrap w:val="0"/>
                  <w:vAlign w:val="center"/>
                </w:tcPr>
                <w:p>
                  <w:pPr>
                    <w:bidi w:val="0"/>
                    <w:jc w:val="center"/>
                    <w:rPr>
                      <w:rFonts w:hint="default" w:ascii="Times New Roman" w:hAnsi="Times New Roman" w:cs="Times New Roman"/>
                      <w:sz w:val="21"/>
                      <w:szCs w:val="21"/>
                      <w:u w:val="none"/>
                      <w:lang w:val="en-US"/>
                    </w:rPr>
                  </w:pPr>
                  <w:r>
                    <w:rPr>
                      <w:rFonts w:hint="eastAsia" w:cs="Times New Roman"/>
                      <w:sz w:val="21"/>
                      <w:szCs w:val="21"/>
                      <w:u w:val="none"/>
                      <w:lang w:val="en-US" w:eastAsia="zh-CN"/>
                    </w:rPr>
                    <w:t>15</w:t>
                  </w:r>
                </w:p>
              </w:tc>
              <w:tc>
                <w:tcPr>
                  <w:tcW w:w="1697" w:type="dxa"/>
                  <w:shd w:val="clear" w:color="auto" w:fill="FFFFFF"/>
                  <w:noWrap w:val="0"/>
                  <w:vAlign w:val="center"/>
                </w:tcPr>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东：</w:t>
                  </w:r>
                  <w:r>
                    <w:rPr>
                      <w:rFonts w:hint="eastAsia" w:cs="Times New Roman"/>
                      <w:sz w:val="21"/>
                      <w:szCs w:val="21"/>
                      <w:u w:val="none"/>
                      <w:lang w:val="en-US" w:eastAsia="zh-CN"/>
                    </w:rPr>
                    <w:t>45</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北：</w:t>
                  </w:r>
                  <w:r>
                    <w:rPr>
                      <w:rFonts w:hint="eastAsia" w:cs="Times New Roman"/>
                      <w:sz w:val="21"/>
                      <w:szCs w:val="21"/>
                      <w:u w:val="none"/>
                      <w:lang w:val="en-US" w:eastAsia="zh-CN"/>
                    </w:rPr>
                    <w:t>55</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西：</w:t>
                  </w:r>
                  <w:r>
                    <w:rPr>
                      <w:rFonts w:hint="eastAsia" w:cs="Times New Roman"/>
                      <w:sz w:val="21"/>
                      <w:szCs w:val="21"/>
                      <w:u w:val="none"/>
                      <w:lang w:val="en-US" w:eastAsia="zh-CN"/>
                    </w:rPr>
                    <w:t>35.8</w:t>
                  </w:r>
                </w:p>
                <w:p>
                  <w:pPr>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南：</w:t>
                  </w:r>
                  <w:r>
                    <w:rPr>
                      <w:rFonts w:hint="eastAsia" w:cs="Times New Roman"/>
                      <w:sz w:val="21"/>
                      <w:szCs w:val="21"/>
                      <w:u w:val="none"/>
                      <w:lang w:val="en-US" w:eastAsia="zh-CN"/>
                    </w:rPr>
                    <w:t>46.7</w:t>
                  </w:r>
                </w:p>
                <w:p>
                  <w:pPr>
                    <w:bidi w:val="0"/>
                    <w:jc w:val="center"/>
                    <w:rPr>
                      <w:rFonts w:hint="default" w:ascii="Times New Roman" w:hAnsi="Times New Roman" w:cs="Times New Roman"/>
                      <w:sz w:val="21"/>
                      <w:szCs w:val="21"/>
                      <w:u w:val="none"/>
                    </w:rPr>
                  </w:pPr>
                </w:p>
              </w:tc>
            </w:tr>
          </w:tbl>
          <w:p>
            <w:pPr>
              <w:spacing w:line="360" w:lineRule="auto"/>
              <w:ind w:firstLine="480" w:firstLineChars="200"/>
              <w:rPr>
                <w:rFonts w:hint="default" w:ascii="Times New Roman" w:hAnsi="Times New Roman" w:cs="Times New Roman"/>
                <w:sz w:val="24"/>
                <w:szCs w:val="24"/>
                <w:u w:val="none"/>
                <w:lang w:eastAsia="zh-CN"/>
              </w:rPr>
            </w:pPr>
            <w:r>
              <w:rPr>
                <w:rFonts w:hint="default" w:ascii="Times New Roman" w:hAnsi="Times New Roman" w:cs="Times New Roman"/>
                <w:sz w:val="24"/>
                <w:szCs w:val="24"/>
                <w:u w:val="none"/>
              </w:rPr>
              <w:t>（2）噪声影响分析</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lang w:eastAsia="zh-CN"/>
              </w:rPr>
              <w:t>本项目</w:t>
            </w:r>
            <w:r>
              <w:rPr>
                <w:rFonts w:hint="default" w:ascii="Times New Roman" w:hAnsi="Times New Roman" w:cs="Times New Roman"/>
                <w:sz w:val="24"/>
                <w:szCs w:val="24"/>
                <w:u w:val="none"/>
              </w:rPr>
              <w:t>噪声预测采用《环境影响评价技术导则声环境》（HJ 2.4-2021）推荐的模式。</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本次评价具体预测模式如下：</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a.多个噪声源叠加的综合噪声计算公式如下：</w:t>
            </w:r>
          </w:p>
          <w:p>
            <w:pPr>
              <w:spacing w:line="360" w:lineRule="auto"/>
              <w:ind w:firstLine="480" w:firstLineChars="200"/>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drawing>
                <wp:inline distT="0" distB="0" distL="114300" distR="114300">
                  <wp:extent cx="1610360" cy="666750"/>
                  <wp:effectExtent l="0" t="0" r="889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1610360" cy="666750"/>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式中：LA——多个噪声源叠加的综合噪声声压级，dB(A)；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Li——第 i 个噪声源的声压级，dB(A)；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n——噪声源的个数。</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b.考虑噪声扩散衰减的情况下，项目厂界四周声环境预测模式按点声源模式预测，预测模 式为距离衰减模式：</w:t>
            </w:r>
          </w:p>
          <w:p>
            <w:pPr>
              <w:spacing w:line="360" w:lineRule="auto"/>
              <w:ind w:firstLine="420" w:firstLineChars="20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drawing>
                <wp:inline distT="0" distB="0" distL="114300" distR="114300">
                  <wp:extent cx="1971675" cy="352425"/>
                  <wp:effectExtent l="0" t="0" r="9525"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1971675" cy="352425"/>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式中 ：L—受声点的声压级，dB(A)；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L0—厂房外声源源强，dB(A)；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r—厂房外声源与厂界之间的距离，m；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r0—距噪声源距离，m。</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c.室内声源等效室外声源声功率级计算方法：</w:t>
            </w:r>
          </w:p>
          <w:p>
            <w:pPr>
              <w:spacing w:line="360" w:lineRule="auto"/>
              <w:ind w:firstLine="480" w:firstLineChars="200"/>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drawing>
                <wp:inline distT="0" distB="0" distL="114300" distR="114300">
                  <wp:extent cx="1552575" cy="24765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7"/>
                          <a:stretch>
                            <a:fillRect/>
                          </a:stretch>
                        </pic:blipFill>
                        <pic:spPr>
                          <a:xfrm>
                            <a:off x="0" y="0"/>
                            <a:ext cx="1552575" cy="247650"/>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式中：LP1—靠近开口处（或窗户）室内某倍频带的声压级或 A 声级，dB(A)；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LP2—靠近开口处（或窗户）室外某倍频带的声压级或 A 声级，dB(A)；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TL—隔墙（或窗户）倍频带或 A 声级的隔声量，dB。</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d.室内声源靠近围护结构处产生的倍频带声压级或 A 声级计算方法：</w:t>
            </w:r>
          </w:p>
          <w:p>
            <w:pPr>
              <w:spacing w:line="360" w:lineRule="auto"/>
              <w:ind w:firstLine="420" w:firstLineChars="20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drawing>
                <wp:inline distT="0" distB="0" distL="114300" distR="114300">
                  <wp:extent cx="2400300" cy="30480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8"/>
                          <a:stretch>
                            <a:fillRect/>
                          </a:stretch>
                        </pic:blipFill>
                        <pic:spPr>
                          <a:xfrm>
                            <a:off x="0" y="0"/>
                            <a:ext cx="2400300" cy="304800"/>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式中：LP1—靠近开口处（或窗户）室内某倍频带的声压级或 A 声级，dB(A)；</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 Lw—点声源声功率级（A 计权或倍频带），dB；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Q—指向性因数；通常对无指向性声源，当声源放在房间中心时，Q=1；当放在一 面墙的中心时，Q=2；当放在两面墙夹角处时，Q=4；当放在三面墙夹角处时，Q=8； </w:t>
            </w:r>
          </w:p>
          <w:p>
            <w:pPr>
              <w:spacing w:line="360" w:lineRule="auto"/>
              <w:ind w:firstLine="480" w:firstLineChars="200"/>
              <w:rPr>
                <w:rFonts w:hint="eastAsia" w:ascii="Times New Roman" w:hAnsi="Times New Roman" w:eastAsia="宋体" w:cs="Times New Roman"/>
                <w:sz w:val="24"/>
                <w:szCs w:val="24"/>
                <w:u w:val="none"/>
                <w:lang w:eastAsia="zh-CN"/>
              </w:rPr>
            </w:pPr>
            <w:r>
              <w:rPr>
                <w:rFonts w:hint="default" w:ascii="Times New Roman" w:hAnsi="Times New Roman" w:cs="Times New Roman"/>
                <w:sz w:val="24"/>
                <w:szCs w:val="24"/>
                <w:u w:val="none"/>
              </w:rPr>
              <w:t>R—房间常数；R=Sα/（1-α）</w:t>
            </w:r>
            <w:r>
              <w:rPr>
                <w:rFonts w:hint="eastAsia" w:cs="Times New Roman"/>
                <w:sz w:val="24"/>
                <w:szCs w:val="24"/>
                <w:u w:val="none"/>
                <w:lang w:eastAsia="zh-CN"/>
              </w:rPr>
              <w:t>；</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S 为房间内表面面积，m</w:t>
            </w:r>
            <w:r>
              <w:rPr>
                <w:rFonts w:hint="default" w:ascii="Times New Roman" w:hAnsi="Times New Roman" w:cs="Times New Roman"/>
                <w:sz w:val="24"/>
                <w:szCs w:val="24"/>
                <w:u w:val="none"/>
                <w:vertAlign w:val="superscript"/>
              </w:rPr>
              <w:t>2</w:t>
            </w:r>
            <w:r>
              <w:rPr>
                <w:rFonts w:hint="default" w:ascii="Times New Roman" w:hAnsi="Times New Roman" w:cs="Times New Roman"/>
                <w:sz w:val="24"/>
                <w:szCs w:val="24"/>
                <w:u w:val="none"/>
              </w:rPr>
              <w:t xml:space="preserve">；α为平均吸声系数； </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r—声源到靠近围护结构某点处的距离，m。</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（3）预测结果</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szCs w:val="24"/>
                <w:u w:val="none"/>
              </w:rPr>
              <w:t>本项目作业安排于白天，夜间不生产，经计算，工程建成后的厂界噪声值预测见下表4-</w:t>
            </w:r>
            <w:r>
              <w:rPr>
                <w:rFonts w:hint="eastAsia" w:cs="Times New Roman"/>
                <w:sz w:val="24"/>
                <w:szCs w:val="24"/>
                <w:u w:val="none"/>
                <w:lang w:val="en-US" w:eastAsia="zh-CN"/>
              </w:rPr>
              <w:t>7</w:t>
            </w:r>
            <w:r>
              <w:rPr>
                <w:rFonts w:hint="default" w:ascii="Times New Roman" w:hAnsi="Times New Roman" w:cs="Times New Roman"/>
                <w:sz w:val="24"/>
                <w:szCs w:val="24"/>
                <w:u w:val="none"/>
              </w:rPr>
              <w:t>。</w:t>
            </w:r>
          </w:p>
          <w:p>
            <w:pPr>
              <w:spacing w:line="240" w:lineRule="auto"/>
              <w:jc w:val="center"/>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表</w:t>
            </w:r>
            <w:r>
              <w:rPr>
                <w:rFonts w:hint="eastAsia" w:ascii="Times New Roman" w:hAnsi="Times New Roman" w:eastAsia="宋体" w:cs="Times New Roman"/>
                <w:b/>
                <w:bCs/>
                <w:color w:val="auto"/>
                <w:sz w:val="21"/>
                <w:szCs w:val="21"/>
                <w:highlight w:val="none"/>
                <w:u w:val="none"/>
                <w:lang w:val="en-US" w:eastAsia="zh-CN"/>
              </w:rPr>
              <w:t>4-</w:t>
            </w:r>
            <w:r>
              <w:rPr>
                <w:rFonts w:hint="eastAsia" w:cs="Times New Roman"/>
                <w:b/>
                <w:bCs/>
                <w:color w:val="auto"/>
                <w:sz w:val="21"/>
                <w:szCs w:val="21"/>
                <w:highlight w:val="none"/>
                <w:u w:val="none"/>
                <w:lang w:val="en-US" w:eastAsia="zh-CN"/>
              </w:rPr>
              <w:t>7</w:t>
            </w:r>
            <w:r>
              <w:rPr>
                <w:rFonts w:ascii="Times New Roman" w:hAnsi="Times New Roman" w:eastAsia="宋体" w:cs="Times New Roman"/>
                <w:b/>
                <w:bCs/>
                <w:color w:val="auto"/>
                <w:sz w:val="21"/>
                <w:szCs w:val="21"/>
                <w:highlight w:val="none"/>
                <w:u w:val="none"/>
              </w:rPr>
              <w:t xml:space="preserve"> 厂界噪声预测结果  单位：dB(A)</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00"/>
              <w:gridCol w:w="2200"/>
              <w:gridCol w:w="2200"/>
              <w:gridCol w:w="220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b/>
                      <w:color w:val="auto"/>
                      <w:sz w:val="21"/>
                      <w:szCs w:val="21"/>
                      <w:u w:val="none"/>
                      <w:lang w:val="zh-CN"/>
                    </w:rPr>
                    <w:t>预测点</w:t>
                  </w:r>
                </w:p>
              </w:tc>
              <w:tc>
                <w:tcPr>
                  <w:tcW w:w="1380" w:type="dxa"/>
                  <w:noWrap w:val="0"/>
                  <w:vAlign w:val="center"/>
                </w:tcPr>
                <w:p>
                  <w:pPr>
                    <w:autoSpaceDE w:val="0"/>
                    <w:autoSpaceDN w:val="0"/>
                    <w:spacing w:line="240" w:lineRule="atLeast"/>
                    <w:jc w:val="center"/>
                    <w:rPr>
                      <w:rFonts w:hint="eastAsia" w:ascii="Times New Roman" w:hAnsi="Times New Roman" w:eastAsia="宋体" w:cs="Times New Roman"/>
                      <w:color w:val="auto"/>
                      <w:szCs w:val="21"/>
                      <w:highlight w:val="none"/>
                      <w:u w:val="none"/>
                      <w:lang w:eastAsia="zh-CN"/>
                    </w:rPr>
                  </w:pPr>
                  <w:r>
                    <w:rPr>
                      <w:b/>
                      <w:color w:val="auto"/>
                      <w:sz w:val="21"/>
                      <w:szCs w:val="21"/>
                      <w:u w:val="none"/>
                      <w:lang w:val="zh-CN"/>
                    </w:rPr>
                    <w:t>背景值</w:t>
                  </w:r>
                </w:p>
              </w:tc>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b/>
                      <w:color w:val="auto"/>
                      <w:sz w:val="21"/>
                      <w:szCs w:val="21"/>
                      <w:u w:val="none"/>
                      <w:lang w:val="zh-CN"/>
                    </w:rPr>
                    <w:t>贡献值</w:t>
                  </w:r>
                </w:p>
              </w:tc>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rFonts w:hint="eastAsia"/>
                      <w:b/>
                      <w:color w:val="auto"/>
                      <w:sz w:val="21"/>
                      <w:szCs w:val="21"/>
                      <w:u w:val="none"/>
                      <w:lang w:val="zh-CN"/>
                    </w:rPr>
                    <w:t>预测值（</w:t>
                  </w:r>
                  <w:r>
                    <w:rPr>
                      <w:b/>
                      <w:color w:val="auto"/>
                      <w:sz w:val="21"/>
                      <w:szCs w:val="21"/>
                      <w:u w:val="none"/>
                      <w:lang w:val="zh-CN"/>
                    </w:rPr>
                    <w:t>叠加值</w:t>
                  </w:r>
                  <w:r>
                    <w:rPr>
                      <w:rFonts w:hint="eastAsia"/>
                      <w:b/>
                      <w:color w:val="auto"/>
                      <w:sz w:val="21"/>
                      <w:szCs w:val="21"/>
                      <w:u w:val="none"/>
                      <w:lang w:val="zh-CN"/>
                    </w:rPr>
                    <w:t>）</w:t>
                  </w:r>
                </w:p>
              </w:tc>
              <w:tc>
                <w:tcPr>
                  <w:tcW w:w="1380" w:type="dxa"/>
                  <w:noWrap w:val="0"/>
                  <w:vAlign w:val="center"/>
                </w:tcPr>
                <w:p>
                  <w:pPr>
                    <w:autoSpaceDE w:val="0"/>
                    <w:autoSpaceDN w:val="0"/>
                    <w:spacing w:line="240" w:lineRule="atLeast"/>
                    <w:jc w:val="center"/>
                    <w:rPr>
                      <w:rFonts w:hint="default" w:eastAsia="宋体"/>
                      <w:b/>
                      <w:color w:val="auto"/>
                      <w:sz w:val="21"/>
                      <w:szCs w:val="21"/>
                      <w:u w:val="none"/>
                      <w:lang w:val="en-US" w:eastAsia="zh-CN"/>
                    </w:rPr>
                  </w:pPr>
                  <w:r>
                    <w:rPr>
                      <w:rFonts w:hint="eastAsia"/>
                      <w:b/>
                      <w:color w:val="auto"/>
                      <w:sz w:val="21"/>
                      <w:szCs w:val="21"/>
                      <w:u w:val="none"/>
                      <w:lang w:val="en-US" w:eastAsia="zh-CN"/>
                    </w:rPr>
                    <w:t>标准值</w:t>
                  </w:r>
                </w:p>
              </w:tc>
              <w:tc>
                <w:tcPr>
                  <w:tcW w:w="1380" w:type="dxa"/>
                  <w:noWrap w:val="0"/>
                  <w:vAlign w:val="center"/>
                </w:tcPr>
                <w:p>
                  <w:pPr>
                    <w:autoSpaceDE w:val="0"/>
                    <w:autoSpaceDN w:val="0"/>
                    <w:spacing w:line="240" w:lineRule="atLeast"/>
                    <w:jc w:val="center"/>
                    <w:rPr>
                      <w:rFonts w:hint="eastAsia" w:ascii="Times New Roman" w:hAnsi="Times New Roman" w:eastAsia="宋体" w:cs="Times New Roman"/>
                      <w:color w:val="auto"/>
                      <w:szCs w:val="21"/>
                      <w:highlight w:val="none"/>
                      <w:u w:val="none"/>
                      <w:lang w:eastAsia="zh-CN"/>
                    </w:rPr>
                  </w:pPr>
                  <w:r>
                    <w:rPr>
                      <w:b/>
                      <w:color w:val="auto"/>
                      <w:sz w:val="21"/>
                      <w:szCs w:val="21"/>
                      <w:u w:val="none"/>
                      <w:lang w:val="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color w:val="auto"/>
                      <w:sz w:val="21"/>
                      <w:szCs w:val="21"/>
                      <w:u w:val="none"/>
                    </w:rPr>
                    <w:t>东厂界</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olor w:val="auto"/>
                      <w:sz w:val="21"/>
                      <w:szCs w:val="21"/>
                      <w:u w:val="none"/>
                      <w:lang w:val="en-US" w:eastAsia="zh-CN"/>
                    </w:rPr>
                    <w:t>54.6</w:t>
                  </w:r>
                </w:p>
              </w:tc>
              <w:tc>
                <w:tcPr>
                  <w:tcW w:w="1380" w:type="dxa"/>
                  <w:noWrap w:val="0"/>
                  <w:vAlign w:val="center"/>
                </w:tcPr>
                <w:p>
                  <w:pPr>
                    <w:autoSpaceDE w:val="0"/>
                    <w:autoSpaceDN w:val="0"/>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olor w:val="auto"/>
                      <w:sz w:val="21"/>
                      <w:szCs w:val="21"/>
                      <w:u w:val="none"/>
                      <w:lang w:val="en-US" w:eastAsia="zh-CN"/>
                    </w:rPr>
                    <w:t>52.1</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56.9</w:t>
                  </w:r>
                </w:p>
              </w:tc>
              <w:tc>
                <w:tcPr>
                  <w:tcW w:w="1380" w:type="dxa"/>
                  <w:noWrap w:val="0"/>
                  <w:vAlign w:val="center"/>
                </w:tcPr>
                <w:p>
                  <w:pPr>
                    <w:spacing w:line="240" w:lineRule="atLeast"/>
                    <w:jc w:val="center"/>
                    <w:rPr>
                      <w:rFonts w:hint="default"/>
                      <w:color w:val="auto"/>
                      <w:sz w:val="21"/>
                      <w:szCs w:val="21"/>
                      <w:u w:val="none"/>
                      <w:lang w:val="en-US" w:eastAsia="zh-CN"/>
                    </w:rPr>
                  </w:pPr>
                  <w:r>
                    <w:rPr>
                      <w:rFonts w:hint="eastAsia"/>
                      <w:color w:val="auto"/>
                      <w:sz w:val="21"/>
                      <w:szCs w:val="21"/>
                      <w:u w:val="none"/>
                      <w:lang w:val="en-US" w:eastAsia="zh-CN"/>
                    </w:rPr>
                    <w:t>65</w:t>
                  </w:r>
                </w:p>
              </w:tc>
              <w:tc>
                <w:tcPr>
                  <w:tcW w:w="1380" w:type="dxa"/>
                  <w:noWrap w:val="0"/>
                  <w:vAlign w:val="center"/>
                </w:tcPr>
                <w:p>
                  <w:pPr>
                    <w:spacing w:line="240" w:lineRule="atLeast"/>
                    <w:jc w:val="center"/>
                    <w:rPr>
                      <w:rFonts w:hint="eastAsia" w:ascii="Times New Roman" w:hAnsi="Times New Roman" w:eastAsia="宋体" w:cs="Times New Roman"/>
                      <w:color w:val="auto"/>
                      <w:szCs w:val="21"/>
                      <w:highlight w:val="none"/>
                      <w:u w:val="none"/>
                      <w:lang w:eastAsia="zh-CN"/>
                    </w:rPr>
                  </w:pPr>
                  <w:r>
                    <w:rPr>
                      <w:color w:val="auto"/>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color w:val="auto"/>
                      <w:sz w:val="21"/>
                      <w:szCs w:val="21"/>
                      <w:u w:val="none"/>
                    </w:rPr>
                    <w:t>南厂界</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rPr>
                  </w:pPr>
                  <w:r>
                    <w:rPr>
                      <w:rFonts w:hint="eastAsia"/>
                      <w:color w:val="auto"/>
                      <w:sz w:val="21"/>
                      <w:szCs w:val="21"/>
                      <w:u w:val="none"/>
                      <w:lang w:val="en-US" w:eastAsia="zh-CN"/>
                    </w:rPr>
                    <w:t>59.5</w:t>
                  </w:r>
                </w:p>
              </w:tc>
              <w:tc>
                <w:tcPr>
                  <w:tcW w:w="1380" w:type="dxa"/>
                  <w:noWrap w:val="0"/>
                  <w:vAlign w:val="center"/>
                </w:tcPr>
                <w:p>
                  <w:pPr>
                    <w:autoSpaceDE w:val="0"/>
                    <w:autoSpaceDN w:val="0"/>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olor w:val="auto"/>
                      <w:sz w:val="21"/>
                      <w:szCs w:val="21"/>
                      <w:u w:val="none"/>
                      <w:lang w:val="en-US" w:eastAsia="zh-CN"/>
                    </w:rPr>
                    <w:t>61.3</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62.1</w:t>
                  </w:r>
                </w:p>
              </w:tc>
              <w:tc>
                <w:tcPr>
                  <w:tcW w:w="1380" w:type="dxa"/>
                  <w:noWrap w:val="0"/>
                  <w:vAlign w:val="center"/>
                </w:tcPr>
                <w:p>
                  <w:pPr>
                    <w:spacing w:line="240" w:lineRule="atLeast"/>
                    <w:jc w:val="center"/>
                    <w:rPr>
                      <w:rFonts w:hint="default"/>
                      <w:color w:val="auto"/>
                      <w:sz w:val="21"/>
                      <w:szCs w:val="21"/>
                      <w:u w:val="none"/>
                      <w:lang w:val="en-US" w:eastAsia="zh-CN"/>
                    </w:rPr>
                  </w:pPr>
                  <w:r>
                    <w:rPr>
                      <w:rFonts w:hint="eastAsia"/>
                      <w:color w:val="auto"/>
                      <w:sz w:val="21"/>
                      <w:szCs w:val="21"/>
                      <w:u w:val="none"/>
                      <w:lang w:val="en-US" w:eastAsia="zh-CN"/>
                    </w:rPr>
                    <w:t>65</w:t>
                  </w:r>
                </w:p>
              </w:tc>
              <w:tc>
                <w:tcPr>
                  <w:tcW w:w="1380" w:type="dxa"/>
                  <w:noWrap w:val="0"/>
                  <w:vAlign w:val="center"/>
                </w:tcPr>
                <w:p>
                  <w:pPr>
                    <w:jc w:val="center"/>
                    <w:rPr>
                      <w:rFonts w:ascii="Times New Roman" w:hAnsi="Times New Roman" w:eastAsia="宋体" w:cs="Times New Roman"/>
                      <w:color w:val="auto"/>
                      <w:szCs w:val="21"/>
                      <w:highlight w:val="none"/>
                      <w:u w:val="none"/>
                    </w:rPr>
                  </w:pPr>
                  <w:r>
                    <w:rPr>
                      <w:color w:val="auto"/>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color w:val="auto"/>
                      <w:sz w:val="21"/>
                      <w:szCs w:val="21"/>
                      <w:u w:val="none"/>
                    </w:rPr>
                    <w:t>西厂界</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rPr>
                  </w:pPr>
                  <w:r>
                    <w:rPr>
                      <w:rFonts w:hint="eastAsia"/>
                      <w:color w:val="auto"/>
                      <w:sz w:val="21"/>
                      <w:szCs w:val="21"/>
                      <w:u w:val="none"/>
                      <w:lang w:val="en-US" w:eastAsia="zh-CN"/>
                    </w:rPr>
                    <w:t>55.2</w:t>
                  </w:r>
                </w:p>
              </w:tc>
              <w:tc>
                <w:tcPr>
                  <w:tcW w:w="1380" w:type="dxa"/>
                  <w:noWrap w:val="0"/>
                  <w:vAlign w:val="center"/>
                </w:tcPr>
                <w:p>
                  <w:pPr>
                    <w:autoSpaceDE w:val="0"/>
                    <w:autoSpaceDN w:val="0"/>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olor w:val="auto"/>
                      <w:sz w:val="21"/>
                      <w:szCs w:val="21"/>
                      <w:u w:val="none"/>
                      <w:lang w:val="en-US" w:eastAsia="zh-CN"/>
                    </w:rPr>
                    <w:t>57.5</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60.5</w:t>
                  </w:r>
                </w:p>
              </w:tc>
              <w:tc>
                <w:tcPr>
                  <w:tcW w:w="1380" w:type="dxa"/>
                  <w:noWrap w:val="0"/>
                  <w:vAlign w:val="center"/>
                </w:tcPr>
                <w:p>
                  <w:pPr>
                    <w:spacing w:line="240" w:lineRule="atLeast"/>
                    <w:jc w:val="center"/>
                    <w:rPr>
                      <w:rFonts w:hint="default"/>
                      <w:color w:val="auto"/>
                      <w:sz w:val="21"/>
                      <w:szCs w:val="21"/>
                      <w:u w:val="none"/>
                      <w:lang w:val="en-US" w:eastAsia="zh-CN"/>
                    </w:rPr>
                  </w:pPr>
                  <w:r>
                    <w:rPr>
                      <w:rFonts w:hint="eastAsia"/>
                      <w:color w:val="auto"/>
                      <w:sz w:val="21"/>
                      <w:szCs w:val="21"/>
                      <w:u w:val="none"/>
                      <w:lang w:val="en-US" w:eastAsia="zh-CN"/>
                    </w:rPr>
                    <w:t>65</w:t>
                  </w:r>
                </w:p>
              </w:tc>
              <w:tc>
                <w:tcPr>
                  <w:tcW w:w="1380" w:type="dxa"/>
                  <w:noWrap w:val="0"/>
                  <w:vAlign w:val="center"/>
                </w:tcPr>
                <w:p>
                  <w:pPr>
                    <w:jc w:val="center"/>
                    <w:rPr>
                      <w:rFonts w:hint="eastAsia" w:ascii="Times New Roman" w:hAnsi="Times New Roman" w:eastAsia="宋体" w:cs="Times New Roman"/>
                      <w:color w:val="auto"/>
                      <w:szCs w:val="21"/>
                      <w:highlight w:val="none"/>
                      <w:u w:val="none"/>
                    </w:rPr>
                  </w:pPr>
                  <w:r>
                    <w:rPr>
                      <w:color w:val="auto"/>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color w:val="auto"/>
                      <w:sz w:val="21"/>
                      <w:szCs w:val="21"/>
                      <w:u w:val="none"/>
                    </w:rPr>
                    <w:t>北厂界</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rPr>
                  </w:pPr>
                  <w:r>
                    <w:rPr>
                      <w:rFonts w:hint="eastAsia"/>
                      <w:color w:val="auto"/>
                      <w:sz w:val="21"/>
                      <w:szCs w:val="21"/>
                      <w:u w:val="none"/>
                      <w:lang w:val="en-US" w:eastAsia="zh-CN"/>
                    </w:rPr>
                    <w:t>56.4</w:t>
                  </w:r>
                </w:p>
              </w:tc>
              <w:tc>
                <w:tcPr>
                  <w:tcW w:w="1380" w:type="dxa"/>
                  <w:noWrap w:val="0"/>
                  <w:vAlign w:val="center"/>
                </w:tcPr>
                <w:p>
                  <w:pPr>
                    <w:autoSpaceDE w:val="0"/>
                    <w:autoSpaceDN w:val="0"/>
                    <w:spacing w:line="240" w:lineRule="atLeast"/>
                    <w:jc w:val="center"/>
                    <w:rPr>
                      <w:rFonts w:ascii="Times New Roman" w:hAnsi="Times New Roman" w:eastAsia="宋体" w:cs="Times New Roman"/>
                      <w:color w:val="auto"/>
                      <w:szCs w:val="21"/>
                      <w:highlight w:val="none"/>
                      <w:u w:val="none"/>
                    </w:rPr>
                  </w:pPr>
                  <w:r>
                    <w:rPr>
                      <w:rFonts w:hint="eastAsia"/>
                      <w:color w:val="auto"/>
                      <w:sz w:val="21"/>
                      <w:szCs w:val="21"/>
                      <w:u w:val="none"/>
                      <w:lang w:val="en-US" w:eastAsia="zh-CN"/>
                    </w:rPr>
                    <w:t>60.6</w:t>
                  </w:r>
                </w:p>
              </w:tc>
              <w:tc>
                <w:tcPr>
                  <w:tcW w:w="1380" w:type="dxa"/>
                  <w:noWrap w:val="0"/>
                  <w:vAlign w:val="center"/>
                </w:tcPr>
                <w:p>
                  <w:pPr>
                    <w:spacing w:line="240" w:lineRule="atLeas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62.0</w:t>
                  </w:r>
                </w:p>
              </w:tc>
              <w:tc>
                <w:tcPr>
                  <w:tcW w:w="1380" w:type="dxa"/>
                  <w:noWrap w:val="0"/>
                  <w:vAlign w:val="center"/>
                </w:tcPr>
                <w:p>
                  <w:pPr>
                    <w:spacing w:line="240" w:lineRule="atLeast"/>
                    <w:jc w:val="center"/>
                    <w:rPr>
                      <w:rFonts w:hint="default"/>
                      <w:color w:val="auto"/>
                      <w:sz w:val="21"/>
                      <w:szCs w:val="21"/>
                      <w:u w:val="none"/>
                      <w:lang w:val="en-US" w:eastAsia="zh-CN"/>
                    </w:rPr>
                  </w:pPr>
                  <w:r>
                    <w:rPr>
                      <w:rFonts w:hint="eastAsia"/>
                      <w:color w:val="auto"/>
                      <w:sz w:val="21"/>
                      <w:szCs w:val="21"/>
                      <w:u w:val="none"/>
                      <w:lang w:val="en-US" w:eastAsia="zh-CN"/>
                    </w:rPr>
                    <w:t>65</w:t>
                  </w:r>
                </w:p>
              </w:tc>
              <w:tc>
                <w:tcPr>
                  <w:tcW w:w="1380" w:type="dxa"/>
                  <w:noWrap w:val="0"/>
                  <w:vAlign w:val="center"/>
                </w:tcPr>
                <w:p>
                  <w:pPr>
                    <w:jc w:val="center"/>
                    <w:rPr>
                      <w:rFonts w:ascii="Times New Roman" w:hAnsi="Times New Roman" w:eastAsia="宋体" w:cs="Times New Roman"/>
                      <w:color w:val="auto"/>
                      <w:szCs w:val="21"/>
                      <w:highlight w:val="none"/>
                      <w:u w:val="none"/>
                    </w:rPr>
                  </w:pPr>
                  <w:r>
                    <w:rPr>
                      <w:color w:val="auto"/>
                      <w:sz w:val="21"/>
                      <w:szCs w:val="21"/>
                      <w:u w:val="none"/>
                    </w:rPr>
                    <w:t>达标</w:t>
                  </w:r>
                </w:p>
              </w:tc>
            </w:tr>
          </w:tbl>
          <w:p>
            <w:pPr>
              <w:spacing w:line="360" w:lineRule="auto"/>
              <w:ind w:firstLine="480" w:firstLineChars="200"/>
              <w:rPr>
                <w:rFonts w:hint="eastAsia"/>
                <w:sz w:val="24"/>
                <w:szCs w:val="24"/>
                <w:u w:val="none"/>
                <w:lang w:eastAsia="zh-CN"/>
              </w:rPr>
            </w:pPr>
            <w:r>
              <w:rPr>
                <w:rFonts w:hint="eastAsia" w:ascii="Times New Roman" w:hAnsi="Times New Roman" w:eastAsia="宋体" w:cs="Times New Roman"/>
                <w:color w:val="auto"/>
                <w:sz w:val="24"/>
                <w:szCs w:val="24"/>
                <w:highlight w:val="none"/>
                <w:u w:val="none"/>
              </w:rPr>
              <w:t>由上表可知，项目正常生产情况下，根据预测结果，项目厂界</w:t>
            </w:r>
            <w:r>
              <w:rPr>
                <w:rFonts w:hint="eastAsia" w:ascii="Times New Roman" w:hAnsi="Times New Roman" w:eastAsia="宋体" w:cs="Times New Roman"/>
                <w:color w:val="auto"/>
                <w:sz w:val="24"/>
                <w:szCs w:val="24"/>
                <w:highlight w:val="none"/>
                <w:u w:val="none"/>
                <w:lang w:eastAsia="zh-CN"/>
              </w:rPr>
              <w:t>东</w:t>
            </w:r>
            <w:r>
              <w:rPr>
                <w:rFonts w:hint="eastAsia" w:cs="Times New Roman"/>
                <w:color w:val="auto"/>
                <w:sz w:val="24"/>
                <w:szCs w:val="24"/>
                <w:highlight w:val="none"/>
                <w:u w:val="none"/>
                <w:lang w:eastAsia="zh-CN"/>
              </w:rPr>
              <w:t>、南、西</w:t>
            </w:r>
            <w:r>
              <w:rPr>
                <w:rFonts w:hint="eastAsia" w:ascii="Times New Roman" w:hAnsi="Times New Roman" w:eastAsia="宋体" w:cs="Times New Roman"/>
                <w:color w:val="auto"/>
                <w:sz w:val="24"/>
                <w:szCs w:val="24"/>
                <w:highlight w:val="none"/>
                <w:u w:val="none"/>
                <w:lang w:eastAsia="zh-CN"/>
              </w:rPr>
              <w:t>、北</w:t>
            </w:r>
            <w:r>
              <w:rPr>
                <w:rFonts w:hint="eastAsia" w:ascii="Times New Roman" w:hAnsi="Times New Roman" w:eastAsia="宋体" w:cs="Times New Roman"/>
                <w:color w:val="auto"/>
                <w:sz w:val="24"/>
                <w:szCs w:val="24"/>
                <w:highlight w:val="none"/>
                <w:u w:val="none"/>
              </w:rPr>
              <w:t>噪声符合《工业企业厂界环境噪声排放标准》（GB12348-2008）</w:t>
            </w:r>
            <w:r>
              <w:rPr>
                <w:rFonts w:hint="eastAsia" w:cs="Times New Roman"/>
                <w:color w:val="auto"/>
                <w:sz w:val="24"/>
                <w:szCs w:val="24"/>
                <w:highlight w:val="none"/>
                <w:u w:val="none"/>
                <w:lang w:val="en-US" w:eastAsia="zh-CN"/>
              </w:rPr>
              <w:t>3</w:t>
            </w:r>
            <w:r>
              <w:rPr>
                <w:rFonts w:hint="eastAsia" w:ascii="Times New Roman" w:hAnsi="Times New Roman" w:eastAsia="宋体" w:cs="Times New Roman"/>
                <w:color w:val="auto"/>
                <w:sz w:val="24"/>
                <w:szCs w:val="24"/>
                <w:highlight w:val="none"/>
                <w:u w:val="none"/>
              </w:rPr>
              <w:t>类标准</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rPr>
              <w:t>因此</w:t>
            </w:r>
            <w:r>
              <w:rPr>
                <w:rFonts w:hint="eastAsia" w:ascii="Times New Roman" w:hAnsi="Times New Roman" w:eastAsia="宋体" w:cs="Times New Roman"/>
                <w:color w:val="auto"/>
                <w:sz w:val="24"/>
                <w:szCs w:val="24"/>
                <w:highlight w:val="none"/>
                <w:u w:val="none"/>
                <w:lang w:eastAsia="zh-CN"/>
              </w:rPr>
              <w:t>，对周边居</w:t>
            </w:r>
            <w:r>
              <w:rPr>
                <w:rFonts w:hint="eastAsia" w:ascii="Times New Roman" w:hAnsi="Times New Roman" w:eastAsia="宋体" w:cs="Times New Roman"/>
                <w:color w:val="auto"/>
                <w:kern w:val="2"/>
                <w:sz w:val="24"/>
                <w:szCs w:val="24"/>
                <w:u w:val="none"/>
                <w:lang w:val="en-US" w:eastAsia="zh-CN" w:bidi="ar-SA"/>
              </w:rPr>
              <w:t>民</w:t>
            </w:r>
            <w:r>
              <w:rPr>
                <w:rFonts w:hint="eastAsia" w:ascii="Times New Roman" w:hAnsi="Times New Roman" w:eastAsia="宋体" w:cs="Times New Roman"/>
                <w:color w:val="auto"/>
                <w:sz w:val="24"/>
                <w:szCs w:val="24"/>
                <w:u w:val="none"/>
                <w:lang w:val="en-US" w:eastAsia="zh-CN"/>
              </w:rPr>
              <w:t>影响较小，本项目投产后不会对周围声环境产生不利影响。</w:t>
            </w:r>
          </w:p>
          <w:p>
            <w:pPr>
              <w:pStyle w:val="2"/>
              <w:keepNext w:val="0"/>
              <w:keepLines w:val="0"/>
              <w:pageBreakBefore w:val="0"/>
              <w:widowControl/>
              <w:kinsoku/>
              <w:wordWrap/>
              <w:overflowPunct/>
              <w:topLinePunct w:val="0"/>
              <w:autoSpaceDE/>
              <w:autoSpaceDN/>
              <w:bidi w:val="0"/>
              <w:adjustRightInd/>
              <w:snapToGrid w:val="0"/>
              <w:spacing w:line="360" w:lineRule="auto"/>
              <w:ind w:right="113" w:firstLine="422" w:firstLineChars="200"/>
              <w:jc w:val="left"/>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四、固体废物</w:t>
            </w:r>
          </w:p>
          <w:p>
            <w:pPr>
              <w:pStyle w:val="2"/>
              <w:spacing w:line="240" w:lineRule="auto"/>
              <w:jc w:val="center"/>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表4-</w:t>
            </w:r>
            <w:r>
              <w:rPr>
                <w:rFonts w:hint="eastAsia" w:cs="Times New Roman"/>
                <w:b/>
                <w:bCs/>
                <w:sz w:val="21"/>
                <w:szCs w:val="21"/>
                <w:u w:val="none"/>
                <w:lang w:val="en-US" w:eastAsia="zh-CN"/>
              </w:rPr>
              <w:t>8</w:t>
            </w:r>
            <w:r>
              <w:rPr>
                <w:rFonts w:hint="default" w:ascii="Times New Roman" w:hAnsi="Times New Roman" w:cs="Times New Roman"/>
                <w:b/>
                <w:bCs/>
                <w:sz w:val="21"/>
                <w:szCs w:val="21"/>
                <w:u w:val="none"/>
              </w:rPr>
              <w:t xml:space="preserve"> 固废产排情况</w:t>
            </w:r>
          </w:p>
          <w:tbl>
            <w:tblPr>
              <w:tblStyle w:val="29"/>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7"/>
              <w:gridCol w:w="1187"/>
              <w:gridCol w:w="1187"/>
              <w:gridCol w:w="1187"/>
              <w:gridCol w:w="1187"/>
              <w:gridCol w:w="1188"/>
              <w:gridCol w:w="1188"/>
              <w:gridCol w:w="950"/>
              <w:gridCol w:w="1218"/>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产生环节</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固废名称</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属性</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主要有毒有害物质名称</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物理性状</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环境危险特性</w:t>
                  </w:r>
                </w:p>
              </w:tc>
              <w:tc>
                <w:tcPr>
                  <w:tcW w:w="1203"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年度产生量</w:t>
                  </w:r>
                </w:p>
              </w:tc>
              <w:tc>
                <w:tcPr>
                  <w:tcW w:w="1203"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贮存方式</w:t>
                  </w:r>
                </w:p>
              </w:tc>
              <w:tc>
                <w:tcPr>
                  <w:tcW w:w="96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利用处置方式和去向</w:t>
                  </w:r>
                </w:p>
              </w:tc>
              <w:tc>
                <w:tcPr>
                  <w:tcW w:w="1233"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利用或处置量</w:t>
                  </w:r>
                </w:p>
              </w:tc>
              <w:tc>
                <w:tcPr>
                  <w:tcW w:w="1419"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pPr>
                    <w:pStyle w:val="2"/>
                    <w:spacing w:before="0" w:after="0" w:line="240" w:lineRule="auto"/>
                    <w:ind w:right="0"/>
                    <w:jc w:val="both"/>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pacing w:val="-2"/>
                      <w:sz w:val="21"/>
                      <w:szCs w:val="21"/>
                      <w:u w:val="none"/>
                      <w:lang w:val="en-US" w:eastAsia="zh-CN" w:bidi="ar"/>
                    </w:rPr>
                    <w:t>切割打磨等过程</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ascii="Times New Roman" w:hAnsi="Times New Roman" w:cs="Times New Roman"/>
                      <w:color w:val="auto"/>
                      <w:spacing w:val="-2"/>
                      <w:sz w:val="21"/>
                      <w:szCs w:val="21"/>
                      <w:u w:val="none"/>
                      <w:lang w:val="en-US" w:eastAsia="zh-CN" w:bidi="ar"/>
                    </w:rPr>
                    <w:t>边角料</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1202"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202" w:type="dxa"/>
                  <w:vAlign w:val="center"/>
                </w:tcPr>
                <w:p>
                  <w:pPr>
                    <w:pStyle w:val="2"/>
                    <w:spacing w:before="0" w:after="0"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固态</w:t>
                  </w:r>
                </w:p>
              </w:tc>
              <w:tc>
                <w:tcPr>
                  <w:tcW w:w="1202"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203"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156</w:t>
                  </w:r>
                  <w:r>
                    <w:rPr>
                      <w:rFonts w:hint="default" w:ascii="Times New Roman" w:hAnsi="Times New Roman" w:cs="Times New Roman"/>
                      <w:color w:val="auto"/>
                      <w:sz w:val="21"/>
                      <w:szCs w:val="21"/>
                      <w:u w:val="none"/>
                    </w:rPr>
                    <w:t>t/a</w:t>
                  </w:r>
                </w:p>
              </w:tc>
              <w:tc>
                <w:tcPr>
                  <w:tcW w:w="1203" w:type="dxa"/>
                  <w:vAlign w:val="center"/>
                </w:tcPr>
                <w:p>
                  <w:pPr>
                    <w:pStyle w:val="2"/>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一般固废暂存</w:t>
                  </w:r>
                  <w:r>
                    <w:rPr>
                      <w:rFonts w:hint="eastAsia" w:cs="Times New Roman"/>
                      <w:color w:val="auto"/>
                      <w:sz w:val="21"/>
                      <w:szCs w:val="21"/>
                      <w:u w:val="none"/>
                      <w:lang w:eastAsia="zh-CN"/>
                    </w:rPr>
                    <w:t>区暂存</w:t>
                  </w:r>
                </w:p>
              </w:tc>
              <w:tc>
                <w:tcPr>
                  <w:tcW w:w="962" w:type="dxa"/>
                  <w:vMerge w:val="restart"/>
                  <w:vAlign w:val="center"/>
                </w:tcPr>
                <w:p>
                  <w:pPr>
                    <w:pStyle w:val="2"/>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委托处置</w:t>
                  </w:r>
                </w:p>
                <w:p>
                  <w:pPr>
                    <w:pStyle w:val="2"/>
                    <w:jc w:val="center"/>
                    <w:rPr>
                      <w:rFonts w:hint="default" w:ascii="Times New Roman" w:hAnsi="Times New Roman" w:cs="Times New Roman"/>
                      <w:color w:val="auto"/>
                      <w:sz w:val="21"/>
                      <w:szCs w:val="21"/>
                      <w:u w:val="none"/>
                    </w:rPr>
                  </w:pPr>
                </w:p>
              </w:tc>
              <w:tc>
                <w:tcPr>
                  <w:tcW w:w="1233" w:type="dxa"/>
                  <w:vAlign w:val="center"/>
                </w:tcPr>
                <w:p>
                  <w:pPr>
                    <w:pStyle w:val="2"/>
                    <w:ind w:right="113" w:rightChars="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156</w:t>
                  </w:r>
                  <w:r>
                    <w:rPr>
                      <w:rFonts w:hint="default" w:ascii="Times New Roman" w:hAnsi="Times New Roman" w:cs="Times New Roman"/>
                      <w:color w:val="auto"/>
                      <w:sz w:val="21"/>
                      <w:szCs w:val="21"/>
                      <w:u w:val="none"/>
                    </w:rPr>
                    <w:t>t/a</w:t>
                  </w:r>
                </w:p>
              </w:tc>
              <w:tc>
                <w:tcPr>
                  <w:tcW w:w="1419" w:type="dxa"/>
                  <w:vAlign w:val="center"/>
                </w:tcPr>
                <w:p>
                  <w:pPr>
                    <w:pStyle w:val="2"/>
                    <w:jc w:val="center"/>
                    <w:rPr>
                      <w:rFonts w:hint="default" w:ascii="Times New Roman" w:hAnsi="Times New Roman" w:cs="Times New Roman"/>
                      <w:color w:val="auto"/>
                      <w:sz w:val="21"/>
                      <w:szCs w:val="21"/>
                      <w:u w:val="none"/>
                    </w:rPr>
                  </w:pPr>
                  <w:r>
                    <w:rPr>
                      <w:rFonts w:hint="eastAsia" w:ascii="Times New Roman" w:hAnsi="Times New Roman" w:cs="Times New Roman"/>
                      <w:color w:val="auto"/>
                      <w:spacing w:val="-2"/>
                      <w:sz w:val="21"/>
                      <w:szCs w:val="21"/>
                      <w:u w:val="none"/>
                      <w:lang w:val="en-US" w:eastAsia="zh-CN" w:bidi="ar"/>
                    </w:rPr>
                    <w:t>由企业统一收集后外售至造纸厂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pPr>
                    <w:pStyle w:val="2"/>
                    <w:spacing w:before="0" w:after="0" w:line="240" w:lineRule="auto"/>
                    <w:ind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eastAsia="zh-CN"/>
                    </w:rPr>
                    <w:t>原料包装使用完毕后</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pacing w:val="-2"/>
                      <w:sz w:val="21"/>
                      <w:szCs w:val="21"/>
                      <w:u w:val="none"/>
                      <w:lang w:val="en-US" w:eastAsia="zh-CN" w:bidi="ar"/>
                    </w:rPr>
                    <w:t>废包装材料</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1202" w:type="dxa"/>
                  <w:vAlign w:val="center"/>
                </w:tcPr>
                <w:p>
                  <w:pPr>
                    <w:pStyle w:val="2"/>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val="en-US" w:eastAsia="zh-CN"/>
                    </w:rPr>
                    <w:t>/</w:t>
                  </w:r>
                </w:p>
              </w:tc>
              <w:tc>
                <w:tcPr>
                  <w:tcW w:w="1202" w:type="dxa"/>
                  <w:vAlign w:val="center"/>
                </w:tcPr>
                <w:p>
                  <w:pPr>
                    <w:pStyle w:val="2"/>
                    <w:spacing w:before="0" w:after="0"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固态</w:t>
                  </w:r>
                </w:p>
              </w:tc>
              <w:tc>
                <w:tcPr>
                  <w:tcW w:w="1202"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203" w:type="dxa"/>
                  <w:vAlign w:val="center"/>
                </w:tcPr>
                <w:p>
                  <w:pPr>
                    <w:pStyle w:val="2"/>
                    <w:jc w:val="center"/>
                    <w:rPr>
                      <w:rFonts w:hint="default" w:ascii="Times New Roman" w:hAnsi="Times New Roman" w:cs="Times New Roman"/>
                      <w:color w:val="auto"/>
                      <w:sz w:val="21"/>
                      <w:szCs w:val="21"/>
                      <w:u w:val="none"/>
                    </w:rPr>
                  </w:pPr>
                  <w:r>
                    <w:rPr>
                      <w:rFonts w:hint="eastAsia"/>
                      <w:color w:val="auto"/>
                      <w:sz w:val="21"/>
                      <w:szCs w:val="21"/>
                      <w:u w:val="none"/>
                      <w:lang w:val="en-US" w:eastAsia="zh-CN"/>
                    </w:rPr>
                    <w:t>0.3</w:t>
                  </w:r>
                  <w:r>
                    <w:rPr>
                      <w:rFonts w:hint="default" w:ascii="Times New Roman" w:hAnsi="Times New Roman" w:cs="Times New Roman"/>
                      <w:color w:val="auto"/>
                      <w:sz w:val="21"/>
                      <w:szCs w:val="21"/>
                      <w:u w:val="none"/>
                    </w:rPr>
                    <w:t>t/a</w:t>
                  </w:r>
                </w:p>
              </w:tc>
              <w:tc>
                <w:tcPr>
                  <w:tcW w:w="1203" w:type="dxa"/>
                  <w:vAlign w:val="center"/>
                </w:tcPr>
                <w:p>
                  <w:pPr>
                    <w:pStyle w:val="2"/>
                    <w:jc w:val="center"/>
                    <w:rPr>
                      <w:rFonts w:hint="eastAsia"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一般固废暂存</w:t>
                  </w:r>
                  <w:r>
                    <w:rPr>
                      <w:rFonts w:hint="eastAsia" w:cs="Times New Roman"/>
                      <w:color w:val="auto"/>
                      <w:sz w:val="21"/>
                      <w:szCs w:val="21"/>
                      <w:u w:val="none"/>
                      <w:lang w:eastAsia="zh-CN"/>
                    </w:rPr>
                    <w:t>区暂存</w:t>
                  </w:r>
                </w:p>
              </w:tc>
              <w:tc>
                <w:tcPr>
                  <w:tcW w:w="962" w:type="dxa"/>
                  <w:vMerge w:val="continue"/>
                  <w:vAlign w:val="center"/>
                </w:tcPr>
                <w:p>
                  <w:pPr>
                    <w:pStyle w:val="2"/>
                    <w:jc w:val="center"/>
                    <w:rPr>
                      <w:rFonts w:hint="default" w:ascii="Times New Roman" w:hAnsi="Times New Roman" w:cs="Times New Roman"/>
                      <w:color w:val="auto"/>
                      <w:sz w:val="21"/>
                      <w:szCs w:val="21"/>
                      <w:u w:val="none"/>
                    </w:rPr>
                  </w:pPr>
                </w:p>
              </w:tc>
              <w:tc>
                <w:tcPr>
                  <w:tcW w:w="1233" w:type="dxa"/>
                  <w:vAlign w:val="center"/>
                </w:tcPr>
                <w:p>
                  <w:pPr>
                    <w:pStyle w:val="2"/>
                    <w:ind w:right="113" w:rightChars="0"/>
                    <w:jc w:val="center"/>
                    <w:rPr>
                      <w:rFonts w:hint="default" w:ascii="Times New Roman" w:hAnsi="Times New Roman" w:cs="Times New Roman"/>
                      <w:color w:val="auto"/>
                      <w:sz w:val="21"/>
                      <w:szCs w:val="21"/>
                      <w:u w:val="none"/>
                    </w:rPr>
                  </w:pPr>
                  <w:r>
                    <w:rPr>
                      <w:rFonts w:hint="eastAsia"/>
                      <w:color w:val="auto"/>
                      <w:sz w:val="21"/>
                      <w:szCs w:val="21"/>
                      <w:u w:val="none"/>
                      <w:lang w:val="en-US" w:eastAsia="zh-CN"/>
                    </w:rPr>
                    <w:t>0.3</w:t>
                  </w:r>
                  <w:r>
                    <w:rPr>
                      <w:rFonts w:hint="default" w:ascii="Times New Roman" w:hAnsi="Times New Roman" w:cs="Times New Roman"/>
                      <w:color w:val="auto"/>
                      <w:sz w:val="21"/>
                      <w:szCs w:val="21"/>
                      <w:u w:val="none"/>
                    </w:rPr>
                    <w:t>t/a</w:t>
                  </w:r>
                </w:p>
              </w:tc>
              <w:tc>
                <w:tcPr>
                  <w:tcW w:w="1419"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pacing w:val="-2"/>
                      <w:sz w:val="21"/>
                      <w:szCs w:val="21"/>
                      <w:u w:val="none"/>
                      <w:lang w:val="en-US" w:eastAsia="zh-CN" w:bidi="ar"/>
                    </w:rPr>
                    <w:t>本项目胶桶由供应商回收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pPr>
                    <w:pStyle w:val="2"/>
                    <w:spacing w:before="0" w:after="0" w:line="240" w:lineRule="auto"/>
                    <w:ind w:right="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eastAsia="zh-CN"/>
                    </w:rPr>
                    <w:t>除尘器处理废气过程</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pacing w:val="-2"/>
                      <w:sz w:val="21"/>
                      <w:szCs w:val="21"/>
                      <w:u w:val="none"/>
                      <w:lang w:val="en-US" w:eastAsia="zh-CN" w:bidi="ar"/>
                    </w:rPr>
                    <w:t>除尘器收集的颗粒物</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1202"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202" w:type="dxa"/>
                  <w:vAlign w:val="center"/>
                </w:tcPr>
                <w:p>
                  <w:pPr>
                    <w:pStyle w:val="2"/>
                    <w:spacing w:before="0" w:after="0"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固态</w:t>
                  </w:r>
                </w:p>
              </w:tc>
              <w:tc>
                <w:tcPr>
                  <w:tcW w:w="1202"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w:t>
                  </w:r>
                </w:p>
              </w:tc>
              <w:tc>
                <w:tcPr>
                  <w:tcW w:w="1203" w:type="dxa"/>
                  <w:vAlign w:val="center"/>
                </w:tcPr>
                <w:p>
                  <w:pPr>
                    <w:pStyle w:val="2"/>
                    <w:spacing w:before="0" w:after="0" w:line="240" w:lineRule="auto"/>
                    <w:ind w:right="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26.136</w:t>
                  </w:r>
                  <w:r>
                    <w:rPr>
                      <w:rFonts w:hint="default" w:ascii="Times New Roman" w:hAnsi="Times New Roman" w:cs="Times New Roman"/>
                      <w:color w:val="auto"/>
                      <w:sz w:val="21"/>
                      <w:szCs w:val="21"/>
                      <w:u w:val="none"/>
                    </w:rPr>
                    <w:t>t/a</w:t>
                  </w:r>
                </w:p>
              </w:tc>
              <w:tc>
                <w:tcPr>
                  <w:tcW w:w="1203" w:type="dxa"/>
                  <w:vAlign w:val="center"/>
                </w:tcPr>
                <w:p>
                  <w:pPr>
                    <w:pStyle w:val="2"/>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一般固废暂存</w:t>
                  </w:r>
                  <w:r>
                    <w:rPr>
                      <w:rFonts w:hint="eastAsia" w:cs="Times New Roman"/>
                      <w:color w:val="auto"/>
                      <w:sz w:val="21"/>
                      <w:szCs w:val="21"/>
                      <w:u w:val="none"/>
                      <w:lang w:eastAsia="zh-CN"/>
                    </w:rPr>
                    <w:t>区暂存</w:t>
                  </w:r>
                </w:p>
              </w:tc>
              <w:tc>
                <w:tcPr>
                  <w:tcW w:w="962" w:type="dxa"/>
                  <w:vMerge w:val="continue"/>
                  <w:vAlign w:val="center"/>
                </w:tcPr>
                <w:p>
                  <w:pPr>
                    <w:pStyle w:val="2"/>
                    <w:jc w:val="center"/>
                    <w:rPr>
                      <w:rFonts w:hint="default" w:ascii="Times New Roman" w:hAnsi="Times New Roman" w:cs="Times New Roman"/>
                      <w:color w:val="auto"/>
                      <w:sz w:val="21"/>
                      <w:szCs w:val="21"/>
                      <w:u w:val="none"/>
                    </w:rPr>
                  </w:pPr>
                </w:p>
              </w:tc>
              <w:tc>
                <w:tcPr>
                  <w:tcW w:w="1233" w:type="dxa"/>
                  <w:vAlign w:val="center"/>
                </w:tcPr>
                <w:p>
                  <w:pPr>
                    <w:pStyle w:val="2"/>
                    <w:spacing w:before="0" w:after="0" w:line="240" w:lineRule="auto"/>
                    <w:ind w:right="0" w:rightChars="0"/>
                    <w:jc w:val="center"/>
                    <w:rPr>
                      <w:rFonts w:hint="default" w:ascii="Times New Roman" w:hAnsi="Times New Roman" w:cs="Times New Roman"/>
                      <w:color w:val="auto"/>
                      <w:sz w:val="21"/>
                      <w:szCs w:val="21"/>
                      <w:u w:val="none"/>
                    </w:rPr>
                  </w:pPr>
                  <w:r>
                    <w:rPr>
                      <w:rFonts w:hint="eastAsia" w:cs="Times New Roman"/>
                      <w:color w:val="auto"/>
                      <w:sz w:val="21"/>
                      <w:szCs w:val="21"/>
                      <w:u w:val="none"/>
                      <w:lang w:val="en-US" w:eastAsia="zh-CN"/>
                    </w:rPr>
                    <w:t>26.136</w:t>
                  </w:r>
                  <w:r>
                    <w:rPr>
                      <w:rFonts w:hint="default" w:ascii="Times New Roman" w:hAnsi="Times New Roman" w:cs="Times New Roman"/>
                      <w:color w:val="auto"/>
                      <w:sz w:val="21"/>
                      <w:szCs w:val="21"/>
                      <w:u w:val="none"/>
                    </w:rPr>
                    <w:t>t/a</w:t>
                  </w:r>
                </w:p>
              </w:tc>
              <w:tc>
                <w:tcPr>
                  <w:tcW w:w="1419" w:type="dxa"/>
                  <w:vAlign w:val="center"/>
                </w:tcPr>
                <w:p>
                  <w:pPr>
                    <w:pStyle w:val="2"/>
                    <w:jc w:val="center"/>
                    <w:rPr>
                      <w:rFonts w:hint="default" w:ascii="Times New Roman" w:hAnsi="Times New Roman" w:cs="Times New Roman"/>
                      <w:color w:val="auto"/>
                      <w:sz w:val="21"/>
                      <w:szCs w:val="21"/>
                      <w:u w:val="none"/>
                    </w:rPr>
                  </w:pPr>
                  <w:r>
                    <w:rPr>
                      <w:rFonts w:hint="eastAsia" w:cs="Times New Roman"/>
                      <w:color w:val="auto"/>
                      <w:spacing w:val="-2"/>
                      <w:sz w:val="21"/>
                      <w:szCs w:val="21"/>
                      <w:u w:val="none"/>
                      <w:lang w:val="en-US" w:eastAsia="zh-CN" w:bidi="ar"/>
                    </w:rPr>
                    <w:t>作为固废外售</w:t>
                  </w:r>
                </w:p>
              </w:tc>
            </w:tr>
          </w:tbl>
          <w:p>
            <w:pPr>
              <w:spacing w:line="360" w:lineRule="auto"/>
              <w:ind w:firstLine="472" w:firstLineChars="200"/>
              <w:rPr>
                <w:rFonts w:hint="eastAsia" w:ascii="Times New Roman" w:hAnsi="Times New Roman" w:cs="Times New Roman"/>
                <w:spacing w:val="-2"/>
                <w:sz w:val="24"/>
                <w:u w:val="none"/>
                <w:lang w:eastAsia="zh-CN" w:bidi="ar"/>
              </w:rPr>
            </w:pPr>
            <w:r>
              <w:rPr>
                <w:rFonts w:hint="eastAsia" w:ascii="Times New Roman" w:hAnsi="Times New Roman" w:cs="Times New Roman"/>
                <w:spacing w:val="-2"/>
                <w:sz w:val="24"/>
                <w:u w:val="none"/>
                <w:lang w:eastAsia="zh-CN" w:bidi="ar"/>
              </w:rPr>
              <w:t>扩建项目固废产生主要为一般固体废物</w:t>
            </w:r>
            <w:r>
              <w:rPr>
                <w:rFonts w:hint="eastAsia" w:cs="Times New Roman"/>
                <w:spacing w:val="-2"/>
                <w:sz w:val="24"/>
                <w:u w:val="none"/>
                <w:lang w:eastAsia="zh-CN" w:bidi="ar"/>
              </w:rPr>
              <w:t>（边角料、废包装材料以及除尘器收集的颗粒物）</w:t>
            </w:r>
            <w:r>
              <w:rPr>
                <w:rFonts w:hint="eastAsia" w:ascii="Times New Roman" w:hAnsi="Times New Roman" w:cs="Times New Roman"/>
                <w:spacing w:val="-2"/>
                <w:sz w:val="24"/>
                <w:u w:val="none"/>
                <w:lang w:eastAsia="zh-CN" w:bidi="ar"/>
              </w:rPr>
              <w:t>。</w:t>
            </w:r>
          </w:p>
          <w:p>
            <w:pPr>
              <w:spacing w:line="360" w:lineRule="auto"/>
              <w:ind w:firstLine="472" w:firstLineChars="200"/>
              <w:rPr>
                <w:rFonts w:hint="default" w:ascii="Times New Roman" w:hAnsi="Times New Roman" w:cs="Times New Roman"/>
                <w:color w:val="auto"/>
                <w:spacing w:val="-2"/>
                <w:sz w:val="24"/>
                <w:u w:val="none"/>
                <w:lang w:val="en-US" w:eastAsia="zh-CN" w:bidi="ar"/>
              </w:rPr>
            </w:pPr>
            <w:r>
              <w:rPr>
                <w:rFonts w:hint="eastAsia" w:cs="Times New Roman"/>
                <w:color w:val="auto"/>
                <w:spacing w:val="-2"/>
                <w:sz w:val="24"/>
                <w:u w:val="none"/>
                <w:lang w:val="en-US" w:eastAsia="zh-CN" w:bidi="ar"/>
              </w:rPr>
              <w:t>（1）</w:t>
            </w:r>
            <w:r>
              <w:rPr>
                <w:rFonts w:hint="eastAsia" w:ascii="Times New Roman" w:hAnsi="Times New Roman" w:cs="Times New Roman"/>
                <w:color w:val="auto"/>
                <w:spacing w:val="-2"/>
                <w:sz w:val="24"/>
                <w:u w:val="none"/>
                <w:lang w:val="en-US" w:eastAsia="zh-CN" w:bidi="ar"/>
              </w:rPr>
              <w:t>边角料</w:t>
            </w:r>
          </w:p>
          <w:p>
            <w:pPr>
              <w:spacing w:line="360" w:lineRule="auto"/>
              <w:ind w:firstLine="472" w:firstLineChars="200"/>
              <w:rPr>
                <w:rFonts w:hint="default" w:ascii="Times New Roman" w:hAnsi="Times New Roman" w:cs="Times New Roman"/>
                <w:color w:val="auto"/>
                <w:spacing w:val="-2"/>
                <w:sz w:val="24"/>
                <w:u w:val="none"/>
                <w:lang w:val="en-US" w:eastAsia="zh-CN" w:bidi="ar"/>
              </w:rPr>
            </w:pPr>
            <w:r>
              <w:rPr>
                <w:rFonts w:hint="eastAsia" w:ascii="Times New Roman" w:hAnsi="Times New Roman" w:cs="Times New Roman"/>
                <w:color w:val="auto"/>
                <w:spacing w:val="-2"/>
                <w:sz w:val="24"/>
                <w:u w:val="none"/>
                <w:lang w:eastAsia="zh-CN" w:bidi="ar"/>
              </w:rPr>
              <w:t>本次扩建部分产品的产量为</w:t>
            </w:r>
            <w:r>
              <w:rPr>
                <w:rFonts w:hint="eastAsia" w:ascii="Times New Roman" w:hAnsi="Times New Roman" w:cs="Times New Roman"/>
                <w:color w:val="auto"/>
                <w:spacing w:val="-2"/>
                <w:sz w:val="24"/>
                <w:u w:val="none"/>
                <w:lang w:val="en-US" w:eastAsia="zh-CN" w:bidi="ar"/>
              </w:rPr>
              <w:t>5200吨/年，在切割、打磨过程中均会产生边角料，根据企业介绍，按原料使用量的</w:t>
            </w:r>
            <w:r>
              <w:rPr>
                <w:rFonts w:hint="eastAsia" w:cs="Times New Roman"/>
                <w:color w:val="auto"/>
                <w:spacing w:val="-2"/>
                <w:sz w:val="24"/>
                <w:u w:val="none"/>
                <w:lang w:val="en-US" w:eastAsia="zh-CN" w:bidi="ar"/>
              </w:rPr>
              <w:t>3</w:t>
            </w:r>
            <w:r>
              <w:rPr>
                <w:rFonts w:hint="eastAsia" w:ascii="Times New Roman" w:hAnsi="Times New Roman" w:cs="Times New Roman"/>
                <w:color w:val="auto"/>
                <w:spacing w:val="-2"/>
                <w:sz w:val="24"/>
                <w:u w:val="none"/>
                <w:lang w:val="en-US" w:eastAsia="zh-CN" w:bidi="ar"/>
              </w:rPr>
              <w:t>%计算，则边角料的产生量为</w:t>
            </w:r>
            <w:r>
              <w:rPr>
                <w:rFonts w:hint="eastAsia" w:cs="Times New Roman"/>
                <w:color w:val="auto"/>
                <w:spacing w:val="-2"/>
                <w:sz w:val="24"/>
                <w:u w:val="none"/>
                <w:lang w:val="en-US" w:eastAsia="zh-CN" w:bidi="ar"/>
              </w:rPr>
              <w:t>156</w:t>
            </w:r>
            <w:r>
              <w:rPr>
                <w:rFonts w:hint="eastAsia" w:ascii="Times New Roman" w:hAnsi="Times New Roman" w:cs="Times New Roman"/>
                <w:color w:val="auto"/>
                <w:spacing w:val="-2"/>
                <w:sz w:val="24"/>
                <w:u w:val="none"/>
                <w:lang w:val="en-US" w:eastAsia="zh-CN" w:bidi="ar"/>
              </w:rPr>
              <w:t>t/a，则由企业统一收集后外售至造纸厂。</w:t>
            </w:r>
          </w:p>
          <w:p>
            <w:pPr>
              <w:spacing w:line="360" w:lineRule="auto"/>
              <w:ind w:firstLine="472" w:firstLineChars="200"/>
              <w:rPr>
                <w:rFonts w:hint="eastAsia" w:cs="Times New Roman"/>
                <w:color w:val="auto"/>
                <w:spacing w:val="-2"/>
                <w:sz w:val="24"/>
                <w:u w:val="none"/>
                <w:lang w:val="en-US" w:eastAsia="zh-CN" w:bidi="ar"/>
              </w:rPr>
            </w:pPr>
            <w:r>
              <w:rPr>
                <w:rFonts w:hint="eastAsia" w:cs="Times New Roman"/>
                <w:color w:val="auto"/>
                <w:spacing w:val="-2"/>
                <w:sz w:val="24"/>
                <w:u w:val="none"/>
                <w:lang w:val="en-US" w:eastAsia="zh-CN" w:bidi="ar"/>
              </w:rPr>
              <w:t>（2）废包装材料</w:t>
            </w:r>
          </w:p>
          <w:p>
            <w:pPr>
              <w:spacing w:line="360" w:lineRule="auto"/>
              <w:ind w:firstLine="472" w:firstLineChars="200"/>
              <w:rPr>
                <w:rFonts w:hint="eastAsia" w:cs="Times New Roman"/>
                <w:color w:val="auto"/>
                <w:spacing w:val="-2"/>
                <w:sz w:val="24"/>
                <w:u w:val="none"/>
                <w:lang w:val="en-US" w:eastAsia="zh-CN" w:bidi="ar"/>
              </w:rPr>
            </w:pPr>
            <w:r>
              <w:rPr>
                <w:rFonts w:hint="eastAsia" w:cs="Times New Roman"/>
                <w:color w:val="auto"/>
                <w:spacing w:val="-2"/>
                <w:sz w:val="24"/>
                <w:u w:val="none"/>
                <w:lang w:val="en-US" w:eastAsia="zh-CN" w:bidi="ar"/>
              </w:rPr>
              <w:t>项目环保型纸管胶采用塑料桶包装，产生量约为0.3t/a，由于项目环保型纸管胶为水性胶，不含“三苯”、重金属等毒性物质，故按一般固废进行管理，本项目胶桶由供应商回收。</w:t>
            </w:r>
          </w:p>
          <w:p>
            <w:pPr>
              <w:spacing w:line="360" w:lineRule="auto"/>
              <w:ind w:firstLine="472" w:firstLineChars="200"/>
              <w:rPr>
                <w:rFonts w:hint="default" w:ascii="Times New Roman" w:hAnsi="Times New Roman" w:cs="Times New Roman"/>
                <w:color w:val="auto"/>
                <w:spacing w:val="-2"/>
                <w:sz w:val="24"/>
                <w:u w:val="none"/>
                <w:lang w:val="en-US" w:eastAsia="zh-CN" w:bidi="ar"/>
              </w:rPr>
            </w:pPr>
            <w:r>
              <w:rPr>
                <w:rFonts w:hint="eastAsia" w:cs="Times New Roman"/>
                <w:color w:val="auto"/>
                <w:spacing w:val="-2"/>
                <w:sz w:val="24"/>
                <w:u w:val="none"/>
                <w:lang w:val="en-US" w:eastAsia="zh-CN" w:bidi="ar"/>
              </w:rPr>
              <w:t>（3）除尘器收集的颗粒物</w:t>
            </w:r>
          </w:p>
          <w:p>
            <w:pPr>
              <w:spacing w:line="360" w:lineRule="auto"/>
              <w:ind w:firstLine="472" w:firstLineChars="200"/>
              <w:rPr>
                <w:rFonts w:hint="default" w:ascii="Times New Roman" w:hAnsi="Times New Roman" w:cs="Times New Roman"/>
                <w:color w:val="auto"/>
                <w:spacing w:val="-2"/>
                <w:sz w:val="24"/>
                <w:u w:val="none"/>
                <w:lang w:val="en-US" w:eastAsia="zh-CN" w:bidi="ar"/>
              </w:rPr>
            </w:pPr>
            <w:r>
              <w:rPr>
                <w:rFonts w:hint="eastAsia" w:cs="Times New Roman"/>
                <w:color w:val="auto"/>
                <w:spacing w:val="-2"/>
                <w:sz w:val="24"/>
                <w:u w:val="none"/>
                <w:lang w:val="en-US" w:eastAsia="zh-CN" w:bidi="ar"/>
              </w:rPr>
              <w:t>根据工程分析计算，除尘器收集的颗粒物的量为26.136t/a，作为固废外售。</w:t>
            </w:r>
          </w:p>
          <w:p>
            <w:pPr>
              <w:spacing w:line="360" w:lineRule="auto"/>
              <w:ind w:firstLine="482" w:firstLineChars="200"/>
              <w:rPr>
                <w:b/>
                <w:bCs/>
                <w:sz w:val="24"/>
                <w:u w:val="none"/>
              </w:rPr>
            </w:pPr>
            <w:r>
              <w:rPr>
                <w:b/>
                <w:bCs/>
                <w:sz w:val="24"/>
                <w:u w:val="none"/>
              </w:rPr>
              <w:t>固废贮存场所设置规范</w:t>
            </w:r>
          </w:p>
          <w:p>
            <w:pPr>
              <w:spacing w:line="360" w:lineRule="auto"/>
              <w:ind w:firstLine="482" w:firstLineChars="200"/>
              <w:rPr>
                <w:b/>
                <w:bCs/>
                <w:sz w:val="24"/>
                <w:u w:val="none"/>
              </w:rPr>
            </w:pPr>
            <w:r>
              <w:rPr>
                <w:rFonts w:hint="eastAsia"/>
                <w:b/>
                <w:bCs/>
                <w:sz w:val="24"/>
                <w:u w:val="none"/>
                <w:lang w:eastAsia="zh-CN"/>
              </w:rPr>
              <w:t>（</w:t>
            </w:r>
            <w:r>
              <w:rPr>
                <w:rFonts w:hint="eastAsia"/>
                <w:b/>
                <w:bCs/>
                <w:sz w:val="24"/>
                <w:u w:val="none"/>
                <w:lang w:val="en-US" w:eastAsia="zh-CN"/>
              </w:rPr>
              <w:t>1</w:t>
            </w:r>
            <w:r>
              <w:rPr>
                <w:rFonts w:hint="eastAsia"/>
                <w:b/>
                <w:bCs/>
                <w:sz w:val="24"/>
                <w:u w:val="none"/>
                <w:lang w:eastAsia="zh-CN"/>
              </w:rPr>
              <w:t>）</w:t>
            </w:r>
            <w:r>
              <w:rPr>
                <w:b/>
                <w:bCs/>
                <w:sz w:val="24"/>
                <w:u w:val="none"/>
              </w:rPr>
              <w:t>一般工业固体废物贮存场所（设施）</w:t>
            </w:r>
            <w:r>
              <w:rPr>
                <w:rFonts w:hint="eastAsia"/>
                <w:b/>
                <w:bCs/>
                <w:sz w:val="24"/>
                <w:u w:val="none"/>
              </w:rPr>
              <w:t>：</w:t>
            </w:r>
          </w:p>
          <w:p>
            <w:pPr>
              <w:spacing w:line="360" w:lineRule="auto"/>
              <w:ind w:firstLine="480" w:firstLineChars="200"/>
              <w:rPr>
                <w:sz w:val="24"/>
                <w:u w:val="none"/>
              </w:rPr>
            </w:pPr>
            <w:r>
              <w:rPr>
                <w:sz w:val="24"/>
                <w:u w:val="none"/>
              </w:rPr>
              <w:t>一般固废堆场按照</w:t>
            </w:r>
            <w:r>
              <w:rPr>
                <w:spacing w:val="-2"/>
                <w:sz w:val="24"/>
                <w:u w:val="none"/>
                <w:lang w:bidi="ar"/>
              </w:rPr>
              <w:t>《一般工业固体废物贮存</w:t>
            </w:r>
            <w:r>
              <w:rPr>
                <w:rFonts w:hint="eastAsia"/>
                <w:spacing w:val="-2"/>
                <w:sz w:val="24"/>
                <w:u w:val="none"/>
                <w:lang w:bidi="ar"/>
              </w:rPr>
              <w:t>和填埋污染控制</w:t>
            </w:r>
            <w:r>
              <w:rPr>
                <w:spacing w:val="-2"/>
                <w:sz w:val="24"/>
                <w:u w:val="none"/>
                <w:lang w:bidi="ar"/>
              </w:rPr>
              <w:t>标准》</w:t>
            </w:r>
            <w:r>
              <w:rPr>
                <w:rFonts w:hint="eastAsia"/>
                <w:spacing w:val="-2"/>
                <w:sz w:val="24"/>
                <w:u w:val="none"/>
                <w:lang w:bidi="ar"/>
              </w:rPr>
              <w:t>（</w:t>
            </w:r>
            <w:r>
              <w:rPr>
                <w:spacing w:val="-2"/>
                <w:sz w:val="24"/>
                <w:u w:val="none"/>
                <w:lang w:bidi="ar"/>
              </w:rPr>
              <w:t>GB18599-</w:t>
            </w:r>
            <w:r>
              <w:rPr>
                <w:rFonts w:hint="eastAsia"/>
                <w:spacing w:val="-2"/>
                <w:sz w:val="24"/>
                <w:u w:val="none"/>
                <w:lang w:bidi="ar"/>
              </w:rPr>
              <w:t>2020）</w:t>
            </w:r>
            <w:r>
              <w:rPr>
                <w:sz w:val="24"/>
                <w:u w:val="none"/>
              </w:rPr>
              <w:t>及其修改单要求设置。具体</w:t>
            </w:r>
            <w:r>
              <w:rPr>
                <w:rFonts w:hint="eastAsia"/>
                <w:sz w:val="24"/>
                <w:u w:val="none"/>
              </w:rPr>
              <w:t>要求</w:t>
            </w:r>
            <w:r>
              <w:rPr>
                <w:sz w:val="24"/>
                <w:u w:val="none"/>
              </w:rPr>
              <w:t>如下：</w:t>
            </w:r>
          </w:p>
          <w:p>
            <w:pPr>
              <w:spacing w:line="360" w:lineRule="auto"/>
              <w:ind w:firstLine="480" w:firstLineChars="200"/>
              <w:rPr>
                <w:bCs/>
                <w:sz w:val="24"/>
                <w:u w:val="none"/>
              </w:rPr>
            </w:pPr>
            <w:r>
              <w:rPr>
                <w:rFonts w:hint="eastAsia" w:ascii="宋体" w:hAnsi="宋体"/>
                <w:bCs/>
                <w:sz w:val="24"/>
                <w:u w:val="none"/>
              </w:rPr>
              <w:t>①</w:t>
            </w:r>
            <w:r>
              <w:rPr>
                <w:rFonts w:hint="eastAsia"/>
                <w:bCs/>
                <w:sz w:val="24"/>
                <w:u w:val="none"/>
              </w:rPr>
              <w:t>地面应采取硬化措施并满足承载力要求，</w:t>
            </w:r>
            <w:r>
              <w:rPr>
                <w:sz w:val="24"/>
                <w:u w:val="none"/>
              </w:rPr>
              <w:t>地面基础及内墙采取防渗措施，使用防水混凝土</w:t>
            </w:r>
            <w:r>
              <w:rPr>
                <w:rFonts w:hint="eastAsia"/>
                <w:sz w:val="24"/>
                <w:u w:val="none"/>
              </w:rPr>
              <w:t>，</w:t>
            </w:r>
            <w:r>
              <w:rPr>
                <w:rFonts w:hint="eastAsia"/>
                <w:bCs/>
                <w:sz w:val="24"/>
                <w:u w:val="none"/>
              </w:rPr>
              <w:t>必要时采取相应措施防止地基下沉。</w:t>
            </w:r>
          </w:p>
          <w:p>
            <w:pPr>
              <w:pStyle w:val="113"/>
              <w:snapToGrid w:val="0"/>
              <w:rPr>
                <w:bCs/>
                <w:u w:val="none"/>
              </w:rPr>
            </w:pPr>
            <w:r>
              <w:rPr>
                <w:rFonts w:hint="eastAsia" w:ascii="宋体" w:hAnsi="宋体"/>
                <w:bCs/>
                <w:u w:val="none"/>
              </w:rPr>
              <w:t>②</w:t>
            </w:r>
            <w:r>
              <w:rPr>
                <w:rFonts w:hint="eastAsia"/>
                <w:bCs/>
                <w:u w:val="none"/>
              </w:rPr>
              <w:t>要求设置必要的防风、防雨、防渗漏措施，并采取相应的防尘措施。</w:t>
            </w:r>
            <w:r>
              <w:rPr>
                <w:rFonts w:cs="Times New Roman"/>
                <w:u w:val="none"/>
              </w:rPr>
              <w:t>不得露天堆放，防止雨水进入产生二次污染</w:t>
            </w:r>
            <w:r>
              <w:rPr>
                <w:rFonts w:hint="eastAsia" w:cs="Times New Roman"/>
                <w:u w:val="none"/>
              </w:rPr>
              <w:t>。</w:t>
            </w:r>
          </w:p>
          <w:p>
            <w:pPr>
              <w:pStyle w:val="113"/>
              <w:snapToGrid w:val="0"/>
              <w:rPr>
                <w:bCs/>
                <w:u w:val="none"/>
              </w:rPr>
            </w:pPr>
            <w:r>
              <w:rPr>
                <w:rFonts w:hint="eastAsia" w:ascii="宋体" w:hAnsi="宋体"/>
                <w:bCs/>
                <w:u w:val="none"/>
              </w:rPr>
              <w:t>③</w:t>
            </w:r>
            <w:r>
              <w:rPr>
                <w:rFonts w:hint="eastAsia"/>
                <w:bCs/>
                <w:u w:val="none"/>
              </w:rPr>
              <w:t>按《环境保护图形标识－固体废物贮存（处置）场》（GB15562.2）要求设置环境保护图形标志。</w:t>
            </w:r>
          </w:p>
          <w:p>
            <w:pPr>
              <w:spacing w:line="360" w:lineRule="auto"/>
              <w:ind w:firstLine="480" w:firstLineChars="200"/>
              <w:rPr>
                <w:sz w:val="24"/>
                <w:u w:val="none"/>
              </w:rPr>
            </w:pPr>
            <w:r>
              <w:rPr>
                <w:rFonts w:hint="eastAsia" w:ascii="宋体" w:hAnsi="宋体" w:cs="宋体"/>
                <w:sz w:val="24"/>
                <w:u w:val="none"/>
              </w:rPr>
              <w:t>④</w:t>
            </w:r>
            <w:r>
              <w:rPr>
                <w:sz w:val="24"/>
                <w:u w:val="none"/>
              </w:rPr>
              <w:t>一般固体废物按照不同的类别和性质，分区堆放。通过规范设置固体废物暂存场。</w:t>
            </w:r>
          </w:p>
          <w:p>
            <w:pPr>
              <w:spacing w:line="360" w:lineRule="auto"/>
              <w:ind w:firstLine="480" w:firstLineChars="200"/>
              <w:rPr>
                <w:sz w:val="24"/>
                <w:u w:val="none"/>
              </w:rPr>
            </w:pPr>
            <w:r>
              <w:rPr>
                <w:rFonts w:hint="eastAsia" w:ascii="宋体" w:hAnsi="宋体" w:cs="宋体"/>
                <w:sz w:val="24"/>
                <w:u w:val="none"/>
              </w:rPr>
              <w:t>⑤</w:t>
            </w:r>
            <w:r>
              <w:rPr>
                <w:sz w:val="24"/>
                <w:u w:val="none"/>
              </w:rPr>
              <w:t>同时建立完善厂内固体废物防范措施和管理制度，可使固体废物在收集、存放过程中对环境的影响至最低限度</w:t>
            </w:r>
            <w:r>
              <w:rPr>
                <w:rFonts w:hint="eastAsia"/>
                <w:sz w:val="24"/>
                <w:u w:val="none"/>
              </w:rPr>
              <w:t>。</w:t>
            </w:r>
          </w:p>
          <w:p>
            <w:pPr>
              <w:spacing w:line="360" w:lineRule="auto"/>
              <w:ind w:firstLine="480" w:firstLineChars="200"/>
              <w:rPr>
                <w:sz w:val="24"/>
                <w:u w:val="none"/>
              </w:rPr>
            </w:pPr>
            <w:r>
              <w:rPr>
                <w:rFonts w:hint="eastAsia"/>
                <w:sz w:val="24"/>
                <w:u w:val="none"/>
              </w:rPr>
              <w:t>项目一般固体废物暂存点</w:t>
            </w:r>
            <w:r>
              <w:rPr>
                <w:rFonts w:hint="eastAsia"/>
                <w:sz w:val="24"/>
                <w:u w:val="none"/>
                <w:lang w:eastAsia="zh-CN"/>
              </w:rPr>
              <w:t>拟设置在生产车间内，</w:t>
            </w:r>
            <w:r>
              <w:rPr>
                <w:rFonts w:hint="eastAsia"/>
                <w:sz w:val="24"/>
                <w:u w:val="none"/>
              </w:rPr>
              <w:t>占地面积约5m</w:t>
            </w:r>
            <w:r>
              <w:rPr>
                <w:rFonts w:hint="eastAsia"/>
                <w:sz w:val="24"/>
                <w:u w:val="none"/>
                <w:vertAlign w:val="superscript"/>
              </w:rPr>
              <w:t>2</w:t>
            </w:r>
            <w:r>
              <w:rPr>
                <w:rFonts w:hint="eastAsia"/>
                <w:sz w:val="24"/>
                <w:u w:val="none"/>
              </w:rPr>
              <w:t>，满足防风、防雨、防渗漏要求，需按照要求张贴环境保护图形标志，同时完善固体废物防范措施和管理制度。</w:t>
            </w:r>
          </w:p>
          <w:p>
            <w:pPr>
              <w:pStyle w:val="36"/>
              <w:tabs>
                <w:tab w:val="left" w:pos="2781"/>
                <w:tab w:val="center" w:pos="4298"/>
              </w:tabs>
              <w:snapToGrid w:val="0"/>
              <w:ind w:firstLine="420"/>
              <w:jc w:val="center"/>
              <w:rPr>
                <w:rFonts w:ascii="Times New Roman" w:cs="Times New Roman"/>
                <w:b/>
                <w:bCs/>
                <w:color w:val="auto"/>
                <w:sz w:val="21"/>
                <w:szCs w:val="21"/>
                <w:u w:val="none"/>
              </w:rPr>
            </w:pPr>
            <w:r>
              <w:rPr>
                <w:rFonts w:hint="eastAsia" w:ascii="Times New Roman" w:cs="Times New Roman"/>
                <w:b/>
                <w:bCs/>
                <w:color w:val="auto"/>
                <w:sz w:val="21"/>
                <w:szCs w:val="21"/>
                <w:u w:val="none"/>
              </w:rPr>
              <w:t>表</w:t>
            </w:r>
            <w:r>
              <w:rPr>
                <w:rFonts w:hint="eastAsia" w:ascii="Times New Roman" w:cs="Times New Roman"/>
                <w:b/>
                <w:bCs/>
                <w:color w:val="auto"/>
                <w:sz w:val="21"/>
                <w:szCs w:val="21"/>
                <w:u w:val="none"/>
                <w:lang w:val="en-US" w:eastAsia="zh-CN"/>
              </w:rPr>
              <w:t>4-9</w:t>
            </w:r>
            <w:r>
              <w:rPr>
                <w:rFonts w:hint="eastAsia" w:ascii="Times New Roman" w:cs="Times New Roman"/>
                <w:b/>
                <w:bCs/>
                <w:color w:val="auto"/>
                <w:sz w:val="21"/>
                <w:szCs w:val="21"/>
                <w:u w:val="none"/>
              </w:rPr>
              <w:t xml:space="preserve"> 全厂污染物排放三本账</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074"/>
              <w:gridCol w:w="523"/>
              <w:gridCol w:w="1112"/>
              <w:gridCol w:w="814"/>
              <w:gridCol w:w="1620"/>
              <w:gridCol w:w="1733"/>
              <w:gridCol w:w="1555"/>
              <w:gridCol w:w="2028"/>
              <w:gridCol w:w="18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ascii="Calibri" w:hAnsi="Calibri" w:cs="Calibri"/>
                      <w:color w:val="auto"/>
                      <w:sz w:val="21"/>
                      <w:szCs w:val="21"/>
                      <w:u w:val="none"/>
                    </w:rPr>
                    <mc:AlternateContent>
                      <mc:Choice Requires="wps">
                        <w:drawing>
                          <wp:anchor distT="0" distB="0" distL="114300" distR="114300" simplePos="0" relativeHeight="251705344" behindDoc="0" locked="0" layoutInCell="1" allowOverlap="1">
                            <wp:simplePos x="0" y="0"/>
                            <wp:positionH relativeFrom="column">
                              <wp:posOffset>-59690</wp:posOffset>
                            </wp:positionH>
                            <wp:positionV relativeFrom="paragraph">
                              <wp:posOffset>26670</wp:posOffset>
                            </wp:positionV>
                            <wp:extent cx="539750" cy="340995"/>
                            <wp:effectExtent l="2540" t="3810" r="10160" b="17145"/>
                            <wp:wrapNone/>
                            <wp:docPr id="67" name="直接箭头连接符 67"/>
                            <wp:cNvGraphicFramePr/>
                            <a:graphic xmlns:a="http://schemas.openxmlformats.org/drawingml/2006/main">
                              <a:graphicData uri="http://schemas.microsoft.com/office/word/2010/wordprocessingShape">
                                <wps:wsp>
                                  <wps:cNvCnPr/>
                                  <wps:spPr>
                                    <a:xfrm>
                                      <a:off x="0" y="0"/>
                                      <a:ext cx="539750" cy="340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2.1pt;height:26.85pt;width:42.5pt;z-index:251705344;mso-width-relative:page;mso-height-relative:page;" filled="f" stroked="t" coordsize="21600,21600" o:gfxdata="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SaHC1gAAAAYBAAAPAAAAAAAAAAEAIAAAACIAAABkcnMvZG93&#10;bnJldi54bWxQSwECFAAUAAAACACHTuJAW+xD9wICAADyAwAADgAAAAAAAAABACAAAAAl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宋体" w:cs="Times New Roman"/>
                      <w:color w:val="auto"/>
                      <w:sz w:val="21"/>
                      <w:szCs w:val="21"/>
                      <w:u w:val="none"/>
                    </w:rPr>
                    <w:t>内容</w:t>
                  </w:r>
                </w:p>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类型</w:t>
                  </w:r>
                </w:p>
              </w:tc>
              <w:tc>
                <w:tcPr>
                  <w:tcW w:w="406"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排放源</w:t>
                  </w:r>
                </w:p>
              </w:tc>
              <w:tc>
                <w:tcPr>
                  <w:tcW w:w="927" w:type="pct"/>
                  <w:gridSpan w:val="3"/>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w:t>
                  </w:r>
                </w:p>
              </w:tc>
              <w:tc>
                <w:tcPr>
                  <w:tcW w:w="613"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原</w:t>
                  </w:r>
                  <w:r>
                    <w:rPr>
                      <w:rFonts w:hint="default" w:ascii="Times New Roman" w:hAnsi="Times New Roman" w:eastAsia="宋体" w:cs="Times New Roman"/>
                      <w:color w:val="auto"/>
                      <w:sz w:val="21"/>
                      <w:szCs w:val="21"/>
                      <w:u w:val="none"/>
                    </w:rPr>
                    <w:t>有工程排放量</w:t>
                  </w:r>
                </w:p>
              </w:tc>
              <w:tc>
                <w:tcPr>
                  <w:tcW w:w="656"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以新带老削减量</w:t>
                  </w:r>
                </w:p>
              </w:tc>
              <w:tc>
                <w:tcPr>
                  <w:tcW w:w="589"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eastAsia" w:cs="Times New Roman"/>
                      <w:color w:val="auto"/>
                      <w:sz w:val="21"/>
                      <w:szCs w:val="21"/>
                      <w:u w:val="none"/>
                      <w:lang w:eastAsia="zh-CN"/>
                    </w:rPr>
                    <w:t>扩建</w:t>
                  </w:r>
                  <w:r>
                    <w:rPr>
                      <w:rFonts w:hint="default" w:ascii="Times New Roman" w:hAnsi="Times New Roman" w:eastAsia="宋体" w:cs="Times New Roman"/>
                      <w:color w:val="auto"/>
                      <w:sz w:val="21"/>
                      <w:szCs w:val="21"/>
                      <w:u w:val="none"/>
                    </w:rPr>
                    <w:t>工程排放量</w:t>
                  </w:r>
                </w:p>
              </w:tc>
              <w:tc>
                <w:tcPr>
                  <w:tcW w:w="76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扩建后排放增减量</w:t>
                  </w:r>
                </w:p>
              </w:tc>
              <w:tc>
                <w:tcPr>
                  <w:tcW w:w="696"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扩建后工程后总排放量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废气</w:t>
                  </w:r>
                </w:p>
              </w:tc>
              <w:tc>
                <w:tcPr>
                  <w:tcW w:w="406"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r>
                    <w:rPr>
                      <w:rFonts w:hint="eastAsia" w:cs="Times New Roman"/>
                      <w:color w:val="auto"/>
                      <w:sz w:val="21"/>
                      <w:szCs w:val="21"/>
                      <w:u w:val="none"/>
                      <w:lang w:val="en-US" w:eastAsia="zh-CN"/>
                    </w:rPr>
                    <w:t>锅炉燃烧及烘干废气</w:t>
                  </w:r>
                </w:p>
              </w:tc>
              <w:tc>
                <w:tcPr>
                  <w:tcW w:w="198" w:type="pct"/>
                  <w:vMerge w:val="restar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无组织</w:t>
                  </w:r>
                </w:p>
              </w:tc>
              <w:tc>
                <w:tcPr>
                  <w:tcW w:w="421"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cs="Times New Roman"/>
                      <w:snapToGrid w:val="0"/>
                      <w:color w:val="auto"/>
                      <w:kern w:val="21"/>
                      <w:szCs w:val="21"/>
                      <w:highlight w:val="none"/>
                      <w:u w:val="none"/>
                      <w:lang w:val="en-US" w:eastAsia="zh-CN"/>
                    </w:rPr>
                  </w:pPr>
                  <w:r>
                    <w:rPr>
                      <w:rFonts w:hint="eastAsia" w:cs="Times New Roman"/>
                      <w:color w:val="auto"/>
                      <w:sz w:val="21"/>
                      <w:szCs w:val="21"/>
                      <w:u w:val="none"/>
                      <w:lang w:eastAsia="zh-CN"/>
                    </w:rPr>
                    <w:t>颗粒物</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0.06</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0.06</w:t>
                  </w:r>
                </w:p>
              </w:tc>
              <w:tc>
                <w:tcPr>
                  <w:tcW w:w="589"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0.003</w:t>
                  </w:r>
                </w:p>
              </w:tc>
              <w:tc>
                <w:tcPr>
                  <w:tcW w:w="768"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-0.057</w:t>
                  </w:r>
                </w:p>
              </w:tc>
              <w:tc>
                <w:tcPr>
                  <w:tcW w:w="696"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color w:val="auto"/>
                      <w:sz w:val="21"/>
                      <w:szCs w:val="21"/>
                      <w:u w:val="single"/>
                      <w:lang w:val="en-US" w:eastAsia="zh-CN"/>
                    </w:rPr>
                  </w:pPr>
                  <w:r>
                    <w:rPr>
                      <w:rFonts w:hint="eastAsia" w:ascii="Times New Roman" w:cs="Times New Roman"/>
                      <w:snapToGrid w:val="0"/>
                      <w:color w:val="auto"/>
                      <w:kern w:val="21"/>
                      <w:szCs w:val="21"/>
                      <w:highlight w:val="none"/>
                      <w:u w:val="single"/>
                      <w:lang w:val="en-US" w:eastAsia="zh-CN"/>
                    </w:rPr>
                    <w:t>0.003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198" w:type="pct"/>
                  <w:vMerge w:val="continue"/>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cs="Times New Roman"/>
                      <w:snapToGrid w:val="0"/>
                      <w:color w:val="auto"/>
                      <w:kern w:val="21"/>
                      <w:szCs w:val="21"/>
                      <w:highlight w:val="none"/>
                      <w:u w:val="none"/>
                      <w:lang w:val="en-US" w:eastAsia="zh-CN"/>
                    </w:rPr>
                  </w:pPr>
                </w:p>
              </w:tc>
              <w:tc>
                <w:tcPr>
                  <w:tcW w:w="421"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cs="Times New Roman"/>
                      <w:snapToGrid w:val="0"/>
                      <w:color w:val="auto"/>
                      <w:kern w:val="21"/>
                      <w:szCs w:val="21"/>
                      <w:highlight w:val="none"/>
                      <w:u w:val="none"/>
                      <w:lang w:val="en-US" w:eastAsia="zh-CN"/>
                    </w:rPr>
                  </w:pPr>
                  <w:r>
                    <w:rPr>
                      <w:rFonts w:hint="eastAsia" w:cs="Times New Roman"/>
                      <w:color w:val="auto"/>
                      <w:sz w:val="21"/>
                      <w:szCs w:val="21"/>
                      <w:u w:val="none"/>
                      <w:lang w:val="en-US" w:eastAsia="zh-CN"/>
                    </w:rPr>
                    <w:t>SO</w:t>
                  </w:r>
                  <w:r>
                    <w:rPr>
                      <w:rFonts w:hint="eastAsia" w:cs="Times New Roman"/>
                      <w:color w:val="auto"/>
                      <w:sz w:val="21"/>
                      <w:szCs w:val="21"/>
                      <w:u w:val="none"/>
                      <w:vertAlign w:val="subscript"/>
                      <w:lang w:val="en-US" w:eastAsia="zh-CN"/>
                    </w:rPr>
                    <w:t>2</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0.04</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0.04</w:t>
                  </w:r>
                </w:p>
              </w:tc>
              <w:tc>
                <w:tcPr>
                  <w:tcW w:w="589"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0.00</w:t>
                  </w:r>
                  <w:r>
                    <w:rPr>
                      <w:rFonts w:hint="eastAsia" w:cs="Times New Roman"/>
                      <w:snapToGrid w:val="0"/>
                      <w:color w:val="auto"/>
                      <w:kern w:val="21"/>
                      <w:szCs w:val="21"/>
                      <w:highlight w:val="none"/>
                      <w:u w:val="single"/>
                      <w:lang w:val="en-US" w:eastAsia="zh-CN"/>
                    </w:rPr>
                    <w:t>1</w:t>
                  </w:r>
                </w:p>
              </w:tc>
              <w:tc>
                <w:tcPr>
                  <w:tcW w:w="768"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-0.039</w:t>
                  </w:r>
                </w:p>
              </w:tc>
              <w:tc>
                <w:tcPr>
                  <w:tcW w:w="696"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color w:val="auto"/>
                      <w:sz w:val="21"/>
                      <w:szCs w:val="21"/>
                      <w:u w:val="single"/>
                      <w:lang w:val="en-US" w:eastAsia="zh-CN"/>
                    </w:rPr>
                  </w:pPr>
                  <w:r>
                    <w:rPr>
                      <w:rFonts w:hint="eastAsia" w:ascii="Times New Roman" w:cs="Times New Roman"/>
                      <w:snapToGrid w:val="0"/>
                      <w:color w:val="auto"/>
                      <w:kern w:val="21"/>
                      <w:szCs w:val="21"/>
                      <w:highlight w:val="none"/>
                      <w:u w:val="single"/>
                      <w:lang w:val="en-US" w:eastAsia="zh-CN"/>
                    </w:rPr>
                    <w:t>0.00</w:t>
                  </w:r>
                  <w:r>
                    <w:rPr>
                      <w:rFonts w:hint="eastAsia" w:cs="Times New Roman"/>
                      <w:snapToGrid w:val="0"/>
                      <w:color w:val="auto"/>
                      <w:kern w:val="21"/>
                      <w:szCs w:val="21"/>
                      <w:highlight w:val="none"/>
                      <w:u w:val="singl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198" w:type="pct"/>
                  <w:vMerge w:val="continue"/>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cs="Times New Roman"/>
                      <w:snapToGrid w:val="0"/>
                      <w:color w:val="auto"/>
                      <w:kern w:val="21"/>
                      <w:szCs w:val="21"/>
                      <w:highlight w:val="none"/>
                      <w:u w:val="none"/>
                      <w:lang w:val="en-US" w:eastAsia="zh-CN"/>
                    </w:rPr>
                  </w:pPr>
                </w:p>
              </w:tc>
              <w:tc>
                <w:tcPr>
                  <w:tcW w:w="421"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cs="Times New Roman"/>
                      <w:snapToGrid w:val="0"/>
                      <w:color w:val="auto"/>
                      <w:kern w:val="21"/>
                      <w:szCs w:val="21"/>
                      <w:highlight w:val="none"/>
                      <w:u w:val="none"/>
                      <w:lang w:val="en-US" w:eastAsia="zh-CN"/>
                    </w:rPr>
                  </w:pPr>
                  <w:r>
                    <w:rPr>
                      <w:rFonts w:hint="eastAsia" w:cs="Times New Roman"/>
                      <w:color w:val="auto"/>
                      <w:sz w:val="21"/>
                      <w:szCs w:val="21"/>
                      <w:u w:val="none"/>
                      <w:lang w:val="en-US" w:eastAsia="zh-CN"/>
                    </w:rPr>
                    <w:t>NO</w:t>
                  </w:r>
                  <w:r>
                    <w:rPr>
                      <w:rFonts w:hint="eastAsia" w:cs="Times New Roman"/>
                      <w:color w:val="auto"/>
                      <w:sz w:val="21"/>
                      <w:szCs w:val="21"/>
                      <w:u w:val="none"/>
                      <w:vertAlign w:val="subscript"/>
                      <w:lang w:val="en-US" w:eastAsia="zh-CN"/>
                    </w:rPr>
                    <w:t>X</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0.122</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0.122</w:t>
                  </w:r>
                </w:p>
              </w:tc>
              <w:tc>
                <w:tcPr>
                  <w:tcW w:w="589"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0.02</w:t>
                  </w:r>
                </w:p>
              </w:tc>
              <w:tc>
                <w:tcPr>
                  <w:tcW w:w="768"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-0.102</w:t>
                  </w:r>
                </w:p>
              </w:tc>
              <w:tc>
                <w:tcPr>
                  <w:tcW w:w="696"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color w:val="auto"/>
                      <w:sz w:val="21"/>
                      <w:szCs w:val="21"/>
                      <w:u w:val="single"/>
                      <w:lang w:val="en-US" w:eastAsia="zh-CN"/>
                    </w:rPr>
                  </w:pPr>
                  <w:r>
                    <w:rPr>
                      <w:rFonts w:hint="eastAsia" w:ascii="Times New Roman" w:cs="Times New Roman"/>
                      <w:snapToGrid w:val="0"/>
                      <w:color w:val="auto"/>
                      <w:kern w:val="21"/>
                      <w:szCs w:val="21"/>
                      <w:highlight w:val="none"/>
                      <w:u w:val="single"/>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198" w:type="pct"/>
                  <w:vMerge w:val="continue"/>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p>
              </w:tc>
              <w:tc>
                <w:tcPr>
                  <w:tcW w:w="421"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非甲烷总烃</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40</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single"/>
                      <w:lang w:val="en-US" w:eastAsia="zh-CN"/>
                    </w:rPr>
                  </w:pPr>
                  <w:r>
                    <w:rPr>
                      <w:rFonts w:hint="eastAsia" w:cs="Times New Roman"/>
                      <w:snapToGrid w:val="0"/>
                      <w:color w:val="auto"/>
                      <w:kern w:val="21"/>
                      <w:szCs w:val="21"/>
                      <w:highlight w:val="none"/>
                      <w:u w:val="single"/>
                      <w:lang w:val="en-US" w:eastAsia="zh-CN"/>
                    </w:rPr>
                    <w:t>38.544</w:t>
                  </w:r>
                  <w:bookmarkStart w:id="6" w:name="_GoBack"/>
                  <w:bookmarkEnd w:id="6"/>
                </w:p>
              </w:tc>
              <w:tc>
                <w:tcPr>
                  <w:tcW w:w="589" w:type="pct"/>
                  <w:tcBorders>
                    <w:tl2br w:val="nil"/>
                    <w:tr2bl w:val="nil"/>
                  </w:tcBorders>
                  <w:vAlign w:val="center"/>
                </w:tcPr>
                <w:p>
                  <w:pPr>
                    <w:pStyle w:val="62"/>
                    <w:spacing w:beforeLines="0" w:afterLines="0" w:line="240" w:lineRule="auto"/>
                    <w:ind w:left="420" w:leftChars="0" w:hanging="420" w:hangingChars="200"/>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0.946</w:t>
                  </w:r>
                </w:p>
              </w:tc>
              <w:tc>
                <w:tcPr>
                  <w:tcW w:w="768"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single"/>
                      <w:lang w:val="en-US" w:eastAsia="zh-CN"/>
                    </w:rPr>
                  </w:pPr>
                  <w:r>
                    <w:rPr>
                      <w:rFonts w:hint="eastAsia" w:ascii="Times New Roman" w:cs="Times New Roman"/>
                      <w:snapToGrid w:val="0"/>
                      <w:color w:val="auto"/>
                      <w:kern w:val="21"/>
                      <w:szCs w:val="21"/>
                      <w:highlight w:val="none"/>
                      <w:u w:val="single"/>
                      <w:lang w:val="en-US" w:eastAsia="zh-CN"/>
                    </w:rPr>
                    <w:t>-37.598</w:t>
                  </w:r>
                </w:p>
              </w:tc>
              <w:tc>
                <w:tcPr>
                  <w:tcW w:w="696" w:type="pct"/>
                  <w:tcBorders>
                    <w:tl2br w:val="nil"/>
                    <w:tr2bl w:val="nil"/>
                  </w:tcBorders>
                  <w:vAlign w:val="center"/>
                </w:tcPr>
                <w:p>
                  <w:pPr>
                    <w:pStyle w:val="62"/>
                    <w:spacing w:beforeLines="0" w:afterLines="0" w:line="240" w:lineRule="auto"/>
                    <w:ind w:left="420" w:leftChars="0" w:hanging="420" w:hangingChars="200"/>
                    <w:rPr>
                      <w:rFonts w:hint="default" w:ascii="Times New Roman" w:cs="Times New Roman"/>
                      <w:color w:val="auto"/>
                      <w:sz w:val="21"/>
                      <w:szCs w:val="21"/>
                      <w:u w:val="single"/>
                      <w:lang w:val="en-US" w:eastAsia="zh-CN"/>
                    </w:rPr>
                  </w:pPr>
                  <w:r>
                    <w:rPr>
                      <w:rFonts w:hint="eastAsia" w:ascii="Times New Roman" w:cs="Times New Roman"/>
                      <w:color w:val="auto"/>
                      <w:sz w:val="21"/>
                      <w:szCs w:val="21"/>
                      <w:u w:val="single"/>
                      <w:lang w:val="en-US" w:eastAsia="zh-CN"/>
                    </w:rPr>
                    <w:t>2.402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p>
              </w:tc>
              <w:tc>
                <w:tcPr>
                  <w:tcW w:w="406"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r>
                    <w:rPr>
                      <w:rFonts w:hint="eastAsia" w:cs="Times New Roman"/>
                      <w:color w:val="auto"/>
                      <w:sz w:val="21"/>
                      <w:szCs w:val="21"/>
                      <w:u w:val="none"/>
                      <w:lang w:val="en-US" w:eastAsia="zh-CN"/>
                    </w:rPr>
                    <w:t>抛光打磨工序</w:t>
                  </w:r>
                </w:p>
              </w:tc>
              <w:tc>
                <w:tcPr>
                  <w:tcW w:w="619" w:type="pct"/>
                  <w:gridSpan w:val="2"/>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无组织颗粒物</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0.165</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pStyle w:val="62"/>
                    <w:spacing w:beforeLines="0" w:afterLines="0" w:line="240" w:lineRule="auto"/>
                    <w:ind w:left="420" w:leftChars="0" w:hanging="420" w:hangingChars="200"/>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0.264</w:t>
                  </w:r>
                </w:p>
              </w:tc>
              <w:tc>
                <w:tcPr>
                  <w:tcW w:w="768" w:type="pct"/>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+0.264</w:t>
                  </w:r>
                </w:p>
              </w:tc>
              <w:tc>
                <w:tcPr>
                  <w:tcW w:w="696" w:type="pct"/>
                  <w:tcBorders>
                    <w:tl2br w:val="nil"/>
                    <w:tr2bl w:val="nil"/>
                  </w:tcBorders>
                  <w:vAlign w:val="center"/>
                </w:tcPr>
                <w:p>
                  <w:pPr>
                    <w:pStyle w:val="62"/>
                    <w:spacing w:beforeLines="0" w:afterLines="0" w:line="240" w:lineRule="auto"/>
                    <w:ind w:left="420" w:leftChars="0" w:hanging="420" w:hangingChars="200"/>
                    <w:rPr>
                      <w:rFonts w:hint="default" w:ascii="Times New Roman" w:cs="Times New Roman"/>
                      <w:color w:val="auto"/>
                      <w:sz w:val="21"/>
                      <w:szCs w:val="21"/>
                      <w:u w:val="none"/>
                      <w:lang w:val="en-US" w:eastAsia="zh-CN"/>
                    </w:rPr>
                  </w:pPr>
                  <w:r>
                    <w:rPr>
                      <w:rFonts w:hint="eastAsia" w:ascii="Times New Roman" w:cs="Times New Roman"/>
                      <w:color w:val="auto"/>
                      <w:sz w:val="21"/>
                      <w:szCs w:val="21"/>
                      <w:u w:val="none"/>
                      <w:lang w:val="en-US" w:eastAsia="zh-CN"/>
                    </w:rPr>
                    <w:t>0.429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color w:val="auto"/>
                      <w:sz w:val="21"/>
                      <w:szCs w:val="21"/>
                      <w:u w:val="none"/>
                      <w:lang w:eastAsia="zh-CN"/>
                    </w:rPr>
                  </w:pPr>
                  <w:r>
                    <w:rPr>
                      <w:rFonts w:hint="eastAsia" w:cs="Times New Roman"/>
                      <w:color w:val="auto"/>
                      <w:sz w:val="21"/>
                      <w:szCs w:val="21"/>
                      <w:u w:val="none"/>
                      <w:lang w:eastAsia="zh-CN"/>
                    </w:rPr>
                    <w:t>废水</w:t>
                  </w:r>
                </w:p>
              </w:tc>
              <w:tc>
                <w:tcPr>
                  <w:tcW w:w="406"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r>
                    <w:rPr>
                      <w:rFonts w:hint="eastAsia" w:cs="Times New Roman"/>
                      <w:color w:val="auto"/>
                      <w:sz w:val="21"/>
                      <w:szCs w:val="21"/>
                      <w:u w:val="none"/>
                      <w:lang w:val="en-US" w:eastAsia="zh-CN"/>
                    </w:rPr>
                    <w:t>生活废水</w:t>
                  </w:r>
                </w:p>
              </w:tc>
              <w:tc>
                <w:tcPr>
                  <w:tcW w:w="619" w:type="pct"/>
                  <w:gridSpan w:val="2"/>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COD</w:t>
                  </w:r>
                  <w:r>
                    <w:rPr>
                      <w:rFonts w:hint="eastAsia" w:ascii="Times New Roman" w:cs="Times New Roman"/>
                      <w:snapToGrid w:val="0"/>
                      <w:color w:val="auto"/>
                      <w:kern w:val="21"/>
                      <w:szCs w:val="21"/>
                      <w:highlight w:val="none"/>
                      <w:u w:val="none"/>
                      <w:vertAlign w:val="subscript"/>
                      <w:lang w:val="en-US" w:eastAsia="zh-CN"/>
                    </w:rPr>
                    <w:t>Cr</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0.163</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768"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696" w:type="pct"/>
                  <w:tcBorders>
                    <w:tl2br w:val="nil"/>
                    <w:tr2bl w:val="nil"/>
                  </w:tcBorders>
                  <w:vAlign w:val="center"/>
                </w:tcPr>
                <w:p>
                  <w:pPr>
                    <w:spacing w:beforeLines="0" w:afterLines="0" w:line="240" w:lineRule="auto"/>
                    <w:jc w:val="center"/>
                    <w:rPr>
                      <w:rFonts w:hint="default" w:ascii="Times New Roman" w:cs="Times New Roman"/>
                      <w:color w:val="auto"/>
                      <w:sz w:val="21"/>
                      <w:szCs w:val="21"/>
                      <w:u w:val="none"/>
                      <w:lang w:val="en-US" w:eastAsia="zh-CN"/>
                    </w:rPr>
                  </w:pPr>
                  <w:r>
                    <w:rPr>
                      <w:rFonts w:hint="eastAsia" w:cs="Times New Roman"/>
                      <w:snapToGrid w:val="0"/>
                      <w:color w:val="auto"/>
                      <w:kern w:val="21"/>
                      <w:szCs w:val="21"/>
                      <w:highlight w:val="none"/>
                      <w:u w:val="none"/>
                      <w:lang w:val="en-US" w:eastAsia="zh-CN"/>
                    </w:rPr>
                    <w:t>0.163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619" w:type="pct"/>
                  <w:gridSpan w:val="2"/>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BOD</w:t>
                  </w:r>
                  <w:r>
                    <w:rPr>
                      <w:rFonts w:hint="eastAsia" w:ascii="Times New Roman" w:cs="Times New Roman"/>
                      <w:snapToGrid w:val="0"/>
                      <w:color w:val="auto"/>
                      <w:kern w:val="21"/>
                      <w:szCs w:val="21"/>
                      <w:highlight w:val="none"/>
                      <w:u w:val="none"/>
                      <w:vertAlign w:val="subscript"/>
                      <w:lang w:val="en-US" w:eastAsia="zh-CN"/>
                    </w:rPr>
                    <w:t>5</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0.064</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768"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696" w:type="pct"/>
                  <w:tcBorders>
                    <w:tl2br w:val="nil"/>
                    <w:tr2bl w:val="nil"/>
                  </w:tcBorders>
                  <w:vAlign w:val="center"/>
                </w:tcPr>
                <w:p>
                  <w:pPr>
                    <w:spacing w:beforeLines="0" w:afterLines="0" w:line="240" w:lineRule="auto"/>
                    <w:jc w:val="center"/>
                    <w:rPr>
                      <w:rFonts w:hint="default" w:ascii="Times New Roman" w:cs="Times New Roman"/>
                      <w:color w:val="auto"/>
                      <w:sz w:val="21"/>
                      <w:szCs w:val="21"/>
                      <w:u w:val="none"/>
                      <w:lang w:val="en-US" w:eastAsia="zh-CN"/>
                    </w:rPr>
                  </w:pPr>
                  <w:r>
                    <w:rPr>
                      <w:rFonts w:hint="eastAsia" w:cs="Times New Roman"/>
                      <w:snapToGrid w:val="0"/>
                      <w:color w:val="auto"/>
                      <w:kern w:val="21"/>
                      <w:szCs w:val="21"/>
                      <w:highlight w:val="none"/>
                      <w:u w:val="none"/>
                      <w:lang w:val="en-US" w:eastAsia="zh-CN"/>
                    </w:rPr>
                    <w:t>0.064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619" w:type="pct"/>
                  <w:gridSpan w:val="2"/>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SS</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0.002</w:t>
                  </w:r>
                </w:p>
              </w:tc>
              <w:tc>
                <w:tcPr>
                  <w:tcW w:w="656"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768"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696" w:type="pct"/>
                  <w:tcBorders>
                    <w:tl2br w:val="nil"/>
                    <w:tr2bl w:val="nil"/>
                  </w:tcBorders>
                  <w:vAlign w:val="center"/>
                </w:tcPr>
                <w:p>
                  <w:pPr>
                    <w:spacing w:beforeLines="0" w:afterLines="0" w:line="240" w:lineRule="auto"/>
                    <w:jc w:val="center"/>
                    <w:rPr>
                      <w:rFonts w:hint="eastAsia" w:ascii="Times New Roman" w:cs="Times New Roman"/>
                      <w:color w:val="auto"/>
                      <w:sz w:val="21"/>
                      <w:szCs w:val="21"/>
                      <w:u w:val="none"/>
                      <w:lang w:val="en-US" w:eastAsia="zh-CN"/>
                    </w:rPr>
                  </w:pPr>
                  <w:r>
                    <w:rPr>
                      <w:rFonts w:hint="eastAsia" w:cs="Times New Roman"/>
                      <w:snapToGrid w:val="0"/>
                      <w:color w:val="auto"/>
                      <w:kern w:val="21"/>
                      <w:szCs w:val="21"/>
                      <w:highlight w:val="none"/>
                      <w:u w:val="none"/>
                      <w:lang w:val="en-US" w:eastAsia="zh-CN"/>
                    </w:rPr>
                    <w:t>0.002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eastAsia="zh-CN"/>
                    </w:rPr>
                  </w:pPr>
                </w:p>
              </w:tc>
              <w:tc>
                <w:tcPr>
                  <w:tcW w:w="406"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auto"/>
                      <w:sz w:val="21"/>
                      <w:szCs w:val="21"/>
                      <w:u w:val="none"/>
                      <w:lang w:val="en-US" w:eastAsia="zh-CN"/>
                    </w:rPr>
                  </w:pPr>
                </w:p>
              </w:tc>
              <w:tc>
                <w:tcPr>
                  <w:tcW w:w="619" w:type="pct"/>
                  <w:gridSpan w:val="2"/>
                  <w:tcBorders>
                    <w:tl2br w:val="nil"/>
                    <w:tr2bl w:val="nil"/>
                  </w:tcBorders>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NH</w:t>
                  </w:r>
                  <w:r>
                    <w:rPr>
                      <w:rFonts w:hint="eastAsia" w:ascii="Times New Roman" w:cs="Times New Roman"/>
                      <w:snapToGrid w:val="0"/>
                      <w:color w:val="auto"/>
                      <w:kern w:val="21"/>
                      <w:szCs w:val="21"/>
                      <w:highlight w:val="none"/>
                      <w:u w:val="none"/>
                      <w:vertAlign w:val="subscript"/>
                      <w:lang w:val="en-US" w:eastAsia="zh-CN"/>
                    </w:rPr>
                    <w:t>3</w:t>
                  </w:r>
                  <w:r>
                    <w:rPr>
                      <w:rFonts w:hint="eastAsia" w:ascii="Times New Roman" w:cs="Times New Roman"/>
                      <w:snapToGrid w:val="0"/>
                      <w:color w:val="auto"/>
                      <w:kern w:val="21"/>
                      <w:szCs w:val="21"/>
                      <w:highlight w:val="none"/>
                      <w:u w:val="none"/>
                      <w:lang w:val="en-US" w:eastAsia="zh-CN"/>
                    </w:rPr>
                    <w:t>-N</w:t>
                  </w:r>
                </w:p>
              </w:tc>
              <w:tc>
                <w:tcPr>
                  <w:tcW w:w="308" w:type="pc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t/a</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0.004</w:t>
                  </w:r>
                </w:p>
              </w:tc>
              <w:tc>
                <w:tcPr>
                  <w:tcW w:w="656" w:type="pct"/>
                  <w:tcBorders>
                    <w:tl2br w:val="nil"/>
                    <w:tr2bl w:val="nil"/>
                  </w:tcBorders>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768" w:type="pct"/>
                  <w:tcBorders>
                    <w:tl2br w:val="nil"/>
                    <w:tr2bl w:val="nil"/>
                  </w:tcBorders>
                  <w:vAlign w:val="center"/>
                </w:tcPr>
                <w:p>
                  <w:pPr>
                    <w:spacing w:beforeLines="0" w:afterLines="0" w:line="240" w:lineRule="auto"/>
                    <w:ind w:left="420" w:leftChars="0" w:hanging="420" w:hangingChars="200"/>
                    <w:jc w:val="center"/>
                    <w:rPr>
                      <w:rFonts w:hint="eastAsia"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696" w:type="pct"/>
                  <w:tcBorders>
                    <w:tl2br w:val="nil"/>
                    <w:tr2bl w:val="nil"/>
                  </w:tcBorders>
                  <w:vAlign w:val="center"/>
                </w:tcPr>
                <w:p>
                  <w:pPr>
                    <w:spacing w:beforeLines="0" w:afterLines="0" w:line="240" w:lineRule="auto"/>
                    <w:jc w:val="center"/>
                    <w:rPr>
                      <w:rFonts w:hint="default" w:ascii="Times New Roman" w:cs="Times New Roman"/>
                      <w:color w:val="auto"/>
                      <w:sz w:val="21"/>
                      <w:szCs w:val="21"/>
                      <w:u w:val="none"/>
                      <w:lang w:val="en-US" w:eastAsia="zh-CN"/>
                    </w:rPr>
                  </w:pPr>
                  <w:r>
                    <w:rPr>
                      <w:rFonts w:hint="eastAsia" w:cs="Times New Roman"/>
                      <w:snapToGrid w:val="0"/>
                      <w:color w:val="auto"/>
                      <w:kern w:val="21"/>
                      <w:szCs w:val="21"/>
                      <w:highlight w:val="none"/>
                      <w:u w:val="none"/>
                      <w:lang w:val="en-US" w:eastAsia="zh-CN"/>
                    </w:rPr>
                    <w:t>0.004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 w:type="pct"/>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固废</w:t>
                  </w:r>
                </w:p>
              </w:tc>
              <w:tc>
                <w:tcPr>
                  <w:tcW w:w="1334" w:type="pct"/>
                  <w:gridSpan w:val="4"/>
                  <w:tcBorders>
                    <w:tl2br w:val="nil"/>
                    <w:tr2bl w:val="nil"/>
                  </w:tcBorders>
                  <w:vAlign w:val="center"/>
                </w:tcPr>
                <w:p>
                  <w:pPr>
                    <w:pStyle w:val="80"/>
                    <w:jc w:val="center"/>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lang w:eastAsia="zh-CN"/>
                    </w:rPr>
                    <w:t>边角料（</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613" w:type="pct"/>
                  <w:tcBorders>
                    <w:tl2br w:val="nil"/>
                    <w:tr2bl w:val="nil"/>
                  </w:tcBorders>
                  <w:vAlign w:val="center"/>
                </w:tcPr>
                <w:p>
                  <w:pPr>
                    <w:spacing w:beforeLines="0" w:afterLines="0"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240</w:t>
                  </w:r>
                </w:p>
              </w:tc>
              <w:tc>
                <w:tcPr>
                  <w:tcW w:w="65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pStyle w:val="80"/>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w w:val="99"/>
                      <w:sz w:val="21"/>
                      <w:szCs w:val="21"/>
                      <w:u w:val="none"/>
                      <w:lang w:val="en-US" w:eastAsia="zh-CN"/>
                    </w:rPr>
                    <w:t>156</w:t>
                  </w:r>
                </w:p>
              </w:tc>
              <w:tc>
                <w:tcPr>
                  <w:tcW w:w="768" w:type="pct"/>
                  <w:tcBorders>
                    <w:tl2br w:val="nil"/>
                    <w:tr2bl w:val="nil"/>
                  </w:tcBorders>
                  <w:vAlign w:val="center"/>
                </w:tcPr>
                <w:p>
                  <w:pPr>
                    <w:pStyle w:val="80"/>
                    <w:jc w:val="center"/>
                    <w:rPr>
                      <w:rFonts w:hint="default" w:ascii="Times New Roman" w:hAnsi="Times New Roman" w:eastAsia="宋体" w:cs="Times New Roman"/>
                      <w:color w:val="auto"/>
                      <w:sz w:val="21"/>
                      <w:szCs w:val="21"/>
                      <w:u w:val="none"/>
                      <w:lang w:val="en-US"/>
                    </w:rPr>
                  </w:pPr>
                  <w:r>
                    <w:rPr>
                      <w:rFonts w:hint="eastAsia" w:ascii="Times New Roman" w:hAnsi="Times New Roman" w:cs="Times New Roman"/>
                      <w:color w:val="auto"/>
                      <w:w w:val="99"/>
                      <w:sz w:val="21"/>
                      <w:szCs w:val="21"/>
                      <w:u w:val="none"/>
                      <w:lang w:val="en-US" w:eastAsia="zh-CN"/>
                    </w:rPr>
                    <w:t>+156</w:t>
                  </w:r>
                </w:p>
              </w:tc>
              <w:tc>
                <w:tcPr>
                  <w:tcW w:w="6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396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p>
              </w:tc>
              <w:tc>
                <w:tcPr>
                  <w:tcW w:w="1334" w:type="pct"/>
                  <w:gridSpan w:val="4"/>
                  <w:tcBorders>
                    <w:tl2br w:val="nil"/>
                    <w:tr2bl w:val="nil"/>
                  </w:tcBorders>
                  <w:vAlign w:val="center"/>
                </w:tcPr>
                <w:p>
                  <w:pPr>
                    <w:pStyle w:val="80"/>
                    <w:jc w:val="center"/>
                    <w:rPr>
                      <w:rFonts w:hint="eastAsia"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u w:val="none"/>
                      <w:lang w:eastAsia="zh-CN"/>
                    </w:rPr>
                    <w:t>废包装材料（</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613" w:type="pct"/>
                  <w:tcBorders>
                    <w:tl2br w:val="nil"/>
                    <w:tr2bl w:val="nil"/>
                  </w:tcBorders>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color w:val="auto"/>
                      <w:sz w:val="21"/>
                      <w:szCs w:val="21"/>
                      <w:u w:val="none"/>
                      <w:lang w:val="en-US" w:eastAsia="zh-CN"/>
                    </w:rPr>
                    <w:t>0.5</w:t>
                  </w:r>
                </w:p>
              </w:tc>
              <w:tc>
                <w:tcPr>
                  <w:tcW w:w="656" w:type="pct"/>
                  <w:tcBorders>
                    <w:tl2br w:val="nil"/>
                    <w:tr2bl w:val="nil"/>
                  </w:tcBorders>
                  <w:vAlign w:val="center"/>
                </w:tcPr>
                <w:p>
                  <w:pPr>
                    <w:jc w:val="center"/>
                    <w:rPr>
                      <w:rFonts w:hint="default" w:eastAsia="Times New Roman" w:cs="Times New Roman"/>
                      <w:color w:val="auto"/>
                      <w:kern w:val="2"/>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jc w:val="center"/>
                    <w:rPr>
                      <w:rFonts w:hint="default" w:eastAsia="Times New Roman" w:cs="Times New Roman"/>
                      <w:color w:val="auto"/>
                      <w:kern w:val="2"/>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0.3</w:t>
                  </w:r>
                </w:p>
              </w:tc>
              <w:tc>
                <w:tcPr>
                  <w:tcW w:w="768" w:type="pct"/>
                  <w:tcBorders>
                    <w:tl2br w:val="nil"/>
                    <w:tr2bl w:val="nil"/>
                  </w:tcBorders>
                  <w:vAlign w:val="center"/>
                </w:tcPr>
                <w:p>
                  <w:pPr>
                    <w:jc w:val="center"/>
                    <w:rPr>
                      <w:rFonts w:hint="default" w:eastAsia="Times New Roman" w:cs="Times New Roman"/>
                      <w:color w:val="auto"/>
                      <w:kern w:val="2"/>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+0.3</w:t>
                  </w:r>
                </w:p>
              </w:tc>
              <w:tc>
                <w:tcPr>
                  <w:tcW w:w="6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Times New Roman" w:cs="Times New Roman"/>
                      <w:color w:val="auto"/>
                      <w:kern w:val="2"/>
                      <w:sz w:val="21"/>
                      <w:szCs w:val="21"/>
                      <w:highlight w:val="none"/>
                      <w:u w:val="none"/>
                      <w:lang w:val="en-US" w:eastAsia="zh-CN" w:bidi="ar-SA"/>
                    </w:rPr>
                  </w:pPr>
                  <w:r>
                    <w:rPr>
                      <w:rFonts w:hint="eastAsia" w:eastAsia="Times New Roman" w:cs="Times New Roman"/>
                      <w:color w:val="auto"/>
                      <w:kern w:val="2"/>
                      <w:sz w:val="21"/>
                      <w:szCs w:val="21"/>
                      <w:highlight w:val="none"/>
                      <w:u w:val="none"/>
                      <w:lang w:val="en-US" w:eastAsia="zh-CN" w:bidi="ar-SA"/>
                    </w:rPr>
                    <w:t>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p>
              </w:tc>
              <w:tc>
                <w:tcPr>
                  <w:tcW w:w="1334" w:type="pct"/>
                  <w:gridSpan w:val="4"/>
                  <w:tcBorders>
                    <w:tl2br w:val="nil"/>
                    <w:tr2bl w:val="nil"/>
                  </w:tcBorders>
                  <w:vAlign w:val="center"/>
                </w:tcPr>
                <w:p>
                  <w:pPr>
                    <w:pStyle w:val="80"/>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eastAsia="zh-CN"/>
                    </w:rPr>
                    <w:t>除尘器收集的颗粒物（</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613" w:type="pct"/>
                  <w:tcBorders>
                    <w:tl2br w:val="nil"/>
                    <w:tr2bl w:val="nil"/>
                  </w:tcBorders>
                  <w:vAlign w:val="center"/>
                </w:tcPr>
                <w:p>
                  <w:pPr>
                    <w:spacing w:beforeLines="0" w:afterLines="0"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16.335</w:t>
                  </w:r>
                </w:p>
              </w:tc>
              <w:tc>
                <w:tcPr>
                  <w:tcW w:w="65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26.136</w:t>
                  </w:r>
                </w:p>
              </w:tc>
              <w:tc>
                <w:tcPr>
                  <w:tcW w:w="76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+26.136</w:t>
                  </w:r>
                </w:p>
              </w:tc>
              <w:tc>
                <w:tcPr>
                  <w:tcW w:w="6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42.471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 w:type="pct"/>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sz w:val="21"/>
                      <w:szCs w:val="21"/>
                      <w:u w:val="none"/>
                    </w:rPr>
                  </w:pPr>
                </w:p>
              </w:tc>
              <w:tc>
                <w:tcPr>
                  <w:tcW w:w="1334" w:type="pct"/>
                  <w:gridSpan w:val="4"/>
                  <w:tcBorders>
                    <w:tl2br w:val="nil"/>
                    <w:tr2bl w:val="nil"/>
                  </w:tcBorders>
                  <w:vAlign w:val="center"/>
                </w:tcPr>
                <w:p>
                  <w:pPr>
                    <w:pStyle w:val="80"/>
                    <w:jc w:val="center"/>
                    <w:rPr>
                      <w:rFonts w:hint="eastAsia" w:cs="Times New Roman"/>
                      <w:color w:val="auto"/>
                      <w:kern w:val="2"/>
                      <w:sz w:val="21"/>
                      <w:szCs w:val="21"/>
                      <w:highlight w:val="none"/>
                      <w:u w:val="none"/>
                      <w:lang w:val="en-US" w:eastAsia="zh-CN" w:bidi="ar-SA"/>
                    </w:rPr>
                  </w:pPr>
                  <w:r>
                    <w:rPr>
                      <w:rFonts w:ascii="Times New Roman" w:hAnsi="Times New Roman" w:cs="Times New Roman"/>
                      <w:color w:val="auto"/>
                      <w:sz w:val="21"/>
                      <w:szCs w:val="21"/>
                      <w:u w:val="none"/>
                    </w:rPr>
                    <w:t>生活垃圾</w:t>
                  </w:r>
                  <w:r>
                    <w:rPr>
                      <w:rFonts w:hint="eastAsia" w:ascii="Times New Roman" w:hAnsi="Times New Roman" w:cs="Times New Roman"/>
                      <w:color w:val="auto"/>
                      <w:sz w:val="21"/>
                      <w:szCs w:val="21"/>
                      <w:u w:val="none"/>
                      <w:lang w:eastAsia="zh-CN"/>
                    </w:rPr>
                    <w:t>（</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613" w:type="pct"/>
                  <w:tcBorders>
                    <w:tl2br w:val="nil"/>
                    <w:tr2bl w:val="nil"/>
                  </w:tcBorders>
                  <w:vAlign w:val="center"/>
                </w:tcPr>
                <w:p>
                  <w:pPr>
                    <w:spacing w:beforeLines="0" w:afterLines="0" w:line="240" w:lineRule="auto"/>
                    <w:jc w:val="center"/>
                    <w:rPr>
                      <w:rFonts w:hint="default"/>
                      <w:color w:val="auto"/>
                      <w:sz w:val="21"/>
                      <w:szCs w:val="21"/>
                      <w:u w:val="none"/>
                      <w:lang w:val="en-US" w:eastAsia="zh-CN"/>
                    </w:rPr>
                  </w:pPr>
                  <w:r>
                    <w:rPr>
                      <w:rFonts w:hint="eastAsia"/>
                      <w:color w:val="auto"/>
                      <w:sz w:val="21"/>
                      <w:szCs w:val="21"/>
                      <w:u w:val="none"/>
                      <w:lang w:val="en-US" w:eastAsia="zh-CN"/>
                    </w:rPr>
                    <w:t>4.2</w:t>
                  </w:r>
                </w:p>
              </w:tc>
              <w:tc>
                <w:tcPr>
                  <w:tcW w:w="656" w:type="pct"/>
                  <w:tcBorders>
                    <w:tl2br w:val="nil"/>
                    <w:tr2bl w:val="nil"/>
                  </w:tcBorders>
                  <w:vAlign w:val="center"/>
                </w:tcPr>
                <w:p>
                  <w:pPr>
                    <w:jc w:val="center"/>
                    <w:rPr>
                      <w:rFonts w:hint="eastAsia" w:eastAsia="宋体" w:cs="Times New Roman"/>
                      <w:color w:val="auto"/>
                      <w:kern w:val="2"/>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589" w:type="pct"/>
                  <w:tcBorders>
                    <w:tl2br w:val="nil"/>
                    <w:tr2bl w:val="nil"/>
                  </w:tcBorders>
                  <w:vAlign w:val="center"/>
                </w:tcPr>
                <w:p>
                  <w:pPr>
                    <w:jc w:val="center"/>
                    <w:rPr>
                      <w:rFonts w:hint="eastAsia"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u w:val="none"/>
                      <w:lang w:val="en-US" w:eastAsia="zh-CN"/>
                    </w:rPr>
                    <w:t>0</w:t>
                  </w:r>
                </w:p>
              </w:tc>
              <w:tc>
                <w:tcPr>
                  <w:tcW w:w="768" w:type="pct"/>
                  <w:tcBorders>
                    <w:tl2br w:val="nil"/>
                    <w:tr2bl w:val="nil"/>
                  </w:tcBorders>
                  <w:vAlign w:val="center"/>
                </w:tcPr>
                <w:p>
                  <w:pPr>
                    <w:jc w:val="center"/>
                    <w:rPr>
                      <w:rFonts w:hint="eastAsia"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u w:val="none"/>
                      <w:lang w:val="en-US" w:eastAsia="zh-CN"/>
                    </w:rPr>
                    <w:t>0</w:t>
                  </w:r>
                </w:p>
              </w:tc>
              <w:tc>
                <w:tcPr>
                  <w:tcW w:w="6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21"/>
                      <w:szCs w:val="21"/>
                      <w:u w:val="none"/>
                      <w:lang w:val="en-US" w:eastAsia="zh-CN"/>
                    </w:rPr>
                  </w:pPr>
                  <w:r>
                    <w:rPr>
                      <w:rFonts w:hint="eastAsia" w:cs="Times New Roman"/>
                      <w:color w:val="auto"/>
                      <w:sz w:val="21"/>
                      <w:szCs w:val="21"/>
                      <w:u w:val="none"/>
                      <w:lang w:val="en-US" w:eastAsia="zh-CN"/>
                    </w:rPr>
                    <w:t>4.2</w:t>
                  </w:r>
                </w:p>
              </w:tc>
            </w:tr>
          </w:tbl>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cs="Times New Roman"/>
                <w:b/>
                <w:bCs/>
                <w:color w:val="auto"/>
                <w:sz w:val="24"/>
                <w:szCs w:val="24"/>
                <w:u w:val="none"/>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rPr>
              <w:t>五、监测计划</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1、废气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auto"/>
                <w:sz w:val="24"/>
                <w:szCs w:val="24"/>
                <w:u w:val="none"/>
                <w:lang w:val="en-US" w:eastAsia="zh-CN"/>
              </w:rPr>
            </w:pPr>
            <w:r>
              <w:rPr>
                <w:rFonts w:hint="default" w:ascii="Times New Roman" w:hAnsi="Times New Roman" w:cs="Times New Roman"/>
                <w:b/>
                <w:bCs/>
                <w:color w:val="auto"/>
                <w:sz w:val="24"/>
                <w:szCs w:val="24"/>
                <w:u w:val="none"/>
              </w:rPr>
              <w:t xml:space="preserve">  </w:t>
            </w:r>
            <w:r>
              <w:rPr>
                <w:rFonts w:hint="eastAsia"/>
                <w:color w:val="auto"/>
                <w:sz w:val="24"/>
                <w:szCs w:val="24"/>
                <w:u w:val="none"/>
                <w:lang w:val="en-US" w:eastAsia="zh-CN"/>
              </w:rPr>
              <w:t>根据《排污单位自行监测技术指南 总则》（HJ819-2017）、《排污单位自行监测技术指南 造纸工业》（HJ821-2017）等规范的要求，项目运营期应对废气排放进行自行监测，监测计划见下表。</w:t>
            </w:r>
          </w:p>
          <w:p>
            <w:pPr>
              <w:spacing w:line="240" w:lineRule="auto"/>
              <w:jc w:val="center"/>
              <w:rPr>
                <w:rFonts w:hint="default"/>
                <w:b/>
                <w:bCs/>
                <w:strike w:val="0"/>
                <w:dstrike w:val="0"/>
                <w:color w:val="auto"/>
                <w:u w:val="none"/>
                <w:lang w:val="en-US" w:eastAsia="zh-CN"/>
              </w:rPr>
            </w:pPr>
            <w:r>
              <w:rPr>
                <w:rFonts w:hint="eastAsia"/>
                <w:b/>
                <w:bCs/>
                <w:strike w:val="0"/>
                <w:dstrike w:val="0"/>
                <w:color w:val="auto"/>
                <w:u w:val="none"/>
                <w:lang w:eastAsia="zh-CN"/>
              </w:rPr>
              <w:t>表</w:t>
            </w:r>
            <w:r>
              <w:rPr>
                <w:rFonts w:hint="eastAsia"/>
                <w:b/>
                <w:bCs/>
                <w:strike w:val="0"/>
                <w:dstrike w:val="0"/>
                <w:color w:val="auto"/>
                <w:u w:val="none"/>
                <w:lang w:val="en-US" w:eastAsia="zh-CN"/>
              </w:rPr>
              <w:t>4-7 废气监测要求及排放标准一览表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24"/>
              <w:gridCol w:w="1651"/>
              <w:gridCol w:w="1582"/>
              <w:gridCol w:w="3863"/>
              <w:gridCol w:w="171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序号</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eastAsia="zh-CN"/>
                    </w:rPr>
                    <w:t>排放口编号</w:t>
                  </w:r>
                  <w:r>
                    <w:rPr>
                      <w:rFonts w:hint="eastAsia"/>
                      <w:strike w:val="0"/>
                      <w:dstrike w:val="0"/>
                      <w:color w:val="auto"/>
                      <w:sz w:val="21"/>
                      <w:szCs w:val="21"/>
                      <w:u w:val="none"/>
                      <w:lang w:val="en-US" w:eastAsia="zh-CN"/>
                    </w:rPr>
                    <w:t>/监测点位</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监测因子</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监测频次</w:t>
                  </w:r>
                </w:p>
              </w:tc>
              <w:tc>
                <w:tcPr>
                  <w:tcW w:w="14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排放标准</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浓度限值</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eastAsia="zh-CN"/>
                    </w:rPr>
                    <w:t>速率限值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1</w:t>
                  </w:r>
                </w:p>
              </w:tc>
              <w:tc>
                <w:tcPr>
                  <w:tcW w:w="88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厂界</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SO</w:t>
                  </w:r>
                  <w:r>
                    <w:rPr>
                      <w:rFonts w:hint="eastAsia"/>
                      <w:strike w:val="0"/>
                      <w:dstrike w:val="0"/>
                      <w:color w:val="auto"/>
                      <w:sz w:val="21"/>
                      <w:szCs w:val="21"/>
                      <w:u w:val="none"/>
                      <w:vertAlign w:val="subscript"/>
                      <w:lang w:val="en-US" w:eastAsia="zh-CN"/>
                    </w:rPr>
                    <w:t>2</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1次/年</w:t>
                  </w:r>
                </w:p>
              </w:tc>
              <w:tc>
                <w:tcPr>
                  <w:tcW w:w="1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rPr>
                  </w:pPr>
                  <w:r>
                    <w:rPr>
                      <w:rFonts w:hint="eastAsia"/>
                      <w:strike w:val="0"/>
                      <w:dstrike w:val="0"/>
                      <w:color w:val="auto"/>
                      <w:sz w:val="21"/>
                      <w:szCs w:val="21"/>
                      <w:u w:val="none"/>
                      <w:lang w:val="en-US" w:eastAsia="zh-CN"/>
                    </w:rPr>
                    <w:t>满足《大气污染物综合排放标准》（GB16297-1996）无组织排放标准</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trike w:val="0"/>
                      <w:dstrike w:val="0"/>
                      <w:color w:val="auto"/>
                      <w:sz w:val="21"/>
                      <w:szCs w:val="21"/>
                      <w:u w:val="none"/>
                      <w:lang w:val="en-US" w:eastAsia="zh-CN"/>
                    </w:rPr>
                  </w:pPr>
                  <w:r>
                    <w:rPr>
                      <w:rFonts w:hint="eastAsia"/>
                      <w:strike w:val="0"/>
                      <w:dstrike w:val="0"/>
                      <w:color w:val="auto"/>
                      <w:sz w:val="21"/>
                      <w:szCs w:val="21"/>
                      <w:u w:val="none"/>
                      <w:lang w:val="en-US" w:eastAsia="zh-CN"/>
                    </w:rPr>
                    <w:t>0.4mg/m</w:t>
                  </w:r>
                  <w:r>
                    <w:rPr>
                      <w:rFonts w:hint="eastAsia"/>
                      <w:strike w:val="0"/>
                      <w:dstrike w:val="0"/>
                      <w:color w:val="auto"/>
                      <w:sz w:val="21"/>
                      <w:szCs w:val="21"/>
                      <w:u w:val="none"/>
                      <w:vertAlign w:val="superscript"/>
                      <w:lang w:val="en-US" w:eastAsia="zh-CN"/>
                    </w:rPr>
                    <w:t>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p>
              </w:tc>
              <w:tc>
                <w:tcPr>
                  <w:tcW w:w="8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NO</w:t>
                  </w:r>
                  <w:r>
                    <w:rPr>
                      <w:rFonts w:hint="eastAsia"/>
                      <w:strike w:val="0"/>
                      <w:dstrike w:val="0"/>
                      <w:color w:val="auto"/>
                      <w:sz w:val="21"/>
                      <w:szCs w:val="21"/>
                      <w:u w:val="none"/>
                      <w:vertAlign w:val="subscript"/>
                      <w:lang w:val="en-US" w:eastAsia="zh-CN"/>
                    </w:rPr>
                    <w:t>X</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1次/年</w:t>
                  </w:r>
                </w:p>
              </w:tc>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trike w:val="0"/>
                      <w:dstrike w:val="0"/>
                      <w:color w:val="auto"/>
                      <w:sz w:val="21"/>
                      <w:szCs w:val="21"/>
                      <w:u w:val="none"/>
                      <w:lang w:val="en-US" w:eastAsia="zh-CN"/>
                    </w:rPr>
                  </w:pPr>
                  <w:r>
                    <w:rPr>
                      <w:rFonts w:hint="eastAsia"/>
                      <w:strike w:val="0"/>
                      <w:dstrike w:val="0"/>
                      <w:color w:val="auto"/>
                      <w:sz w:val="21"/>
                      <w:szCs w:val="21"/>
                      <w:u w:val="none"/>
                      <w:lang w:val="en-US" w:eastAsia="zh-CN"/>
                    </w:rPr>
                    <w:t>0.12mg/m</w:t>
                  </w:r>
                  <w:r>
                    <w:rPr>
                      <w:rFonts w:hint="eastAsia"/>
                      <w:strike w:val="0"/>
                      <w:dstrike w:val="0"/>
                      <w:color w:val="auto"/>
                      <w:sz w:val="21"/>
                      <w:szCs w:val="21"/>
                      <w:u w:val="none"/>
                      <w:vertAlign w:val="superscript"/>
                      <w:lang w:val="en-US" w:eastAsia="zh-CN"/>
                    </w:rPr>
                    <w:t>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8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r>
                    <w:rPr>
                      <w:rFonts w:hint="eastAsia"/>
                      <w:strike w:val="0"/>
                      <w:dstrike w:val="0"/>
                      <w:color w:val="auto"/>
                      <w:sz w:val="21"/>
                      <w:szCs w:val="21"/>
                      <w:u w:val="none"/>
                      <w:lang w:val="en-US" w:eastAsia="zh-CN"/>
                    </w:rPr>
                    <w:t>颗粒物</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1次/年</w:t>
                  </w:r>
                </w:p>
              </w:tc>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trike w:val="0"/>
                      <w:dstrike w:val="0"/>
                      <w:color w:val="auto"/>
                      <w:sz w:val="21"/>
                      <w:szCs w:val="21"/>
                      <w:u w:val="none"/>
                      <w:lang w:val="en-US" w:eastAsia="zh-CN"/>
                    </w:rPr>
                  </w:pPr>
                  <w:r>
                    <w:rPr>
                      <w:rFonts w:hint="eastAsia"/>
                      <w:strike w:val="0"/>
                      <w:dstrike w:val="0"/>
                      <w:color w:val="auto"/>
                      <w:sz w:val="21"/>
                      <w:szCs w:val="21"/>
                      <w:u w:val="none"/>
                      <w:lang w:val="en-US" w:eastAsia="zh-CN"/>
                    </w:rPr>
                    <w:t>1.0mg/m</w:t>
                  </w:r>
                  <w:r>
                    <w:rPr>
                      <w:rFonts w:hint="eastAsia"/>
                      <w:strike w:val="0"/>
                      <w:dstrike w:val="0"/>
                      <w:color w:val="auto"/>
                      <w:sz w:val="21"/>
                      <w:szCs w:val="21"/>
                      <w:u w:val="none"/>
                      <w:vertAlign w:val="superscript"/>
                      <w:lang w:val="en-US" w:eastAsia="zh-CN"/>
                    </w:rPr>
                    <w:t>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88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eastAsia="zh-CN"/>
                    </w:rPr>
                  </w:pPr>
                  <w:r>
                    <w:rPr>
                      <w:rFonts w:hint="eastAsia"/>
                      <w:strike w:val="0"/>
                      <w:dstrike w:val="0"/>
                      <w:color w:val="auto"/>
                      <w:sz w:val="21"/>
                      <w:szCs w:val="21"/>
                      <w:u w:val="none"/>
                      <w:lang w:val="en-US" w:eastAsia="zh-CN"/>
                    </w:rPr>
                    <w:t>非甲烷总烃</w:t>
                  </w:r>
                </w:p>
              </w:tc>
              <w:tc>
                <w:tcPr>
                  <w:tcW w:w="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1次/年</w:t>
                  </w:r>
                </w:p>
              </w:tc>
              <w:tc>
                <w:tcPr>
                  <w:tcW w:w="1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trike w:val="0"/>
                      <w:dstrike w:val="0"/>
                      <w:color w:val="auto"/>
                      <w:sz w:val="21"/>
                      <w:szCs w:val="21"/>
                      <w:u w:val="none"/>
                      <w:lang w:val="en-US" w:eastAsia="zh-CN"/>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trike w:val="0"/>
                      <w:dstrike w:val="0"/>
                      <w:color w:val="auto"/>
                      <w:sz w:val="21"/>
                      <w:szCs w:val="21"/>
                      <w:u w:val="none"/>
                      <w:lang w:val="en-US" w:eastAsia="zh-CN"/>
                    </w:rPr>
                  </w:pPr>
                  <w:r>
                    <w:rPr>
                      <w:rFonts w:hint="eastAsia"/>
                      <w:strike w:val="0"/>
                      <w:dstrike w:val="0"/>
                      <w:color w:val="auto"/>
                      <w:sz w:val="21"/>
                      <w:szCs w:val="21"/>
                      <w:u w:val="none"/>
                      <w:lang w:val="en-US" w:eastAsia="zh-CN"/>
                    </w:rPr>
                    <w:t>4.0mg/m</w:t>
                  </w:r>
                  <w:r>
                    <w:rPr>
                      <w:rFonts w:hint="eastAsia"/>
                      <w:strike w:val="0"/>
                      <w:dstrike w:val="0"/>
                      <w:color w:val="auto"/>
                      <w:sz w:val="21"/>
                      <w:szCs w:val="21"/>
                      <w:u w:val="none"/>
                      <w:vertAlign w:val="superscript"/>
                      <w:lang w:val="en-US" w:eastAsia="zh-CN"/>
                    </w:rPr>
                    <w:t>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color w:val="auto"/>
                      <w:sz w:val="21"/>
                      <w:szCs w:val="21"/>
                      <w:u w:val="none"/>
                      <w:lang w:val="en-US" w:eastAsia="zh-CN"/>
                    </w:rPr>
                  </w:pPr>
                  <w:r>
                    <w:rPr>
                      <w:rFonts w:hint="eastAsia"/>
                      <w:strike w:val="0"/>
                      <w:dstrike w:val="0"/>
                      <w:color w:val="auto"/>
                      <w:sz w:val="21"/>
                      <w:szCs w:val="21"/>
                      <w:u w:val="none"/>
                      <w:lang w:val="en-US" w:eastAsia="zh-CN"/>
                    </w:rPr>
                    <w:t>/</w:t>
                  </w:r>
                </w:p>
              </w:tc>
            </w:tr>
          </w:tbl>
          <w:p>
            <w:pPr>
              <w:spacing w:line="360" w:lineRule="auto"/>
              <w:ind w:firstLine="420" w:firstLineChars="200"/>
              <w:rPr>
                <w:rFonts w:hint="default" w:ascii="Times New Roman" w:hAnsi="Times New Roman" w:cs="Times New Roman"/>
                <w:sz w:val="24"/>
                <w:szCs w:val="24"/>
                <w:u w:val="none"/>
              </w:rPr>
            </w:pPr>
            <w:r>
              <w:rPr>
                <w:rFonts w:hint="default" w:ascii="Times New Roman" w:hAnsi="Times New Roman" w:cs="Times New Roman"/>
                <w:sz w:val="21"/>
                <w:szCs w:val="21"/>
                <w:u w:val="none"/>
              </w:rPr>
              <w:t>2、</w:t>
            </w:r>
            <w:r>
              <w:rPr>
                <w:rFonts w:hint="default" w:ascii="Times New Roman" w:hAnsi="Times New Roman" w:cs="Times New Roman"/>
                <w:sz w:val="24"/>
                <w:szCs w:val="24"/>
                <w:u w:val="none"/>
              </w:rPr>
              <w:t>废水</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color w:val="auto"/>
                <w:sz w:val="24"/>
                <w:szCs w:val="24"/>
                <w:u w:val="none"/>
                <w:lang w:val="en-US" w:eastAsia="zh-CN"/>
              </w:rPr>
            </w:pPr>
            <w:r>
              <w:rPr>
                <w:rFonts w:hint="eastAsia"/>
                <w:color w:val="auto"/>
                <w:sz w:val="24"/>
                <w:szCs w:val="24"/>
                <w:u w:val="none"/>
                <w:lang w:val="en-US" w:eastAsia="zh-CN"/>
              </w:rPr>
              <w:t>（4）监测要求</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color w:val="auto"/>
                <w:sz w:val="24"/>
                <w:szCs w:val="24"/>
                <w:u w:val="none"/>
              </w:rPr>
              <w:t>根据</w:t>
            </w:r>
            <w:r>
              <w:rPr>
                <w:rFonts w:hint="eastAsia"/>
                <w:color w:val="auto"/>
                <w:sz w:val="24"/>
                <w:szCs w:val="24"/>
                <w:u w:val="none"/>
                <w:lang w:val="en-US" w:eastAsia="zh-CN"/>
              </w:rPr>
              <w:t>《排污单位自行监测技术指南 总则》（HJ819-2017）等规范的要求</w:t>
            </w:r>
            <w:r>
              <w:rPr>
                <w:color w:val="auto"/>
                <w:sz w:val="24"/>
                <w:szCs w:val="24"/>
                <w:u w:val="none"/>
              </w:rPr>
              <w:t>，项目运营期</w:t>
            </w:r>
            <w:r>
              <w:rPr>
                <w:rFonts w:hint="eastAsia"/>
                <w:color w:val="auto"/>
                <w:sz w:val="24"/>
                <w:szCs w:val="24"/>
                <w:u w:val="none"/>
                <w:lang w:val="en-US" w:eastAsia="zh-CN"/>
              </w:rPr>
              <w:t>本项目外排废水为生活废水和洗车废水，监测如下</w:t>
            </w:r>
            <w:r>
              <w:rPr>
                <w:rFonts w:hint="eastAsia"/>
                <w:color w:val="auto"/>
                <w:sz w:val="24"/>
                <w:szCs w:val="24"/>
                <w:u w:val="none"/>
                <w:lang w:eastAsia="zh-CN"/>
              </w:rPr>
              <w:t>。</w:t>
            </w:r>
          </w:p>
          <w:p>
            <w:pPr>
              <w:spacing w:line="240" w:lineRule="auto"/>
              <w:jc w:val="center"/>
              <w:rPr>
                <w:color w:val="auto"/>
                <w:u w:val="none"/>
                <w:lang w:val="en-US" w:eastAsia="zh-CN"/>
              </w:rPr>
            </w:pPr>
            <w:r>
              <w:rPr>
                <w:rFonts w:hint="eastAsia"/>
                <w:b/>
                <w:bCs/>
                <w:color w:val="auto"/>
                <w:u w:val="none"/>
                <w:lang w:eastAsia="zh-CN"/>
              </w:rPr>
              <w:t>表</w:t>
            </w:r>
            <w:r>
              <w:rPr>
                <w:rFonts w:hint="eastAsia"/>
                <w:b/>
                <w:bCs/>
                <w:color w:val="auto"/>
                <w:u w:val="none"/>
                <w:lang w:val="en-US" w:eastAsia="zh-CN"/>
              </w:rPr>
              <w:t>4-8 废水监测要求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55"/>
              <w:gridCol w:w="2565"/>
              <w:gridCol w:w="925"/>
              <w:gridCol w:w="2062"/>
              <w:gridCol w:w="741"/>
              <w:gridCol w:w="864"/>
              <w:gridCol w:w="728"/>
              <w:gridCol w:w="765"/>
              <w:gridCol w:w="630"/>
              <w:gridCol w:w="691"/>
              <w:gridCol w:w="66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ascii="Times New Roman" w:hAnsi="Times New Roman" w:cs="Times New Roman"/>
                      <w:color w:val="auto"/>
                      <w:u w:val="none"/>
                      <w:lang w:eastAsia="zh-CN"/>
                    </w:rPr>
                    <w:t>序号</w:t>
                  </w:r>
                </w:p>
              </w:tc>
              <w:tc>
                <w:tcPr>
                  <w:tcW w:w="474"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val="en-US" w:eastAsia="zh-CN"/>
                    </w:rPr>
                  </w:pPr>
                  <w:r>
                    <w:rPr>
                      <w:rFonts w:ascii="Times New Roman" w:hAnsi="Times New Roman" w:cs="Times New Roman"/>
                      <w:color w:val="auto"/>
                      <w:u w:val="none"/>
                      <w:lang w:val="en-US" w:eastAsia="zh-CN"/>
                    </w:rPr>
                    <w:t>监测点位</w:t>
                  </w:r>
                </w:p>
              </w:tc>
              <w:tc>
                <w:tcPr>
                  <w:tcW w:w="970"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ascii="Times New Roman" w:hAnsi="Times New Roman" w:cs="Times New Roman"/>
                      <w:color w:val="auto"/>
                      <w:u w:val="none"/>
                      <w:lang w:eastAsia="zh-CN"/>
                    </w:rPr>
                    <w:t>监测因子</w:t>
                  </w:r>
                </w:p>
              </w:tc>
              <w:tc>
                <w:tcPr>
                  <w:tcW w:w="350"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ascii="Times New Roman" w:hAnsi="Times New Roman" w:cs="Times New Roman"/>
                      <w:color w:val="auto"/>
                      <w:u w:val="none"/>
                      <w:lang w:eastAsia="zh-CN"/>
                    </w:rPr>
                    <w:t>监测频次</w:t>
                  </w:r>
                </w:p>
              </w:tc>
              <w:tc>
                <w:tcPr>
                  <w:tcW w:w="780"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21"/>
                      <w:szCs w:val="21"/>
                      <w:u w:val="none"/>
                      <w:lang w:eastAsia="zh-CN"/>
                    </w:rPr>
                  </w:pPr>
                  <w:r>
                    <w:rPr>
                      <w:rFonts w:ascii="Times New Roman" w:hAnsi="Times New Roman" w:cs="Times New Roman"/>
                      <w:color w:val="auto"/>
                      <w:sz w:val="21"/>
                      <w:szCs w:val="21"/>
                      <w:u w:val="none"/>
                      <w:lang w:eastAsia="zh-CN"/>
                    </w:rPr>
                    <w:t>排放标准</w:t>
                  </w:r>
                </w:p>
              </w:tc>
              <w:tc>
                <w:tcPr>
                  <w:tcW w:w="2225" w:type="pct"/>
                  <w:gridSpan w:val="8"/>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ascii="Times New Roman" w:hAnsi="Times New Roman" w:cs="Times New Roman"/>
                      <w:color w:val="auto"/>
                      <w:u w:val="none"/>
                      <w:lang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 w:type="pct"/>
                  <w:vMerge w:val="continue"/>
                  <w:noWrap/>
                  <w:vAlign w:val="center"/>
                </w:tcPr>
                <w:p>
                  <w:pPr>
                    <w:rPr>
                      <w:color w:val="auto"/>
                      <w:u w:val="none"/>
                    </w:rPr>
                  </w:pPr>
                </w:p>
              </w:tc>
              <w:tc>
                <w:tcPr>
                  <w:tcW w:w="474" w:type="pct"/>
                  <w:vMerge w:val="continue"/>
                  <w:noWrap/>
                  <w:vAlign w:val="center"/>
                </w:tcPr>
                <w:p>
                  <w:pPr>
                    <w:rPr>
                      <w:color w:val="auto"/>
                      <w:u w:val="none"/>
                    </w:rPr>
                  </w:pPr>
                </w:p>
              </w:tc>
              <w:tc>
                <w:tcPr>
                  <w:tcW w:w="970" w:type="pct"/>
                  <w:vMerge w:val="continue"/>
                  <w:noWrap/>
                  <w:vAlign w:val="center"/>
                </w:tcPr>
                <w:p>
                  <w:pPr>
                    <w:rPr>
                      <w:color w:val="auto"/>
                      <w:u w:val="none"/>
                    </w:rPr>
                  </w:pPr>
                </w:p>
              </w:tc>
              <w:tc>
                <w:tcPr>
                  <w:tcW w:w="350" w:type="pct"/>
                  <w:vMerge w:val="continue"/>
                  <w:noWrap/>
                  <w:vAlign w:val="center"/>
                </w:tcPr>
                <w:p>
                  <w:pPr>
                    <w:rPr>
                      <w:color w:val="auto"/>
                      <w:u w:val="none"/>
                    </w:rPr>
                  </w:pPr>
                </w:p>
              </w:tc>
              <w:tc>
                <w:tcPr>
                  <w:tcW w:w="780" w:type="pct"/>
                  <w:vMerge w:val="continue"/>
                  <w:noWrap/>
                  <w:vAlign w:val="center"/>
                </w:tcPr>
                <w:p>
                  <w:pPr>
                    <w:rPr>
                      <w:color w:val="auto"/>
                      <w:sz w:val="21"/>
                      <w:szCs w:val="21"/>
                      <w:u w:val="none"/>
                    </w:rPr>
                  </w:pPr>
                </w:p>
              </w:tc>
              <w:tc>
                <w:tcPr>
                  <w:tcW w:w="280"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u w:val="none"/>
                      <w:lang w:val="en-US" w:eastAsia="zh-CN"/>
                    </w:rPr>
                  </w:pPr>
                  <w:r>
                    <w:rPr>
                      <w:rFonts w:hint="eastAsia"/>
                      <w:color w:val="auto"/>
                      <w:highlight w:val="none"/>
                      <w:u w:val="none"/>
                      <w:lang w:val="en-US" w:eastAsia="zh-CN"/>
                    </w:rPr>
                    <w:t>pH</w:t>
                  </w:r>
                </w:p>
              </w:tc>
              <w:tc>
                <w:tcPr>
                  <w:tcW w:w="32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COD</w:t>
                  </w:r>
                </w:p>
              </w:tc>
              <w:tc>
                <w:tcPr>
                  <w:tcW w:w="27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val="en-US" w:eastAsia="zh-CN"/>
                    </w:rPr>
                  </w:pPr>
                  <w:r>
                    <w:rPr>
                      <w:rFonts w:hint="eastAsia"/>
                      <w:color w:val="auto"/>
                      <w:highlight w:val="none"/>
                      <w:u w:val="none"/>
                      <w:lang w:val="en-US" w:eastAsia="zh-CN"/>
                    </w:rPr>
                    <w:t>BOD</w:t>
                  </w:r>
                  <w:r>
                    <w:rPr>
                      <w:rFonts w:hint="eastAsia"/>
                      <w:color w:val="auto"/>
                      <w:highlight w:val="none"/>
                      <w:u w:val="none"/>
                      <w:vertAlign w:val="subscript"/>
                      <w:lang w:val="en-US" w:eastAsia="zh-CN"/>
                    </w:rPr>
                    <w:t>5</w:t>
                  </w:r>
                </w:p>
              </w:tc>
              <w:tc>
                <w:tcPr>
                  <w:tcW w:w="28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hint="eastAsia"/>
                      <w:color w:val="auto"/>
                      <w:highlight w:val="none"/>
                      <w:u w:val="none"/>
                    </w:rPr>
                    <w:t>氨氮</w:t>
                  </w:r>
                </w:p>
              </w:tc>
              <w:tc>
                <w:tcPr>
                  <w:tcW w:w="23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SS</w:t>
                  </w:r>
                </w:p>
              </w:tc>
              <w:tc>
                <w:tcPr>
                  <w:tcW w:w="261"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lang w:val="en-US" w:eastAsia="zh-CN"/>
                    </w:rPr>
                  </w:pPr>
                  <w:r>
                    <w:rPr>
                      <w:rFonts w:hint="eastAsia"/>
                      <w:color w:val="auto"/>
                      <w:highlight w:val="none"/>
                      <w:u w:val="none"/>
                      <w:lang w:val="en-US" w:eastAsia="zh-CN"/>
                    </w:rPr>
                    <w:t>总磷</w:t>
                  </w:r>
                </w:p>
              </w:tc>
              <w:tc>
                <w:tcPr>
                  <w:tcW w:w="25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lang w:eastAsia="zh-CN"/>
                    </w:rPr>
                  </w:pPr>
                  <w:r>
                    <w:rPr>
                      <w:rFonts w:hint="eastAsia"/>
                      <w:color w:val="auto"/>
                      <w:highlight w:val="none"/>
                      <w:u w:val="none"/>
                      <w:lang w:eastAsia="zh-CN"/>
                    </w:rPr>
                    <w:t>总氮</w:t>
                  </w:r>
                </w:p>
              </w:tc>
              <w:tc>
                <w:tcPr>
                  <w:tcW w:w="300"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auto"/>
                      <w:highlight w:val="none"/>
                      <w:u w:val="none"/>
                      <w:lang w:val="en-US" w:eastAsia="zh-CN"/>
                    </w:rPr>
                  </w:pPr>
                  <w:r>
                    <w:rPr>
                      <w:rFonts w:hint="eastAsia"/>
                      <w:color w:val="auto"/>
                      <w:highlight w:val="none"/>
                      <w:u w:val="no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val="en-US" w:eastAsia="zh-CN"/>
                    </w:rPr>
                  </w:pPr>
                  <w:r>
                    <w:rPr>
                      <w:rFonts w:ascii="Times New Roman" w:hAnsi="Times New Roman" w:cs="Times New Roman"/>
                      <w:color w:val="auto"/>
                      <w:u w:val="none"/>
                      <w:lang w:val="en-US" w:eastAsia="zh-CN"/>
                    </w:rPr>
                    <w:t>1</w:t>
                  </w:r>
                </w:p>
              </w:tc>
              <w:tc>
                <w:tcPr>
                  <w:tcW w:w="47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u w:val="none"/>
                      <w:lang w:eastAsia="zh-CN"/>
                    </w:rPr>
                  </w:pPr>
                  <w:r>
                    <w:rPr>
                      <w:rFonts w:hint="eastAsia" w:ascii="Times New Roman" w:hAnsi="Times New Roman" w:cs="Times New Roman"/>
                      <w:color w:val="auto"/>
                      <w:u w:val="none"/>
                      <w:lang w:eastAsia="zh-CN"/>
                    </w:rPr>
                    <w:t>废水总排口</w:t>
                  </w:r>
                </w:p>
              </w:tc>
              <w:tc>
                <w:tcPr>
                  <w:tcW w:w="970"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u w:val="none"/>
                      <w:lang w:val="en-US" w:eastAsia="zh-CN"/>
                    </w:rPr>
                  </w:pPr>
                  <w:r>
                    <w:rPr>
                      <w:rFonts w:hint="eastAsia"/>
                      <w:color w:val="auto"/>
                      <w:highlight w:val="none"/>
                      <w:u w:val="none"/>
                      <w:lang w:val="en-US" w:eastAsia="zh-CN"/>
                    </w:rPr>
                    <w:t>pH、</w:t>
                  </w:r>
                  <w:r>
                    <w:rPr>
                      <w:color w:val="auto"/>
                      <w:highlight w:val="none"/>
                      <w:u w:val="none"/>
                    </w:rPr>
                    <w:t>COD</w:t>
                  </w:r>
                  <w:r>
                    <w:rPr>
                      <w:rFonts w:hint="eastAsia"/>
                      <w:color w:val="auto"/>
                      <w:highlight w:val="none"/>
                      <w:u w:val="none"/>
                    </w:rPr>
                    <w:t>、</w:t>
                  </w:r>
                  <w:r>
                    <w:rPr>
                      <w:rFonts w:hint="eastAsia"/>
                      <w:color w:val="auto"/>
                      <w:highlight w:val="none"/>
                      <w:u w:val="none"/>
                      <w:lang w:val="en-US" w:eastAsia="zh-CN"/>
                    </w:rPr>
                    <w:t>BOD</w:t>
                  </w:r>
                  <w:r>
                    <w:rPr>
                      <w:rFonts w:hint="eastAsia"/>
                      <w:color w:val="auto"/>
                      <w:highlight w:val="none"/>
                      <w:u w:val="none"/>
                      <w:vertAlign w:val="subscript"/>
                      <w:lang w:val="en-US" w:eastAsia="zh-CN"/>
                    </w:rPr>
                    <w:t>5</w:t>
                  </w:r>
                  <w:r>
                    <w:rPr>
                      <w:rFonts w:hint="eastAsia"/>
                      <w:color w:val="auto"/>
                      <w:highlight w:val="none"/>
                      <w:u w:val="none"/>
                      <w:vertAlign w:val="baseline"/>
                      <w:lang w:val="en-US" w:eastAsia="zh-CN"/>
                    </w:rPr>
                    <w:t>、</w:t>
                  </w:r>
                  <w:r>
                    <w:rPr>
                      <w:color w:val="auto"/>
                      <w:highlight w:val="none"/>
                      <w:u w:val="none"/>
                    </w:rPr>
                    <w:t>SS</w:t>
                  </w:r>
                  <w:r>
                    <w:rPr>
                      <w:rFonts w:hint="eastAsia"/>
                      <w:color w:val="auto"/>
                      <w:highlight w:val="none"/>
                      <w:u w:val="none"/>
                    </w:rPr>
                    <w:t>、氨氮</w:t>
                  </w:r>
                  <w:r>
                    <w:rPr>
                      <w:rFonts w:hint="eastAsia"/>
                      <w:color w:val="auto"/>
                      <w:highlight w:val="none"/>
                      <w:u w:val="none"/>
                      <w:lang w:eastAsia="zh-CN"/>
                    </w:rPr>
                    <w:t>、总磷、总氮</w:t>
                  </w:r>
                </w:p>
              </w:tc>
              <w:tc>
                <w:tcPr>
                  <w:tcW w:w="350"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ascii="Times New Roman" w:hAnsi="Times New Roman" w:cs="Times New Roman"/>
                      <w:color w:val="auto"/>
                      <w:u w:val="none"/>
                      <w:lang w:val="en-US" w:eastAsia="zh-CN"/>
                    </w:rPr>
                    <w:t>1次</w:t>
                  </w:r>
                  <w:r>
                    <w:rPr>
                      <w:rFonts w:hint="eastAsia" w:ascii="Times New Roman" w:hAnsi="Times New Roman" w:cs="Times New Roman"/>
                      <w:color w:val="auto"/>
                      <w:u w:val="none"/>
                      <w:lang w:val="en-US" w:eastAsia="zh-CN"/>
                    </w:rPr>
                    <w:t>/年</w:t>
                  </w:r>
                </w:p>
              </w:tc>
              <w:tc>
                <w:tcPr>
                  <w:tcW w:w="780"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21"/>
                      <w:szCs w:val="21"/>
                      <w:u w:val="none"/>
                    </w:rPr>
                  </w:pPr>
                  <w:r>
                    <w:rPr>
                      <w:rFonts w:hint="eastAsia"/>
                      <w:b w:val="0"/>
                      <w:bCs w:val="0"/>
                      <w:color w:val="auto"/>
                      <w:sz w:val="21"/>
                      <w:szCs w:val="21"/>
                      <w:highlight w:val="none"/>
                      <w:u w:val="none"/>
                      <w:lang w:val="en-US" w:eastAsia="zh-CN"/>
                    </w:rPr>
                    <w:t>《污水综合排放标准》（GB8978-1996）中三级标准</w:t>
                  </w:r>
                </w:p>
              </w:tc>
              <w:tc>
                <w:tcPr>
                  <w:tcW w:w="280" w:type="pct"/>
                  <w:noWrap/>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6-9</w:t>
                  </w:r>
                </w:p>
              </w:tc>
              <w:tc>
                <w:tcPr>
                  <w:tcW w:w="326"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500</w:t>
                  </w:r>
                </w:p>
              </w:tc>
              <w:tc>
                <w:tcPr>
                  <w:tcW w:w="275"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300</w:t>
                  </w:r>
                </w:p>
              </w:tc>
              <w:tc>
                <w:tcPr>
                  <w:tcW w:w="289"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238"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400</w:t>
                  </w:r>
                </w:p>
              </w:tc>
              <w:tc>
                <w:tcPr>
                  <w:tcW w:w="261"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252" w:type="pct"/>
                  <w:noWrap/>
                  <w:vAlign w:val="center"/>
                </w:tcPr>
                <w:p>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w:t>
                  </w:r>
                </w:p>
              </w:tc>
              <w:tc>
                <w:tcPr>
                  <w:tcW w:w="300" w:type="pct"/>
                  <w:noWrap/>
                  <w:vAlign w:val="center"/>
                </w:tcPr>
                <w:p>
                  <w:pPr>
                    <w:jc w:val="center"/>
                    <w:rPr>
                      <w:rFonts w:hint="default" w:cs="Times New Roman"/>
                      <w:color w:val="auto"/>
                      <w:u w:val="none"/>
                      <w:lang w:val="en-US" w:eastAsia="zh-CN"/>
                    </w:rPr>
                  </w:pPr>
                  <w:r>
                    <w:rPr>
                      <w:rFonts w:hint="eastAsia" w:cs="Times New Roman"/>
                      <w:color w:val="auto"/>
                      <w:u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3、噪声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本项目噪声自行监测要求如下表。</w:t>
            </w:r>
          </w:p>
          <w:p>
            <w:pPr>
              <w:spacing w:line="240" w:lineRule="auto"/>
              <w:jc w:val="center"/>
              <w:rPr>
                <w:rFonts w:hint="default"/>
                <w:color w:val="auto"/>
                <w:u w:val="none"/>
                <w:lang w:val="en-US" w:eastAsia="zh-CN"/>
              </w:rPr>
            </w:pPr>
            <w:r>
              <w:rPr>
                <w:rFonts w:hint="eastAsia"/>
                <w:b/>
                <w:bCs/>
                <w:color w:val="auto"/>
                <w:u w:val="none"/>
                <w:lang w:eastAsia="zh-CN"/>
              </w:rPr>
              <w:t>表</w:t>
            </w:r>
            <w:r>
              <w:rPr>
                <w:rFonts w:hint="eastAsia"/>
                <w:b/>
                <w:bCs/>
                <w:color w:val="auto"/>
                <w:u w:val="none"/>
                <w:lang w:val="en-US" w:eastAsia="zh-CN"/>
              </w:rPr>
              <w:t>4-9  噪声监测要求</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294"/>
              <w:gridCol w:w="1799"/>
              <w:gridCol w:w="1823"/>
              <w:gridCol w:w="2679"/>
              <w:gridCol w:w="187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序号</w:t>
                  </w:r>
                </w:p>
              </w:tc>
              <w:tc>
                <w:tcPr>
                  <w:tcW w:w="8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监测点位</w:t>
                  </w:r>
                </w:p>
              </w:tc>
              <w:tc>
                <w:tcPr>
                  <w:tcW w:w="6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监测因子</w:t>
                  </w:r>
                </w:p>
              </w:tc>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监测频次</w:t>
                  </w:r>
                </w:p>
              </w:tc>
              <w:tc>
                <w:tcPr>
                  <w:tcW w:w="10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排放标准</w:t>
                  </w:r>
                </w:p>
              </w:tc>
              <w:tc>
                <w:tcPr>
                  <w:tcW w:w="134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标准值（</w:t>
                  </w:r>
                  <w:r>
                    <w:rPr>
                      <w:rFonts w:hint="default" w:ascii="Times New Roman" w:hAnsi="Times New Roman" w:cs="Times New Roman"/>
                      <w:color w:val="auto"/>
                      <w:u w:val="none"/>
                      <w:lang w:val="en-US" w:eastAsia="zh-CN"/>
                    </w:rPr>
                    <w:t>dB（A）</w:t>
                  </w:r>
                  <w:r>
                    <w:rPr>
                      <w:rFonts w:hint="default" w:ascii="Times New Roman" w:hAnsi="Times New Roman" w:cs="Times New Roman"/>
                      <w:color w:val="auto"/>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6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7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昼间</w:t>
                  </w:r>
                </w:p>
              </w:tc>
              <w:tc>
                <w:tcPr>
                  <w:tcW w:w="6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厂界东</w:t>
                  </w:r>
                </w:p>
              </w:tc>
              <w:tc>
                <w:tcPr>
                  <w:tcW w:w="6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Leq（A）</w:t>
                  </w:r>
                </w:p>
              </w:tc>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lang w:eastAsia="zh-CN"/>
                    </w:rPr>
                    <w:t>年</w:t>
                  </w:r>
                  <w:r>
                    <w:rPr>
                      <w:rFonts w:hint="default" w:ascii="Times New Roman" w:hAnsi="Times New Roman" w:cs="Times New Roman"/>
                      <w:color w:val="auto"/>
                      <w:u w:val="none"/>
                      <w:lang w:val="en-US" w:eastAsia="zh-CN"/>
                    </w:rPr>
                    <w:t>1次</w:t>
                  </w:r>
                </w:p>
              </w:tc>
              <w:tc>
                <w:tcPr>
                  <w:tcW w:w="10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GB12348-2008</w:t>
                  </w:r>
                </w:p>
              </w:tc>
              <w:tc>
                <w:tcPr>
                  <w:tcW w:w="710" w:type="pct"/>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r>
                    <w:rPr>
                      <w:rFonts w:hint="eastAsia" w:cs="Times New Roman"/>
                      <w:color w:val="auto"/>
                      <w:u w:val="none"/>
                      <w:lang w:val="en-US" w:eastAsia="zh-CN"/>
                    </w:rPr>
                    <w:t>5</w:t>
                  </w:r>
                </w:p>
              </w:tc>
              <w:tc>
                <w:tcPr>
                  <w:tcW w:w="637" w:type="pct"/>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w:t>
                  </w:r>
                  <w:r>
                    <w:rPr>
                      <w:rFonts w:hint="eastAsia" w:cs="Times New Roman"/>
                      <w:color w:val="auto"/>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厂界南</w:t>
                  </w:r>
                </w:p>
              </w:tc>
              <w:tc>
                <w:tcPr>
                  <w:tcW w:w="6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901"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r>
                    <w:rPr>
                      <w:rFonts w:hint="eastAsia" w:cs="Times New Roman"/>
                      <w:color w:val="auto"/>
                      <w:u w:val="none"/>
                      <w:lang w:val="en-US" w:eastAsia="zh-CN"/>
                    </w:rPr>
                    <w:t>5</w:t>
                  </w:r>
                </w:p>
              </w:tc>
              <w:tc>
                <w:tcPr>
                  <w:tcW w:w="1708"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w:t>
                  </w:r>
                  <w:r>
                    <w:rPr>
                      <w:rFonts w:hint="eastAsia" w:cs="Times New Roman"/>
                      <w:color w:val="auto"/>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w:t>
                  </w: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厂界西</w:t>
                  </w:r>
                </w:p>
              </w:tc>
              <w:tc>
                <w:tcPr>
                  <w:tcW w:w="6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901"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r>
                    <w:rPr>
                      <w:rFonts w:hint="eastAsia" w:cs="Times New Roman"/>
                      <w:color w:val="auto"/>
                      <w:u w:val="none"/>
                      <w:lang w:val="en-US" w:eastAsia="zh-CN"/>
                    </w:rPr>
                    <w:t>5</w:t>
                  </w:r>
                </w:p>
              </w:tc>
              <w:tc>
                <w:tcPr>
                  <w:tcW w:w="1708"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w:t>
                  </w:r>
                  <w:r>
                    <w:rPr>
                      <w:rFonts w:hint="eastAsia" w:cs="Times New Roman"/>
                      <w:color w:val="auto"/>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w:t>
                  </w: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厂界北</w:t>
                  </w:r>
                </w:p>
              </w:tc>
              <w:tc>
                <w:tcPr>
                  <w:tcW w:w="6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710" w:type="pct"/>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r>
                    <w:rPr>
                      <w:rFonts w:hint="eastAsia" w:cs="Times New Roman"/>
                      <w:color w:val="auto"/>
                      <w:u w:val="none"/>
                      <w:lang w:val="en-US" w:eastAsia="zh-CN"/>
                    </w:rPr>
                    <w:t>5</w:t>
                  </w:r>
                </w:p>
              </w:tc>
              <w:tc>
                <w:tcPr>
                  <w:tcW w:w="637" w:type="pct"/>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w:t>
                  </w:r>
                  <w:r>
                    <w:rPr>
                      <w:rFonts w:hint="eastAsia" w:cs="Times New Roman"/>
                      <w:color w:val="auto"/>
                      <w:u w:val="none"/>
                      <w:lang w:val="en-US" w:eastAsia="zh-CN"/>
                    </w:rPr>
                    <w:t>5</w:t>
                  </w:r>
                </w:p>
              </w:tc>
            </w:tr>
          </w:tbl>
          <w:p>
            <w:pPr>
              <w:pStyle w:val="2"/>
              <w:numPr>
                <w:ilvl w:val="0"/>
                <w:numId w:val="0"/>
              </w:numPr>
              <w:spacing w:before="0" w:after="0" w:line="360" w:lineRule="auto"/>
              <w:ind w:right="0" w:rightChars="0"/>
              <w:jc w:val="left"/>
              <w:rPr>
                <w:rFonts w:hint="default" w:ascii="Times New Roman" w:hAnsi="Times New Roman" w:cs="Times New Roman"/>
                <w:sz w:val="21"/>
                <w:szCs w:val="21"/>
                <w:u w:val="none"/>
              </w:rPr>
            </w:pP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eastAsia="宋体"/>
                <w:b/>
                <w:bCs/>
                <w:color w:val="auto"/>
                <w:sz w:val="24"/>
                <w:szCs w:val="24"/>
                <w:u w:val="none"/>
              </w:rPr>
            </w:pPr>
            <w:r>
              <w:rPr>
                <w:rFonts w:hint="eastAsia"/>
                <w:b/>
                <w:bCs/>
                <w:color w:val="auto"/>
                <w:sz w:val="24"/>
                <w:szCs w:val="24"/>
                <w:u w:val="none"/>
                <w:lang w:eastAsia="zh-CN"/>
              </w:rPr>
              <w:t>六</w:t>
            </w:r>
            <w:r>
              <w:rPr>
                <w:rFonts w:hint="eastAsia" w:eastAsia="宋体"/>
                <w:b/>
                <w:bCs/>
                <w:color w:val="auto"/>
                <w:sz w:val="24"/>
                <w:szCs w:val="24"/>
                <w:u w:val="none"/>
              </w:rPr>
              <w:t>、环境风险评价分析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eastAsia="宋体"/>
                <w:color w:val="auto"/>
                <w:sz w:val="24"/>
                <w:szCs w:val="24"/>
                <w:u w:val="none"/>
              </w:rPr>
            </w:pPr>
            <w:r>
              <w:rPr>
                <w:rFonts w:hint="eastAsia" w:eastAsia="宋体"/>
                <w:color w:val="auto"/>
                <w:sz w:val="24"/>
                <w:szCs w:val="24"/>
                <w:u w:val="none"/>
              </w:rPr>
              <w:t>（1）评价依据</w:t>
            </w:r>
          </w:p>
          <w:p>
            <w:pPr>
              <w:adjustRightInd w:val="0"/>
              <w:snapToGrid w:val="0"/>
              <w:spacing w:line="360" w:lineRule="auto"/>
              <w:ind w:firstLine="480" w:firstLineChars="200"/>
              <w:rPr>
                <w:rFonts w:ascii="Calibri" w:hAnsi="Calibri"/>
                <w:bCs/>
                <w:color w:val="auto"/>
                <w:sz w:val="24"/>
                <w:szCs w:val="24"/>
                <w:highlight w:val="none"/>
                <w:u w:val="none"/>
              </w:rPr>
            </w:pPr>
            <w:r>
              <w:rPr>
                <w:rFonts w:hint="eastAsia"/>
                <w:color w:val="auto"/>
                <w:sz w:val="24"/>
                <w:szCs w:val="24"/>
                <w:highlight w:val="none"/>
                <w:u w:val="none"/>
              </w:rPr>
              <w:t>根据</w:t>
            </w:r>
            <w:r>
              <w:rPr>
                <w:color w:val="auto"/>
                <w:sz w:val="24"/>
                <w:szCs w:val="24"/>
                <w:highlight w:val="none"/>
                <w:u w:val="none"/>
              </w:rPr>
              <w:t>《建设项目环境风险评价技术导则》（HJ/T169-2018）并结合项目实际可知</w:t>
            </w:r>
            <w:r>
              <w:rPr>
                <w:rFonts w:hint="eastAsia"/>
                <w:color w:val="auto"/>
                <w:sz w:val="24"/>
                <w:szCs w:val="24"/>
                <w:highlight w:val="none"/>
                <w:u w:val="none"/>
              </w:rPr>
              <w:t>，对照项目</w:t>
            </w:r>
            <w:r>
              <w:rPr>
                <w:rFonts w:hint="eastAsia"/>
                <w:color w:val="auto"/>
                <w:sz w:val="24"/>
                <w:szCs w:val="24"/>
                <w:highlight w:val="none"/>
                <w:u w:val="none"/>
                <w:lang w:eastAsia="zh-CN"/>
              </w:rPr>
              <w:t>类型、工艺</w:t>
            </w:r>
            <w:r>
              <w:rPr>
                <w:rFonts w:hint="eastAsia"/>
                <w:color w:val="auto"/>
                <w:sz w:val="24"/>
                <w:szCs w:val="24"/>
                <w:highlight w:val="none"/>
                <w:u w:val="none"/>
              </w:rPr>
              <w:t>分析。</w:t>
            </w:r>
            <w:r>
              <w:rPr>
                <w:rFonts w:ascii="Calibri" w:hAnsi="Calibri"/>
                <w:bCs/>
                <w:color w:val="auto"/>
                <w:sz w:val="24"/>
                <w:szCs w:val="24"/>
                <w:highlight w:val="none"/>
                <w:u w:val="none"/>
              </w:rPr>
              <w:t>本项目涉及的</w:t>
            </w:r>
            <w:r>
              <w:rPr>
                <w:rFonts w:hint="eastAsia" w:ascii="Calibri" w:hAnsi="Calibri"/>
                <w:bCs/>
                <w:color w:val="auto"/>
                <w:sz w:val="24"/>
                <w:szCs w:val="24"/>
                <w:highlight w:val="none"/>
                <w:u w:val="none"/>
              </w:rPr>
              <w:t>突发环境事件风险物质为</w:t>
            </w:r>
            <w:r>
              <w:rPr>
                <w:rFonts w:hint="eastAsia" w:ascii="Calibri" w:hAnsi="Calibri"/>
                <w:bCs/>
                <w:color w:val="auto"/>
                <w:sz w:val="24"/>
                <w:szCs w:val="24"/>
                <w:highlight w:val="none"/>
                <w:u w:val="none"/>
                <w:lang w:eastAsia="zh-CN"/>
              </w:rPr>
              <w:t>柴油</w:t>
            </w:r>
            <w:r>
              <w:rPr>
                <w:rFonts w:hint="eastAsia" w:ascii="Calibri" w:hAnsi="Calibri"/>
                <w:bCs/>
                <w:color w:val="auto"/>
                <w:sz w:val="24"/>
                <w:szCs w:val="24"/>
                <w:highlight w:val="none"/>
                <w:u w:val="none"/>
              </w:rPr>
              <w:t>。最大储存量与</w:t>
            </w:r>
            <w:r>
              <w:rPr>
                <w:rFonts w:ascii="Calibri" w:hAnsi="Calibri"/>
                <w:bCs/>
                <w:color w:val="auto"/>
                <w:sz w:val="24"/>
                <w:szCs w:val="24"/>
                <w:highlight w:val="none"/>
                <w:u w:val="none"/>
              </w:rPr>
              <w:t>《建设项目环境风险评价技术导则</w:t>
            </w:r>
            <w:r>
              <w:rPr>
                <w:bCs/>
                <w:color w:val="auto"/>
                <w:sz w:val="24"/>
                <w:szCs w:val="24"/>
                <w:highlight w:val="none"/>
                <w:u w:val="none"/>
              </w:rPr>
              <w:t>》(HJ 169－2018)临界量比值如下表。</w:t>
            </w:r>
            <w:r>
              <w:rPr>
                <w:rFonts w:hint="eastAsia" w:ascii="Calibri" w:hAnsi="Calibri"/>
                <w:bCs/>
                <w:color w:val="auto"/>
                <w:sz w:val="24"/>
                <w:szCs w:val="24"/>
                <w:highlight w:val="none"/>
                <w:u w:val="none"/>
              </w:rPr>
              <w:t xml:space="preserve"> </w:t>
            </w:r>
          </w:p>
          <w:p>
            <w:pPr>
              <w:keepNext/>
              <w:jc w:val="center"/>
              <w:rPr>
                <w:b/>
                <w:color w:val="auto"/>
                <w:highlight w:val="none"/>
                <w:u w:val="none"/>
              </w:rPr>
            </w:pPr>
          </w:p>
          <w:p>
            <w:pPr>
              <w:keepNext/>
              <w:jc w:val="center"/>
              <w:rPr>
                <w:b/>
                <w:color w:val="auto"/>
                <w:highlight w:val="none"/>
                <w:u w:val="none"/>
              </w:rPr>
            </w:pPr>
          </w:p>
          <w:p>
            <w:pPr>
              <w:keepNext/>
              <w:jc w:val="center"/>
              <w:rPr>
                <w:b/>
                <w:color w:val="auto"/>
                <w:highlight w:val="none"/>
                <w:u w:val="none"/>
              </w:rPr>
            </w:pPr>
            <w:r>
              <w:rPr>
                <w:b/>
                <w:color w:val="auto"/>
                <w:highlight w:val="none"/>
                <w:u w:val="none"/>
              </w:rPr>
              <w:t xml:space="preserve">表 </w:t>
            </w:r>
            <w:r>
              <w:rPr>
                <w:rFonts w:hint="eastAsia"/>
                <w:b/>
                <w:color w:val="auto"/>
                <w:highlight w:val="none"/>
                <w:u w:val="none"/>
                <w:lang w:val="en-US" w:eastAsia="zh-CN"/>
              </w:rPr>
              <w:t>4</w:t>
            </w:r>
            <w:r>
              <w:rPr>
                <w:rFonts w:hint="eastAsia"/>
                <w:b/>
                <w:color w:val="auto"/>
                <w:highlight w:val="none"/>
                <w:u w:val="none"/>
              </w:rPr>
              <w:t>-</w:t>
            </w:r>
            <w:r>
              <w:rPr>
                <w:rFonts w:hint="eastAsia"/>
                <w:b/>
                <w:color w:val="auto"/>
                <w:highlight w:val="none"/>
                <w:u w:val="none"/>
                <w:lang w:val="en-US" w:eastAsia="zh-CN"/>
              </w:rPr>
              <w:t>10</w:t>
            </w:r>
            <w:r>
              <w:rPr>
                <w:b/>
                <w:color w:val="auto"/>
                <w:highlight w:val="none"/>
                <w:u w:val="none"/>
              </w:rPr>
              <w:t xml:space="preserve"> 风险物质储存量与临界量比值</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2982"/>
              <w:gridCol w:w="4069"/>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000" w:type="pct"/>
                  <w:vAlign w:val="center"/>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风险物质</w:t>
                  </w:r>
                </w:p>
              </w:tc>
              <w:tc>
                <w:tcPr>
                  <w:tcW w:w="1128" w:type="pct"/>
                  <w:vAlign w:val="center"/>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最大储存量（t）</w:t>
                  </w:r>
                </w:p>
              </w:tc>
              <w:tc>
                <w:tcPr>
                  <w:tcW w:w="1540" w:type="pct"/>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《建设项目环境风险评价技术导则》临界量（t）</w:t>
                  </w:r>
                </w:p>
              </w:tc>
              <w:tc>
                <w:tcPr>
                  <w:tcW w:w="1330" w:type="pct"/>
                  <w:vAlign w:val="center"/>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00" w:type="pct"/>
                  <w:vAlign w:val="center"/>
                </w:tcPr>
                <w:p>
                  <w:pPr>
                    <w:overflowPunct w:val="0"/>
                    <w:spacing w:line="240" w:lineRule="atLeast"/>
                    <w:jc w:val="center"/>
                    <w:textAlignment w:val="baseline"/>
                    <w:rPr>
                      <w:rFonts w:hint="eastAsia" w:eastAsia="宋体"/>
                      <w:color w:val="auto"/>
                      <w:kern w:val="0"/>
                      <w:highlight w:val="none"/>
                      <w:u w:val="none"/>
                      <w:lang w:eastAsia="zh-CN"/>
                    </w:rPr>
                  </w:pPr>
                  <w:r>
                    <w:rPr>
                      <w:rFonts w:hint="eastAsia" w:ascii="Times New Roman" w:hAnsi="Times New Roman" w:eastAsia="宋体" w:cs="Times New Roman"/>
                      <w:color w:val="auto"/>
                      <w:kern w:val="0"/>
                      <w:highlight w:val="none"/>
                      <w:u w:val="none"/>
                      <w:lang w:eastAsia="zh-CN"/>
                    </w:rPr>
                    <w:t>柴油</w:t>
                  </w:r>
                </w:p>
              </w:tc>
              <w:tc>
                <w:tcPr>
                  <w:tcW w:w="1128" w:type="pct"/>
                  <w:vAlign w:val="center"/>
                </w:tcPr>
                <w:p>
                  <w:pPr>
                    <w:overflowPunct w:val="0"/>
                    <w:spacing w:line="240" w:lineRule="atLeast"/>
                    <w:jc w:val="center"/>
                    <w:textAlignment w:val="baseline"/>
                    <w:rPr>
                      <w:rFonts w:hint="default" w:eastAsia="宋体"/>
                      <w:color w:val="auto"/>
                      <w:kern w:val="0"/>
                      <w:highlight w:val="none"/>
                      <w:u w:val="none"/>
                      <w:lang w:val="en-US" w:eastAsia="zh-CN"/>
                    </w:rPr>
                  </w:pPr>
                  <w:r>
                    <w:rPr>
                      <w:rFonts w:hint="eastAsia"/>
                      <w:color w:val="auto"/>
                      <w:kern w:val="0"/>
                      <w:highlight w:val="none"/>
                      <w:u w:val="none"/>
                      <w:lang w:val="en-US" w:eastAsia="zh-CN"/>
                    </w:rPr>
                    <w:t>0.5</w:t>
                  </w:r>
                </w:p>
              </w:tc>
              <w:tc>
                <w:tcPr>
                  <w:tcW w:w="1540" w:type="pct"/>
                  <w:vAlign w:val="center"/>
                </w:tcPr>
                <w:p>
                  <w:pPr>
                    <w:overflowPunct w:val="0"/>
                    <w:spacing w:line="240" w:lineRule="atLeast"/>
                    <w:jc w:val="center"/>
                    <w:textAlignment w:val="baseline"/>
                    <w:rPr>
                      <w:rFonts w:hint="default" w:eastAsia="宋体"/>
                      <w:color w:val="auto"/>
                      <w:kern w:val="0"/>
                      <w:highlight w:val="none"/>
                      <w:u w:val="none"/>
                      <w:lang w:val="en-US" w:eastAsia="zh-CN"/>
                    </w:rPr>
                  </w:pPr>
                  <w:r>
                    <w:rPr>
                      <w:rFonts w:ascii="Times New Roman" w:hAnsi="Times New Roman"/>
                      <w:color w:val="auto"/>
                      <w:sz w:val="21"/>
                      <w:szCs w:val="21"/>
                      <w:u w:val="none"/>
                    </w:rPr>
                    <w:t>2500</w:t>
                  </w:r>
                  <w:r>
                    <w:rPr>
                      <w:rFonts w:hint="eastAsia" w:ascii="Times New Roman" w:hAnsi="Times New Roman"/>
                      <w:color w:val="auto"/>
                      <w:sz w:val="21"/>
                      <w:szCs w:val="21"/>
                      <w:u w:val="none"/>
                      <w:lang w:val="en-US" w:eastAsia="zh-CN"/>
                    </w:rPr>
                    <w:t>**</w:t>
                  </w:r>
                </w:p>
              </w:tc>
              <w:tc>
                <w:tcPr>
                  <w:tcW w:w="1330" w:type="pct"/>
                  <w:vAlign w:val="center"/>
                </w:tcPr>
                <w:p>
                  <w:pPr>
                    <w:overflowPunct w:val="0"/>
                    <w:spacing w:line="240" w:lineRule="atLeast"/>
                    <w:jc w:val="center"/>
                    <w:textAlignment w:val="baseline"/>
                    <w:rPr>
                      <w:rFonts w:hint="default" w:eastAsia="宋体"/>
                      <w:bCs/>
                      <w:color w:val="auto"/>
                      <w:kern w:val="0"/>
                      <w:highlight w:val="none"/>
                      <w:u w:val="none"/>
                      <w:lang w:val="en-US" w:eastAsia="zh-CN"/>
                    </w:rPr>
                  </w:pPr>
                  <w:r>
                    <w:rPr>
                      <w:rFonts w:hint="eastAsia"/>
                      <w:bCs/>
                      <w:color w:val="auto"/>
                      <w:kern w:val="0"/>
                      <w:highlight w:val="none"/>
                      <w:u w:val="no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00" w:type="pct"/>
                  <w:vAlign w:val="center"/>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总计</w:t>
                  </w:r>
                </w:p>
              </w:tc>
              <w:tc>
                <w:tcPr>
                  <w:tcW w:w="1128" w:type="pct"/>
                  <w:vAlign w:val="center"/>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w:t>
                  </w:r>
                </w:p>
              </w:tc>
              <w:tc>
                <w:tcPr>
                  <w:tcW w:w="1540" w:type="pct"/>
                </w:tcPr>
                <w:p>
                  <w:pPr>
                    <w:overflowPunct w:val="0"/>
                    <w:spacing w:line="240" w:lineRule="atLeast"/>
                    <w:jc w:val="center"/>
                    <w:textAlignment w:val="baseline"/>
                    <w:rPr>
                      <w:color w:val="auto"/>
                      <w:kern w:val="0"/>
                      <w:highlight w:val="none"/>
                      <w:u w:val="none"/>
                    </w:rPr>
                  </w:pPr>
                  <w:r>
                    <w:rPr>
                      <w:rFonts w:hint="eastAsia"/>
                      <w:color w:val="auto"/>
                      <w:kern w:val="0"/>
                      <w:highlight w:val="none"/>
                      <w:u w:val="none"/>
                    </w:rPr>
                    <w:t>/</w:t>
                  </w:r>
                </w:p>
              </w:tc>
              <w:tc>
                <w:tcPr>
                  <w:tcW w:w="1330" w:type="pct"/>
                  <w:vAlign w:val="center"/>
                </w:tcPr>
                <w:p>
                  <w:pPr>
                    <w:overflowPunct w:val="0"/>
                    <w:spacing w:line="240" w:lineRule="atLeast"/>
                    <w:jc w:val="center"/>
                    <w:textAlignment w:val="baseline"/>
                    <w:rPr>
                      <w:rFonts w:hint="default" w:eastAsia="宋体"/>
                      <w:color w:val="auto"/>
                      <w:kern w:val="0"/>
                      <w:highlight w:val="none"/>
                      <w:u w:val="none"/>
                      <w:lang w:val="en-US" w:eastAsia="zh-CN"/>
                    </w:rPr>
                  </w:pPr>
                  <w:r>
                    <w:rPr>
                      <w:rFonts w:hint="eastAsia"/>
                      <w:color w:val="auto"/>
                      <w:kern w:val="0"/>
                      <w:highlight w:val="none"/>
                      <w:u w:val="none"/>
                      <w:lang w:val="en-US" w:eastAsia="zh-CN"/>
                    </w:rPr>
                    <w:t>0.0002</w:t>
                  </w:r>
                </w:p>
              </w:tc>
            </w:tr>
          </w:tbl>
          <w:p>
            <w:pPr>
              <w:adjustRightInd w:val="0"/>
              <w:snapToGrid w:val="0"/>
              <w:spacing w:line="360" w:lineRule="auto"/>
              <w:ind w:firstLine="482"/>
              <w:rPr>
                <w:bCs/>
                <w:color w:val="auto"/>
                <w:sz w:val="24"/>
                <w:szCs w:val="24"/>
                <w:highlight w:val="none"/>
                <w:u w:val="none"/>
              </w:rPr>
            </w:pPr>
            <w:r>
              <w:rPr>
                <w:bCs/>
                <w:color w:val="auto"/>
                <w:sz w:val="24"/>
                <w:szCs w:val="24"/>
                <w:highlight w:val="none"/>
                <w:u w:val="none"/>
              </w:rPr>
              <w:t>由上表可知，储存量与临界量比值Q=</w:t>
            </w:r>
            <w:r>
              <w:rPr>
                <w:rFonts w:hint="eastAsia"/>
                <w:bCs/>
                <w:color w:val="auto"/>
                <w:sz w:val="24"/>
                <w:szCs w:val="24"/>
                <w:highlight w:val="none"/>
                <w:u w:val="none"/>
                <w:lang w:val="en-US" w:eastAsia="zh-CN"/>
              </w:rPr>
              <w:t>0.0002</w:t>
            </w:r>
            <w:r>
              <w:rPr>
                <w:bCs/>
                <w:color w:val="auto"/>
                <w:sz w:val="24"/>
                <w:szCs w:val="24"/>
                <w:highlight w:val="none"/>
                <w:u w:val="none"/>
              </w:rPr>
              <w:t>＜1，项目风险潜势为I，评价工作等级为简单分析。</w:t>
            </w:r>
          </w:p>
          <w:p>
            <w:pPr>
              <w:numPr>
                <w:ilvl w:val="0"/>
                <w:numId w:val="3"/>
              </w:numPr>
              <w:spacing w:line="360" w:lineRule="auto"/>
              <w:ind w:firstLine="480" w:firstLineChars="200"/>
              <w:rPr>
                <w:color w:val="auto"/>
                <w:sz w:val="24"/>
                <w:szCs w:val="22"/>
                <w:highlight w:val="none"/>
                <w:u w:val="none"/>
              </w:rPr>
            </w:pPr>
            <w:r>
              <w:rPr>
                <w:color w:val="auto"/>
                <w:sz w:val="24"/>
                <w:szCs w:val="22"/>
                <w:highlight w:val="none"/>
                <w:u w:val="none"/>
              </w:rPr>
              <w:t>环境敏感目标概况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距离厂界500m范围内无自然保护区、风景名胜区、居住区、文化区和农村地区中人群较集中的区域等保护目标；距离厂界50m范围内无声环境保护目</w:t>
            </w:r>
            <w:r>
              <w:rPr>
                <w:rFonts w:hint="eastAsia" w:cs="Times New Roman"/>
                <w:b w:val="0"/>
                <w:bCs w:val="0"/>
                <w:color w:val="auto"/>
                <w:sz w:val="24"/>
                <w:szCs w:val="24"/>
                <w:highlight w:val="none"/>
                <w:u w:val="none"/>
                <w:lang w:val="en-US" w:eastAsia="zh-CN"/>
              </w:rPr>
              <w:t>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color w:val="auto"/>
                <w:sz w:val="24"/>
                <w:szCs w:val="22"/>
                <w:highlight w:val="none"/>
                <w:u w:val="none"/>
              </w:rPr>
            </w:pPr>
            <w:r>
              <w:rPr>
                <w:rFonts w:ascii="Times New Roman" w:hAnsi="Times New Roman" w:eastAsia="宋体" w:cs="Times New Roman"/>
                <w:color w:val="auto"/>
                <w:sz w:val="24"/>
                <w:szCs w:val="22"/>
                <w:highlight w:val="none"/>
                <w:u w:val="none"/>
              </w:rPr>
              <w:t>（3）环境风险识别</w:t>
            </w:r>
          </w:p>
          <w:p>
            <w:pPr>
              <w:spacing w:line="360" w:lineRule="auto"/>
              <w:ind w:firstLine="480" w:firstLineChars="200"/>
              <w:rPr>
                <w:color w:val="auto"/>
                <w:sz w:val="24"/>
                <w:u w:val="none"/>
              </w:rPr>
            </w:pPr>
            <w:r>
              <w:rPr>
                <w:color w:val="auto"/>
                <w:sz w:val="24"/>
                <w:u w:val="none"/>
              </w:rPr>
              <w:t>本项目的突发环境事件风险物质为</w:t>
            </w:r>
            <w:r>
              <w:rPr>
                <w:rFonts w:hint="eastAsia"/>
                <w:color w:val="auto"/>
                <w:sz w:val="24"/>
                <w:u w:val="none"/>
                <w:lang w:eastAsia="zh-CN"/>
              </w:rPr>
              <w:t>柴油</w:t>
            </w:r>
            <w:r>
              <w:rPr>
                <w:color w:val="auto"/>
                <w:sz w:val="24"/>
                <w:u w:val="none"/>
              </w:rPr>
              <w:t>；根据生产工艺、原辅材料和生产物料、实际操作等的特点，可以确定，</w:t>
            </w:r>
            <w:r>
              <w:rPr>
                <w:rFonts w:hint="eastAsia"/>
                <w:color w:val="auto"/>
                <w:sz w:val="24"/>
                <w:u w:val="none"/>
                <w:lang w:eastAsia="zh-CN"/>
              </w:rPr>
              <w:t>泄漏</w:t>
            </w:r>
            <w:r>
              <w:rPr>
                <w:color w:val="auto"/>
                <w:sz w:val="24"/>
                <w:u w:val="none"/>
              </w:rPr>
              <w:t>是本项目的主要危险因素</w:t>
            </w:r>
            <w:r>
              <w:rPr>
                <w:rFonts w:hint="eastAsia"/>
                <w:color w:val="auto"/>
                <w:sz w:val="24"/>
                <w:u w:val="none"/>
                <w:lang w:eastAsia="zh-CN"/>
              </w:rPr>
              <w:t>，</w:t>
            </w:r>
            <w:r>
              <w:rPr>
                <w:color w:val="auto"/>
                <w:sz w:val="24"/>
                <w:u w:val="none"/>
              </w:rPr>
              <w:t>项目使用的</w:t>
            </w:r>
            <w:r>
              <w:rPr>
                <w:rFonts w:hint="eastAsia"/>
                <w:color w:val="auto"/>
                <w:sz w:val="24"/>
                <w:u w:val="none"/>
                <w:lang w:eastAsia="zh-CN"/>
              </w:rPr>
              <w:t>柴油</w:t>
            </w:r>
            <w:r>
              <w:rPr>
                <w:color w:val="auto"/>
                <w:sz w:val="24"/>
                <w:u w:val="none"/>
              </w:rPr>
              <w:t xml:space="preserve">如发生泄漏，对地表水、土壤和地下水造成影响。 </w:t>
            </w:r>
          </w:p>
          <w:p>
            <w:pPr>
              <w:spacing w:line="360" w:lineRule="auto"/>
              <w:ind w:firstLine="422" w:firstLineChars="200"/>
              <w:jc w:val="center"/>
              <w:rPr>
                <w:b/>
                <w:bCs/>
                <w:color w:val="auto"/>
                <w:u w:val="none"/>
              </w:rPr>
            </w:pPr>
            <w:r>
              <w:rPr>
                <w:b/>
                <w:bCs/>
                <w:color w:val="auto"/>
                <w:u w:val="none"/>
              </w:rPr>
              <w:t>表</w:t>
            </w:r>
            <w:r>
              <w:rPr>
                <w:rFonts w:hint="eastAsia"/>
                <w:b/>
                <w:bCs/>
                <w:color w:val="auto"/>
                <w:u w:val="none"/>
                <w:lang w:val="en-US" w:eastAsia="zh-CN"/>
              </w:rPr>
              <w:t xml:space="preserve">4-11 </w:t>
            </w:r>
            <w:r>
              <w:rPr>
                <w:b/>
                <w:bCs/>
                <w:color w:val="auto"/>
                <w:u w:val="none"/>
              </w:rPr>
              <w:t>建设项目环境风险识别表</w:t>
            </w:r>
          </w:p>
          <w:tbl>
            <w:tblPr>
              <w:tblStyle w:val="28"/>
              <w:tblW w:w="4997"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850"/>
              <w:gridCol w:w="1851"/>
              <w:gridCol w:w="1729"/>
              <w:gridCol w:w="3152"/>
              <w:gridCol w:w="247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6"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序号</w:t>
                  </w:r>
                </w:p>
              </w:tc>
              <w:tc>
                <w:tcPr>
                  <w:tcW w:w="1078"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危险单元</w:t>
                  </w:r>
                </w:p>
              </w:tc>
              <w:tc>
                <w:tcPr>
                  <w:tcW w:w="700"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主要危险物质</w:t>
                  </w:r>
                </w:p>
              </w:tc>
              <w:tc>
                <w:tcPr>
                  <w:tcW w:w="654"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环境风险类型</w:t>
                  </w:r>
                </w:p>
              </w:tc>
              <w:tc>
                <w:tcPr>
                  <w:tcW w:w="1193"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环境影响途径</w:t>
                  </w:r>
                </w:p>
              </w:tc>
              <w:tc>
                <w:tcPr>
                  <w:tcW w:w="937"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可能受影响的环境敏感目标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476" w:hRule="atLeast"/>
              </w:trPr>
              <w:tc>
                <w:tcPr>
                  <w:tcW w:w="436"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1</w:t>
                  </w:r>
                </w:p>
              </w:tc>
              <w:tc>
                <w:tcPr>
                  <w:tcW w:w="1078" w:type="pct"/>
                  <w:tcBorders>
                    <w:bottom w:val="single" w:color="auto" w:sz="4" w:space="0"/>
                  </w:tcBorders>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仓库</w:t>
                  </w:r>
                </w:p>
              </w:tc>
              <w:tc>
                <w:tcPr>
                  <w:tcW w:w="700" w:type="pct"/>
                  <w:tcBorders>
                    <w:bottom w:val="single" w:color="auto" w:sz="4" w:space="0"/>
                  </w:tcBorders>
                  <w:shd w:val="clear" w:color="auto" w:fill="auto"/>
                  <w:vAlign w:val="center"/>
                </w:tcPr>
                <w:p>
                  <w:pPr>
                    <w:autoSpaceDE w:val="0"/>
                    <w:autoSpaceDN w:val="0"/>
                    <w:adjustRightInd w:val="0"/>
                    <w:jc w:val="center"/>
                    <w:textAlignment w:val="baseline"/>
                    <w:rPr>
                      <w:rFonts w:hint="eastAsia" w:eastAsia="宋体"/>
                      <w:color w:val="auto"/>
                      <w:u w:val="none"/>
                      <w:lang w:eastAsia="zh-CN"/>
                    </w:rPr>
                  </w:pPr>
                  <w:r>
                    <w:rPr>
                      <w:rFonts w:hint="eastAsia"/>
                      <w:color w:val="auto"/>
                      <w:u w:val="none"/>
                      <w:lang w:eastAsia="zh-CN"/>
                    </w:rPr>
                    <w:t>柴油</w:t>
                  </w:r>
                </w:p>
              </w:tc>
              <w:tc>
                <w:tcPr>
                  <w:tcW w:w="654" w:type="pct"/>
                  <w:shd w:val="clear" w:color="auto" w:fill="auto"/>
                  <w:vAlign w:val="center"/>
                </w:tcPr>
                <w:p>
                  <w:pPr>
                    <w:autoSpaceDE w:val="0"/>
                    <w:autoSpaceDN w:val="0"/>
                    <w:adjustRightInd w:val="0"/>
                    <w:jc w:val="center"/>
                    <w:textAlignment w:val="baseline"/>
                    <w:rPr>
                      <w:rFonts w:hint="eastAsia" w:eastAsia="宋体"/>
                      <w:color w:val="auto"/>
                      <w:u w:val="none"/>
                      <w:lang w:eastAsia="zh-CN"/>
                    </w:rPr>
                  </w:pPr>
                  <w:r>
                    <w:rPr>
                      <w:rFonts w:hint="eastAsia"/>
                      <w:color w:val="auto"/>
                      <w:u w:val="none"/>
                    </w:rPr>
                    <w:t>泄露</w:t>
                  </w:r>
                </w:p>
              </w:tc>
              <w:tc>
                <w:tcPr>
                  <w:tcW w:w="1193" w:type="pct"/>
                  <w:shd w:val="clear" w:color="auto" w:fill="auto"/>
                  <w:vAlign w:val="center"/>
                </w:tcPr>
                <w:p>
                  <w:pPr>
                    <w:autoSpaceDE w:val="0"/>
                    <w:autoSpaceDN w:val="0"/>
                    <w:adjustRightInd w:val="0"/>
                    <w:jc w:val="center"/>
                    <w:textAlignment w:val="baseline"/>
                    <w:rPr>
                      <w:color w:val="auto"/>
                      <w:u w:val="none"/>
                    </w:rPr>
                  </w:pPr>
                  <w:r>
                    <w:rPr>
                      <w:rFonts w:hint="eastAsia"/>
                      <w:color w:val="auto"/>
                      <w:u w:val="none"/>
                    </w:rPr>
                    <w:t>危险废物泄漏对地表水环境的影响</w:t>
                  </w:r>
                </w:p>
              </w:tc>
              <w:tc>
                <w:tcPr>
                  <w:tcW w:w="937" w:type="pct"/>
                  <w:shd w:val="clear" w:color="auto" w:fill="auto"/>
                  <w:vAlign w:val="center"/>
                </w:tcPr>
                <w:p>
                  <w:pPr>
                    <w:autoSpaceDE w:val="0"/>
                    <w:autoSpaceDN w:val="0"/>
                    <w:adjustRightInd w:val="0"/>
                    <w:jc w:val="center"/>
                    <w:textAlignment w:val="baseline"/>
                    <w:rPr>
                      <w:rFonts w:hint="eastAsia" w:eastAsia="宋体"/>
                      <w:color w:val="auto"/>
                      <w:u w:val="none"/>
                      <w:lang w:eastAsia="zh-CN"/>
                    </w:rPr>
                  </w:pPr>
                  <w:r>
                    <w:rPr>
                      <w:rFonts w:hint="eastAsia"/>
                      <w:color w:val="auto"/>
                      <w:u w:val="none"/>
                    </w:rPr>
                    <w:t>周边居民、污水处理厂、</w:t>
                  </w:r>
                  <w:r>
                    <w:rPr>
                      <w:rFonts w:hint="eastAsia"/>
                      <w:color w:val="auto"/>
                      <w:u w:val="none"/>
                      <w:lang w:eastAsia="zh-CN"/>
                    </w:rPr>
                    <w:t>澹水、澧水</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2"/>
                <w:highlight w:val="none"/>
                <w:u w:val="none"/>
              </w:rPr>
            </w:pPr>
            <w:r>
              <w:rPr>
                <w:color w:val="auto"/>
                <w:sz w:val="24"/>
                <w:szCs w:val="22"/>
                <w:highlight w:val="none"/>
                <w:u w:val="none"/>
              </w:rPr>
              <w:t>（4）环境风险分析</w:t>
            </w:r>
          </w:p>
          <w:p>
            <w:pPr>
              <w:autoSpaceDE w:val="0"/>
              <w:autoSpaceDN w:val="0"/>
              <w:adjustRightInd w:val="0"/>
              <w:spacing w:line="360" w:lineRule="auto"/>
              <w:ind w:firstLine="480"/>
              <w:rPr>
                <w:rFonts w:hint="eastAsia" w:ascii="Times New Roman" w:hAnsi="Times New Roman" w:eastAsia="宋体" w:cs="Times New Roman"/>
                <w:color w:val="auto"/>
                <w:sz w:val="24"/>
                <w:szCs w:val="24"/>
                <w:highlight w:val="none"/>
                <w:u w:val="none"/>
                <w:lang w:eastAsia="zh-CN"/>
              </w:rPr>
            </w:pPr>
            <w:r>
              <w:rPr>
                <w:rFonts w:hint="eastAsia" w:ascii="Times New Roman" w:hAnsi="Times New Roman" w:eastAsia="宋体" w:cs="Times New Roman"/>
                <w:color w:val="auto"/>
                <w:sz w:val="24"/>
                <w:szCs w:val="24"/>
                <w:highlight w:val="none"/>
                <w:u w:val="none"/>
                <w:lang w:eastAsia="zh-CN"/>
              </w:rPr>
              <w:t>柴油泄露，危害物质主要成份有C15-C36的烷烃、多环芳烃(PAHS)、烯烃、苯系物、酚类等,一旦进入外环境 ,将造成成严重的环境污染。油内的有毒物质通过人体和动物的表皮渗透到血液中,并在体内积累，会导致各种细胞丧失正常功能，是公认的致癌和致突变化合物，如果侵入土壤,可导致植物死亡,被污染土壤内微生物灭绝。如果进入饮用水源，污染饮用水。本项目柴油储存区设置有托盘，发生泄漏后可有效收集，泄漏至外环境水体几率较小。</w:t>
            </w:r>
          </w:p>
          <w:p>
            <w:pPr>
              <w:spacing w:line="360" w:lineRule="auto"/>
              <w:ind w:firstLine="480" w:firstLineChars="200"/>
              <w:rPr>
                <w:color w:val="auto"/>
                <w:sz w:val="24"/>
                <w:szCs w:val="22"/>
                <w:highlight w:val="none"/>
                <w:u w:val="none"/>
              </w:rPr>
            </w:pPr>
            <w:r>
              <w:rPr>
                <w:color w:val="auto"/>
                <w:sz w:val="24"/>
                <w:szCs w:val="22"/>
                <w:highlight w:val="none"/>
                <w:u w:val="none"/>
              </w:rPr>
              <w:t>（5）环境风险防范措施及应急要求</w:t>
            </w:r>
          </w:p>
          <w:p>
            <w:pPr>
              <w:spacing w:line="360" w:lineRule="auto"/>
              <w:ind w:firstLine="480" w:firstLineChars="200"/>
              <w:rPr>
                <w:rFonts w:hint="eastAsia" w:eastAsia="宋体"/>
                <w:color w:val="auto"/>
                <w:sz w:val="24"/>
                <w:szCs w:val="24"/>
                <w:highlight w:val="none"/>
                <w:u w:val="none"/>
                <w:lang w:eastAsia="zh-CN"/>
              </w:rPr>
            </w:pPr>
            <w:r>
              <w:rPr>
                <w:rFonts w:hint="eastAsia"/>
                <w:bCs/>
                <w:color w:val="auto"/>
                <w:sz w:val="24"/>
                <w:szCs w:val="24"/>
                <w:highlight w:val="none"/>
                <w:u w:val="none"/>
                <w:lang w:val="zh-CN"/>
              </w:rPr>
              <w:t>①设置单独的存放区域，</w:t>
            </w:r>
            <w:r>
              <w:rPr>
                <w:bCs/>
                <w:color w:val="auto"/>
                <w:sz w:val="24"/>
                <w:szCs w:val="24"/>
                <w:highlight w:val="none"/>
                <w:u w:val="none"/>
                <w:lang w:val="zh-CN"/>
              </w:rPr>
              <w:t>采用水平防渗处理</w:t>
            </w:r>
            <w:r>
              <w:rPr>
                <w:rFonts w:hint="eastAsia"/>
                <w:bCs/>
                <w:color w:val="auto"/>
                <w:sz w:val="24"/>
                <w:szCs w:val="24"/>
                <w:highlight w:val="none"/>
                <w:u w:val="none"/>
                <w:lang w:val="zh-CN"/>
              </w:rPr>
              <w:t>，存放区域</w:t>
            </w:r>
            <w:r>
              <w:rPr>
                <w:color w:val="auto"/>
                <w:sz w:val="24"/>
                <w:szCs w:val="22"/>
                <w:highlight w:val="none"/>
                <w:u w:val="none"/>
              </w:rPr>
              <w:t>周围设置</w:t>
            </w:r>
            <w:r>
              <w:rPr>
                <w:rFonts w:hint="eastAsia"/>
                <w:color w:val="auto"/>
                <w:sz w:val="24"/>
                <w:szCs w:val="22"/>
                <w:highlight w:val="none"/>
                <w:u w:val="none"/>
                <w:lang w:eastAsia="zh-CN"/>
              </w:rPr>
              <w:t>托盘</w:t>
            </w:r>
            <w:r>
              <w:rPr>
                <w:color w:val="auto"/>
                <w:sz w:val="24"/>
                <w:szCs w:val="22"/>
                <w:highlight w:val="none"/>
                <w:u w:val="none"/>
              </w:rPr>
              <w:t>，存放处远离火种、热源，保证阴凉、通风，通风设施</w:t>
            </w:r>
            <w:r>
              <w:rPr>
                <w:color w:val="auto"/>
                <w:sz w:val="24"/>
                <w:szCs w:val="24"/>
                <w:highlight w:val="none"/>
                <w:u w:val="none"/>
              </w:rPr>
              <w:t>，并配备一定数量的手提灭火器。禁止使用易产生火花的机械设备和工具</w:t>
            </w:r>
            <w:r>
              <w:rPr>
                <w:rFonts w:hint="eastAsia"/>
                <w:color w:val="auto"/>
                <w:sz w:val="24"/>
                <w:szCs w:val="24"/>
                <w:highlight w:val="none"/>
                <w:u w:val="none"/>
                <w:lang w:eastAsia="zh-CN"/>
              </w:rPr>
              <w:t>。</w:t>
            </w:r>
          </w:p>
          <w:p>
            <w:pPr>
              <w:spacing w:line="360" w:lineRule="auto"/>
              <w:ind w:firstLine="480" w:firstLineChars="200"/>
              <w:rPr>
                <w:color w:val="auto"/>
                <w:sz w:val="24"/>
                <w:szCs w:val="22"/>
                <w:highlight w:val="none"/>
                <w:u w:val="none"/>
              </w:rPr>
            </w:pPr>
            <w:r>
              <w:rPr>
                <w:rFonts w:hint="eastAsia"/>
                <w:color w:val="auto"/>
                <w:sz w:val="24"/>
                <w:szCs w:val="22"/>
                <w:highlight w:val="none"/>
                <w:u w:val="none"/>
                <w:lang w:eastAsia="zh-CN"/>
              </w:rPr>
              <w:t>②</w:t>
            </w:r>
            <w:r>
              <w:rPr>
                <w:color w:val="auto"/>
                <w:sz w:val="24"/>
                <w:szCs w:val="22"/>
                <w:highlight w:val="none"/>
                <w:u w:val="none"/>
              </w:rPr>
              <w:t>完善安全生产管理制度，加强安全宣传和教育，</w:t>
            </w:r>
            <w:r>
              <w:rPr>
                <w:rFonts w:hint="eastAsia"/>
                <w:color w:val="auto"/>
                <w:sz w:val="24"/>
                <w:szCs w:val="22"/>
                <w:highlight w:val="none"/>
                <w:u w:val="none"/>
                <w:lang w:eastAsia="zh-CN"/>
              </w:rPr>
              <w:t>对其处置记录进行台账管理</w:t>
            </w:r>
            <w:r>
              <w:rPr>
                <w:color w:val="auto"/>
                <w:sz w:val="24"/>
                <w:szCs w:val="22"/>
                <w:highlight w:val="none"/>
                <w:u w:val="none"/>
              </w:rPr>
              <w:t>。</w:t>
            </w:r>
          </w:p>
          <w:p>
            <w:pPr>
              <w:spacing w:line="360" w:lineRule="auto"/>
              <w:ind w:firstLine="480" w:firstLineChars="200"/>
              <w:rPr>
                <w:color w:val="auto"/>
                <w:sz w:val="24"/>
                <w:szCs w:val="22"/>
                <w:highlight w:val="none"/>
                <w:u w:val="none"/>
              </w:rPr>
            </w:pPr>
            <w:r>
              <w:rPr>
                <w:color w:val="auto"/>
                <w:sz w:val="24"/>
                <w:szCs w:val="22"/>
                <w:highlight w:val="none"/>
                <w:u w:val="none"/>
              </w:rPr>
              <w:t>（6）分析结论</w:t>
            </w:r>
          </w:p>
          <w:p>
            <w:pPr>
              <w:spacing w:line="360" w:lineRule="auto"/>
              <w:ind w:firstLine="480" w:firstLineChars="200"/>
              <w:rPr>
                <w:color w:val="auto"/>
                <w:sz w:val="24"/>
                <w:szCs w:val="22"/>
                <w:highlight w:val="none"/>
                <w:u w:val="none"/>
              </w:rPr>
            </w:pPr>
            <w:r>
              <w:rPr>
                <w:color w:val="auto"/>
                <w:sz w:val="24"/>
                <w:szCs w:val="22"/>
                <w:highlight w:val="none"/>
                <w:u w:val="none"/>
              </w:rPr>
              <w:t>本项目环境风险物质为</w:t>
            </w:r>
            <w:r>
              <w:rPr>
                <w:rFonts w:hint="eastAsia"/>
                <w:color w:val="auto"/>
                <w:sz w:val="24"/>
                <w:szCs w:val="22"/>
                <w:highlight w:val="none"/>
                <w:u w:val="none"/>
                <w:lang w:eastAsia="zh-CN"/>
              </w:rPr>
              <w:t>柴油泄露</w:t>
            </w:r>
            <w:r>
              <w:rPr>
                <w:color w:val="auto"/>
                <w:sz w:val="24"/>
                <w:szCs w:val="22"/>
                <w:highlight w:val="none"/>
                <w:u w:val="none"/>
              </w:rPr>
              <w:t>，本项目贮存量较小，在采取本评价要求的风险防范措施后，可大大降低风险事故发生的机率，通过采取事故应急措施，可减缓风险事故对环境的影响。本项目所存在的环境风险是可以接受的。</w:t>
            </w:r>
          </w:p>
          <w:p>
            <w:pPr>
              <w:spacing w:line="360" w:lineRule="auto"/>
              <w:jc w:val="center"/>
              <w:rPr>
                <w:b/>
                <w:bCs/>
                <w:color w:val="auto"/>
                <w:szCs w:val="24"/>
                <w:highlight w:val="none"/>
                <w:u w:val="none"/>
              </w:rPr>
            </w:pPr>
            <w:r>
              <w:rPr>
                <w:b/>
                <w:bCs/>
                <w:color w:val="auto"/>
                <w:szCs w:val="24"/>
                <w:highlight w:val="none"/>
                <w:u w:val="none"/>
              </w:rPr>
              <w:t>表</w:t>
            </w:r>
            <w:r>
              <w:rPr>
                <w:rFonts w:hint="eastAsia"/>
                <w:b/>
                <w:bCs/>
                <w:color w:val="auto"/>
                <w:szCs w:val="24"/>
                <w:highlight w:val="none"/>
                <w:u w:val="none"/>
                <w:lang w:val="en-US" w:eastAsia="zh-CN"/>
              </w:rPr>
              <w:t>4</w:t>
            </w:r>
            <w:r>
              <w:rPr>
                <w:b/>
                <w:bCs/>
                <w:color w:val="auto"/>
                <w:szCs w:val="24"/>
                <w:highlight w:val="none"/>
                <w:u w:val="none"/>
              </w:rPr>
              <w:t>-</w:t>
            </w:r>
            <w:r>
              <w:rPr>
                <w:rFonts w:hint="eastAsia"/>
                <w:b/>
                <w:bCs/>
                <w:color w:val="auto"/>
                <w:szCs w:val="24"/>
                <w:highlight w:val="none"/>
                <w:u w:val="none"/>
                <w:lang w:val="en-US" w:eastAsia="zh-CN"/>
              </w:rPr>
              <w:t>11</w:t>
            </w:r>
            <w:r>
              <w:rPr>
                <w:b/>
                <w:bCs/>
                <w:color w:val="auto"/>
                <w:szCs w:val="24"/>
                <w:highlight w:val="none"/>
                <w:u w:val="none"/>
              </w:rPr>
              <w:t xml:space="preserve"> 建设项目环境风险简单分析内容表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46"/>
              <w:gridCol w:w="3338"/>
              <w:gridCol w:w="1414"/>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376" w:type="pct"/>
                  <w:vAlign w:val="center"/>
                </w:tcPr>
                <w:p>
                  <w:pPr>
                    <w:jc w:val="center"/>
                    <w:rPr>
                      <w:color w:val="auto"/>
                      <w:highlight w:val="none"/>
                      <w:u w:val="none"/>
                    </w:rPr>
                  </w:pPr>
                  <w:r>
                    <w:rPr>
                      <w:color w:val="auto"/>
                      <w:highlight w:val="none"/>
                      <w:u w:val="none"/>
                    </w:rPr>
                    <w:t>建设项目名称</w:t>
                  </w:r>
                </w:p>
              </w:tc>
              <w:tc>
                <w:tcPr>
                  <w:tcW w:w="3623" w:type="pct"/>
                  <w:gridSpan w:val="4"/>
                  <w:vAlign w:val="center"/>
                </w:tcPr>
                <w:p>
                  <w:pPr>
                    <w:jc w:val="center"/>
                    <w:rPr>
                      <w:rFonts w:hint="eastAsia" w:eastAsia="宋体"/>
                      <w:color w:val="auto"/>
                      <w:highlight w:val="none"/>
                      <w:u w:val="none"/>
                      <w:lang w:eastAsia="zh-CN"/>
                    </w:rPr>
                  </w:pPr>
                  <w:r>
                    <w:rPr>
                      <w:rFonts w:hint="eastAsia" w:cs="Times New Roman"/>
                      <w:color w:val="auto"/>
                      <w:szCs w:val="21"/>
                      <w:highlight w:val="none"/>
                      <w:u w:val="none"/>
                      <w:lang w:val="en-US" w:eastAsia="zh-CN"/>
                    </w:rPr>
                    <w:t>纸管加工扩建项目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76" w:type="pct"/>
                  <w:vAlign w:val="center"/>
                </w:tcPr>
                <w:p>
                  <w:pPr>
                    <w:jc w:val="center"/>
                    <w:rPr>
                      <w:color w:val="auto"/>
                      <w:highlight w:val="none"/>
                      <w:u w:val="none"/>
                    </w:rPr>
                  </w:pPr>
                  <w:r>
                    <w:rPr>
                      <w:color w:val="auto"/>
                      <w:highlight w:val="none"/>
                      <w:u w:val="none"/>
                    </w:rPr>
                    <w:t>建设地点</w:t>
                  </w:r>
                </w:p>
              </w:tc>
              <w:tc>
                <w:tcPr>
                  <w:tcW w:w="547" w:type="pct"/>
                  <w:vAlign w:val="center"/>
                </w:tcPr>
                <w:p>
                  <w:pPr>
                    <w:jc w:val="center"/>
                    <w:rPr>
                      <w:color w:val="auto"/>
                      <w:highlight w:val="none"/>
                      <w:u w:val="none"/>
                    </w:rPr>
                  </w:pPr>
                  <w:r>
                    <w:rPr>
                      <w:color w:val="auto"/>
                      <w:highlight w:val="none"/>
                      <w:u w:val="none"/>
                    </w:rPr>
                    <w:t>湖南省</w:t>
                  </w:r>
                </w:p>
              </w:tc>
              <w:tc>
                <w:tcPr>
                  <w:tcW w:w="1263" w:type="pct"/>
                  <w:vAlign w:val="center"/>
                </w:tcPr>
                <w:p>
                  <w:pPr>
                    <w:jc w:val="center"/>
                    <w:rPr>
                      <w:color w:val="auto"/>
                      <w:highlight w:val="none"/>
                      <w:u w:val="none"/>
                    </w:rPr>
                  </w:pPr>
                  <w:r>
                    <w:rPr>
                      <w:color w:val="auto"/>
                      <w:highlight w:val="none"/>
                      <w:u w:val="none"/>
                    </w:rPr>
                    <w:t>常德市</w:t>
                  </w:r>
                </w:p>
              </w:tc>
              <w:tc>
                <w:tcPr>
                  <w:tcW w:w="535" w:type="pct"/>
                  <w:vAlign w:val="center"/>
                </w:tcPr>
                <w:p>
                  <w:pPr>
                    <w:jc w:val="center"/>
                    <w:rPr>
                      <w:rFonts w:hint="eastAsia" w:eastAsia="宋体"/>
                      <w:color w:val="auto"/>
                      <w:highlight w:val="none"/>
                      <w:u w:val="none"/>
                      <w:lang w:eastAsia="zh-CN"/>
                    </w:rPr>
                  </w:pPr>
                  <w:r>
                    <w:rPr>
                      <w:rFonts w:hint="eastAsia"/>
                      <w:color w:val="auto"/>
                      <w:highlight w:val="none"/>
                      <w:u w:val="none"/>
                      <w:lang w:eastAsia="zh-CN"/>
                    </w:rPr>
                    <w:t>澧县</w:t>
                  </w:r>
                </w:p>
              </w:tc>
              <w:tc>
                <w:tcPr>
                  <w:tcW w:w="1276" w:type="pct"/>
                  <w:vAlign w:val="center"/>
                </w:tcPr>
                <w:p>
                  <w:pPr>
                    <w:jc w:val="center"/>
                    <w:rPr>
                      <w:color w:val="auto"/>
                      <w:highlight w:val="none"/>
                      <w:u w:val="none"/>
                    </w:rPr>
                  </w:pPr>
                  <w:r>
                    <w:rPr>
                      <w:rFonts w:hint="eastAsia"/>
                      <w:color w:val="auto"/>
                      <w:highlight w:val="none"/>
                      <w:u w:val="none"/>
                      <w:lang w:val="en-US" w:eastAsia="zh-CN"/>
                    </w:rPr>
                    <w:t>高新区创新创业园B5栋1层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76" w:type="pct"/>
                  <w:vAlign w:val="center"/>
                </w:tcPr>
                <w:p>
                  <w:pPr>
                    <w:jc w:val="center"/>
                    <w:rPr>
                      <w:color w:val="auto"/>
                      <w:highlight w:val="none"/>
                      <w:u w:val="none"/>
                    </w:rPr>
                  </w:pPr>
                  <w:r>
                    <w:rPr>
                      <w:color w:val="auto"/>
                      <w:highlight w:val="none"/>
                      <w:u w:val="none"/>
                    </w:rPr>
                    <w:t>地理坐标</w:t>
                  </w:r>
                </w:p>
              </w:tc>
              <w:tc>
                <w:tcPr>
                  <w:tcW w:w="547" w:type="pct"/>
                  <w:vAlign w:val="center"/>
                </w:tcPr>
                <w:p>
                  <w:pPr>
                    <w:jc w:val="center"/>
                    <w:rPr>
                      <w:color w:val="auto"/>
                      <w:highlight w:val="none"/>
                      <w:u w:val="none"/>
                    </w:rPr>
                  </w:pPr>
                  <w:r>
                    <w:rPr>
                      <w:color w:val="auto"/>
                      <w:highlight w:val="none"/>
                      <w:u w:val="none"/>
                    </w:rPr>
                    <w:t>经度</w:t>
                  </w:r>
                </w:p>
              </w:tc>
              <w:tc>
                <w:tcPr>
                  <w:tcW w:w="1263" w:type="pct"/>
                  <w:vAlign w:val="center"/>
                </w:tcPr>
                <w:p>
                  <w:pPr>
                    <w:jc w:val="both"/>
                    <w:rPr>
                      <w:color w:val="auto"/>
                      <w:highlight w:val="none"/>
                      <w:u w:val="none"/>
                    </w:rPr>
                  </w:pPr>
                  <w:r>
                    <w:rPr>
                      <w:rFonts w:hint="eastAsia"/>
                      <w:color w:val="auto"/>
                      <w:szCs w:val="21"/>
                      <w:u w:val="none"/>
                      <w:lang w:val="en-US" w:eastAsia="zh-CN"/>
                    </w:rPr>
                    <w:t>E</w:t>
                  </w:r>
                  <w:r>
                    <w:rPr>
                      <w:rFonts w:hint="eastAsia"/>
                      <w:color w:val="auto"/>
                      <w:szCs w:val="21"/>
                      <w:u w:val="none"/>
                      <w:lang w:eastAsia="zh-CN"/>
                    </w:rPr>
                    <w:t>111°</w:t>
                  </w:r>
                  <w:r>
                    <w:rPr>
                      <w:rFonts w:hint="eastAsia"/>
                      <w:color w:val="auto"/>
                      <w:szCs w:val="21"/>
                      <w:u w:val="none"/>
                      <w:lang w:val="en-US" w:eastAsia="zh-CN"/>
                    </w:rPr>
                    <w:t>50</w:t>
                  </w:r>
                  <w:r>
                    <w:rPr>
                      <w:rFonts w:hint="eastAsia"/>
                      <w:color w:val="auto"/>
                      <w:szCs w:val="21"/>
                      <w:u w:val="none"/>
                      <w:lang w:eastAsia="zh-CN"/>
                    </w:rPr>
                    <w:t>′</w:t>
                  </w:r>
                  <w:r>
                    <w:rPr>
                      <w:rFonts w:hint="eastAsia"/>
                      <w:color w:val="auto"/>
                      <w:szCs w:val="21"/>
                      <w:u w:val="none"/>
                      <w:lang w:val="en-US" w:eastAsia="zh-CN"/>
                    </w:rPr>
                    <w:t>4.208</w:t>
                  </w:r>
                  <w:r>
                    <w:rPr>
                      <w:rFonts w:hint="eastAsia"/>
                      <w:color w:val="auto"/>
                      <w:szCs w:val="21"/>
                      <w:u w:val="none"/>
                      <w:lang w:eastAsia="zh-CN"/>
                    </w:rPr>
                    <w:t>″</w:t>
                  </w:r>
                </w:p>
              </w:tc>
              <w:tc>
                <w:tcPr>
                  <w:tcW w:w="535" w:type="pct"/>
                  <w:vAlign w:val="center"/>
                </w:tcPr>
                <w:p>
                  <w:pPr>
                    <w:jc w:val="center"/>
                    <w:rPr>
                      <w:color w:val="auto"/>
                      <w:highlight w:val="none"/>
                      <w:u w:val="none"/>
                    </w:rPr>
                  </w:pPr>
                  <w:r>
                    <w:rPr>
                      <w:color w:val="auto"/>
                      <w:highlight w:val="none"/>
                      <w:u w:val="none"/>
                    </w:rPr>
                    <w:t>纬度</w:t>
                  </w:r>
                </w:p>
              </w:tc>
              <w:tc>
                <w:tcPr>
                  <w:tcW w:w="1276" w:type="pct"/>
                  <w:vAlign w:val="center"/>
                </w:tcPr>
                <w:p>
                  <w:pPr>
                    <w:jc w:val="both"/>
                    <w:rPr>
                      <w:color w:val="auto"/>
                      <w:highlight w:val="none"/>
                      <w:u w:val="none"/>
                    </w:rPr>
                  </w:pPr>
                  <w:r>
                    <w:rPr>
                      <w:rFonts w:hint="eastAsia"/>
                      <w:color w:val="auto"/>
                      <w:szCs w:val="21"/>
                      <w:u w:val="none"/>
                      <w:lang w:val="en-US" w:eastAsia="zh-CN"/>
                    </w:rPr>
                    <w:t>N</w:t>
                  </w:r>
                  <w:r>
                    <w:rPr>
                      <w:rFonts w:hint="eastAsia"/>
                      <w:color w:val="auto"/>
                      <w:szCs w:val="21"/>
                      <w:u w:val="none"/>
                      <w:lang w:eastAsia="zh-CN"/>
                    </w:rPr>
                    <w:t>2</w:t>
                  </w:r>
                  <w:r>
                    <w:rPr>
                      <w:rFonts w:hint="eastAsia"/>
                      <w:color w:val="auto"/>
                      <w:szCs w:val="21"/>
                      <w:u w:val="none"/>
                      <w:lang w:val="en-US" w:eastAsia="zh-CN"/>
                    </w:rPr>
                    <w:t>9</w:t>
                  </w:r>
                  <w:r>
                    <w:rPr>
                      <w:rFonts w:hint="eastAsia"/>
                      <w:color w:val="auto"/>
                      <w:szCs w:val="21"/>
                      <w:u w:val="none"/>
                      <w:lang w:eastAsia="zh-CN"/>
                    </w:rPr>
                    <w:t>°</w:t>
                  </w:r>
                  <w:r>
                    <w:rPr>
                      <w:rFonts w:hint="eastAsia"/>
                      <w:color w:val="auto"/>
                      <w:szCs w:val="21"/>
                      <w:u w:val="none"/>
                      <w:lang w:val="en-US" w:eastAsia="zh-CN"/>
                    </w:rPr>
                    <w:t>37</w:t>
                  </w:r>
                  <w:r>
                    <w:rPr>
                      <w:rFonts w:hint="eastAsia"/>
                      <w:color w:val="auto"/>
                      <w:szCs w:val="21"/>
                      <w:u w:val="none"/>
                      <w:lang w:eastAsia="zh-CN"/>
                    </w:rPr>
                    <w:t>′</w:t>
                  </w:r>
                  <w:r>
                    <w:rPr>
                      <w:rFonts w:hint="eastAsia"/>
                      <w:color w:val="auto"/>
                      <w:szCs w:val="21"/>
                      <w:u w:val="none"/>
                      <w:lang w:val="en-US" w:eastAsia="zh-CN"/>
                    </w:rPr>
                    <w:t>55.694</w:t>
                  </w:r>
                  <w:r>
                    <w:rPr>
                      <w:rFonts w:hint="eastAsia"/>
                      <w:color w:val="auto"/>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376" w:type="pct"/>
                  <w:vAlign w:val="center"/>
                </w:tcPr>
                <w:p>
                  <w:pPr>
                    <w:jc w:val="center"/>
                    <w:rPr>
                      <w:color w:val="auto"/>
                      <w:highlight w:val="none"/>
                      <w:u w:val="none"/>
                    </w:rPr>
                  </w:pPr>
                  <w:r>
                    <w:rPr>
                      <w:color w:val="auto"/>
                      <w:highlight w:val="none"/>
                      <w:u w:val="none"/>
                    </w:rPr>
                    <w:t>主要危险物质及分布</w:t>
                  </w:r>
                </w:p>
              </w:tc>
              <w:tc>
                <w:tcPr>
                  <w:tcW w:w="3623" w:type="pct"/>
                  <w:gridSpan w:val="4"/>
                  <w:vAlign w:val="center"/>
                </w:tcPr>
                <w:p>
                  <w:pPr>
                    <w:jc w:val="left"/>
                    <w:rPr>
                      <w:rFonts w:hint="eastAsia" w:eastAsia="宋体"/>
                      <w:color w:val="auto"/>
                      <w:highlight w:val="none"/>
                      <w:u w:val="none"/>
                      <w:lang w:eastAsia="zh-CN"/>
                    </w:rPr>
                  </w:pPr>
                  <w:r>
                    <w:rPr>
                      <w:rFonts w:hint="eastAsia"/>
                      <w:color w:val="auto"/>
                      <w:highlight w:val="none"/>
                      <w:u w:val="none"/>
                      <w:lang w:eastAsia="zh-CN"/>
                    </w:rPr>
                    <w:t>原料储存区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1376" w:type="pct"/>
                  <w:vAlign w:val="center"/>
                </w:tcPr>
                <w:p>
                  <w:pPr>
                    <w:jc w:val="center"/>
                    <w:rPr>
                      <w:color w:val="auto"/>
                      <w:highlight w:val="none"/>
                      <w:u w:val="none"/>
                    </w:rPr>
                  </w:pPr>
                  <w:r>
                    <w:rPr>
                      <w:color w:val="auto"/>
                      <w:highlight w:val="none"/>
                      <w:u w:val="none"/>
                    </w:rPr>
                    <w:t>环境影响途径及危害后果</w:t>
                  </w:r>
                </w:p>
                <w:p>
                  <w:pPr>
                    <w:jc w:val="center"/>
                    <w:outlineLvl w:val="2"/>
                    <w:rPr>
                      <w:rFonts w:eastAsia="黑体"/>
                      <w:b/>
                      <w:color w:val="auto"/>
                      <w:highlight w:val="none"/>
                      <w:u w:val="none"/>
                    </w:rPr>
                  </w:pPr>
                  <w:r>
                    <w:rPr>
                      <w:color w:val="auto"/>
                      <w:highlight w:val="none"/>
                      <w:u w:val="none"/>
                    </w:rPr>
                    <w:t>（大气、地表水、地下水等）</w:t>
                  </w:r>
                </w:p>
              </w:tc>
              <w:tc>
                <w:tcPr>
                  <w:tcW w:w="3623" w:type="pct"/>
                  <w:gridSpan w:val="4"/>
                  <w:vAlign w:val="center"/>
                </w:tcPr>
                <w:p>
                  <w:pPr>
                    <w:numPr>
                      <w:ilvl w:val="0"/>
                      <w:numId w:val="4"/>
                    </w:numPr>
                    <w:rPr>
                      <w:color w:val="auto"/>
                      <w:szCs w:val="24"/>
                      <w:highlight w:val="none"/>
                      <w:u w:val="none"/>
                    </w:rPr>
                  </w:pPr>
                  <w:r>
                    <w:rPr>
                      <w:color w:val="auto"/>
                      <w:szCs w:val="24"/>
                      <w:highlight w:val="none"/>
                      <w:u w:val="none"/>
                    </w:rPr>
                    <w:t>对地表水影响：</w:t>
                  </w:r>
                </w:p>
                <w:p>
                  <w:pPr>
                    <w:ind w:firstLine="420" w:firstLineChars="200"/>
                    <w:rPr>
                      <w:color w:val="auto"/>
                      <w:szCs w:val="24"/>
                      <w:highlight w:val="none"/>
                      <w:u w:val="none"/>
                    </w:rPr>
                  </w:pPr>
                  <w:r>
                    <w:rPr>
                      <w:color w:val="auto"/>
                      <w:szCs w:val="24"/>
                      <w:highlight w:val="none"/>
                      <w:u w:val="none"/>
                    </w:rPr>
                    <w:t>通过</w:t>
                  </w:r>
                  <w:r>
                    <w:rPr>
                      <w:rFonts w:hint="eastAsia"/>
                      <w:color w:val="auto"/>
                      <w:szCs w:val="24"/>
                      <w:highlight w:val="none"/>
                      <w:u w:val="none"/>
                    </w:rPr>
                    <w:t>市政</w:t>
                  </w:r>
                  <w:r>
                    <w:rPr>
                      <w:color w:val="auto"/>
                      <w:szCs w:val="24"/>
                      <w:highlight w:val="none"/>
                      <w:u w:val="none"/>
                    </w:rPr>
                    <w:t>管道、沟渠，汇集进入地表水体，造成污染。</w:t>
                  </w:r>
                </w:p>
                <w:p>
                  <w:pPr>
                    <w:numPr>
                      <w:ilvl w:val="0"/>
                      <w:numId w:val="4"/>
                    </w:numPr>
                    <w:rPr>
                      <w:color w:val="auto"/>
                      <w:szCs w:val="24"/>
                      <w:highlight w:val="none"/>
                      <w:u w:val="none"/>
                    </w:rPr>
                  </w:pPr>
                  <w:r>
                    <w:rPr>
                      <w:color w:val="auto"/>
                      <w:szCs w:val="24"/>
                      <w:highlight w:val="none"/>
                      <w:u w:val="none"/>
                    </w:rPr>
                    <w:t>对土壤影响：</w:t>
                  </w:r>
                </w:p>
                <w:p>
                  <w:pPr>
                    <w:ind w:firstLine="420" w:firstLineChars="200"/>
                    <w:rPr>
                      <w:color w:val="auto"/>
                      <w:szCs w:val="24"/>
                      <w:highlight w:val="none"/>
                      <w:u w:val="none"/>
                    </w:rPr>
                  </w:pPr>
                  <w:r>
                    <w:rPr>
                      <w:color w:val="auto"/>
                      <w:szCs w:val="24"/>
                      <w:highlight w:val="none"/>
                      <w:u w:val="none"/>
                    </w:rPr>
                    <w:t>泄漏，若泄漏得不到及时处理，会下渗到土壤中，污染土壤环境，影响植物生产，改变土壤环境质量。</w:t>
                  </w:r>
                </w:p>
                <w:p>
                  <w:pPr>
                    <w:numPr>
                      <w:ilvl w:val="0"/>
                      <w:numId w:val="4"/>
                    </w:numPr>
                    <w:rPr>
                      <w:color w:val="auto"/>
                      <w:szCs w:val="24"/>
                      <w:highlight w:val="none"/>
                      <w:u w:val="none"/>
                    </w:rPr>
                  </w:pPr>
                  <w:r>
                    <w:rPr>
                      <w:color w:val="auto"/>
                      <w:szCs w:val="24"/>
                      <w:highlight w:val="none"/>
                      <w:u w:val="none"/>
                    </w:rPr>
                    <w:t>对地下水影响：</w:t>
                  </w:r>
                </w:p>
                <w:p>
                  <w:pPr>
                    <w:ind w:firstLine="420" w:firstLineChars="200"/>
                    <w:rPr>
                      <w:color w:val="auto"/>
                      <w:highlight w:val="none"/>
                      <w:u w:val="none"/>
                    </w:rPr>
                  </w:pPr>
                  <w:r>
                    <w:rPr>
                      <w:color w:val="auto"/>
                      <w:szCs w:val="24"/>
                      <w:highlight w:val="none"/>
                      <w:u w:val="none"/>
                    </w:rPr>
                    <w:t>泄漏的</w:t>
                  </w:r>
                  <w:r>
                    <w:rPr>
                      <w:rFonts w:hint="eastAsia"/>
                      <w:color w:val="auto"/>
                      <w:szCs w:val="24"/>
                      <w:highlight w:val="none"/>
                      <w:u w:val="none"/>
                      <w:lang w:eastAsia="zh-CN"/>
                    </w:rPr>
                    <w:t>柴油</w:t>
                  </w:r>
                  <w:r>
                    <w:rPr>
                      <w:color w:val="auto"/>
                      <w:szCs w:val="24"/>
                      <w:highlight w:val="none"/>
                      <w:u w:val="none"/>
                    </w:rPr>
                    <w:t>通过土壤渗漏进入地下水体，造成土壤污染和地下水的污染。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trPr>
              <w:tc>
                <w:tcPr>
                  <w:tcW w:w="1376" w:type="pct"/>
                  <w:vAlign w:val="center"/>
                </w:tcPr>
                <w:p>
                  <w:pPr>
                    <w:jc w:val="center"/>
                    <w:rPr>
                      <w:color w:val="auto"/>
                      <w:highlight w:val="none"/>
                      <w:u w:val="none"/>
                    </w:rPr>
                  </w:pPr>
                  <w:r>
                    <w:rPr>
                      <w:color w:val="auto"/>
                      <w:highlight w:val="none"/>
                      <w:u w:val="none"/>
                    </w:rPr>
                    <w:t>风险防范措施要求</w:t>
                  </w:r>
                </w:p>
              </w:tc>
              <w:tc>
                <w:tcPr>
                  <w:tcW w:w="3623" w:type="pct"/>
                  <w:gridSpan w:val="4"/>
                  <w:vAlign w:val="center"/>
                </w:tcPr>
                <w:p>
                  <w:pPr>
                    <w:rPr>
                      <w:rFonts w:hint="eastAsia"/>
                      <w:color w:val="auto"/>
                      <w:u w:val="none"/>
                      <w:lang w:val="en-US" w:eastAsia="zh-CN"/>
                    </w:rPr>
                  </w:pPr>
                  <w:r>
                    <w:rPr>
                      <w:rFonts w:hint="eastAsia"/>
                      <w:color w:val="auto"/>
                      <w:u w:val="none"/>
                      <w:lang w:val="en-US" w:eastAsia="zh-CN"/>
                    </w:rPr>
                    <w:t>①原料仓库</w:t>
                  </w:r>
                  <w:r>
                    <w:rPr>
                      <w:rFonts w:hint="eastAsia"/>
                      <w:color w:val="auto"/>
                      <w:u w:val="none"/>
                      <w:lang w:val="zh-CN" w:eastAsia="zh-CN"/>
                    </w:rPr>
                    <w:t>采用水平防渗处理，设置托盘</w:t>
                  </w:r>
                  <w:r>
                    <w:rPr>
                      <w:rFonts w:hint="eastAsia"/>
                      <w:color w:val="auto"/>
                      <w:u w:val="none"/>
                      <w:lang w:val="en-US" w:eastAsia="zh-CN"/>
                    </w:rPr>
                    <w:t>，与其他禁忌物品分开存放。存放处远离火种、热源，保证阴凉、通风，采用防爆型照明、通风设施，并配备一定数量的手提灭火器。禁止使用易产生火花的机械设备和工具；</w:t>
                  </w:r>
                </w:p>
                <w:p>
                  <w:pPr>
                    <w:rPr>
                      <w:rFonts w:hint="eastAsia"/>
                      <w:color w:val="auto"/>
                      <w:u w:val="none"/>
                      <w:lang w:val="en-US" w:eastAsia="zh-CN"/>
                    </w:rPr>
                  </w:pPr>
                  <w:r>
                    <w:rPr>
                      <w:rFonts w:hint="eastAsia"/>
                      <w:color w:val="auto"/>
                      <w:u w:val="none"/>
                      <w:lang w:val="en-US" w:eastAsia="zh-CN"/>
                    </w:rPr>
                    <w:t>②完善安全生产管理制度，加强安全宣传和教育，装卸、储存、使用过程须有专业操作人员严格按照要求进行操作。</w:t>
                  </w:r>
                </w:p>
                <w:p>
                  <w:pPr>
                    <w:rPr>
                      <w:rFonts w:hint="eastAsia"/>
                      <w:color w:val="auto"/>
                      <w:u w:val="none"/>
                      <w:lang w:val="en-US" w:eastAsia="zh-CN"/>
                    </w:rPr>
                  </w:pPr>
                  <w:r>
                    <w:rPr>
                      <w:rFonts w:hint="eastAsia"/>
                      <w:color w:val="auto"/>
                      <w:u w:val="none"/>
                      <w:lang w:val="en-US" w:eastAsia="zh-CN"/>
                    </w:rPr>
                    <w:t>③做好盛放产品的日常检查工作，发现容器发生破损、损坏现象，应及时采取有效措施，预防泄露。</w:t>
                  </w:r>
                </w:p>
                <w:p>
                  <w:pPr>
                    <w:rPr>
                      <w:rFonts w:hint="eastAsia" w:eastAsia="宋体"/>
                      <w:color w:val="auto"/>
                      <w:u w:val="none"/>
                      <w:lang w:val="en-US" w:eastAsia="zh-CN"/>
                    </w:rPr>
                  </w:pPr>
                  <w:r>
                    <w:rPr>
                      <w:rFonts w:hint="eastAsia"/>
                      <w:color w:val="auto"/>
                      <w:u w:val="none"/>
                      <w:lang w:val="en-US" w:eastAsia="zh-CN"/>
                    </w:rPr>
                    <w:t>④废油发生泄漏时，尽可能切断泄漏源，同时切断火源，由于厂区内储存量较少，不会造成大量泄漏，因此泄漏时可用托盘进行收集或吸油毡吸附。</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u w:val="none"/>
                <w:lang w:val="en-US" w:eastAsia="zh-CN"/>
              </w:rPr>
            </w:pPr>
            <w:r>
              <w:rPr>
                <w:rFonts w:hint="eastAsia" w:cs="Times New Roman"/>
                <w:b/>
                <w:bCs/>
                <w:color w:val="auto"/>
                <w:sz w:val="24"/>
                <w:szCs w:val="24"/>
                <w:u w:val="none"/>
                <w:lang w:val="en-US" w:eastAsia="zh-CN"/>
              </w:rPr>
              <w:t>七</w:t>
            </w:r>
            <w:r>
              <w:rPr>
                <w:rFonts w:hint="eastAsia" w:ascii="Times New Roman" w:hAnsi="Times New Roman" w:cs="Times New Roman"/>
                <w:b/>
                <w:bCs/>
                <w:color w:val="auto"/>
                <w:sz w:val="24"/>
                <w:szCs w:val="24"/>
                <w:u w:val="none"/>
                <w:lang w:val="en-US" w:eastAsia="zh-CN"/>
              </w:rPr>
              <w:t>、</w:t>
            </w:r>
            <w:r>
              <w:rPr>
                <w:rFonts w:hint="eastAsia" w:cs="Times New Roman"/>
                <w:b/>
                <w:bCs/>
                <w:color w:val="auto"/>
                <w:sz w:val="24"/>
                <w:szCs w:val="24"/>
                <w:u w:val="none"/>
                <w:lang w:val="en-US" w:eastAsia="zh-CN"/>
              </w:rPr>
              <w:t>土壤、</w:t>
            </w:r>
            <w:r>
              <w:rPr>
                <w:rFonts w:hint="eastAsia" w:ascii="Times New Roman" w:hAnsi="Times New Roman" w:cs="Times New Roman"/>
                <w:b/>
                <w:bCs/>
                <w:color w:val="auto"/>
                <w:sz w:val="24"/>
                <w:szCs w:val="24"/>
                <w:u w:val="none"/>
                <w:lang w:val="en-US" w:eastAsia="zh-CN"/>
              </w:rPr>
              <w:t>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
                <w:bCs/>
                <w:color w:val="auto"/>
                <w:sz w:val="24"/>
                <w:szCs w:val="24"/>
                <w:u w:val="none"/>
                <w:lang w:val="en-US" w:eastAsia="zh-CN"/>
              </w:rPr>
            </w:pPr>
            <w:r>
              <w:rPr>
                <w:rFonts w:hint="eastAsia" w:ascii="Times New Roman" w:hAnsi="Times New Roman" w:cs="Times New Roman"/>
                <w:color w:val="auto"/>
                <w:sz w:val="24"/>
                <w:szCs w:val="24"/>
                <w:u w:val="none"/>
                <w:lang w:val="en-US" w:eastAsia="zh-CN"/>
              </w:rPr>
              <w:t>本项目</w:t>
            </w:r>
            <w:r>
              <w:rPr>
                <w:rFonts w:hint="eastAsia" w:cs="Times New Roman"/>
                <w:color w:val="auto"/>
                <w:sz w:val="24"/>
                <w:szCs w:val="24"/>
                <w:u w:val="none"/>
                <w:lang w:val="en-US" w:eastAsia="zh-CN"/>
              </w:rPr>
              <w:t>生产原料、产品均不含有毒有害物质，其本项目地面均进行硬化，且本项目不涉及风险物质</w:t>
            </w:r>
            <w:r>
              <w:rPr>
                <w:rFonts w:hint="eastAsia" w:cs="Times New Roman"/>
                <w:b w:val="0"/>
                <w:bCs w:val="0"/>
                <w:color w:val="auto"/>
                <w:sz w:val="24"/>
                <w:szCs w:val="24"/>
                <w:u w:val="none"/>
                <w:lang w:val="en-US" w:eastAsia="zh-CN"/>
              </w:rPr>
              <w:t>，做好了地面防渗处理，不会对地下水、土壤产生影响。</w:t>
            </w:r>
          </w:p>
          <w:p>
            <w:pPr>
              <w:adjustRightInd w:val="0"/>
              <w:snapToGrid w:val="0"/>
              <w:spacing w:line="360" w:lineRule="auto"/>
              <w:ind w:firstLine="480" w:firstLineChars="200"/>
              <w:jc w:val="left"/>
              <w:rPr>
                <w:bCs/>
                <w:color w:val="auto"/>
                <w:sz w:val="24"/>
                <w:szCs w:val="24"/>
                <w:highlight w:val="none"/>
                <w:u w:val="none"/>
              </w:rPr>
            </w:pPr>
            <w:r>
              <w:rPr>
                <w:rFonts w:hint="eastAsia"/>
                <w:bCs/>
                <w:color w:val="auto"/>
                <w:sz w:val="24"/>
                <w:szCs w:val="24"/>
                <w:highlight w:val="none"/>
                <w:u w:val="none"/>
              </w:rPr>
              <w:t>本项目污染防渗分区见下表：</w:t>
            </w:r>
          </w:p>
          <w:p>
            <w:pPr>
              <w:ind w:firstLine="422" w:firstLineChars="200"/>
              <w:jc w:val="center"/>
              <w:rPr>
                <w:b/>
                <w:color w:val="auto"/>
                <w:szCs w:val="21"/>
                <w:highlight w:val="none"/>
                <w:u w:val="none"/>
              </w:rPr>
            </w:pPr>
            <w:r>
              <w:rPr>
                <w:b/>
                <w:color w:val="auto"/>
                <w:szCs w:val="21"/>
                <w:highlight w:val="none"/>
                <w:u w:val="none"/>
              </w:rPr>
              <w:t>表</w:t>
            </w:r>
            <w:r>
              <w:rPr>
                <w:rFonts w:hint="eastAsia"/>
                <w:b/>
                <w:color w:val="auto"/>
                <w:szCs w:val="21"/>
                <w:highlight w:val="none"/>
                <w:u w:val="none"/>
                <w:lang w:val="en-US" w:eastAsia="zh-CN"/>
              </w:rPr>
              <w:t>4-10</w:t>
            </w:r>
            <w:r>
              <w:rPr>
                <w:rFonts w:hint="eastAsia"/>
                <w:b/>
                <w:color w:val="auto"/>
                <w:szCs w:val="21"/>
                <w:highlight w:val="none"/>
                <w:u w:val="none"/>
              </w:rPr>
              <w:t xml:space="preserve"> </w:t>
            </w:r>
            <w:r>
              <w:rPr>
                <w:b/>
                <w:color w:val="auto"/>
                <w:szCs w:val="21"/>
                <w:highlight w:val="none"/>
                <w:u w:val="none"/>
              </w:rPr>
              <w:t>分区防渗一览表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71"/>
              <w:gridCol w:w="272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b/>
                      <w:bCs/>
                      <w:color w:val="auto"/>
                      <w:spacing w:val="1"/>
                      <w:kern w:val="0"/>
                      <w:szCs w:val="21"/>
                      <w:highlight w:val="none"/>
                      <w:u w:val="none"/>
                    </w:rPr>
                  </w:pPr>
                  <w:r>
                    <w:rPr>
                      <w:b/>
                      <w:bCs/>
                      <w:color w:val="auto"/>
                      <w:spacing w:val="1"/>
                      <w:kern w:val="0"/>
                      <w:szCs w:val="21"/>
                      <w:highlight w:val="none"/>
                      <w:u w:val="none"/>
                    </w:rPr>
                    <w:t>序号</w:t>
                  </w:r>
                </w:p>
              </w:tc>
              <w:tc>
                <w:tcPr>
                  <w:tcW w:w="746" w:type="pct"/>
                  <w:noWrap w:val="0"/>
                  <w:vAlign w:val="center"/>
                </w:tcPr>
                <w:p>
                  <w:pPr>
                    <w:jc w:val="center"/>
                    <w:rPr>
                      <w:b/>
                      <w:bCs/>
                      <w:color w:val="auto"/>
                      <w:spacing w:val="1"/>
                      <w:kern w:val="0"/>
                      <w:szCs w:val="21"/>
                      <w:highlight w:val="none"/>
                      <w:u w:val="none"/>
                    </w:rPr>
                  </w:pPr>
                  <w:r>
                    <w:rPr>
                      <w:b/>
                      <w:bCs/>
                      <w:color w:val="auto"/>
                      <w:spacing w:val="1"/>
                      <w:kern w:val="0"/>
                      <w:szCs w:val="21"/>
                      <w:highlight w:val="none"/>
                      <w:u w:val="none"/>
                    </w:rPr>
                    <w:t>分区类别</w:t>
                  </w:r>
                </w:p>
              </w:tc>
              <w:tc>
                <w:tcPr>
                  <w:tcW w:w="1030" w:type="pct"/>
                  <w:noWrap w:val="0"/>
                  <w:vAlign w:val="center"/>
                </w:tcPr>
                <w:p>
                  <w:pPr>
                    <w:jc w:val="center"/>
                    <w:rPr>
                      <w:b/>
                      <w:bCs/>
                      <w:color w:val="auto"/>
                      <w:spacing w:val="1"/>
                      <w:kern w:val="0"/>
                      <w:szCs w:val="21"/>
                      <w:highlight w:val="none"/>
                      <w:u w:val="none"/>
                    </w:rPr>
                  </w:pPr>
                  <w:r>
                    <w:rPr>
                      <w:b/>
                      <w:bCs/>
                      <w:color w:val="auto"/>
                      <w:spacing w:val="1"/>
                      <w:kern w:val="0"/>
                      <w:szCs w:val="21"/>
                      <w:highlight w:val="none"/>
                      <w:u w:val="none"/>
                    </w:rPr>
                    <w:t>范围</w:t>
                  </w:r>
                </w:p>
              </w:tc>
              <w:tc>
                <w:tcPr>
                  <w:tcW w:w="2741" w:type="pct"/>
                  <w:noWrap w:val="0"/>
                  <w:vAlign w:val="center"/>
                </w:tcPr>
                <w:p>
                  <w:pPr>
                    <w:jc w:val="center"/>
                    <w:rPr>
                      <w:b/>
                      <w:bCs/>
                      <w:color w:val="auto"/>
                      <w:spacing w:val="1"/>
                      <w:kern w:val="0"/>
                      <w:szCs w:val="21"/>
                      <w:highlight w:val="none"/>
                      <w:u w:val="none"/>
                    </w:rPr>
                  </w:pPr>
                  <w:r>
                    <w:rPr>
                      <w:b/>
                      <w:bCs/>
                      <w:color w:val="auto"/>
                      <w:spacing w:val="1"/>
                      <w:kern w:val="0"/>
                      <w:szCs w:val="21"/>
                      <w:highlight w:val="none"/>
                      <w:u w:val="none"/>
                    </w:rPr>
                    <w:t>防渗标准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u w:val="none"/>
                    </w:rPr>
                  </w:pPr>
                  <w:r>
                    <w:rPr>
                      <w:color w:val="auto"/>
                      <w:spacing w:val="1"/>
                      <w:kern w:val="0"/>
                      <w:szCs w:val="21"/>
                      <w:highlight w:val="none"/>
                      <w:u w:val="none"/>
                    </w:rPr>
                    <w:t>1</w:t>
                  </w:r>
                </w:p>
              </w:tc>
              <w:tc>
                <w:tcPr>
                  <w:tcW w:w="746" w:type="pct"/>
                  <w:noWrap w:val="0"/>
                  <w:vAlign w:val="center"/>
                </w:tcPr>
                <w:p>
                  <w:pPr>
                    <w:jc w:val="center"/>
                    <w:rPr>
                      <w:color w:val="auto"/>
                      <w:spacing w:val="1"/>
                      <w:kern w:val="0"/>
                      <w:szCs w:val="21"/>
                      <w:highlight w:val="none"/>
                      <w:u w:val="none"/>
                    </w:rPr>
                  </w:pPr>
                  <w:r>
                    <w:rPr>
                      <w:color w:val="auto"/>
                      <w:spacing w:val="1"/>
                      <w:kern w:val="0"/>
                      <w:szCs w:val="21"/>
                      <w:highlight w:val="none"/>
                      <w:u w:val="none"/>
                    </w:rPr>
                    <w:t>重点防渗区</w:t>
                  </w:r>
                </w:p>
              </w:tc>
              <w:tc>
                <w:tcPr>
                  <w:tcW w:w="1030" w:type="pct"/>
                  <w:noWrap w:val="0"/>
                  <w:vAlign w:val="center"/>
                </w:tcPr>
                <w:p>
                  <w:pPr>
                    <w:jc w:val="center"/>
                    <w:rPr>
                      <w:rFonts w:hint="default" w:eastAsia="宋体"/>
                      <w:color w:val="auto"/>
                      <w:spacing w:val="1"/>
                      <w:kern w:val="0"/>
                      <w:szCs w:val="21"/>
                      <w:highlight w:val="none"/>
                      <w:u w:val="none"/>
                      <w:lang w:val="en-US" w:eastAsia="zh-CN"/>
                    </w:rPr>
                  </w:pPr>
                  <w:r>
                    <w:rPr>
                      <w:rFonts w:hint="eastAsia"/>
                      <w:color w:val="auto"/>
                      <w:spacing w:val="1"/>
                      <w:kern w:val="0"/>
                      <w:szCs w:val="21"/>
                      <w:highlight w:val="none"/>
                      <w:u w:val="none"/>
                    </w:rPr>
                    <w:t>危废暂存间</w:t>
                  </w:r>
                </w:p>
              </w:tc>
              <w:tc>
                <w:tcPr>
                  <w:tcW w:w="2741" w:type="pct"/>
                  <w:noWrap w:val="0"/>
                  <w:vAlign w:val="center"/>
                </w:tcPr>
                <w:p>
                  <w:pPr>
                    <w:jc w:val="center"/>
                    <w:rPr>
                      <w:color w:val="auto"/>
                      <w:spacing w:val="1"/>
                      <w:kern w:val="0"/>
                      <w:szCs w:val="21"/>
                      <w:highlight w:val="none"/>
                      <w:u w:val="none"/>
                    </w:rPr>
                  </w:pPr>
                  <w:r>
                    <w:rPr>
                      <w:color w:val="auto"/>
                      <w:spacing w:val="1"/>
                      <w:kern w:val="0"/>
                      <w:szCs w:val="21"/>
                      <w:highlight w:val="none"/>
                      <w:u w:val="none"/>
                    </w:rPr>
                    <w:t>操作条件下的单位面积渗透量不大于厚度为6m，饱和渗透系数≤10</w:t>
                  </w:r>
                  <w:r>
                    <w:rPr>
                      <w:color w:val="auto"/>
                      <w:spacing w:val="1"/>
                      <w:kern w:val="0"/>
                      <w:szCs w:val="21"/>
                      <w:highlight w:val="none"/>
                      <w:u w:val="none"/>
                      <w:vertAlign w:val="superscript"/>
                    </w:rPr>
                    <w:t>-7</w:t>
                  </w:r>
                  <w:r>
                    <w:rPr>
                      <w:color w:val="auto"/>
                      <w:spacing w:val="1"/>
                      <w:kern w:val="0"/>
                      <w:szCs w:val="21"/>
                      <w:highlight w:val="none"/>
                      <w:u w:val="none"/>
                    </w:rPr>
                    <w:t>cm/s防渗层的渗透量，防渗能力与《危险废物填埋场污染控制标准》（GB18598-2001）第6.5.1条等效。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u w:val="none"/>
                    </w:rPr>
                  </w:pPr>
                  <w:r>
                    <w:rPr>
                      <w:color w:val="auto"/>
                      <w:spacing w:val="1"/>
                      <w:kern w:val="0"/>
                      <w:szCs w:val="21"/>
                      <w:highlight w:val="none"/>
                      <w:u w:val="none"/>
                    </w:rPr>
                    <w:t>2</w:t>
                  </w:r>
                </w:p>
              </w:tc>
              <w:tc>
                <w:tcPr>
                  <w:tcW w:w="746" w:type="pct"/>
                  <w:noWrap w:val="0"/>
                  <w:vAlign w:val="center"/>
                </w:tcPr>
                <w:p>
                  <w:pPr>
                    <w:jc w:val="center"/>
                    <w:rPr>
                      <w:color w:val="auto"/>
                      <w:spacing w:val="1"/>
                      <w:kern w:val="0"/>
                      <w:szCs w:val="21"/>
                      <w:highlight w:val="none"/>
                      <w:u w:val="none"/>
                    </w:rPr>
                  </w:pPr>
                  <w:r>
                    <w:rPr>
                      <w:color w:val="auto"/>
                      <w:spacing w:val="1"/>
                      <w:kern w:val="0"/>
                      <w:szCs w:val="21"/>
                      <w:highlight w:val="none"/>
                      <w:u w:val="none"/>
                    </w:rPr>
                    <w:t>一般污染防治区</w:t>
                  </w:r>
                </w:p>
              </w:tc>
              <w:tc>
                <w:tcPr>
                  <w:tcW w:w="1030" w:type="pct"/>
                  <w:noWrap w:val="0"/>
                  <w:vAlign w:val="center"/>
                </w:tcPr>
                <w:p>
                  <w:pPr>
                    <w:jc w:val="center"/>
                    <w:rPr>
                      <w:rFonts w:hint="default" w:eastAsia="宋体"/>
                      <w:color w:val="auto"/>
                      <w:spacing w:val="1"/>
                      <w:kern w:val="0"/>
                      <w:szCs w:val="21"/>
                      <w:highlight w:val="none"/>
                      <w:u w:val="none"/>
                      <w:lang w:val="en-US" w:eastAsia="zh-CN"/>
                    </w:rPr>
                  </w:pPr>
                  <w:r>
                    <w:rPr>
                      <w:color w:val="auto"/>
                      <w:spacing w:val="1"/>
                      <w:kern w:val="0"/>
                      <w:szCs w:val="21"/>
                      <w:highlight w:val="none"/>
                      <w:u w:val="none"/>
                    </w:rPr>
                    <w:t>车间</w:t>
                  </w:r>
                  <w:r>
                    <w:rPr>
                      <w:rFonts w:hint="eastAsia"/>
                      <w:color w:val="auto"/>
                      <w:spacing w:val="1"/>
                      <w:kern w:val="0"/>
                      <w:szCs w:val="21"/>
                      <w:highlight w:val="none"/>
                      <w:u w:val="none"/>
                      <w:lang w:eastAsia="zh-CN"/>
                    </w:rPr>
                    <w:t>、</w:t>
                  </w:r>
                  <w:r>
                    <w:rPr>
                      <w:rFonts w:hint="eastAsia"/>
                      <w:color w:val="auto"/>
                      <w:spacing w:val="1"/>
                      <w:kern w:val="0"/>
                      <w:szCs w:val="21"/>
                      <w:highlight w:val="none"/>
                      <w:u w:val="none"/>
                      <w:lang w:val="en-US" w:eastAsia="zh-CN"/>
                    </w:rPr>
                    <w:t>原料储存区</w:t>
                  </w:r>
                </w:p>
              </w:tc>
              <w:tc>
                <w:tcPr>
                  <w:tcW w:w="2741" w:type="pct"/>
                  <w:noWrap w:val="0"/>
                  <w:vAlign w:val="center"/>
                </w:tcPr>
                <w:p>
                  <w:pPr>
                    <w:jc w:val="center"/>
                    <w:rPr>
                      <w:color w:val="auto"/>
                      <w:spacing w:val="1"/>
                      <w:kern w:val="0"/>
                      <w:szCs w:val="21"/>
                      <w:highlight w:val="none"/>
                      <w:u w:val="none"/>
                    </w:rPr>
                  </w:pPr>
                  <w:r>
                    <w:rPr>
                      <w:color w:val="auto"/>
                      <w:spacing w:val="1"/>
                      <w:kern w:val="0"/>
                      <w:szCs w:val="21"/>
                      <w:highlight w:val="none"/>
                      <w:u w:val="none"/>
                    </w:rPr>
                    <w:t>操作条件下的单位面积渗透量不大于厚度为1.5m，渗透系数≤10</w:t>
                  </w:r>
                  <w:r>
                    <w:rPr>
                      <w:color w:val="auto"/>
                      <w:spacing w:val="1"/>
                      <w:kern w:val="0"/>
                      <w:szCs w:val="21"/>
                      <w:highlight w:val="none"/>
                      <w:u w:val="none"/>
                      <w:vertAlign w:val="superscript"/>
                    </w:rPr>
                    <w:t>-7</w:t>
                  </w:r>
                  <w:r>
                    <w:rPr>
                      <w:color w:val="auto"/>
                      <w:spacing w:val="1"/>
                      <w:kern w:val="0"/>
                      <w:szCs w:val="21"/>
                      <w:highlight w:val="none"/>
                      <w:u w:val="none"/>
                    </w:rPr>
                    <w:t>cm/s防渗层的渗透量，防渗能力与《危险废物贮存污染控制标准》（GB18597-2001）第6.2.1条等效。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u w:val="none"/>
                    </w:rPr>
                  </w:pPr>
                  <w:r>
                    <w:rPr>
                      <w:color w:val="auto"/>
                      <w:spacing w:val="1"/>
                      <w:kern w:val="0"/>
                      <w:szCs w:val="21"/>
                      <w:highlight w:val="none"/>
                      <w:u w:val="none"/>
                    </w:rPr>
                    <w:t>3</w:t>
                  </w:r>
                </w:p>
              </w:tc>
              <w:tc>
                <w:tcPr>
                  <w:tcW w:w="746" w:type="pct"/>
                  <w:noWrap w:val="0"/>
                  <w:vAlign w:val="center"/>
                </w:tcPr>
                <w:p>
                  <w:pPr>
                    <w:jc w:val="center"/>
                    <w:rPr>
                      <w:color w:val="auto"/>
                      <w:spacing w:val="1"/>
                      <w:kern w:val="0"/>
                      <w:szCs w:val="21"/>
                      <w:highlight w:val="none"/>
                      <w:u w:val="none"/>
                    </w:rPr>
                  </w:pPr>
                  <w:r>
                    <w:rPr>
                      <w:color w:val="auto"/>
                      <w:spacing w:val="1"/>
                      <w:kern w:val="0"/>
                      <w:szCs w:val="21"/>
                      <w:highlight w:val="none"/>
                      <w:u w:val="none"/>
                    </w:rPr>
                    <w:t>简单防渗区</w:t>
                  </w:r>
                </w:p>
              </w:tc>
              <w:tc>
                <w:tcPr>
                  <w:tcW w:w="1030" w:type="pct"/>
                  <w:noWrap w:val="0"/>
                  <w:vAlign w:val="center"/>
                </w:tcPr>
                <w:p>
                  <w:pPr>
                    <w:jc w:val="center"/>
                    <w:rPr>
                      <w:color w:val="auto"/>
                      <w:spacing w:val="1"/>
                      <w:kern w:val="0"/>
                      <w:szCs w:val="21"/>
                      <w:highlight w:val="none"/>
                      <w:u w:val="none"/>
                    </w:rPr>
                  </w:pPr>
                  <w:r>
                    <w:rPr>
                      <w:rFonts w:hint="eastAsia"/>
                      <w:color w:val="auto"/>
                      <w:spacing w:val="1"/>
                      <w:kern w:val="0"/>
                      <w:szCs w:val="21"/>
                      <w:highlight w:val="none"/>
                      <w:u w:val="none"/>
                    </w:rPr>
                    <w:t>办公</w:t>
                  </w:r>
                  <w:r>
                    <w:rPr>
                      <w:rFonts w:hint="eastAsia"/>
                      <w:color w:val="auto"/>
                      <w:spacing w:val="1"/>
                      <w:kern w:val="0"/>
                      <w:szCs w:val="21"/>
                      <w:highlight w:val="none"/>
                      <w:u w:val="none"/>
                      <w:lang w:val="en-US" w:eastAsia="zh-CN"/>
                    </w:rPr>
                    <w:t>楼</w:t>
                  </w:r>
                  <w:r>
                    <w:rPr>
                      <w:rFonts w:hint="eastAsia"/>
                      <w:color w:val="auto"/>
                      <w:spacing w:val="1"/>
                      <w:kern w:val="0"/>
                      <w:szCs w:val="21"/>
                      <w:highlight w:val="none"/>
                      <w:u w:val="none"/>
                    </w:rPr>
                    <w:t>、厂区道路</w:t>
                  </w:r>
                </w:p>
              </w:tc>
              <w:tc>
                <w:tcPr>
                  <w:tcW w:w="2741" w:type="pct"/>
                  <w:noWrap w:val="0"/>
                  <w:vAlign w:val="center"/>
                </w:tcPr>
                <w:p>
                  <w:pPr>
                    <w:jc w:val="center"/>
                    <w:rPr>
                      <w:color w:val="auto"/>
                      <w:spacing w:val="1"/>
                      <w:kern w:val="0"/>
                      <w:szCs w:val="21"/>
                      <w:highlight w:val="none"/>
                      <w:u w:val="none"/>
                    </w:rPr>
                  </w:pPr>
                  <w:r>
                    <w:rPr>
                      <w:color w:val="auto"/>
                      <w:spacing w:val="1"/>
                      <w:kern w:val="0"/>
                      <w:szCs w:val="21"/>
                      <w:highlight w:val="none"/>
                      <w:u w:val="none"/>
                    </w:rPr>
                    <w:t>一般地面硬化</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sz w:val="24"/>
                <w:szCs w:val="24"/>
                <w:u w:val="none"/>
                <w:lang w:val="en-US" w:eastAsia="zh-CN"/>
              </w:rPr>
            </w:pPr>
            <w:r>
              <w:rPr>
                <w:rFonts w:hint="eastAsia" w:cs="Times New Roman"/>
                <w:b/>
                <w:bCs/>
                <w:color w:val="auto"/>
                <w:sz w:val="24"/>
                <w:szCs w:val="24"/>
                <w:u w:val="none"/>
                <w:lang w:val="en-US" w:eastAsia="zh-CN"/>
              </w:rPr>
              <w:t>八、与排污许可证的衔接关系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u w:val="none"/>
                <w:lang w:val="en-GB" w:eastAsia="zh-CN"/>
              </w:rPr>
            </w:pPr>
            <w:r>
              <w:rPr>
                <w:rFonts w:hint="eastAsia" w:cs="Times New Roman"/>
                <w:color w:val="auto"/>
                <w:sz w:val="24"/>
                <w:szCs w:val="24"/>
                <w:u w:val="none"/>
                <w:lang w:val="en-US" w:eastAsia="zh-CN"/>
              </w:rPr>
              <w:t>1、</w:t>
            </w:r>
            <w:r>
              <w:rPr>
                <w:rFonts w:hint="eastAsia" w:cs="Times New Roman"/>
                <w:color w:val="auto"/>
                <w:sz w:val="24"/>
                <w:szCs w:val="24"/>
                <w:u w:val="none"/>
                <w:lang w:val="en-GB" w:eastAsia="zh-CN"/>
              </w:rPr>
              <w:t>排污许可证要求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u w:val="none"/>
                <w:lang w:val="en-US" w:eastAsia="zh-CN"/>
              </w:rPr>
            </w:pPr>
            <w:r>
              <w:rPr>
                <w:rFonts w:hint="eastAsia" w:cs="Times New Roman"/>
                <w:color w:val="auto"/>
                <w:sz w:val="24"/>
                <w:szCs w:val="24"/>
                <w:u w:val="none"/>
                <w:lang w:val="en-US" w:eastAsia="zh-CN"/>
              </w:rPr>
              <w:t>根据《排污许可证申请与核发技术规范 总则》（HJ942-2018）、《排污许可管理办法（试行）》（环保部令 第48号）及《固定污染源排污许可分类管理名录（2019年版）》（第11号令），本项目属于38</w:t>
            </w:r>
            <w:r>
              <w:rPr>
                <w:rFonts w:hint="eastAsia" w:ascii="Times New Roman" w:hAnsi="Times New Roman" w:eastAsia="宋体" w:cs="Times New Roman"/>
                <w:color w:val="auto"/>
                <w:sz w:val="24"/>
                <w:szCs w:val="24"/>
                <w:u w:val="none"/>
                <w:lang w:val="en-US" w:eastAsia="zh-CN"/>
              </w:rPr>
              <w:t>-</w:t>
            </w:r>
            <w:r>
              <w:rPr>
                <w:rFonts w:hint="eastAsia" w:cs="Times New Roman"/>
                <w:color w:val="auto"/>
                <w:sz w:val="24"/>
                <w:szCs w:val="24"/>
                <w:u w:val="none"/>
                <w:lang w:val="en-US" w:eastAsia="zh-CN"/>
              </w:rPr>
              <w:t>纸制品制造223-有工业废水或废气排放的</w:t>
            </w:r>
            <w:r>
              <w:rPr>
                <w:rFonts w:hint="eastAsia" w:ascii="Times New Roman" w:hAnsi="Times New Roman" w:eastAsia="宋体" w:cs="Times New Roman"/>
                <w:color w:val="auto"/>
                <w:sz w:val="24"/>
                <w:szCs w:val="24"/>
                <w:u w:val="none"/>
                <w:lang w:val="en-US" w:eastAsia="zh-CN"/>
              </w:rPr>
              <w:t>规定，本项目属于</w:t>
            </w:r>
            <w:r>
              <w:rPr>
                <w:rFonts w:hint="eastAsia" w:cs="Times New Roman"/>
                <w:color w:val="auto"/>
                <w:sz w:val="24"/>
                <w:szCs w:val="24"/>
                <w:u w:val="none"/>
                <w:lang w:val="en-US" w:eastAsia="zh-CN"/>
              </w:rPr>
              <w:t>简化</w:t>
            </w:r>
            <w:r>
              <w:rPr>
                <w:rFonts w:hint="eastAsia" w:ascii="Times New Roman" w:hAnsi="Times New Roman" w:eastAsia="宋体" w:cs="Times New Roman"/>
                <w:color w:val="auto"/>
                <w:sz w:val="24"/>
                <w:szCs w:val="24"/>
                <w:u w:val="none"/>
                <w:lang w:val="en-US" w:eastAsia="zh-CN"/>
              </w:rPr>
              <w:t>管理，实行</w:t>
            </w:r>
            <w:r>
              <w:rPr>
                <w:rFonts w:hint="eastAsia" w:cs="Times New Roman"/>
                <w:color w:val="auto"/>
                <w:sz w:val="24"/>
                <w:szCs w:val="24"/>
                <w:u w:val="none"/>
                <w:lang w:val="en-US" w:eastAsia="zh-CN"/>
              </w:rPr>
              <w:t>简化</w:t>
            </w:r>
            <w:r>
              <w:rPr>
                <w:rFonts w:hint="eastAsia" w:ascii="Times New Roman" w:hAnsi="Times New Roman" w:eastAsia="宋体" w:cs="Times New Roman"/>
                <w:color w:val="auto"/>
                <w:sz w:val="24"/>
                <w:szCs w:val="24"/>
                <w:u w:val="none"/>
                <w:lang w:val="en-US" w:eastAsia="zh-CN"/>
              </w:rPr>
              <w:t>管理的排污单位，需要</w:t>
            </w:r>
            <w:r>
              <w:rPr>
                <w:rFonts w:hint="eastAsia" w:cs="Times New Roman"/>
                <w:color w:val="auto"/>
                <w:sz w:val="24"/>
                <w:szCs w:val="24"/>
                <w:u w:val="none"/>
                <w:lang w:val="en-US" w:eastAsia="zh-CN"/>
              </w:rPr>
              <w:t>按要求</w:t>
            </w:r>
            <w:r>
              <w:rPr>
                <w:rFonts w:hint="eastAsia" w:ascii="Times New Roman" w:hAnsi="Times New Roman" w:eastAsia="宋体" w:cs="Times New Roman"/>
                <w:color w:val="auto"/>
                <w:sz w:val="24"/>
                <w:szCs w:val="24"/>
                <w:u w:val="none"/>
                <w:lang w:val="en-US" w:eastAsia="zh-CN"/>
              </w:rPr>
              <w:t>申请取得排污许可证</w:t>
            </w:r>
            <w:r>
              <w:rPr>
                <w:rFonts w:hint="eastAsia"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u w:val="none"/>
                <w:lang w:val="en-GB" w:eastAsia="zh-CN"/>
              </w:rPr>
            </w:pPr>
            <w:r>
              <w:rPr>
                <w:rFonts w:hint="eastAsia" w:cs="Times New Roman"/>
                <w:color w:val="auto"/>
                <w:sz w:val="24"/>
                <w:szCs w:val="24"/>
                <w:u w:val="none"/>
                <w:lang w:val="en-US" w:eastAsia="zh-CN"/>
              </w:rPr>
              <w:t>2、</w:t>
            </w:r>
            <w:r>
              <w:rPr>
                <w:rFonts w:hint="eastAsia" w:cs="Times New Roman"/>
                <w:color w:val="auto"/>
                <w:sz w:val="24"/>
                <w:szCs w:val="24"/>
                <w:u w:val="none"/>
                <w:lang w:val="en-GB" w:eastAsia="zh-CN"/>
              </w:rPr>
              <w:t>排污许可证衔接表</w:t>
            </w:r>
          </w:p>
          <w:p>
            <w:pPr>
              <w:widowControl w:val="0"/>
              <w:adjustRightInd/>
              <w:snapToGrid/>
              <w:spacing w:after="0"/>
              <w:jc w:val="center"/>
              <w:outlineLvl w:val="5"/>
              <w:rPr>
                <w:rFonts w:hint="eastAsia" w:ascii="Times New Roman" w:hAnsi="Times New Roman" w:eastAsia="宋体" w:cs="Times New Roman"/>
                <w:b/>
                <w:color w:val="auto"/>
                <w:kern w:val="2"/>
                <w:sz w:val="21"/>
                <w:szCs w:val="21"/>
                <w:u w:val="none"/>
                <w:lang w:eastAsia="zh-CN"/>
              </w:rPr>
            </w:pPr>
            <w:r>
              <w:rPr>
                <w:rFonts w:hint="eastAsia" w:cs="Times New Roman"/>
                <w:b/>
                <w:color w:val="auto"/>
                <w:kern w:val="2"/>
                <w:sz w:val="21"/>
                <w:szCs w:val="21"/>
                <w:u w:val="none"/>
                <w:lang w:eastAsia="zh-CN"/>
              </w:rPr>
              <w:t>表</w:t>
            </w:r>
            <w:r>
              <w:rPr>
                <w:rFonts w:hint="eastAsia" w:cs="Times New Roman"/>
                <w:b/>
                <w:color w:val="auto"/>
                <w:kern w:val="2"/>
                <w:sz w:val="21"/>
                <w:szCs w:val="21"/>
                <w:u w:val="none"/>
                <w:lang w:val="en-US" w:eastAsia="zh-CN"/>
              </w:rPr>
              <w:t xml:space="preserve">4-11 </w:t>
            </w:r>
            <w:r>
              <w:rPr>
                <w:rFonts w:hint="eastAsia" w:ascii="Times New Roman" w:hAnsi="Times New Roman" w:eastAsia="宋体" w:cs="Times New Roman"/>
                <w:b/>
                <w:color w:val="auto"/>
                <w:kern w:val="2"/>
                <w:sz w:val="21"/>
                <w:szCs w:val="21"/>
                <w:u w:val="none"/>
              </w:rPr>
              <w:t>本工程</w:t>
            </w:r>
            <w:r>
              <w:rPr>
                <w:rFonts w:hint="eastAsia" w:ascii="Times New Roman" w:hAnsi="Times New Roman" w:eastAsia="宋体" w:cs="Times New Roman"/>
                <w:b/>
                <w:color w:val="auto"/>
                <w:kern w:val="2"/>
                <w:sz w:val="21"/>
                <w:szCs w:val="21"/>
                <w:u w:val="none"/>
                <w:lang w:val="en-US" w:eastAsia="zh-CN"/>
              </w:rPr>
              <w:t>大气污染物排放基本</w:t>
            </w:r>
            <w:r>
              <w:rPr>
                <w:rFonts w:hint="eastAsia" w:ascii="Times New Roman" w:hAnsi="Times New Roman" w:eastAsia="宋体" w:cs="Times New Roman"/>
                <w:b/>
                <w:color w:val="auto"/>
                <w:kern w:val="2"/>
                <w:sz w:val="21"/>
                <w:szCs w:val="21"/>
                <w:u w:val="none"/>
              </w:rPr>
              <w:t>情况一览表</w:t>
            </w:r>
          </w:p>
          <w:tbl>
            <w:tblPr>
              <w:tblStyle w:val="28"/>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840"/>
              <w:gridCol w:w="1200"/>
              <w:gridCol w:w="1491"/>
              <w:gridCol w:w="1121"/>
              <w:gridCol w:w="838"/>
              <w:gridCol w:w="587"/>
              <w:gridCol w:w="1528"/>
              <w:gridCol w:w="1135"/>
              <w:gridCol w:w="1152"/>
              <w:gridCol w:w="2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3" w:type="pct"/>
                  <w:gridSpan w:val="2"/>
                  <w:vAlign w:val="center"/>
                </w:tcPr>
                <w:p>
                  <w:pPr>
                    <w:widowControl w:val="0"/>
                    <w:spacing w:after="0"/>
                    <w:jc w:val="center"/>
                    <w:rPr>
                      <w:rFonts w:ascii="Times New Roman" w:hAnsi="Times New Roman" w:eastAsia="宋体" w:cs="Times New Roman"/>
                      <w:b/>
                      <w:color w:val="auto"/>
                      <w:kern w:val="2"/>
                      <w:sz w:val="21"/>
                      <w:szCs w:val="21"/>
                      <w:u w:val="none"/>
                    </w:rPr>
                  </w:pPr>
                  <w:r>
                    <w:rPr>
                      <w:rFonts w:ascii="Times New Roman" w:hAnsi="Times New Roman" w:eastAsia="宋体" w:cs="Times New Roman"/>
                      <w:b/>
                      <w:color w:val="auto"/>
                      <w:kern w:val="2"/>
                      <w:sz w:val="21"/>
                      <w:szCs w:val="21"/>
                      <w:u w:val="none"/>
                    </w:rPr>
                    <w:t>污染源项</w:t>
                  </w:r>
                </w:p>
              </w:tc>
              <w:tc>
                <w:tcPr>
                  <w:tcW w:w="455" w:type="pct"/>
                  <w:vMerge w:val="restart"/>
                  <w:vAlign w:val="center"/>
                </w:tcPr>
                <w:p>
                  <w:pPr>
                    <w:widowControl w:val="0"/>
                    <w:spacing w:after="0"/>
                    <w:jc w:val="center"/>
                    <w:rPr>
                      <w:rFonts w:ascii="Times New Roman" w:hAnsi="Times New Roman" w:eastAsia="宋体" w:cs="Times New Roman"/>
                      <w:b/>
                      <w:color w:val="auto"/>
                      <w:kern w:val="2"/>
                      <w:sz w:val="21"/>
                      <w:szCs w:val="21"/>
                      <w:u w:val="none"/>
                    </w:rPr>
                  </w:pPr>
                  <w:r>
                    <w:rPr>
                      <w:rFonts w:ascii="Times New Roman" w:hAnsi="Times New Roman" w:eastAsia="宋体" w:cs="Times New Roman"/>
                      <w:b/>
                      <w:color w:val="auto"/>
                      <w:kern w:val="2"/>
                      <w:sz w:val="21"/>
                      <w:szCs w:val="21"/>
                      <w:u w:val="none"/>
                    </w:rPr>
                    <w:t>治理措施</w:t>
                  </w:r>
                </w:p>
              </w:tc>
              <w:tc>
                <w:tcPr>
                  <w:tcW w:w="565" w:type="pct"/>
                  <w:vMerge w:val="restart"/>
                  <w:vAlign w:val="center"/>
                </w:tcPr>
                <w:p>
                  <w:pPr>
                    <w:widowControl w:val="0"/>
                    <w:spacing w:after="0"/>
                    <w:jc w:val="center"/>
                    <w:rPr>
                      <w:rFonts w:hint="eastAsia" w:ascii="Times New Roman" w:hAnsi="Times New Roman" w:eastAsia="宋体" w:cs="Times New Roman"/>
                      <w:b/>
                      <w:color w:val="auto"/>
                      <w:kern w:val="2"/>
                      <w:sz w:val="21"/>
                      <w:szCs w:val="21"/>
                      <w:u w:val="none"/>
                      <w:lang w:val="en-US" w:eastAsia="zh-CN"/>
                    </w:rPr>
                  </w:pPr>
                  <w:r>
                    <w:rPr>
                      <w:rFonts w:hint="eastAsia" w:ascii="Times New Roman" w:hAnsi="Times New Roman" w:eastAsia="宋体" w:cs="Times New Roman"/>
                      <w:b/>
                      <w:color w:val="auto"/>
                      <w:kern w:val="2"/>
                      <w:sz w:val="21"/>
                      <w:szCs w:val="21"/>
                      <w:u w:val="none"/>
                      <w:lang w:val="en-US" w:eastAsia="zh-CN"/>
                    </w:rPr>
                    <w:t>排放</w:t>
                  </w:r>
                </w:p>
                <w:p>
                  <w:pPr>
                    <w:widowControl w:val="0"/>
                    <w:spacing w:after="0"/>
                    <w:jc w:val="center"/>
                    <w:rPr>
                      <w:rFonts w:hint="default" w:ascii="Times New Roman" w:hAnsi="Times New Roman" w:eastAsia="宋体" w:cs="Times New Roman"/>
                      <w:b/>
                      <w:color w:val="auto"/>
                      <w:kern w:val="2"/>
                      <w:sz w:val="21"/>
                      <w:szCs w:val="21"/>
                      <w:u w:val="none"/>
                      <w:lang w:val="en-US" w:eastAsia="zh-CN"/>
                    </w:rPr>
                  </w:pPr>
                  <w:r>
                    <w:rPr>
                      <w:rFonts w:hint="eastAsia" w:ascii="Times New Roman" w:hAnsi="Times New Roman" w:eastAsia="宋体" w:cs="Times New Roman"/>
                      <w:b/>
                      <w:color w:val="auto"/>
                      <w:kern w:val="2"/>
                      <w:sz w:val="21"/>
                      <w:szCs w:val="21"/>
                      <w:u w:val="none"/>
                      <w:lang w:val="en-US" w:eastAsia="zh-CN"/>
                    </w:rPr>
                    <w:t>形式</w:t>
                  </w:r>
                </w:p>
              </w:tc>
              <w:tc>
                <w:tcPr>
                  <w:tcW w:w="425" w:type="pct"/>
                  <w:vMerge w:val="restart"/>
                  <w:vAlign w:val="center"/>
                </w:tcPr>
                <w:p>
                  <w:pPr>
                    <w:widowControl w:val="0"/>
                    <w:spacing w:after="0"/>
                    <w:jc w:val="center"/>
                    <w:rPr>
                      <w:rFonts w:hint="default" w:ascii="Times New Roman" w:hAnsi="Times New Roman" w:eastAsia="宋体" w:cs="Times New Roman"/>
                      <w:b/>
                      <w:color w:val="auto"/>
                      <w:kern w:val="2"/>
                      <w:sz w:val="21"/>
                      <w:szCs w:val="21"/>
                      <w:u w:val="none"/>
                      <w:lang w:val="en-US" w:eastAsia="zh-CN"/>
                    </w:rPr>
                  </w:pPr>
                  <w:r>
                    <w:rPr>
                      <w:rFonts w:hint="eastAsia" w:ascii="Times New Roman" w:hAnsi="Times New Roman" w:eastAsia="宋体" w:cs="Times New Roman"/>
                      <w:b/>
                      <w:color w:val="auto"/>
                      <w:kern w:val="2"/>
                      <w:sz w:val="21"/>
                      <w:szCs w:val="21"/>
                      <w:u w:val="none"/>
                    </w:rPr>
                    <w:t>排放口编号</w:t>
                  </w:r>
                </w:p>
              </w:tc>
              <w:tc>
                <w:tcPr>
                  <w:tcW w:w="317" w:type="pct"/>
                  <w:vMerge w:val="restart"/>
                  <w:vAlign w:val="center"/>
                </w:tcPr>
                <w:p>
                  <w:pPr>
                    <w:widowControl w:val="0"/>
                    <w:spacing w:after="0"/>
                    <w:jc w:val="center"/>
                    <w:rPr>
                      <w:rFonts w:hint="eastAsia" w:ascii="Times New Roman" w:hAnsi="Times New Roman" w:eastAsia="宋体" w:cs="Times New Roman"/>
                      <w:b/>
                      <w:color w:val="auto"/>
                      <w:kern w:val="2"/>
                      <w:sz w:val="21"/>
                      <w:szCs w:val="21"/>
                      <w:u w:val="none"/>
                      <w:lang w:val="en-US" w:eastAsia="zh-CN"/>
                    </w:rPr>
                  </w:pPr>
                  <w:r>
                    <w:rPr>
                      <w:rFonts w:hint="eastAsia" w:ascii="Times New Roman" w:hAnsi="Times New Roman" w:eastAsia="宋体" w:cs="Times New Roman"/>
                      <w:b/>
                      <w:color w:val="auto"/>
                      <w:kern w:val="2"/>
                      <w:sz w:val="21"/>
                      <w:szCs w:val="21"/>
                      <w:u w:val="none"/>
                      <w:lang w:val="en-US" w:eastAsia="zh-CN"/>
                    </w:rPr>
                    <w:t>排放口坐标</w:t>
                  </w:r>
                </w:p>
              </w:tc>
              <w:tc>
                <w:tcPr>
                  <w:tcW w:w="222" w:type="pct"/>
                  <w:vMerge w:val="restart"/>
                  <w:vAlign w:val="center"/>
                </w:tcPr>
                <w:p>
                  <w:pPr>
                    <w:widowControl w:val="0"/>
                    <w:spacing w:after="0"/>
                    <w:jc w:val="center"/>
                    <w:rPr>
                      <w:rFonts w:ascii="Times New Roman" w:hAnsi="Times New Roman" w:eastAsia="宋体" w:cs="Times New Roman"/>
                      <w:b/>
                      <w:color w:val="auto"/>
                      <w:kern w:val="2"/>
                      <w:sz w:val="21"/>
                      <w:szCs w:val="21"/>
                      <w:u w:val="none"/>
                    </w:rPr>
                  </w:pPr>
                  <w:r>
                    <w:rPr>
                      <w:rFonts w:hint="eastAsia" w:ascii="Times New Roman" w:hAnsi="Times New Roman" w:eastAsia="宋体" w:cs="Times New Roman"/>
                      <w:b/>
                      <w:color w:val="auto"/>
                      <w:kern w:val="2"/>
                      <w:sz w:val="21"/>
                      <w:szCs w:val="21"/>
                      <w:u w:val="none"/>
                    </w:rPr>
                    <w:t>排放口类型</w:t>
                  </w:r>
                </w:p>
              </w:tc>
              <w:tc>
                <w:tcPr>
                  <w:tcW w:w="579" w:type="pct"/>
                  <w:vMerge w:val="restart"/>
                  <w:vAlign w:val="center"/>
                </w:tcPr>
                <w:p>
                  <w:pPr>
                    <w:widowControl w:val="0"/>
                    <w:spacing w:after="0"/>
                    <w:jc w:val="center"/>
                    <w:rPr>
                      <w:rFonts w:hint="eastAsia" w:ascii="Times New Roman" w:hAnsi="Times New Roman" w:eastAsia="宋体" w:cs="Times New Roman"/>
                      <w:b/>
                      <w:color w:val="auto"/>
                      <w:kern w:val="2"/>
                      <w:sz w:val="21"/>
                      <w:szCs w:val="21"/>
                      <w:u w:val="none"/>
                    </w:rPr>
                  </w:pPr>
                  <w:r>
                    <w:rPr>
                      <w:rFonts w:hint="eastAsia" w:ascii="Times New Roman" w:hAnsi="Times New Roman" w:eastAsia="宋体" w:cs="Times New Roman"/>
                      <w:b/>
                      <w:color w:val="auto"/>
                      <w:kern w:val="2"/>
                      <w:sz w:val="21"/>
                      <w:szCs w:val="21"/>
                      <w:u w:val="none"/>
                    </w:rPr>
                    <w:t>污染</w:t>
                  </w:r>
                </w:p>
                <w:p>
                  <w:pPr>
                    <w:widowControl w:val="0"/>
                    <w:spacing w:after="0"/>
                    <w:jc w:val="center"/>
                    <w:rPr>
                      <w:rFonts w:ascii="Times New Roman" w:hAnsi="Times New Roman" w:eastAsia="宋体" w:cs="Times New Roman"/>
                      <w:b/>
                      <w:color w:val="auto"/>
                      <w:kern w:val="2"/>
                      <w:sz w:val="21"/>
                      <w:szCs w:val="21"/>
                      <w:u w:val="none"/>
                    </w:rPr>
                  </w:pPr>
                  <w:r>
                    <w:rPr>
                      <w:rFonts w:hint="eastAsia" w:ascii="Times New Roman" w:hAnsi="Times New Roman" w:eastAsia="宋体" w:cs="Times New Roman"/>
                      <w:b/>
                      <w:color w:val="auto"/>
                      <w:kern w:val="2"/>
                      <w:sz w:val="21"/>
                      <w:szCs w:val="21"/>
                      <w:u w:val="none"/>
                    </w:rPr>
                    <w:t>因子</w:t>
                  </w:r>
                </w:p>
              </w:tc>
              <w:tc>
                <w:tcPr>
                  <w:tcW w:w="867" w:type="pct"/>
                  <w:gridSpan w:val="2"/>
                  <w:vAlign w:val="center"/>
                </w:tcPr>
                <w:p>
                  <w:pPr>
                    <w:widowControl w:val="0"/>
                    <w:spacing w:after="0"/>
                    <w:jc w:val="center"/>
                    <w:rPr>
                      <w:rFonts w:ascii="Times New Roman" w:hAnsi="Times New Roman" w:eastAsia="宋体" w:cs="Times New Roman"/>
                      <w:b/>
                      <w:color w:val="auto"/>
                      <w:kern w:val="2"/>
                      <w:sz w:val="21"/>
                      <w:szCs w:val="21"/>
                      <w:u w:val="none"/>
                    </w:rPr>
                  </w:pPr>
                  <w:r>
                    <w:rPr>
                      <w:rFonts w:hint="eastAsia" w:ascii="Times New Roman" w:hAnsi="Times New Roman" w:eastAsia="宋体" w:cs="Times New Roman"/>
                      <w:b/>
                      <w:color w:val="auto"/>
                      <w:kern w:val="2"/>
                      <w:sz w:val="21"/>
                      <w:szCs w:val="21"/>
                      <w:u w:val="none"/>
                    </w:rPr>
                    <w:t>标准值</w:t>
                  </w:r>
                </w:p>
              </w:tc>
              <w:tc>
                <w:tcPr>
                  <w:tcW w:w="912" w:type="pct"/>
                  <w:vMerge w:val="restart"/>
                  <w:vAlign w:val="center"/>
                </w:tcPr>
                <w:p>
                  <w:pPr>
                    <w:widowControl w:val="0"/>
                    <w:spacing w:after="0"/>
                    <w:jc w:val="center"/>
                    <w:rPr>
                      <w:rFonts w:ascii="Times New Roman" w:hAnsi="Times New Roman" w:eastAsia="宋体" w:cs="Times New Roman"/>
                      <w:b/>
                      <w:color w:val="auto"/>
                      <w:kern w:val="2"/>
                      <w:sz w:val="21"/>
                      <w:szCs w:val="21"/>
                      <w:u w:val="none"/>
                    </w:rPr>
                  </w:pPr>
                  <w:r>
                    <w:rPr>
                      <w:rFonts w:ascii="Times New Roman" w:hAnsi="Times New Roman" w:eastAsia="宋体" w:cs="Times New Roman"/>
                      <w:b/>
                      <w:color w:val="auto"/>
                      <w:kern w:val="2"/>
                      <w:sz w:val="21"/>
                      <w:szCs w:val="21"/>
                      <w:u w:val="non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5" w:type="pct"/>
                  <w:vAlign w:val="center"/>
                </w:tcPr>
                <w:p>
                  <w:pPr>
                    <w:widowControl w:val="0"/>
                    <w:spacing w:after="0"/>
                    <w:jc w:val="center"/>
                    <w:rPr>
                      <w:rFonts w:hint="default" w:ascii="Times New Roman" w:hAnsi="Times New Roman" w:eastAsia="宋体" w:cs="Times New Roman"/>
                      <w:b/>
                      <w:bCs/>
                      <w:color w:val="auto"/>
                      <w:kern w:val="2"/>
                      <w:sz w:val="21"/>
                      <w:szCs w:val="21"/>
                      <w:u w:val="none"/>
                      <w:lang w:val="en-US" w:eastAsia="zh-CN"/>
                    </w:rPr>
                  </w:pPr>
                  <w:r>
                    <w:rPr>
                      <w:rFonts w:hint="eastAsia" w:ascii="Times New Roman" w:hAnsi="Times New Roman" w:eastAsia="宋体" w:cs="Times New Roman"/>
                      <w:b/>
                      <w:bCs/>
                      <w:color w:val="auto"/>
                      <w:kern w:val="2"/>
                      <w:sz w:val="21"/>
                      <w:szCs w:val="21"/>
                      <w:u w:val="none"/>
                      <w:lang w:val="en-US" w:eastAsia="zh-CN"/>
                    </w:rPr>
                    <w:t>生产工艺</w:t>
                  </w:r>
                </w:p>
              </w:tc>
              <w:tc>
                <w:tcPr>
                  <w:tcW w:w="318" w:type="pct"/>
                  <w:vAlign w:val="center"/>
                </w:tcPr>
                <w:p>
                  <w:pPr>
                    <w:widowControl w:val="0"/>
                    <w:spacing w:after="0"/>
                    <w:jc w:val="center"/>
                    <w:rPr>
                      <w:rFonts w:hint="default" w:ascii="Times New Roman" w:hAnsi="Times New Roman" w:eastAsia="宋体" w:cs="Times New Roman"/>
                      <w:b/>
                      <w:bCs/>
                      <w:color w:val="auto"/>
                      <w:kern w:val="2"/>
                      <w:sz w:val="21"/>
                      <w:szCs w:val="21"/>
                      <w:u w:val="none"/>
                      <w:lang w:val="en-US" w:eastAsia="zh-CN"/>
                    </w:rPr>
                  </w:pPr>
                  <w:r>
                    <w:rPr>
                      <w:rFonts w:hint="eastAsia" w:ascii="Times New Roman" w:hAnsi="Times New Roman" w:eastAsia="宋体" w:cs="Times New Roman"/>
                      <w:b/>
                      <w:bCs/>
                      <w:color w:val="auto"/>
                      <w:kern w:val="2"/>
                      <w:sz w:val="21"/>
                      <w:szCs w:val="21"/>
                      <w:u w:val="none"/>
                      <w:lang w:val="en-US" w:eastAsia="zh-CN"/>
                    </w:rPr>
                    <w:t>产污设备</w:t>
                  </w:r>
                </w:p>
              </w:tc>
              <w:tc>
                <w:tcPr>
                  <w:tcW w:w="455" w:type="pct"/>
                  <w:vMerge w:val="continue"/>
                  <w:vAlign w:val="center"/>
                </w:tcPr>
                <w:p>
                  <w:pPr>
                    <w:widowControl w:val="0"/>
                    <w:spacing w:after="0"/>
                    <w:jc w:val="center"/>
                    <w:rPr>
                      <w:rFonts w:ascii="Times New Roman" w:hAnsi="Times New Roman" w:eastAsia="宋体" w:cs="Times New Roman"/>
                      <w:color w:val="auto"/>
                      <w:kern w:val="2"/>
                      <w:sz w:val="21"/>
                      <w:szCs w:val="21"/>
                      <w:u w:val="none"/>
                    </w:rPr>
                  </w:pPr>
                </w:p>
              </w:tc>
              <w:tc>
                <w:tcPr>
                  <w:tcW w:w="565"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425"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317"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222"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579"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430" w:type="pct"/>
                  <w:vAlign w:val="center"/>
                </w:tcPr>
                <w:p>
                  <w:pPr>
                    <w:pStyle w:val="110"/>
                    <w:rPr>
                      <w:rFonts w:ascii="Times New Roman" w:hAnsi="Times New Roman" w:eastAsia="宋体" w:cs="Times New Roman"/>
                      <w:color w:val="auto"/>
                      <w:kern w:val="2"/>
                      <w:sz w:val="21"/>
                      <w:szCs w:val="21"/>
                      <w:u w:val="none"/>
                    </w:rPr>
                  </w:pPr>
                  <w:r>
                    <w:rPr>
                      <w:rFonts w:hint="eastAsia" w:ascii="Times New Roman" w:hAnsi="Times New Roman" w:eastAsia="宋体" w:cs="Times New Roman"/>
                      <w:color w:val="auto"/>
                      <w:kern w:val="2"/>
                      <w:sz w:val="21"/>
                      <w:szCs w:val="21"/>
                      <w:u w:val="none"/>
                      <w:lang w:val="en-US" w:eastAsia="zh-CN"/>
                    </w:rPr>
                    <w:t>浓度</w:t>
                  </w:r>
                  <w:r>
                    <w:rPr>
                      <w:rFonts w:ascii="Times New Roman" w:hAnsi="Times New Roman" w:eastAsia="宋体" w:cs="Times New Roman"/>
                      <w:color w:val="auto"/>
                      <w:kern w:val="2"/>
                      <w:sz w:val="21"/>
                      <w:szCs w:val="21"/>
                      <w:u w:val="none"/>
                    </w:rPr>
                    <w:t>限值（mg/m</w:t>
                  </w:r>
                  <w:r>
                    <w:rPr>
                      <w:rFonts w:ascii="Times New Roman" w:hAnsi="Times New Roman" w:eastAsia="宋体" w:cs="Times New Roman"/>
                      <w:color w:val="auto"/>
                      <w:kern w:val="2"/>
                      <w:sz w:val="21"/>
                      <w:szCs w:val="21"/>
                      <w:u w:val="none"/>
                      <w:vertAlign w:val="superscript"/>
                    </w:rPr>
                    <w:t>3</w:t>
                  </w:r>
                  <w:r>
                    <w:rPr>
                      <w:rFonts w:ascii="Times New Roman" w:hAnsi="Times New Roman" w:eastAsia="宋体" w:cs="Times New Roman"/>
                      <w:color w:val="auto"/>
                      <w:kern w:val="2"/>
                      <w:sz w:val="21"/>
                      <w:szCs w:val="21"/>
                      <w:u w:val="none"/>
                    </w:rPr>
                    <w:t>）</w:t>
                  </w:r>
                </w:p>
              </w:tc>
              <w:tc>
                <w:tcPr>
                  <w:tcW w:w="436" w:type="pct"/>
                  <w:vAlign w:val="center"/>
                </w:tcPr>
                <w:p>
                  <w:pPr>
                    <w:pStyle w:val="110"/>
                    <w:rPr>
                      <w:rFonts w:hint="eastAsia" w:ascii="Times New Roman" w:hAnsi="Times New Roman" w:eastAsia="宋体" w:cs="Times New Roman"/>
                      <w:color w:val="auto"/>
                      <w:kern w:val="2"/>
                      <w:sz w:val="21"/>
                      <w:szCs w:val="21"/>
                      <w:u w:val="none"/>
                      <w:lang w:val="en-US" w:eastAsia="zh-CN"/>
                    </w:rPr>
                  </w:pPr>
                  <w:r>
                    <w:rPr>
                      <w:rFonts w:ascii="Times New Roman" w:hAnsi="Times New Roman" w:eastAsia="宋体" w:cs="Times New Roman"/>
                      <w:color w:val="auto"/>
                      <w:kern w:val="2"/>
                      <w:sz w:val="21"/>
                      <w:szCs w:val="21"/>
                      <w:u w:val="none"/>
                    </w:rPr>
                    <w:t>速率</w:t>
                  </w:r>
                  <w:r>
                    <w:rPr>
                      <w:rFonts w:hint="eastAsia" w:ascii="Times New Roman" w:hAnsi="Times New Roman" w:eastAsia="宋体" w:cs="Times New Roman"/>
                      <w:color w:val="auto"/>
                      <w:kern w:val="2"/>
                      <w:sz w:val="21"/>
                      <w:szCs w:val="21"/>
                      <w:u w:val="none"/>
                      <w:lang w:val="en-US" w:eastAsia="zh-CN"/>
                    </w:rPr>
                    <w:t>限值</w:t>
                  </w:r>
                </w:p>
                <w:p>
                  <w:pPr>
                    <w:pStyle w:val="110"/>
                    <w:rPr>
                      <w:rFonts w:ascii="Times New Roman" w:hAnsi="Times New Roman" w:eastAsia="宋体" w:cs="Times New Roman"/>
                      <w:color w:val="auto"/>
                      <w:kern w:val="2"/>
                      <w:sz w:val="21"/>
                      <w:szCs w:val="21"/>
                      <w:u w:val="none"/>
                    </w:rPr>
                  </w:pPr>
                  <w:r>
                    <w:rPr>
                      <w:rFonts w:ascii="Times New Roman" w:hAnsi="Times New Roman" w:eastAsia="宋体" w:cs="Times New Roman"/>
                      <w:color w:val="auto"/>
                      <w:kern w:val="2"/>
                      <w:sz w:val="21"/>
                      <w:szCs w:val="21"/>
                      <w:u w:val="none"/>
                    </w:rPr>
                    <w:t>（kg/h）</w:t>
                  </w:r>
                </w:p>
              </w:tc>
              <w:tc>
                <w:tcPr>
                  <w:tcW w:w="912" w:type="pct"/>
                  <w:vMerge w:val="continue"/>
                  <w:vAlign w:val="center"/>
                </w:tcPr>
                <w:p>
                  <w:pPr>
                    <w:widowControl w:val="0"/>
                    <w:spacing w:after="0"/>
                    <w:jc w:val="center"/>
                    <w:rPr>
                      <w:rFonts w:ascii="Times New Roman" w:hAnsi="Times New Roman" w:eastAsia="宋体" w:cs="Times New Roman"/>
                      <w:color w:val="auto"/>
                      <w:kern w:val="2"/>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653" w:type="pct"/>
                  <w:gridSpan w:val="2"/>
                  <w:vMerge w:val="restar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厂界</w:t>
                  </w:r>
                </w:p>
              </w:tc>
              <w:tc>
                <w:tcPr>
                  <w:tcW w:w="455" w:type="pct"/>
                  <w:vMerge w:val="restar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车间通风</w:t>
                  </w:r>
                  <w:r>
                    <w:rPr>
                      <w:rFonts w:hint="eastAsia" w:cs="Times New Roman"/>
                      <w:color w:val="auto"/>
                      <w:kern w:val="2"/>
                      <w:sz w:val="21"/>
                      <w:szCs w:val="21"/>
                      <w:u w:val="none"/>
                      <w:lang w:val="en-US" w:eastAsia="zh-CN"/>
                    </w:rPr>
                    <w:t>、循环燃烧</w:t>
                  </w:r>
                </w:p>
              </w:tc>
              <w:tc>
                <w:tcPr>
                  <w:tcW w:w="565" w:type="pct"/>
                  <w:vMerge w:val="restar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无组织</w:t>
                  </w:r>
                </w:p>
              </w:tc>
              <w:tc>
                <w:tcPr>
                  <w:tcW w:w="965" w:type="pct"/>
                  <w:gridSpan w:val="3"/>
                  <w:vMerge w:val="restar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w:t>
                  </w:r>
                </w:p>
              </w:tc>
              <w:tc>
                <w:tcPr>
                  <w:tcW w:w="579" w:type="pct"/>
                  <w:vAlign w:val="center"/>
                </w:tcPr>
                <w:p>
                  <w:pPr>
                    <w:widowControl w:val="0"/>
                    <w:spacing w:after="0"/>
                    <w:jc w:val="center"/>
                    <w:rPr>
                      <w:rFonts w:hint="eastAsia" w:ascii="Times New Roman" w:hAnsi="Times New Roman" w:eastAsia="宋体" w:cs="Times New Roman"/>
                      <w:color w:val="auto"/>
                      <w:kern w:val="2"/>
                      <w:sz w:val="21"/>
                      <w:szCs w:val="21"/>
                      <w:u w:val="none"/>
                      <w:lang w:eastAsia="zh-CN"/>
                    </w:rPr>
                  </w:pPr>
                  <w:r>
                    <w:rPr>
                      <w:rFonts w:hint="eastAsia" w:ascii="Times New Roman" w:hAnsi="Times New Roman" w:eastAsia="宋体" w:cs="Times New Roman"/>
                      <w:color w:val="auto"/>
                      <w:kern w:val="2"/>
                      <w:sz w:val="21"/>
                      <w:szCs w:val="21"/>
                      <w:u w:val="none"/>
                      <w:lang w:val="en-US" w:eastAsia="zh-CN"/>
                    </w:rPr>
                    <w:t>颗粒物</w:t>
                  </w:r>
                </w:p>
              </w:tc>
              <w:tc>
                <w:tcPr>
                  <w:tcW w:w="43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1.0</w:t>
                  </w:r>
                </w:p>
              </w:tc>
              <w:tc>
                <w:tcPr>
                  <w:tcW w:w="436"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rPr>
                  </w:pPr>
                  <w:r>
                    <w:rPr>
                      <w:rFonts w:hint="eastAsia" w:ascii="Times New Roman" w:hAnsi="Times New Roman" w:eastAsia="宋体" w:cs="Times New Roman"/>
                      <w:color w:val="auto"/>
                      <w:kern w:val="2"/>
                      <w:sz w:val="21"/>
                      <w:szCs w:val="21"/>
                      <w:u w:val="none"/>
                      <w:lang w:val="en-US" w:eastAsia="zh-CN"/>
                    </w:rPr>
                    <w:t>/</w:t>
                  </w:r>
                </w:p>
              </w:tc>
              <w:tc>
                <w:tcPr>
                  <w:tcW w:w="912" w:type="pct"/>
                  <w:vMerge w:val="restart"/>
                  <w:vAlign w:val="center"/>
                </w:tcPr>
                <w:p>
                  <w:pPr>
                    <w:widowControl w:val="0"/>
                    <w:spacing w:after="0"/>
                    <w:jc w:val="center"/>
                    <w:rPr>
                      <w:rFonts w:ascii="Times New Roman" w:hAnsi="Times New Roman" w:eastAsia="宋体" w:cs="Times New Roman"/>
                      <w:color w:val="auto"/>
                      <w:kern w:val="2"/>
                      <w:sz w:val="21"/>
                      <w:szCs w:val="21"/>
                      <w:u w:val="none"/>
                    </w:rPr>
                  </w:pPr>
                  <w:r>
                    <w:rPr>
                      <w:rFonts w:hint="eastAsia" w:ascii="Times New Roman" w:hAnsi="Times New Roman" w:eastAsia="宋体" w:cs="Times New Roman"/>
                      <w:color w:val="auto"/>
                      <w:kern w:val="2"/>
                      <w:sz w:val="21"/>
                      <w:szCs w:val="21"/>
                      <w:u w:val="none"/>
                      <w:lang w:val="en-US" w:eastAsia="zh-CN"/>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653" w:type="pct"/>
                  <w:gridSpan w:val="2"/>
                  <w:vMerge w:val="continue"/>
                  <w:vAlign w:val="center"/>
                </w:tcPr>
                <w:p>
                  <w:pPr>
                    <w:widowControl w:val="0"/>
                    <w:spacing w:after="0"/>
                    <w:jc w:val="center"/>
                    <w:rPr>
                      <w:rFonts w:hint="eastAsia" w:cs="Times New Roman"/>
                      <w:color w:val="auto"/>
                      <w:kern w:val="2"/>
                      <w:sz w:val="21"/>
                      <w:szCs w:val="21"/>
                      <w:u w:val="none"/>
                      <w:lang w:val="en-US" w:eastAsia="zh-CN"/>
                    </w:rPr>
                  </w:pPr>
                </w:p>
              </w:tc>
              <w:tc>
                <w:tcPr>
                  <w:tcW w:w="455" w:type="pct"/>
                  <w:vMerge w:val="continue"/>
                  <w:vAlign w:val="center"/>
                </w:tcPr>
                <w:p>
                  <w:pPr>
                    <w:widowControl w:val="0"/>
                    <w:spacing w:after="0"/>
                    <w:jc w:val="center"/>
                    <w:rPr>
                      <w:rFonts w:hint="eastAsia" w:cs="Times New Roman"/>
                      <w:sz w:val="21"/>
                      <w:szCs w:val="21"/>
                      <w:u w:val="none"/>
                      <w:lang w:val="en-US" w:eastAsia="zh-CN"/>
                    </w:rPr>
                  </w:pPr>
                </w:p>
              </w:tc>
              <w:tc>
                <w:tcPr>
                  <w:tcW w:w="565"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965" w:type="pct"/>
                  <w:gridSpan w:val="3"/>
                  <w:vMerge w:val="continue"/>
                  <w:vAlign w:val="center"/>
                </w:tcPr>
                <w:p>
                  <w:pPr>
                    <w:widowControl w:val="0"/>
                    <w:spacing w:after="0"/>
                    <w:jc w:val="both"/>
                    <w:rPr>
                      <w:rFonts w:hint="eastAsia" w:ascii="Times New Roman" w:hAnsi="Times New Roman" w:eastAsia="宋体" w:cs="Times New Roman"/>
                      <w:color w:val="auto"/>
                      <w:kern w:val="2"/>
                      <w:sz w:val="21"/>
                      <w:szCs w:val="21"/>
                      <w:u w:val="none"/>
                      <w:lang w:val="en-US" w:eastAsia="zh-CN"/>
                    </w:rPr>
                  </w:pPr>
                </w:p>
              </w:tc>
              <w:tc>
                <w:tcPr>
                  <w:tcW w:w="579"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u w:val="none"/>
                      <w:lang w:val="en-US" w:eastAsia="zh-CN"/>
                    </w:rPr>
                  </w:pPr>
                  <w:r>
                    <w:rPr>
                      <w:rFonts w:hint="eastAsia" w:cs="Times New Roman"/>
                      <w:color w:val="auto"/>
                      <w:sz w:val="21"/>
                      <w:szCs w:val="21"/>
                      <w:u w:val="none"/>
                      <w:lang w:val="en-US" w:eastAsia="zh-CN"/>
                    </w:rPr>
                    <w:t>SO</w:t>
                  </w:r>
                  <w:r>
                    <w:rPr>
                      <w:rFonts w:hint="eastAsia" w:cs="Times New Roman"/>
                      <w:color w:val="auto"/>
                      <w:sz w:val="21"/>
                      <w:szCs w:val="21"/>
                      <w:u w:val="none"/>
                      <w:vertAlign w:val="subscript"/>
                      <w:lang w:val="en-US" w:eastAsia="zh-CN"/>
                    </w:rPr>
                    <w:t>2</w:t>
                  </w:r>
                </w:p>
              </w:tc>
              <w:tc>
                <w:tcPr>
                  <w:tcW w:w="43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0.4</w:t>
                  </w:r>
                </w:p>
              </w:tc>
              <w:tc>
                <w:tcPr>
                  <w:tcW w:w="436" w:type="pc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912"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653" w:type="pct"/>
                  <w:gridSpan w:val="2"/>
                  <w:vMerge w:val="continue"/>
                  <w:vAlign w:val="center"/>
                </w:tcPr>
                <w:p>
                  <w:pPr>
                    <w:widowControl w:val="0"/>
                    <w:spacing w:after="0"/>
                    <w:jc w:val="center"/>
                    <w:rPr>
                      <w:rFonts w:hint="eastAsia" w:cs="Times New Roman"/>
                      <w:color w:val="auto"/>
                      <w:kern w:val="2"/>
                      <w:sz w:val="21"/>
                      <w:szCs w:val="21"/>
                      <w:u w:val="none"/>
                      <w:lang w:val="en-US" w:eastAsia="zh-CN"/>
                    </w:rPr>
                  </w:pPr>
                </w:p>
              </w:tc>
              <w:tc>
                <w:tcPr>
                  <w:tcW w:w="455" w:type="pct"/>
                  <w:vMerge w:val="continue"/>
                  <w:vAlign w:val="center"/>
                </w:tcPr>
                <w:p>
                  <w:pPr>
                    <w:widowControl w:val="0"/>
                    <w:spacing w:after="0"/>
                    <w:jc w:val="center"/>
                    <w:rPr>
                      <w:rFonts w:hint="eastAsia" w:cs="Times New Roman"/>
                      <w:sz w:val="21"/>
                      <w:szCs w:val="21"/>
                      <w:u w:val="none"/>
                      <w:lang w:val="en-US" w:eastAsia="zh-CN"/>
                    </w:rPr>
                  </w:pPr>
                </w:p>
              </w:tc>
              <w:tc>
                <w:tcPr>
                  <w:tcW w:w="565"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965" w:type="pct"/>
                  <w:gridSpan w:val="3"/>
                  <w:vMerge w:val="continue"/>
                  <w:vAlign w:val="center"/>
                </w:tcPr>
                <w:p>
                  <w:pPr>
                    <w:widowControl w:val="0"/>
                    <w:spacing w:after="0"/>
                    <w:jc w:val="both"/>
                    <w:rPr>
                      <w:rFonts w:hint="eastAsia" w:ascii="Times New Roman" w:hAnsi="Times New Roman" w:eastAsia="宋体" w:cs="Times New Roman"/>
                      <w:color w:val="auto"/>
                      <w:kern w:val="2"/>
                      <w:sz w:val="21"/>
                      <w:szCs w:val="21"/>
                      <w:u w:val="none"/>
                      <w:lang w:val="en-US" w:eastAsia="zh-CN"/>
                    </w:rPr>
                  </w:pPr>
                </w:p>
              </w:tc>
              <w:tc>
                <w:tcPr>
                  <w:tcW w:w="579" w:type="pct"/>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u w:val="none"/>
                      <w:lang w:val="en-US" w:eastAsia="zh-CN"/>
                    </w:rPr>
                  </w:pPr>
                  <w:r>
                    <w:rPr>
                      <w:rFonts w:hint="eastAsia" w:cs="Times New Roman"/>
                      <w:color w:val="auto"/>
                      <w:sz w:val="21"/>
                      <w:szCs w:val="21"/>
                      <w:u w:val="none"/>
                      <w:lang w:val="en-US" w:eastAsia="zh-CN"/>
                    </w:rPr>
                    <w:t>NO</w:t>
                  </w:r>
                  <w:r>
                    <w:rPr>
                      <w:rFonts w:hint="eastAsia" w:cs="Times New Roman"/>
                      <w:color w:val="auto"/>
                      <w:sz w:val="21"/>
                      <w:szCs w:val="21"/>
                      <w:u w:val="none"/>
                      <w:vertAlign w:val="subscript"/>
                      <w:lang w:val="en-US" w:eastAsia="zh-CN"/>
                    </w:rPr>
                    <w:t>X</w:t>
                  </w:r>
                </w:p>
              </w:tc>
              <w:tc>
                <w:tcPr>
                  <w:tcW w:w="43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0.12</w:t>
                  </w:r>
                </w:p>
              </w:tc>
              <w:tc>
                <w:tcPr>
                  <w:tcW w:w="436" w:type="pc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912"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653" w:type="pct"/>
                  <w:gridSpan w:val="2"/>
                  <w:vMerge w:val="continue"/>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p>
              </w:tc>
              <w:tc>
                <w:tcPr>
                  <w:tcW w:w="455" w:type="pct"/>
                  <w:vMerge w:val="continue"/>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p>
              </w:tc>
              <w:tc>
                <w:tcPr>
                  <w:tcW w:w="565"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rPr>
                  </w:pPr>
                </w:p>
              </w:tc>
              <w:tc>
                <w:tcPr>
                  <w:tcW w:w="965" w:type="pct"/>
                  <w:gridSpan w:val="3"/>
                  <w:vMerge w:val="continue"/>
                  <w:vAlign w:val="center"/>
                </w:tcPr>
                <w:p>
                  <w:pPr>
                    <w:widowControl w:val="0"/>
                    <w:spacing w:after="0"/>
                    <w:jc w:val="both"/>
                    <w:rPr>
                      <w:rFonts w:hint="eastAsia" w:ascii="Times New Roman" w:hAnsi="Times New Roman" w:eastAsia="宋体" w:cs="Times New Roman"/>
                      <w:color w:val="auto"/>
                      <w:kern w:val="2"/>
                      <w:sz w:val="21"/>
                      <w:szCs w:val="21"/>
                      <w:u w:val="none"/>
                      <w:lang w:val="en-US" w:eastAsia="zh-CN"/>
                    </w:rPr>
                  </w:pPr>
                </w:p>
              </w:tc>
              <w:tc>
                <w:tcPr>
                  <w:tcW w:w="579" w:type="pct"/>
                  <w:vAlign w:val="center"/>
                </w:tcPr>
                <w:p>
                  <w:pPr>
                    <w:widowControl w:val="0"/>
                    <w:spacing w:after="0"/>
                    <w:jc w:val="center"/>
                    <w:rPr>
                      <w:rFonts w:hint="eastAsia" w:ascii="Times New Roman" w:hAnsi="Times New Roman" w:eastAsia="宋体" w:cs="Times New Roman"/>
                      <w:color w:val="auto"/>
                      <w:kern w:val="2"/>
                      <w:sz w:val="21"/>
                      <w:szCs w:val="21"/>
                      <w:u w:val="none"/>
                      <w:lang w:eastAsia="zh-CN"/>
                    </w:rPr>
                  </w:pPr>
                  <w:r>
                    <w:rPr>
                      <w:rFonts w:hint="eastAsia" w:cs="Times New Roman"/>
                      <w:color w:val="auto"/>
                      <w:kern w:val="2"/>
                      <w:sz w:val="21"/>
                      <w:szCs w:val="21"/>
                      <w:u w:val="none"/>
                      <w:lang w:val="en-US" w:eastAsia="zh-CN"/>
                    </w:rPr>
                    <w:t>非甲烷总烃</w:t>
                  </w:r>
                </w:p>
              </w:tc>
              <w:tc>
                <w:tcPr>
                  <w:tcW w:w="43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4.0</w:t>
                  </w:r>
                </w:p>
              </w:tc>
              <w:tc>
                <w:tcPr>
                  <w:tcW w:w="436" w:type="pct"/>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912" w:type="pct"/>
                  <w:vMerge w:val="continue"/>
                  <w:vAlign w:val="center"/>
                </w:tcPr>
                <w:p>
                  <w:pPr>
                    <w:widowControl w:val="0"/>
                    <w:spacing w:after="0"/>
                    <w:jc w:val="center"/>
                    <w:rPr>
                      <w:rFonts w:hint="eastAsia" w:ascii="Times New Roman" w:hAnsi="Times New Roman" w:eastAsia="宋体" w:cs="Times New Roman"/>
                      <w:color w:val="auto"/>
                      <w:kern w:val="2"/>
                      <w:sz w:val="21"/>
                      <w:szCs w:val="21"/>
                      <w:u w:val="none"/>
                      <w:lang w:val="en-US" w:eastAsia="zh-CN"/>
                    </w:rPr>
                  </w:pPr>
                </w:p>
              </w:tc>
            </w:tr>
          </w:tbl>
          <w:p>
            <w:pPr>
              <w:widowControl w:val="0"/>
              <w:adjustRightInd/>
              <w:snapToGrid/>
              <w:spacing w:after="0"/>
              <w:jc w:val="center"/>
              <w:outlineLvl w:val="5"/>
              <w:rPr>
                <w:rFonts w:hint="eastAsia" w:ascii="Times New Roman" w:hAnsi="Times New Roman" w:eastAsia="宋体" w:cs="Times New Roman"/>
                <w:b/>
                <w:color w:val="auto"/>
                <w:kern w:val="2"/>
                <w:sz w:val="21"/>
                <w:szCs w:val="21"/>
                <w:u w:val="none"/>
              </w:rPr>
            </w:pPr>
            <w:r>
              <w:rPr>
                <w:rFonts w:hint="eastAsia" w:cs="Times New Roman"/>
                <w:b/>
                <w:color w:val="auto"/>
                <w:kern w:val="2"/>
                <w:sz w:val="21"/>
                <w:szCs w:val="21"/>
                <w:u w:val="none"/>
                <w:lang w:eastAsia="zh-CN"/>
              </w:rPr>
              <w:t>表</w:t>
            </w:r>
            <w:r>
              <w:rPr>
                <w:rFonts w:hint="eastAsia" w:cs="Times New Roman"/>
                <w:b/>
                <w:color w:val="auto"/>
                <w:kern w:val="2"/>
                <w:sz w:val="21"/>
                <w:szCs w:val="21"/>
                <w:u w:val="none"/>
                <w:lang w:val="en-US" w:eastAsia="zh-CN"/>
              </w:rPr>
              <w:t xml:space="preserve">4-12 </w:t>
            </w:r>
            <w:r>
              <w:rPr>
                <w:rFonts w:hint="eastAsia" w:ascii="Times New Roman" w:hAnsi="Times New Roman" w:eastAsia="宋体" w:cs="Times New Roman"/>
                <w:b/>
                <w:color w:val="auto"/>
                <w:kern w:val="2"/>
                <w:sz w:val="21"/>
                <w:szCs w:val="21"/>
                <w:u w:val="none"/>
              </w:rPr>
              <w:t>本工程废水</w:t>
            </w:r>
            <w:r>
              <w:rPr>
                <w:rFonts w:hint="eastAsia" w:ascii="Times New Roman" w:hAnsi="Times New Roman" w:eastAsia="宋体" w:cs="Times New Roman"/>
                <w:b/>
                <w:color w:val="auto"/>
                <w:kern w:val="2"/>
                <w:sz w:val="21"/>
                <w:szCs w:val="21"/>
                <w:u w:val="none"/>
                <w:lang w:val="en-US" w:eastAsia="zh-CN"/>
              </w:rPr>
              <w:t>污染物</w:t>
            </w:r>
            <w:r>
              <w:rPr>
                <w:rFonts w:hint="eastAsia" w:ascii="Times New Roman" w:hAnsi="Times New Roman" w:eastAsia="宋体" w:cs="Times New Roman"/>
                <w:b/>
                <w:color w:val="auto"/>
                <w:kern w:val="2"/>
                <w:sz w:val="21"/>
                <w:szCs w:val="21"/>
                <w:u w:val="none"/>
              </w:rPr>
              <w:t>排放</w:t>
            </w:r>
            <w:r>
              <w:rPr>
                <w:rFonts w:hint="eastAsia" w:ascii="Times New Roman" w:hAnsi="Times New Roman" w:eastAsia="宋体" w:cs="Times New Roman"/>
                <w:b/>
                <w:color w:val="auto"/>
                <w:kern w:val="2"/>
                <w:sz w:val="21"/>
                <w:szCs w:val="21"/>
                <w:u w:val="none"/>
                <w:lang w:val="en-US" w:eastAsia="zh-CN"/>
              </w:rPr>
              <w:t>基本</w:t>
            </w:r>
            <w:r>
              <w:rPr>
                <w:rFonts w:hint="eastAsia" w:ascii="Times New Roman" w:hAnsi="Times New Roman" w:eastAsia="宋体" w:cs="Times New Roman"/>
                <w:b/>
                <w:color w:val="auto"/>
                <w:kern w:val="2"/>
                <w:sz w:val="21"/>
                <w:szCs w:val="21"/>
                <w:u w:val="none"/>
              </w:rPr>
              <w:t>情况一览表</w:t>
            </w:r>
          </w:p>
          <w:tbl>
            <w:tblPr>
              <w:tblStyle w:val="28"/>
              <w:tblW w:w="4996"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807"/>
              <w:gridCol w:w="1337"/>
              <w:gridCol w:w="997"/>
              <w:gridCol w:w="1272"/>
              <w:gridCol w:w="987"/>
              <w:gridCol w:w="1222"/>
              <w:gridCol w:w="937"/>
              <w:gridCol w:w="1225"/>
              <w:gridCol w:w="953"/>
              <w:gridCol w:w="710"/>
              <w:gridCol w:w="1293"/>
              <w:gridCol w:w="1444"/>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6" w:type="pct"/>
                  <w:vMerge w:val="restar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废水类别</w:t>
                  </w:r>
                </w:p>
              </w:tc>
              <w:tc>
                <w:tcPr>
                  <w:tcW w:w="507" w:type="pct"/>
                  <w:vMerge w:val="restart"/>
                  <w:vAlign w:val="center"/>
                </w:tcPr>
                <w:p>
                  <w:pPr>
                    <w:pStyle w:val="114"/>
                    <w:adjustRightInd w:val="0"/>
                    <w:snapToGrid w:val="0"/>
                    <w:spacing w:line="240" w:lineRule="auto"/>
                    <w:ind w:firstLine="0" w:firstLineChars="0"/>
                    <w:jc w:val="center"/>
                    <w:rPr>
                      <w:rFonts w:hint="default" w:ascii="Times New Roman" w:hAnsi="Times New Roman" w:eastAsia="宋体" w:cs="Times New Roman"/>
                      <w:b/>
                      <w:color w:val="auto"/>
                      <w:kern w:val="0"/>
                      <w:sz w:val="21"/>
                      <w:szCs w:val="18"/>
                      <w:u w:val="none"/>
                      <w:lang w:val="en-US" w:eastAsia="zh-CN"/>
                    </w:rPr>
                  </w:pPr>
                  <w:r>
                    <w:rPr>
                      <w:rFonts w:hint="eastAsia" w:ascii="Times New Roman" w:hAnsi="Times New Roman" w:cs="Times New Roman"/>
                      <w:b/>
                      <w:color w:val="auto"/>
                      <w:kern w:val="0"/>
                      <w:sz w:val="21"/>
                      <w:szCs w:val="18"/>
                      <w:u w:val="none"/>
                      <w:lang w:val="en-US" w:eastAsia="zh-CN"/>
                    </w:rPr>
                    <w:t>产生环节</w:t>
                  </w:r>
                </w:p>
              </w:tc>
              <w:tc>
                <w:tcPr>
                  <w:tcW w:w="860" w:type="pct"/>
                  <w:gridSpan w:val="2"/>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污染治理设施</w:t>
                  </w:r>
                </w:p>
              </w:tc>
              <w:tc>
                <w:tcPr>
                  <w:tcW w:w="374" w:type="pct"/>
                  <w:vMerge w:val="restart"/>
                  <w:vAlign w:val="center"/>
                </w:tcPr>
                <w:p>
                  <w:pPr>
                    <w:pStyle w:val="114"/>
                    <w:adjustRightInd w:val="0"/>
                    <w:snapToGrid w:val="0"/>
                    <w:spacing w:line="240" w:lineRule="auto"/>
                    <w:ind w:firstLine="0" w:firstLineChars="0"/>
                    <w:jc w:val="center"/>
                    <w:rPr>
                      <w:rFonts w:hint="eastAsia"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排放口</w:t>
                  </w:r>
                </w:p>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编号</w:t>
                  </w:r>
                </w:p>
              </w:tc>
              <w:tc>
                <w:tcPr>
                  <w:tcW w:w="463" w:type="pct"/>
                  <w:vMerge w:val="restart"/>
                  <w:vAlign w:val="center"/>
                </w:tcPr>
                <w:p>
                  <w:pPr>
                    <w:pStyle w:val="114"/>
                    <w:adjustRightInd w:val="0"/>
                    <w:snapToGrid w:val="0"/>
                    <w:spacing w:line="240" w:lineRule="auto"/>
                    <w:ind w:firstLine="0" w:firstLineChars="0"/>
                    <w:jc w:val="center"/>
                    <w:rPr>
                      <w:rFonts w:hint="default" w:ascii="Times New Roman" w:hAnsi="Times New Roman" w:eastAsia="宋体" w:cs="Times New Roman"/>
                      <w:b/>
                      <w:color w:val="auto"/>
                      <w:kern w:val="0"/>
                      <w:sz w:val="21"/>
                      <w:szCs w:val="18"/>
                      <w:u w:val="none"/>
                      <w:lang w:val="en-US" w:eastAsia="zh-CN"/>
                    </w:rPr>
                  </w:pPr>
                  <w:r>
                    <w:rPr>
                      <w:rFonts w:hint="eastAsia" w:ascii="Times New Roman" w:hAnsi="Times New Roman" w:cs="Times New Roman"/>
                      <w:b/>
                      <w:color w:val="auto"/>
                      <w:kern w:val="0"/>
                      <w:sz w:val="21"/>
                      <w:szCs w:val="18"/>
                      <w:u w:val="none"/>
                      <w:lang w:val="en-US" w:eastAsia="zh-CN"/>
                    </w:rPr>
                    <w:t>排放口坐标</w:t>
                  </w:r>
                </w:p>
              </w:tc>
              <w:tc>
                <w:tcPr>
                  <w:tcW w:w="355" w:type="pct"/>
                  <w:vMerge w:val="restar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排放</w:t>
                  </w:r>
                  <w:r>
                    <w:rPr>
                      <w:rFonts w:hint="eastAsia" w:ascii="Times New Roman" w:hAnsi="Times New Roman" w:cs="Times New Roman"/>
                      <w:b/>
                      <w:color w:val="auto"/>
                      <w:kern w:val="0"/>
                      <w:sz w:val="21"/>
                      <w:szCs w:val="18"/>
                      <w:u w:val="none"/>
                    </w:rPr>
                    <w:t>方式</w:t>
                  </w:r>
                </w:p>
              </w:tc>
              <w:tc>
                <w:tcPr>
                  <w:tcW w:w="464" w:type="pct"/>
                  <w:vMerge w:val="restar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排放去向</w:t>
                  </w:r>
                </w:p>
              </w:tc>
              <w:tc>
                <w:tcPr>
                  <w:tcW w:w="361" w:type="pct"/>
                  <w:vMerge w:val="restart"/>
                  <w:vAlign w:val="center"/>
                </w:tcPr>
                <w:p>
                  <w:pPr>
                    <w:pStyle w:val="114"/>
                    <w:adjustRightInd w:val="0"/>
                    <w:snapToGrid w:val="0"/>
                    <w:spacing w:line="240" w:lineRule="auto"/>
                    <w:ind w:firstLine="0" w:firstLineChars="0"/>
                    <w:jc w:val="center"/>
                    <w:rPr>
                      <w:rFonts w:hint="eastAsia" w:ascii="Times New Roman" w:hAnsi="Times New Roman" w:cs="Times New Roman"/>
                      <w:b/>
                      <w:color w:val="auto"/>
                      <w:kern w:val="0"/>
                      <w:sz w:val="21"/>
                      <w:szCs w:val="18"/>
                      <w:u w:val="none"/>
                    </w:rPr>
                  </w:pPr>
                  <w:r>
                    <w:rPr>
                      <w:rFonts w:hint="eastAsia" w:ascii="Times New Roman" w:hAnsi="Times New Roman" w:cs="Times New Roman"/>
                      <w:b/>
                      <w:color w:val="auto"/>
                      <w:kern w:val="0"/>
                      <w:sz w:val="21"/>
                      <w:szCs w:val="18"/>
                      <w:u w:val="none"/>
                    </w:rPr>
                    <w:t>排放口</w:t>
                  </w:r>
                </w:p>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hint="eastAsia" w:ascii="Times New Roman" w:hAnsi="Times New Roman" w:cs="Times New Roman"/>
                      <w:b/>
                      <w:color w:val="auto"/>
                      <w:kern w:val="0"/>
                      <w:sz w:val="21"/>
                      <w:szCs w:val="18"/>
                      <w:u w:val="none"/>
                    </w:rPr>
                    <w:t>类型</w:t>
                  </w:r>
                </w:p>
              </w:tc>
              <w:tc>
                <w:tcPr>
                  <w:tcW w:w="269" w:type="pct"/>
                  <w:vMerge w:val="restar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污染物种类</w:t>
                  </w:r>
                </w:p>
              </w:tc>
              <w:tc>
                <w:tcPr>
                  <w:tcW w:w="490" w:type="pct"/>
                  <w:vMerge w:val="restart"/>
                  <w:vAlign w:val="center"/>
                </w:tcPr>
                <w:p>
                  <w:pPr>
                    <w:pStyle w:val="110"/>
                    <w:rPr>
                      <w:rFonts w:hint="eastAsia" w:ascii="Times New Roman" w:hAnsi="Times New Roman" w:cs="Times New Roman"/>
                      <w:b/>
                      <w:color w:val="auto"/>
                      <w:sz w:val="21"/>
                      <w:szCs w:val="21"/>
                      <w:u w:val="none"/>
                    </w:rPr>
                  </w:pPr>
                  <w:r>
                    <w:rPr>
                      <w:rFonts w:ascii="Times New Roman" w:hAnsi="Times New Roman" w:eastAsia="宋体" w:cs="Times New Roman"/>
                      <w:color w:val="auto"/>
                      <w:kern w:val="2"/>
                      <w:sz w:val="21"/>
                      <w:szCs w:val="21"/>
                      <w:u w:val="none"/>
                    </w:rPr>
                    <w:t>排放</w:t>
                  </w:r>
                  <w:r>
                    <w:rPr>
                      <w:rFonts w:hint="eastAsia" w:ascii="Times New Roman" w:hAnsi="Times New Roman" w:eastAsia="宋体" w:cs="Times New Roman"/>
                      <w:color w:val="auto"/>
                      <w:kern w:val="2"/>
                      <w:sz w:val="21"/>
                      <w:szCs w:val="21"/>
                      <w:u w:val="none"/>
                    </w:rPr>
                    <w:t>浓度</w:t>
                  </w:r>
                  <w:r>
                    <w:rPr>
                      <w:rFonts w:hint="eastAsia" w:asciiTheme="minorEastAsia" w:hAnsiTheme="minorEastAsia" w:eastAsiaTheme="minorEastAsia" w:cstheme="minorEastAsia"/>
                      <w:b/>
                      <w:color w:val="auto"/>
                      <w:sz w:val="21"/>
                      <w:szCs w:val="21"/>
                      <w:u w:val="none"/>
                    </w:rPr>
                    <w:t>限值</w:t>
                  </w:r>
                </w:p>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sz w:val="21"/>
                      <w:szCs w:val="21"/>
                      <w:u w:val="none"/>
                    </w:rPr>
                    <w:t>（mg/</w:t>
                  </w:r>
                  <w:r>
                    <w:rPr>
                      <w:rFonts w:hint="eastAsia" w:ascii="Times New Roman" w:hAnsi="Times New Roman" w:cs="Times New Roman"/>
                      <w:b/>
                      <w:color w:val="auto"/>
                      <w:sz w:val="21"/>
                      <w:szCs w:val="21"/>
                      <w:u w:val="none"/>
                    </w:rPr>
                    <w:t>L</w:t>
                  </w:r>
                  <w:r>
                    <w:rPr>
                      <w:rFonts w:ascii="Times New Roman" w:hAnsi="Times New Roman" w:cs="Times New Roman"/>
                      <w:b/>
                      <w:color w:val="auto"/>
                      <w:sz w:val="21"/>
                      <w:szCs w:val="21"/>
                      <w:u w:val="none"/>
                    </w:rPr>
                    <w:t>）</w:t>
                  </w:r>
                </w:p>
              </w:tc>
              <w:tc>
                <w:tcPr>
                  <w:tcW w:w="547" w:type="pct"/>
                  <w:vMerge w:val="restart"/>
                  <w:vAlign w:val="center"/>
                </w:tcPr>
                <w:p>
                  <w:pPr>
                    <w:pStyle w:val="110"/>
                    <w:rPr>
                      <w:rFonts w:ascii="Times New Roman" w:hAnsi="Times New Roman" w:eastAsia="宋体" w:cs="Times New Roman"/>
                      <w:color w:val="auto"/>
                      <w:kern w:val="2"/>
                      <w:sz w:val="21"/>
                      <w:szCs w:val="21"/>
                      <w:u w:val="none"/>
                    </w:rPr>
                  </w:pPr>
                  <w:r>
                    <w:rPr>
                      <w:rFonts w:hint="eastAsia" w:ascii="Times New Roman" w:hAnsi="Times New Roman" w:eastAsia="宋体" w:cs="Times New Roman"/>
                      <w:color w:val="auto"/>
                      <w:kern w:val="2"/>
                      <w:sz w:val="21"/>
                      <w:szCs w:val="21"/>
                      <w:u w:val="none"/>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06"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507"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378" w:type="pc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污染治理设施名称</w:t>
                  </w:r>
                </w:p>
              </w:tc>
              <w:tc>
                <w:tcPr>
                  <w:tcW w:w="482" w:type="pct"/>
                  <w:vAlign w:val="center"/>
                </w:tcPr>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污染治理设施</w:t>
                  </w:r>
                </w:p>
                <w:p>
                  <w:pPr>
                    <w:pStyle w:val="114"/>
                    <w:adjustRightInd w:val="0"/>
                    <w:snapToGrid w:val="0"/>
                    <w:spacing w:line="240" w:lineRule="auto"/>
                    <w:ind w:firstLine="0" w:firstLineChars="0"/>
                    <w:jc w:val="center"/>
                    <w:rPr>
                      <w:rFonts w:ascii="Times New Roman" w:hAnsi="Times New Roman" w:cs="Times New Roman"/>
                      <w:b/>
                      <w:color w:val="auto"/>
                      <w:kern w:val="0"/>
                      <w:sz w:val="21"/>
                      <w:szCs w:val="18"/>
                      <w:u w:val="none"/>
                    </w:rPr>
                  </w:pPr>
                  <w:r>
                    <w:rPr>
                      <w:rFonts w:ascii="Times New Roman" w:hAnsi="Times New Roman" w:cs="Times New Roman"/>
                      <w:b/>
                      <w:color w:val="auto"/>
                      <w:kern w:val="0"/>
                      <w:sz w:val="21"/>
                      <w:szCs w:val="18"/>
                      <w:u w:val="none"/>
                    </w:rPr>
                    <w:t>工艺</w:t>
                  </w:r>
                </w:p>
              </w:tc>
              <w:tc>
                <w:tcPr>
                  <w:tcW w:w="374"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463"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355"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464"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361"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269"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490"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c>
                <w:tcPr>
                  <w:tcW w:w="547" w:type="pct"/>
                  <w:vMerge w:val="continue"/>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1" w:hRule="atLeast"/>
              </w:trPr>
              <w:tc>
                <w:tcPr>
                  <w:tcW w:w="306" w:type="pct"/>
                  <w:vMerge w:val="restart"/>
                  <w:vAlign w:val="center"/>
                </w:tcPr>
                <w:p>
                  <w:pPr>
                    <w:pStyle w:val="114"/>
                    <w:adjustRightInd w:val="0"/>
                    <w:snapToGrid w:val="0"/>
                    <w:spacing w:line="240" w:lineRule="auto"/>
                    <w:ind w:firstLine="0" w:firstLineChars="0"/>
                    <w:jc w:val="center"/>
                    <w:rPr>
                      <w:rFonts w:hint="eastAsia" w:ascii="Times New Roman" w:hAnsi="Times New Roman" w:eastAsia="宋体" w:cs="Times New Roman"/>
                      <w:color w:val="auto"/>
                      <w:kern w:val="0"/>
                      <w:sz w:val="21"/>
                      <w:szCs w:val="18"/>
                      <w:u w:val="none"/>
                      <w:lang w:eastAsia="zh-CN"/>
                    </w:rPr>
                  </w:pPr>
                  <w:r>
                    <w:rPr>
                      <w:rFonts w:hint="eastAsia" w:ascii="Times New Roman" w:hAnsi="Times New Roman" w:cs="Times New Roman"/>
                      <w:color w:val="auto"/>
                      <w:kern w:val="0"/>
                      <w:sz w:val="21"/>
                      <w:szCs w:val="18"/>
                      <w:u w:val="none"/>
                      <w:lang w:eastAsia="zh-CN"/>
                    </w:rPr>
                    <w:t>综合废水</w:t>
                  </w:r>
                </w:p>
              </w:tc>
              <w:tc>
                <w:tcPr>
                  <w:tcW w:w="507" w:type="pct"/>
                  <w:vMerge w:val="restart"/>
                  <w:vAlign w:val="center"/>
                </w:tcPr>
                <w:p>
                  <w:pPr>
                    <w:pStyle w:val="114"/>
                    <w:adjustRightInd w:val="0"/>
                    <w:snapToGrid w:val="0"/>
                    <w:spacing w:line="240" w:lineRule="auto"/>
                    <w:ind w:firstLine="0" w:firstLineChars="0"/>
                    <w:jc w:val="center"/>
                    <w:rPr>
                      <w:rFonts w:hint="default"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员工生活办公</w:t>
                  </w:r>
                </w:p>
              </w:tc>
              <w:tc>
                <w:tcPr>
                  <w:tcW w:w="378" w:type="pct"/>
                  <w:vMerge w:val="restart"/>
                  <w:vAlign w:val="center"/>
                </w:tcPr>
                <w:p>
                  <w:pPr>
                    <w:widowControl w:val="0"/>
                    <w:spacing w:after="0"/>
                    <w:jc w:val="center"/>
                    <w:rPr>
                      <w:rFonts w:hint="default"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化粪池</w:t>
                  </w:r>
                </w:p>
              </w:tc>
              <w:tc>
                <w:tcPr>
                  <w:tcW w:w="482" w:type="pct"/>
                  <w:vMerge w:val="restart"/>
                  <w:vAlign w:val="center"/>
                </w:tcPr>
                <w:p>
                  <w:pPr>
                    <w:widowControl w:val="0"/>
                    <w:spacing w:after="0"/>
                    <w:jc w:val="center"/>
                    <w:rPr>
                      <w:rFonts w:hint="default"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厌氧</w:t>
                  </w:r>
                </w:p>
              </w:tc>
              <w:tc>
                <w:tcPr>
                  <w:tcW w:w="374" w:type="pct"/>
                  <w:vMerge w:val="restart"/>
                  <w:vAlign w:val="center"/>
                </w:tcPr>
                <w:p>
                  <w:pPr>
                    <w:widowControl w:val="0"/>
                    <w:spacing w:after="0"/>
                    <w:jc w:val="center"/>
                    <w:rPr>
                      <w:rFonts w:hint="default"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DW001</w:t>
                  </w:r>
                </w:p>
              </w:tc>
              <w:tc>
                <w:tcPr>
                  <w:tcW w:w="463" w:type="pct"/>
                  <w:vMerge w:val="restar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ascii="Times New Roman" w:hAnsi="Times New Roman" w:eastAsia="宋体" w:cs="Times New Roman"/>
                      <w:color w:val="auto"/>
                      <w:kern w:val="2"/>
                      <w:sz w:val="21"/>
                      <w:szCs w:val="21"/>
                      <w:u w:val="none"/>
                      <w:lang w:val="en-US" w:eastAsia="zh-CN"/>
                    </w:rPr>
                    <w:t>经度：</w:t>
                  </w:r>
                  <w:r>
                    <w:rPr>
                      <w:rFonts w:hint="eastAsia" w:cs="Times New Roman"/>
                      <w:color w:val="auto"/>
                      <w:kern w:val="2"/>
                      <w:sz w:val="21"/>
                      <w:szCs w:val="21"/>
                      <w:u w:val="none"/>
                      <w:lang w:val="en-US" w:eastAsia="zh-CN"/>
                    </w:rPr>
                    <w:t>111.633329</w:t>
                  </w:r>
                </w:p>
                <w:p>
                  <w:pPr>
                    <w:widowControl w:val="0"/>
                    <w:spacing w:after="0"/>
                    <w:jc w:val="center"/>
                    <w:rPr>
                      <w:rFonts w:hint="default" w:ascii="Times New Roman" w:hAnsi="Times New Roman" w:cs="Times New Roman"/>
                      <w:color w:val="auto"/>
                      <w:kern w:val="0"/>
                      <w:sz w:val="21"/>
                      <w:szCs w:val="18"/>
                      <w:u w:val="none"/>
                      <w:lang w:val="en-US"/>
                    </w:rPr>
                  </w:pPr>
                  <w:r>
                    <w:rPr>
                      <w:rFonts w:hint="eastAsia" w:ascii="Times New Roman" w:hAnsi="Times New Roman" w:eastAsia="宋体" w:cs="Times New Roman"/>
                      <w:color w:val="auto"/>
                      <w:kern w:val="2"/>
                      <w:sz w:val="21"/>
                      <w:szCs w:val="21"/>
                      <w:u w:val="none"/>
                      <w:lang w:val="en-US" w:eastAsia="zh-CN"/>
                    </w:rPr>
                    <w:t>纬度：</w:t>
                  </w:r>
                  <w:r>
                    <w:rPr>
                      <w:rFonts w:hint="eastAsia" w:cs="Times New Roman"/>
                      <w:color w:val="auto"/>
                      <w:kern w:val="2"/>
                      <w:sz w:val="21"/>
                      <w:szCs w:val="21"/>
                      <w:u w:val="none"/>
                      <w:lang w:val="en-US" w:eastAsia="zh-CN"/>
                    </w:rPr>
                    <w:t>29.634497</w:t>
                  </w:r>
                </w:p>
              </w:tc>
              <w:tc>
                <w:tcPr>
                  <w:tcW w:w="355" w:type="pct"/>
                  <w:vMerge w:val="restart"/>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r>
                    <w:rPr>
                      <w:rFonts w:hint="eastAsia" w:ascii="Times New Roman" w:hAnsi="Times New Roman" w:cs="Times New Roman"/>
                      <w:color w:val="auto"/>
                      <w:kern w:val="0"/>
                      <w:sz w:val="21"/>
                      <w:szCs w:val="18"/>
                      <w:u w:val="none"/>
                    </w:rPr>
                    <w:t>间接排放</w:t>
                  </w:r>
                </w:p>
              </w:tc>
              <w:tc>
                <w:tcPr>
                  <w:tcW w:w="464" w:type="pct"/>
                  <w:vMerge w:val="restart"/>
                  <w:vAlign w:val="center"/>
                </w:tcPr>
                <w:p>
                  <w:pPr>
                    <w:pStyle w:val="114"/>
                    <w:adjustRightInd w:val="0"/>
                    <w:snapToGrid w:val="0"/>
                    <w:spacing w:line="240" w:lineRule="auto"/>
                    <w:ind w:firstLine="0" w:firstLineChars="0"/>
                    <w:jc w:val="center"/>
                    <w:rPr>
                      <w:rFonts w:hint="eastAsia" w:ascii="Times New Roman" w:hAnsi="Times New Roman" w:eastAsia="宋体" w:cs="Times New Roman"/>
                      <w:color w:val="auto"/>
                      <w:kern w:val="0"/>
                      <w:sz w:val="21"/>
                      <w:szCs w:val="18"/>
                      <w:u w:val="none"/>
                      <w:lang w:eastAsia="zh-CN"/>
                    </w:rPr>
                  </w:pPr>
                  <w:r>
                    <w:rPr>
                      <w:rFonts w:hint="eastAsia" w:ascii="Times New Roman" w:hAnsi="Times New Roman" w:cs="Times New Roman"/>
                      <w:color w:val="auto"/>
                      <w:kern w:val="0"/>
                      <w:sz w:val="21"/>
                      <w:szCs w:val="18"/>
                      <w:u w:val="none"/>
                      <w:lang w:eastAsia="zh-CN"/>
                    </w:rPr>
                    <w:t>园区生活污水处理站</w:t>
                  </w:r>
                </w:p>
              </w:tc>
              <w:tc>
                <w:tcPr>
                  <w:tcW w:w="361" w:type="pct"/>
                  <w:vMerge w:val="restart"/>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r>
                    <w:rPr>
                      <w:rFonts w:hint="eastAsia" w:ascii="Times New Roman" w:hAnsi="Times New Roman" w:cs="Times New Roman"/>
                      <w:color w:val="auto"/>
                      <w:kern w:val="0"/>
                      <w:sz w:val="21"/>
                      <w:szCs w:val="18"/>
                      <w:u w:val="none"/>
                    </w:rPr>
                    <w:t>一般排放口</w:t>
                  </w:r>
                </w:p>
              </w:tc>
              <w:tc>
                <w:tcPr>
                  <w:tcW w:w="269" w:type="pct"/>
                  <w:vAlign w:val="center"/>
                </w:tcPr>
                <w:p>
                  <w:pPr>
                    <w:widowControl w:val="0"/>
                    <w:spacing w:after="0"/>
                    <w:jc w:val="center"/>
                    <w:rPr>
                      <w:rFonts w:hint="default" w:ascii="Times New Roman" w:hAnsi="Times New Roman" w:eastAsia="微软雅黑" w:cs="Times New Roman"/>
                      <w:b w:val="0"/>
                      <w:bCs/>
                      <w:color w:val="auto"/>
                      <w:kern w:val="0"/>
                      <w:sz w:val="21"/>
                      <w:szCs w:val="18"/>
                      <w:u w:val="none"/>
                      <w:lang w:val="en-US" w:eastAsia="zh-CN"/>
                    </w:rPr>
                  </w:pPr>
                  <w:r>
                    <w:rPr>
                      <w:rFonts w:hint="eastAsia" w:ascii="Times New Roman" w:hAnsi="Times New Roman" w:cs="Times New Roman"/>
                      <w:b w:val="0"/>
                      <w:bCs/>
                      <w:color w:val="auto"/>
                      <w:kern w:val="0"/>
                      <w:sz w:val="21"/>
                      <w:szCs w:val="18"/>
                      <w:u w:val="none"/>
                      <w:lang w:val="en-US" w:eastAsia="zh-CN"/>
                    </w:rPr>
                    <w:t>pH</w:t>
                  </w:r>
                </w:p>
              </w:tc>
              <w:tc>
                <w:tcPr>
                  <w:tcW w:w="490" w:type="pct"/>
                  <w:vAlign w:val="center"/>
                </w:tcPr>
                <w:p>
                  <w:pPr>
                    <w:widowControl w:val="0"/>
                    <w:spacing w:after="0"/>
                    <w:jc w:val="center"/>
                    <w:rPr>
                      <w:rFonts w:hint="default" w:ascii="Times New Roman" w:hAnsi="Times New Roman" w:eastAsia="微软雅黑" w:cs="Times New Roman"/>
                      <w:color w:val="auto"/>
                      <w:kern w:val="0"/>
                      <w:sz w:val="21"/>
                      <w:szCs w:val="21"/>
                      <w:u w:val="none"/>
                      <w:lang w:val="en-US" w:eastAsia="zh-CN"/>
                    </w:rPr>
                  </w:pPr>
                  <w:r>
                    <w:rPr>
                      <w:rFonts w:hint="eastAsia" w:ascii="Times New Roman" w:hAnsi="Times New Roman" w:cs="Times New Roman"/>
                      <w:color w:val="auto"/>
                      <w:kern w:val="0"/>
                      <w:sz w:val="21"/>
                      <w:szCs w:val="21"/>
                      <w:u w:val="none"/>
                      <w:lang w:val="en-US" w:eastAsia="zh-CN"/>
                    </w:rPr>
                    <w:t>6-9</w:t>
                  </w:r>
                </w:p>
              </w:tc>
              <w:tc>
                <w:tcPr>
                  <w:tcW w:w="547" w:type="pct"/>
                  <w:vMerge w:val="restart"/>
                  <w:vAlign w:val="center"/>
                </w:tcPr>
                <w:p>
                  <w:pPr>
                    <w:pStyle w:val="114"/>
                    <w:adjustRightInd w:val="0"/>
                    <w:snapToGrid w:val="0"/>
                    <w:spacing w:line="240" w:lineRule="auto"/>
                    <w:ind w:firstLine="0" w:firstLineChars="0"/>
                    <w:jc w:val="center"/>
                    <w:rPr>
                      <w:rFonts w:ascii="Times New Roman" w:hAnsi="Times New Roman" w:cs="Times New Roman"/>
                      <w:color w:val="auto"/>
                      <w:kern w:val="0"/>
                      <w:sz w:val="21"/>
                      <w:szCs w:val="18"/>
                      <w:u w:val="none"/>
                    </w:rPr>
                  </w:pPr>
                  <w:r>
                    <w:rPr>
                      <w:bCs w:val="0"/>
                      <w:color w:val="auto"/>
                      <w:sz w:val="21"/>
                      <w:szCs w:val="21"/>
                      <w:u w:val="none"/>
                    </w:rPr>
                    <w:t>《</w:t>
                  </w:r>
                  <w:r>
                    <w:rPr>
                      <w:rFonts w:hint="eastAsia"/>
                      <w:bCs w:val="0"/>
                      <w:color w:val="auto"/>
                      <w:sz w:val="21"/>
                      <w:szCs w:val="21"/>
                      <w:u w:val="none"/>
                      <w:lang w:eastAsia="zh-CN"/>
                    </w:rPr>
                    <w:t>污水综合排放标准</w:t>
                  </w:r>
                  <w:r>
                    <w:rPr>
                      <w:bCs w:val="0"/>
                      <w:color w:val="auto"/>
                      <w:sz w:val="21"/>
                      <w:szCs w:val="21"/>
                      <w:u w:val="none"/>
                    </w:rPr>
                    <w:t>》（GB89</w:t>
                  </w:r>
                  <w:r>
                    <w:rPr>
                      <w:rFonts w:hint="eastAsia"/>
                      <w:bCs w:val="0"/>
                      <w:color w:val="auto"/>
                      <w:sz w:val="21"/>
                      <w:szCs w:val="21"/>
                      <w:u w:val="none"/>
                      <w:lang w:val="en-US" w:eastAsia="zh-CN"/>
                    </w:rPr>
                    <w:t>7</w:t>
                  </w:r>
                  <w:r>
                    <w:rPr>
                      <w:bCs w:val="0"/>
                      <w:color w:val="auto"/>
                      <w:sz w:val="21"/>
                      <w:szCs w:val="21"/>
                      <w:u w:val="none"/>
                    </w:rPr>
                    <w:t>8-</w:t>
                  </w:r>
                  <w:r>
                    <w:rPr>
                      <w:rFonts w:hint="eastAsia"/>
                      <w:bCs w:val="0"/>
                      <w:color w:val="auto"/>
                      <w:sz w:val="21"/>
                      <w:szCs w:val="21"/>
                      <w:u w:val="none"/>
                      <w:lang w:val="en-US" w:eastAsia="zh-CN"/>
                    </w:rPr>
                    <w:t>1996</w:t>
                  </w:r>
                  <w:r>
                    <w:rPr>
                      <w:bCs w:val="0"/>
                      <w:color w:val="auto"/>
                      <w:sz w:val="21"/>
                      <w:szCs w:val="21"/>
                      <w:u w:val="none"/>
                    </w:rPr>
                    <w:t>）中表</w:t>
                  </w:r>
                  <w:r>
                    <w:rPr>
                      <w:rFonts w:hint="eastAsia"/>
                      <w:bCs w:val="0"/>
                      <w:color w:val="auto"/>
                      <w:sz w:val="21"/>
                      <w:szCs w:val="21"/>
                      <w:u w:val="none"/>
                      <w:lang w:val="en-US" w:eastAsia="zh-CN"/>
                    </w:rPr>
                    <w:t>4</w:t>
                  </w:r>
                  <w:r>
                    <w:rPr>
                      <w:rFonts w:hint="eastAsia"/>
                      <w:bCs w:val="0"/>
                      <w:color w:val="auto"/>
                      <w:sz w:val="21"/>
                      <w:szCs w:val="21"/>
                      <w:u w:val="none"/>
                      <w:lang w:eastAsia="zh-CN"/>
                    </w:rPr>
                    <w:t>三级</w:t>
                  </w:r>
                  <w:r>
                    <w:rPr>
                      <w:bCs w:val="0"/>
                      <w:color w:val="auto"/>
                      <w:sz w:val="21"/>
                      <w:szCs w:val="21"/>
                      <w:u w:val="none"/>
                    </w:rPr>
                    <w:t>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6" w:type="pct"/>
                  <w:vMerge w:val="continue"/>
                  <w:vAlign w:val="center"/>
                </w:tcPr>
                <w:p>
                  <w:pPr>
                    <w:widowControl w:val="0"/>
                    <w:spacing w:after="0"/>
                    <w:jc w:val="center"/>
                    <w:rPr>
                      <w:color w:val="0000FF"/>
                      <w:u w:val="none"/>
                    </w:rPr>
                  </w:pPr>
                </w:p>
              </w:tc>
              <w:tc>
                <w:tcPr>
                  <w:tcW w:w="507" w:type="pct"/>
                  <w:vMerge w:val="continue"/>
                  <w:vAlign w:val="center"/>
                </w:tcPr>
                <w:p>
                  <w:pPr>
                    <w:widowControl w:val="0"/>
                    <w:spacing w:after="0"/>
                    <w:jc w:val="center"/>
                    <w:rPr>
                      <w:color w:val="0000FF"/>
                      <w:u w:val="none"/>
                    </w:rPr>
                  </w:pPr>
                </w:p>
              </w:tc>
              <w:tc>
                <w:tcPr>
                  <w:tcW w:w="378" w:type="pct"/>
                  <w:vMerge w:val="continue"/>
                  <w:vAlign w:val="center"/>
                </w:tcPr>
                <w:p>
                  <w:pPr>
                    <w:widowControl w:val="0"/>
                    <w:spacing w:after="0"/>
                    <w:jc w:val="center"/>
                    <w:rPr>
                      <w:color w:val="0000FF"/>
                      <w:u w:val="none"/>
                    </w:rPr>
                  </w:pPr>
                </w:p>
              </w:tc>
              <w:tc>
                <w:tcPr>
                  <w:tcW w:w="482" w:type="pct"/>
                  <w:vMerge w:val="continue"/>
                  <w:vAlign w:val="center"/>
                </w:tcPr>
                <w:p>
                  <w:pPr>
                    <w:widowControl w:val="0"/>
                    <w:spacing w:after="0"/>
                    <w:jc w:val="center"/>
                    <w:rPr>
                      <w:color w:val="0000FF"/>
                      <w:u w:val="none"/>
                    </w:rPr>
                  </w:pPr>
                </w:p>
              </w:tc>
              <w:tc>
                <w:tcPr>
                  <w:tcW w:w="374" w:type="pct"/>
                  <w:vMerge w:val="continue"/>
                  <w:vAlign w:val="center"/>
                </w:tcPr>
                <w:p>
                  <w:pPr>
                    <w:widowControl w:val="0"/>
                    <w:spacing w:after="0"/>
                    <w:jc w:val="center"/>
                    <w:rPr>
                      <w:color w:val="0000FF"/>
                      <w:u w:val="none"/>
                    </w:rPr>
                  </w:pPr>
                </w:p>
              </w:tc>
              <w:tc>
                <w:tcPr>
                  <w:tcW w:w="463" w:type="pct"/>
                  <w:vMerge w:val="continue"/>
                  <w:vAlign w:val="center"/>
                </w:tcPr>
                <w:p>
                  <w:pPr>
                    <w:widowControl w:val="0"/>
                    <w:spacing w:after="0"/>
                    <w:jc w:val="center"/>
                    <w:rPr>
                      <w:color w:val="0000FF"/>
                      <w:u w:val="none"/>
                    </w:rPr>
                  </w:pPr>
                </w:p>
              </w:tc>
              <w:tc>
                <w:tcPr>
                  <w:tcW w:w="355" w:type="pct"/>
                  <w:vMerge w:val="continue"/>
                  <w:vAlign w:val="center"/>
                </w:tcPr>
                <w:p>
                  <w:pPr>
                    <w:widowControl w:val="0"/>
                    <w:spacing w:after="0"/>
                    <w:jc w:val="center"/>
                    <w:rPr>
                      <w:color w:val="0000FF"/>
                      <w:u w:val="none"/>
                    </w:rPr>
                  </w:pPr>
                </w:p>
              </w:tc>
              <w:tc>
                <w:tcPr>
                  <w:tcW w:w="464" w:type="pct"/>
                  <w:vMerge w:val="continue"/>
                  <w:vAlign w:val="center"/>
                </w:tcPr>
                <w:p>
                  <w:pPr>
                    <w:widowControl w:val="0"/>
                    <w:spacing w:after="0"/>
                    <w:jc w:val="center"/>
                    <w:rPr>
                      <w:color w:val="0000FF"/>
                      <w:u w:val="none"/>
                    </w:rPr>
                  </w:pPr>
                </w:p>
              </w:tc>
              <w:tc>
                <w:tcPr>
                  <w:tcW w:w="361" w:type="pct"/>
                  <w:vMerge w:val="continue"/>
                  <w:vAlign w:val="center"/>
                </w:tcPr>
                <w:p>
                  <w:pPr>
                    <w:widowControl w:val="0"/>
                    <w:spacing w:after="0"/>
                    <w:jc w:val="center"/>
                    <w:rPr>
                      <w:color w:val="0000FF"/>
                      <w:u w:val="none"/>
                    </w:rPr>
                  </w:pPr>
                </w:p>
              </w:tc>
              <w:tc>
                <w:tcPr>
                  <w:tcW w:w="269" w:type="pct"/>
                  <w:vAlign w:val="center"/>
                </w:tcPr>
                <w:p>
                  <w:pPr>
                    <w:widowControl w:val="0"/>
                    <w:spacing w:after="0"/>
                    <w:jc w:val="center"/>
                    <w:rPr>
                      <w:rFonts w:hint="default" w:ascii="Times New Roman" w:hAnsi="Times New Roman" w:cs="Times New Roman"/>
                      <w:b w:val="0"/>
                      <w:bCs/>
                      <w:color w:val="auto"/>
                      <w:u w:val="none"/>
                    </w:rPr>
                  </w:pPr>
                  <w:r>
                    <w:rPr>
                      <w:rFonts w:hint="default" w:ascii="Times New Roman" w:hAnsi="Times New Roman" w:cs="Times New Roman"/>
                      <w:b w:val="0"/>
                      <w:bCs/>
                      <w:color w:val="auto"/>
                      <w:u w:val="none"/>
                    </w:rPr>
                    <w:t>COD</w:t>
                  </w:r>
                  <w:r>
                    <w:rPr>
                      <w:rFonts w:hint="default" w:ascii="Times New Roman" w:hAnsi="Times New Roman" w:cs="Times New Roman"/>
                      <w:b w:val="0"/>
                      <w:bCs/>
                      <w:color w:val="auto"/>
                      <w:u w:val="none"/>
                      <w:vertAlign w:val="subscript"/>
                    </w:rPr>
                    <w:t>Cr</w:t>
                  </w:r>
                </w:p>
              </w:tc>
              <w:tc>
                <w:tcPr>
                  <w:tcW w:w="490" w:type="pct"/>
                  <w:vAlign w:val="center"/>
                </w:tcPr>
                <w:p>
                  <w:pPr>
                    <w:widowControl w:val="0"/>
                    <w:spacing w:after="0"/>
                    <w:jc w:val="center"/>
                    <w:rPr>
                      <w:rFonts w:hint="default" w:ascii="Times New Roman" w:hAnsi="Times New Roman" w:cs="Times New Roman"/>
                      <w:b w:val="0"/>
                      <w:bCs/>
                      <w:color w:val="auto"/>
                      <w:u w:val="none"/>
                      <w:lang w:val="en-US"/>
                    </w:rPr>
                  </w:pPr>
                  <w:r>
                    <w:rPr>
                      <w:rFonts w:hint="eastAsia" w:cs="Times New Roman"/>
                      <w:color w:val="auto"/>
                      <w:kern w:val="0"/>
                      <w:sz w:val="21"/>
                      <w:szCs w:val="21"/>
                      <w:u w:val="none"/>
                      <w:lang w:val="en-US" w:eastAsia="zh-CN"/>
                    </w:rPr>
                    <w:t>500</w:t>
                  </w:r>
                </w:p>
              </w:tc>
              <w:tc>
                <w:tcPr>
                  <w:tcW w:w="547" w:type="pct"/>
                  <w:vMerge w:val="continue"/>
                  <w:vAlign w:val="center"/>
                </w:tcPr>
                <w:p>
                  <w:pPr>
                    <w:widowControl w:val="0"/>
                    <w:spacing w:after="0"/>
                    <w:jc w:val="center"/>
                    <w:rPr>
                      <w:rFonts w:hint="default" w:ascii="Times New Roman" w:hAnsi="Times New Roman" w:cs="Times New Roman"/>
                      <w:b w:val="0"/>
                      <w:bCs/>
                      <w:color w:val="0000FF"/>
                      <w:u w:val="none"/>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6" w:type="pct"/>
                  <w:vMerge w:val="continue"/>
                  <w:vAlign w:val="center"/>
                </w:tcPr>
                <w:p>
                  <w:pPr>
                    <w:widowControl w:val="0"/>
                    <w:spacing w:after="0"/>
                    <w:jc w:val="center"/>
                    <w:rPr>
                      <w:color w:val="0000FF"/>
                      <w:u w:val="none"/>
                    </w:rPr>
                  </w:pPr>
                </w:p>
              </w:tc>
              <w:tc>
                <w:tcPr>
                  <w:tcW w:w="507" w:type="pct"/>
                  <w:vMerge w:val="continue"/>
                  <w:vAlign w:val="center"/>
                </w:tcPr>
                <w:p>
                  <w:pPr>
                    <w:widowControl w:val="0"/>
                    <w:spacing w:after="0"/>
                    <w:jc w:val="center"/>
                    <w:rPr>
                      <w:color w:val="0000FF"/>
                      <w:u w:val="none"/>
                    </w:rPr>
                  </w:pPr>
                </w:p>
              </w:tc>
              <w:tc>
                <w:tcPr>
                  <w:tcW w:w="378" w:type="pct"/>
                  <w:vMerge w:val="continue"/>
                  <w:vAlign w:val="center"/>
                </w:tcPr>
                <w:p>
                  <w:pPr>
                    <w:widowControl w:val="0"/>
                    <w:spacing w:after="0"/>
                    <w:jc w:val="center"/>
                    <w:rPr>
                      <w:color w:val="0000FF"/>
                      <w:u w:val="none"/>
                    </w:rPr>
                  </w:pPr>
                </w:p>
              </w:tc>
              <w:tc>
                <w:tcPr>
                  <w:tcW w:w="482" w:type="pct"/>
                  <w:vMerge w:val="continue"/>
                  <w:vAlign w:val="center"/>
                </w:tcPr>
                <w:p>
                  <w:pPr>
                    <w:widowControl w:val="0"/>
                    <w:spacing w:after="0"/>
                    <w:jc w:val="center"/>
                    <w:rPr>
                      <w:color w:val="0000FF"/>
                      <w:u w:val="none"/>
                    </w:rPr>
                  </w:pPr>
                </w:p>
              </w:tc>
              <w:tc>
                <w:tcPr>
                  <w:tcW w:w="374" w:type="pct"/>
                  <w:vMerge w:val="continue"/>
                  <w:vAlign w:val="center"/>
                </w:tcPr>
                <w:p>
                  <w:pPr>
                    <w:widowControl w:val="0"/>
                    <w:spacing w:after="0"/>
                    <w:jc w:val="center"/>
                    <w:rPr>
                      <w:color w:val="0000FF"/>
                      <w:u w:val="none"/>
                    </w:rPr>
                  </w:pPr>
                </w:p>
              </w:tc>
              <w:tc>
                <w:tcPr>
                  <w:tcW w:w="463" w:type="pct"/>
                  <w:vMerge w:val="continue"/>
                  <w:vAlign w:val="center"/>
                </w:tcPr>
                <w:p>
                  <w:pPr>
                    <w:widowControl w:val="0"/>
                    <w:spacing w:after="0"/>
                    <w:jc w:val="center"/>
                    <w:rPr>
                      <w:color w:val="0000FF"/>
                      <w:u w:val="none"/>
                    </w:rPr>
                  </w:pPr>
                </w:p>
              </w:tc>
              <w:tc>
                <w:tcPr>
                  <w:tcW w:w="355" w:type="pct"/>
                  <w:vMerge w:val="continue"/>
                  <w:vAlign w:val="center"/>
                </w:tcPr>
                <w:p>
                  <w:pPr>
                    <w:widowControl w:val="0"/>
                    <w:spacing w:after="0"/>
                    <w:jc w:val="center"/>
                    <w:rPr>
                      <w:color w:val="0000FF"/>
                      <w:u w:val="none"/>
                    </w:rPr>
                  </w:pPr>
                </w:p>
              </w:tc>
              <w:tc>
                <w:tcPr>
                  <w:tcW w:w="464" w:type="pct"/>
                  <w:vMerge w:val="continue"/>
                  <w:vAlign w:val="center"/>
                </w:tcPr>
                <w:p>
                  <w:pPr>
                    <w:widowControl w:val="0"/>
                    <w:spacing w:after="0"/>
                    <w:jc w:val="center"/>
                    <w:rPr>
                      <w:color w:val="0000FF"/>
                      <w:u w:val="none"/>
                    </w:rPr>
                  </w:pPr>
                </w:p>
              </w:tc>
              <w:tc>
                <w:tcPr>
                  <w:tcW w:w="361" w:type="pct"/>
                  <w:vMerge w:val="continue"/>
                  <w:vAlign w:val="center"/>
                </w:tcPr>
                <w:p>
                  <w:pPr>
                    <w:widowControl w:val="0"/>
                    <w:spacing w:after="0"/>
                    <w:jc w:val="center"/>
                    <w:rPr>
                      <w:color w:val="0000FF"/>
                      <w:u w:val="none"/>
                    </w:rPr>
                  </w:pPr>
                </w:p>
              </w:tc>
              <w:tc>
                <w:tcPr>
                  <w:tcW w:w="269" w:type="pct"/>
                  <w:vAlign w:val="center"/>
                </w:tcPr>
                <w:p>
                  <w:pPr>
                    <w:widowControl w:val="0"/>
                    <w:spacing w:after="0"/>
                    <w:jc w:val="center"/>
                    <w:rPr>
                      <w:rFonts w:hint="default" w:ascii="Times New Roman" w:hAnsi="Times New Roman" w:eastAsia="宋体" w:cs="Times New Roman"/>
                      <w:b w:val="0"/>
                      <w:bCs/>
                      <w:color w:val="auto"/>
                      <w:kern w:val="2"/>
                      <w:sz w:val="21"/>
                      <w:szCs w:val="21"/>
                      <w:u w:val="none"/>
                      <w:lang w:val="en-US" w:eastAsia="zh-CN"/>
                    </w:rPr>
                  </w:pPr>
                  <w:r>
                    <w:rPr>
                      <w:rFonts w:hint="default" w:ascii="Times New Roman" w:hAnsi="Times New Roman" w:cs="Times New Roman"/>
                      <w:b w:val="0"/>
                      <w:bCs/>
                      <w:color w:val="auto"/>
                      <w:u w:val="none"/>
                    </w:rPr>
                    <w:t>NH</w:t>
                  </w:r>
                  <w:r>
                    <w:rPr>
                      <w:rFonts w:hint="default" w:ascii="Times New Roman" w:hAnsi="Times New Roman" w:cs="Times New Roman"/>
                      <w:b w:val="0"/>
                      <w:bCs/>
                      <w:color w:val="auto"/>
                      <w:u w:val="none"/>
                      <w:vertAlign w:val="subscript"/>
                    </w:rPr>
                    <w:t>3</w:t>
                  </w:r>
                  <w:r>
                    <w:rPr>
                      <w:rFonts w:hint="default" w:ascii="Times New Roman" w:hAnsi="Times New Roman" w:cs="Times New Roman"/>
                      <w:b w:val="0"/>
                      <w:bCs/>
                      <w:color w:val="auto"/>
                      <w:u w:val="none"/>
                    </w:rPr>
                    <w:t>-N</w:t>
                  </w:r>
                </w:p>
              </w:tc>
              <w:tc>
                <w:tcPr>
                  <w:tcW w:w="49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54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6"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50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378"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482"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374"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463"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355"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464"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361"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c>
                <w:tcPr>
                  <w:tcW w:w="269" w:type="pct"/>
                  <w:vAlign w:val="center"/>
                </w:tcPr>
                <w:p>
                  <w:pPr>
                    <w:widowControl w:val="0"/>
                    <w:spacing w:after="0"/>
                    <w:jc w:val="center"/>
                    <w:rPr>
                      <w:rFonts w:hint="default" w:ascii="Times New Roman" w:hAnsi="Times New Roman" w:eastAsia="宋体" w:cs="Times New Roman"/>
                      <w:b w:val="0"/>
                      <w:bCs/>
                      <w:color w:val="auto"/>
                      <w:kern w:val="2"/>
                      <w:sz w:val="21"/>
                      <w:szCs w:val="21"/>
                      <w:u w:val="none"/>
                      <w:lang w:val="en-US" w:eastAsia="zh-CN"/>
                    </w:rPr>
                  </w:pPr>
                  <w:r>
                    <w:rPr>
                      <w:rFonts w:hint="default" w:ascii="Times New Roman" w:hAnsi="Times New Roman" w:cs="Times New Roman"/>
                      <w:b w:val="0"/>
                      <w:bCs/>
                      <w:color w:val="auto"/>
                      <w:u w:val="none"/>
                    </w:rPr>
                    <w:t>SS</w:t>
                  </w:r>
                </w:p>
              </w:tc>
              <w:tc>
                <w:tcPr>
                  <w:tcW w:w="49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400</w:t>
                  </w:r>
                </w:p>
              </w:tc>
              <w:tc>
                <w:tcPr>
                  <w:tcW w:w="54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6" w:type="pct"/>
                  <w:vMerge w:val="continue"/>
                  <w:vAlign w:val="center"/>
                </w:tcPr>
                <w:p>
                  <w:pPr>
                    <w:widowControl w:val="0"/>
                    <w:spacing w:after="0"/>
                    <w:jc w:val="center"/>
                    <w:rPr>
                      <w:color w:val="0000FF"/>
                      <w:u w:val="none"/>
                    </w:rPr>
                  </w:pPr>
                </w:p>
              </w:tc>
              <w:tc>
                <w:tcPr>
                  <w:tcW w:w="507" w:type="pct"/>
                  <w:vMerge w:val="continue"/>
                  <w:vAlign w:val="center"/>
                </w:tcPr>
                <w:p>
                  <w:pPr>
                    <w:widowControl w:val="0"/>
                    <w:spacing w:after="0"/>
                    <w:jc w:val="center"/>
                    <w:rPr>
                      <w:color w:val="0000FF"/>
                      <w:u w:val="none"/>
                    </w:rPr>
                  </w:pPr>
                </w:p>
              </w:tc>
              <w:tc>
                <w:tcPr>
                  <w:tcW w:w="378" w:type="pct"/>
                  <w:vMerge w:val="continue"/>
                  <w:vAlign w:val="center"/>
                </w:tcPr>
                <w:p>
                  <w:pPr>
                    <w:widowControl w:val="0"/>
                    <w:spacing w:after="0"/>
                    <w:jc w:val="center"/>
                    <w:rPr>
                      <w:color w:val="0000FF"/>
                      <w:u w:val="none"/>
                    </w:rPr>
                  </w:pPr>
                </w:p>
              </w:tc>
              <w:tc>
                <w:tcPr>
                  <w:tcW w:w="482" w:type="pct"/>
                  <w:vMerge w:val="continue"/>
                  <w:vAlign w:val="center"/>
                </w:tcPr>
                <w:p>
                  <w:pPr>
                    <w:widowControl w:val="0"/>
                    <w:spacing w:after="0"/>
                    <w:jc w:val="center"/>
                    <w:rPr>
                      <w:color w:val="0000FF"/>
                      <w:u w:val="none"/>
                    </w:rPr>
                  </w:pPr>
                </w:p>
              </w:tc>
              <w:tc>
                <w:tcPr>
                  <w:tcW w:w="374" w:type="pct"/>
                  <w:vMerge w:val="continue"/>
                  <w:vAlign w:val="center"/>
                </w:tcPr>
                <w:p>
                  <w:pPr>
                    <w:widowControl w:val="0"/>
                    <w:spacing w:after="0"/>
                    <w:jc w:val="center"/>
                    <w:rPr>
                      <w:color w:val="0000FF"/>
                      <w:u w:val="none"/>
                    </w:rPr>
                  </w:pPr>
                </w:p>
              </w:tc>
              <w:tc>
                <w:tcPr>
                  <w:tcW w:w="463" w:type="pct"/>
                  <w:vMerge w:val="continue"/>
                  <w:vAlign w:val="center"/>
                </w:tcPr>
                <w:p>
                  <w:pPr>
                    <w:widowControl w:val="0"/>
                    <w:spacing w:after="0"/>
                    <w:jc w:val="center"/>
                    <w:rPr>
                      <w:color w:val="0000FF"/>
                      <w:u w:val="none"/>
                    </w:rPr>
                  </w:pPr>
                </w:p>
              </w:tc>
              <w:tc>
                <w:tcPr>
                  <w:tcW w:w="355" w:type="pct"/>
                  <w:vMerge w:val="continue"/>
                  <w:vAlign w:val="center"/>
                </w:tcPr>
                <w:p>
                  <w:pPr>
                    <w:widowControl w:val="0"/>
                    <w:spacing w:after="0"/>
                    <w:jc w:val="center"/>
                    <w:rPr>
                      <w:color w:val="0000FF"/>
                      <w:u w:val="none"/>
                    </w:rPr>
                  </w:pPr>
                </w:p>
              </w:tc>
              <w:tc>
                <w:tcPr>
                  <w:tcW w:w="464" w:type="pct"/>
                  <w:vMerge w:val="continue"/>
                  <w:vAlign w:val="center"/>
                </w:tcPr>
                <w:p>
                  <w:pPr>
                    <w:widowControl w:val="0"/>
                    <w:spacing w:after="0"/>
                    <w:jc w:val="center"/>
                    <w:rPr>
                      <w:color w:val="0000FF"/>
                      <w:u w:val="none"/>
                    </w:rPr>
                  </w:pPr>
                </w:p>
              </w:tc>
              <w:tc>
                <w:tcPr>
                  <w:tcW w:w="361" w:type="pct"/>
                  <w:vMerge w:val="continue"/>
                  <w:vAlign w:val="center"/>
                </w:tcPr>
                <w:p>
                  <w:pPr>
                    <w:widowControl w:val="0"/>
                    <w:spacing w:after="0"/>
                    <w:jc w:val="center"/>
                    <w:rPr>
                      <w:color w:val="0000FF"/>
                      <w:u w:val="none"/>
                    </w:rPr>
                  </w:pPr>
                </w:p>
              </w:tc>
              <w:tc>
                <w:tcPr>
                  <w:tcW w:w="269" w:type="pct"/>
                  <w:vAlign w:val="center"/>
                </w:tcPr>
                <w:p>
                  <w:pPr>
                    <w:widowControl w:val="0"/>
                    <w:spacing w:after="0"/>
                    <w:jc w:val="center"/>
                    <w:rPr>
                      <w:rFonts w:hint="default" w:ascii="Times New Roman" w:hAnsi="Times New Roman" w:eastAsia="宋体" w:cs="Times New Roman"/>
                      <w:b w:val="0"/>
                      <w:bCs/>
                      <w:color w:val="auto"/>
                      <w:kern w:val="2"/>
                      <w:sz w:val="21"/>
                      <w:szCs w:val="21"/>
                      <w:u w:val="none"/>
                      <w:lang w:val="en-US" w:eastAsia="zh-CN"/>
                    </w:rPr>
                  </w:pPr>
                  <w:r>
                    <w:rPr>
                      <w:rFonts w:hint="eastAsia" w:ascii="Times New Roman" w:hAnsi="Times New Roman" w:eastAsia="宋体" w:cs="Times New Roman"/>
                      <w:b w:val="0"/>
                      <w:bCs/>
                      <w:color w:val="auto"/>
                      <w:kern w:val="2"/>
                      <w:sz w:val="21"/>
                      <w:szCs w:val="21"/>
                      <w:u w:val="none"/>
                      <w:lang w:val="en-US" w:eastAsia="zh-CN"/>
                    </w:rPr>
                    <w:t>BOD</w:t>
                  </w:r>
                  <w:r>
                    <w:rPr>
                      <w:rFonts w:hint="eastAsia" w:ascii="Times New Roman" w:hAnsi="Times New Roman" w:eastAsia="宋体" w:cs="Times New Roman"/>
                      <w:b w:val="0"/>
                      <w:bCs/>
                      <w:color w:val="auto"/>
                      <w:kern w:val="2"/>
                      <w:sz w:val="21"/>
                      <w:szCs w:val="21"/>
                      <w:u w:val="none"/>
                      <w:vertAlign w:val="subscript"/>
                      <w:lang w:val="en-US" w:eastAsia="zh-CN"/>
                    </w:rPr>
                    <w:t>5</w:t>
                  </w:r>
                </w:p>
              </w:tc>
              <w:tc>
                <w:tcPr>
                  <w:tcW w:w="49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300</w:t>
                  </w:r>
                </w:p>
              </w:tc>
              <w:tc>
                <w:tcPr>
                  <w:tcW w:w="54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6" w:type="pct"/>
                  <w:vMerge w:val="continue"/>
                  <w:vAlign w:val="center"/>
                </w:tcPr>
                <w:p>
                  <w:pPr>
                    <w:widowControl w:val="0"/>
                    <w:spacing w:after="0"/>
                    <w:jc w:val="center"/>
                    <w:rPr>
                      <w:color w:val="0000FF"/>
                      <w:u w:val="none"/>
                    </w:rPr>
                  </w:pPr>
                </w:p>
              </w:tc>
              <w:tc>
                <w:tcPr>
                  <w:tcW w:w="507" w:type="pct"/>
                  <w:vMerge w:val="continue"/>
                  <w:vAlign w:val="center"/>
                </w:tcPr>
                <w:p>
                  <w:pPr>
                    <w:widowControl w:val="0"/>
                    <w:spacing w:after="0"/>
                    <w:jc w:val="center"/>
                    <w:rPr>
                      <w:color w:val="0000FF"/>
                      <w:u w:val="none"/>
                    </w:rPr>
                  </w:pPr>
                </w:p>
              </w:tc>
              <w:tc>
                <w:tcPr>
                  <w:tcW w:w="378" w:type="pct"/>
                  <w:vMerge w:val="continue"/>
                  <w:vAlign w:val="center"/>
                </w:tcPr>
                <w:p>
                  <w:pPr>
                    <w:widowControl w:val="0"/>
                    <w:spacing w:after="0"/>
                    <w:jc w:val="center"/>
                    <w:rPr>
                      <w:color w:val="0000FF"/>
                      <w:u w:val="none"/>
                    </w:rPr>
                  </w:pPr>
                </w:p>
              </w:tc>
              <w:tc>
                <w:tcPr>
                  <w:tcW w:w="482" w:type="pct"/>
                  <w:vMerge w:val="continue"/>
                  <w:vAlign w:val="center"/>
                </w:tcPr>
                <w:p>
                  <w:pPr>
                    <w:widowControl w:val="0"/>
                    <w:spacing w:after="0"/>
                    <w:jc w:val="center"/>
                    <w:rPr>
                      <w:color w:val="0000FF"/>
                      <w:u w:val="none"/>
                    </w:rPr>
                  </w:pPr>
                </w:p>
              </w:tc>
              <w:tc>
                <w:tcPr>
                  <w:tcW w:w="374" w:type="pct"/>
                  <w:vMerge w:val="continue"/>
                  <w:vAlign w:val="center"/>
                </w:tcPr>
                <w:p>
                  <w:pPr>
                    <w:widowControl w:val="0"/>
                    <w:spacing w:after="0"/>
                    <w:jc w:val="center"/>
                    <w:rPr>
                      <w:color w:val="0000FF"/>
                      <w:u w:val="none"/>
                    </w:rPr>
                  </w:pPr>
                </w:p>
              </w:tc>
              <w:tc>
                <w:tcPr>
                  <w:tcW w:w="463" w:type="pct"/>
                  <w:vMerge w:val="continue"/>
                  <w:vAlign w:val="center"/>
                </w:tcPr>
                <w:p>
                  <w:pPr>
                    <w:widowControl w:val="0"/>
                    <w:spacing w:after="0"/>
                    <w:jc w:val="center"/>
                    <w:rPr>
                      <w:color w:val="0000FF"/>
                      <w:u w:val="none"/>
                    </w:rPr>
                  </w:pPr>
                </w:p>
              </w:tc>
              <w:tc>
                <w:tcPr>
                  <w:tcW w:w="355" w:type="pct"/>
                  <w:vMerge w:val="continue"/>
                  <w:vAlign w:val="center"/>
                </w:tcPr>
                <w:p>
                  <w:pPr>
                    <w:widowControl w:val="0"/>
                    <w:spacing w:after="0"/>
                    <w:jc w:val="center"/>
                    <w:rPr>
                      <w:color w:val="0000FF"/>
                      <w:u w:val="none"/>
                    </w:rPr>
                  </w:pPr>
                </w:p>
              </w:tc>
              <w:tc>
                <w:tcPr>
                  <w:tcW w:w="464" w:type="pct"/>
                  <w:vMerge w:val="continue"/>
                  <w:vAlign w:val="center"/>
                </w:tcPr>
                <w:p>
                  <w:pPr>
                    <w:widowControl w:val="0"/>
                    <w:spacing w:after="0"/>
                    <w:jc w:val="center"/>
                    <w:rPr>
                      <w:color w:val="0000FF"/>
                      <w:u w:val="none"/>
                    </w:rPr>
                  </w:pPr>
                </w:p>
              </w:tc>
              <w:tc>
                <w:tcPr>
                  <w:tcW w:w="361" w:type="pct"/>
                  <w:vMerge w:val="continue"/>
                  <w:vAlign w:val="center"/>
                </w:tcPr>
                <w:p>
                  <w:pPr>
                    <w:widowControl w:val="0"/>
                    <w:spacing w:after="0"/>
                    <w:jc w:val="center"/>
                    <w:rPr>
                      <w:color w:val="0000FF"/>
                      <w:u w:val="none"/>
                    </w:rPr>
                  </w:pPr>
                </w:p>
              </w:tc>
              <w:tc>
                <w:tcPr>
                  <w:tcW w:w="269" w:type="pct"/>
                  <w:vAlign w:val="center"/>
                </w:tcPr>
                <w:p>
                  <w:pPr>
                    <w:widowControl w:val="0"/>
                    <w:spacing w:after="0" w:line="240" w:lineRule="auto"/>
                    <w:jc w:val="center"/>
                    <w:rPr>
                      <w:rFonts w:hint="default"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总磷</w:t>
                  </w:r>
                </w:p>
              </w:tc>
              <w:tc>
                <w:tcPr>
                  <w:tcW w:w="49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54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6" w:type="pct"/>
                  <w:vMerge w:val="continue"/>
                  <w:vAlign w:val="center"/>
                </w:tcPr>
                <w:p>
                  <w:pPr>
                    <w:widowControl w:val="0"/>
                    <w:spacing w:after="0"/>
                    <w:jc w:val="center"/>
                    <w:rPr>
                      <w:color w:val="0000FF"/>
                      <w:u w:val="none"/>
                    </w:rPr>
                  </w:pPr>
                </w:p>
              </w:tc>
              <w:tc>
                <w:tcPr>
                  <w:tcW w:w="507" w:type="pct"/>
                  <w:vMerge w:val="continue"/>
                  <w:vAlign w:val="center"/>
                </w:tcPr>
                <w:p>
                  <w:pPr>
                    <w:widowControl w:val="0"/>
                    <w:spacing w:after="0"/>
                    <w:jc w:val="center"/>
                    <w:rPr>
                      <w:color w:val="0000FF"/>
                      <w:u w:val="none"/>
                    </w:rPr>
                  </w:pPr>
                </w:p>
              </w:tc>
              <w:tc>
                <w:tcPr>
                  <w:tcW w:w="378" w:type="pct"/>
                  <w:vMerge w:val="continue"/>
                  <w:vAlign w:val="center"/>
                </w:tcPr>
                <w:p>
                  <w:pPr>
                    <w:widowControl w:val="0"/>
                    <w:spacing w:after="0"/>
                    <w:jc w:val="center"/>
                    <w:rPr>
                      <w:color w:val="0000FF"/>
                      <w:u w:val="none"/>
                    </w:rPr>
                  </w:pPr>
                </w:p>
              </w:tc>
              <w:tc>
                <w:tcPr>
                  <w:tcW w:w="482" w:type="pct"/>
                  <w:vMerge w:val="continue"/>
                  <w:vAlign w:val="center"/>
                </w:tcPr>
                <w:p>
                  <w:pPr>
                    <w:widowControl w:val="0"/>
                    <w:spacing w:after="0"/>
                    <w:jc w:val="center"/>
                    <w:rPr>
                      <w:color w:val="0000FF"/>
                      <w:u w:val="none"/>
                    </w:rPr>
                  </w:pPr>
                </w:p>
              </w:tc>
              <w:tc>
                <w:tcPr>
                  <w:tcW w:w="374" w:type="pct"/>
                  <w:vMerge w:val="continue"/>
                  <w:vAlign w:val="center"/>
                </w:tcPr>
                <w:p>
                  <w:pPr>
                    <w:widowControl w:val="0"/>
                    <w:spacing w:after="0"/>
                    <w:jc w:val="center"/>
                    <w:rPr>
                      <w:color w:val="0000FF"/>
                      <w:u w:val="none"/>
                    </w:rPr>
                  </w:pPr>
                </w:p>
              </w:tc>
              <w:tc>
                <w:tcPr>
                  <w:tcW w:w="463" w:type="pct"/>
                  <w:vMerge w:val="continue"/>
                  <w:vAlign w:val="center"/>
                </w:tcPr>
                <w:p>
                  <w:pPr>
                    <w:widowControl w:val="0"/>
                    <w:spacing w:after="0"/>
                    <w:jc w:val="center"/>
                    <w:rPr>
                      <w:color w:val="0000FF"/>
                      <w:u w:val="none"/>
                    </w:rPr>
                  </w:pPr>
                </w:p>
              </w:tc>
              <w:tc>
                <w:tcPr>
                  <w:tcW w:w="355" w:type="pct"/>
                  <w:vMerge w:val="continue"/>
                  <w:vAlign w:val="center"/>
                </w:tcPr>
                <w:p>
                  <w:pPr>
                    <w:widowControl w:val="0"/>
                    <w:spacing w:after="0"/>
                    <w:jc w:val="center"/>
                    <w:rPr>
                      <w:color w:val="0000FF"/>
                      <w:u w:val="none"/>
                    </w:rPr>
                  </w:pPr>
                </w:p>
              </w:tc>
              <w:tc>
                <w:tcPr>
                  <w:tcW w:w="464" w:type="pct"/>
                  <w:vMerge w:val="continue"/>
                  <w:vAlign w:val="center"/>
                </w:tcPr>
                <w:p>
                  <w:pPr>
                    <w:widowControl w:val="0"/>
                    <w:spacing w:after="0"/>
                    <w:jc w:val="center"/>
                    <w:rPr>
                      <w:color w:val="0000FF"/>
                      <w:u w:val="none"/>
                    </w:rPr>
                  </w:pPr>
                </w:p>
              </w:tc>
              <w:tc>
                <w:tcPr>
                  <w:tcW w:w="361" w:type="pct"/>
                  <w:vMerge w:val="continue"/>
                  <w:vAlign w:val="center"/>
                </w:tcPr>
                <w:p>
                  <w:pPr>
                    <w:widowControl w:val="0"/>
                    <w:spacing w:after="0"/>
                    <w:jc w:val="center"/>
                    <w:rPr>
                      <w:color w:val="0000FF"/>
                      <w:u w:val="none"/>
                    </w:rPr>
                  </w:pPr>
                </w:p>
              </w:tc>
              <w:tc>
                <w:tcPr>
                  <w:tcW w:w="269" w:type="pct"/>
                  <w:vAlign w:val="center"/>
                </w:tcPr>
                <w:p>
                  <w:pPr>
                    <w:widowControl w:val="0"/>
                    <w:spacing w:after="0" w:line="240" w:lineRule="auto"/>
                    <w:jc w:val="center"/>
                    <w:rPr>
                      <w:rFonts w:hint="eastAsia" w:ascii="Times New Roman" w:hAnsi="Times New Roman" w:eastAsia="宋体" w:cs="Times New Roman"/>
                      <w:color w:val="auto"/>
                      <w:kern w:val="0"/>
                      <w:sz w:val="21"/>
                      <w:szCs w:val="18"/>
                      <w:u w:val="none"/>
                      <w:lang w:val="en-US" w:eastAsia="zh-CN" w:bidi="ar-SA"/>
                    </w:rPr>
                  </w:pPr>
                  <w:r>
                    <w:rPr>
                      <w:rFonts w:hint="eastAsia" w:ascii="Times New Roman" w:hAnsi="Times New Roman" w:eastAsia="宋体" w:cs="Times New Roman"/>
                      <w:color w:val="auto"/>
                      <w:kern w:val="0"/>
                      <w:sz w:val="21"/>
                      <w:szCs w:val="18"/>
                      <w:u w:val="none"/>
                      <w:lang w:val="en-US" w:eastAsia="zh-CN" w:bidi="ar-SA"/>
                    </w:rPr>
                    <w:t>总氮</w:t>
                  </w:r>
                </w:p>
              </w:tc>
              <w:tc>
                <w:tcPr>
                  <w:tcW w:w="490" w:type="pct"/>
                  <w:vAlign w:val="center"/>
                </w:tcPr>
                <w:p>
                  <w:pPr>
                    <w:widowControl w:val="0"/>
                    <w:spacing w:after="0"/>
                    <w:jc w:val="center"/>
                    <w:rPr>
                      <w:rFonts w:hint="default" w:ascii="Times New Roman" w:hAnsi="Times New Roman" w:eastAsia="宋体" w:cs="Times New Roman"/>
                      <w:color w:val="auto"/>
                      <w:kern w:val="2"/>
                      <w:sz w:val="21"/>
                      <w:szCs w:val="21"/>
                      <w:u w:val="none"/>
                      <w:lang w:val="en-US" w:eastAsia="zh-CN"/>
                    </w:rPr>
                  </w:pPr>
                  <w:r>
                    <w:rPr>
                      <w:rFonts w:hint="eastAsia" w:cs="Times New Roman"/>
                      <w:color w:val="auto"/>
                      <w:kern w:val="2"/>
                      <w:sz w:val="21"/>
                      <w:szCs w:val="21"/>
                      <w:u w:val="none"/>
                      <w:lang w:val="en-US" w:eastAsia="zh-CN"/>
                    </w:rPr>
                    <w:t>/</w:t>
                  </w:r>
                </w:p>
              </w:tc>
              <w:tc>
                <w:tcPr>
                  <w:tcW w:w="547" w:type="pct"/>
                  <w:vMerge w:val="continue"/>
                  <w:vAlign w:val="center"/>
                </w:tcPr>
                <w:p>
                  <w:pPr>
                    <w:widowControl w:val="0"/>
                    <w:spacing w:after="0"/>
                    <w:jc w:val="center"/>
                    <w:rPr>
                      <w:rFonts w:hint="eastAsia" w:ascii="Times New Roman" w:hAnsi="Times New Roman" w:eastAsia="宋体" w:cs="Times New Roman"/>
                      <w:color w:val="0000FF"/>
                      <w:kern w:val="2"/>
                      <w:sz w:val="21"/>
                      <w:szCs w:val="21"/>
                      <w:u w:val="none"/>
                      <w:lang w:val="en-US" w:eastAsia="zh-CN"/>
                    </w:rPr>
                  </w:pPr>
                </w:p>
              </w:tc>
            </w:tr>
          </w:tbl>
          <w:p>
            <w:pPr>
              <w:bidi w:val="0"/>
              <w:rPr>
                <w:rStyle w:val="33"/>
                <w:rFonts w:hint="default" w:ascii="Times New Roman" w:hAnsi="Times New Roman" w:cs="Times New Roman"/>
                <w:sz w:val="21"/>
                <w:szCs w:val="21"/>
                <w:u w:val="none"/>
              </w:rPr>
            </w:pPr>
          </w:p>
        </w:tc>
      </w:tr>
    </w:tbl>
    <w:p>
      <w:pPr>
        <w:pStyle w:val="2"/>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5"/>
        <w:widowControl w:val="0"/>
        <w:numPr>
          <w:ilvl w:val="0"/>
          <w:numId w:val="2"/>
        </w:numPr>
        <w:spacing w:before="0" w:beforeAutospacing="0" w:after="0" w:afterAutospacing="0"/>
        <w:ind w:left="0" w:leftChars="0" w:firstLine="0" w:firstLineChars="0"/>
        <w:jc w:val="center"/>
        <w:outlineLvl w:val="0"/>
        <w:rPr>
          <w:rFonts w:hint="eastAsia" w:ascii="黑体" w:hAnsi="黑体" w:eastAsia="黑体"/>
          <w:snapToGrid w:val="0"/>
          <w:color w:val="000000"/>
          <w:sz w:val="30"/>
          <w:szCs w:val="30"/>
        </w:rPr>
      </w:pPr>
      <w:r>
        <w:rPr>
          <w:rFonts w:hint="eastAsia" w:ascii="黑体" w:hAnsi="黑体" w:eastAsia="黑体"/>
          <w:snapToGrid w:val="0"/>
          <w:color w:val="000000"/>
          <w:sz w:val="30"/>
          <w:szCs w:val="30"/>
        </w:rPr>
        <w:t>环境保护措施监督检查清单</w:t>
      </w:r>
      <w:bookmarkEnd w:id="5"/>
    </w:p>
    <w:tbl>
      <w:tblPr>
        <w:tblStyle w:val="28"/>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27"/>
        <w:gridCol w:w="1500"/>
        <w:gridCol w:w="1958"/>
        <w:gridCol w:w="20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34"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p>
            <w:pPr>
              <w:adjustRightInd w:val="0"/>
              <w:snapToGrid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627"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名称)/污染源</w:t>
            </w:r>
          </w:p>
        </w:tc>
        <w:tc>
          <w:tcPr>
            <w:tcW w:w="1500"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1958"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2081"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634" w:type="dxa"/>
            <w:vMerge w:val="restart"/>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大气环境</w:t>
            </w:r>
          </w:p>
        </w:tc>
        <w:tc>
          <w:tcPr>
            <w:tcW w:w="1627" w:type="dxa"/>
            <w:vMerge w:val="restart"/>
            <w:noWrap w:val="0"/>
            <w:vAlign w:val="center"/>
          </w:tcPr>
          <w:p>
            <w:pPr>
              <w:adjustRightInd w:val="0"/>
              <w:snapToGrid w:val="0"/>
              <w:jc w:val="center"/>
              <w:rPr>
                <w:rFonts w:hint="eastAsia" w:cs="Times New Roman"/>
                <w:color w:val="auto"/>
                <w:sz w:val="21"/>
                <w:szCs w:val="21"/>
                <w:u w:val="none"/>
                <w:lang w:val="en-US" w:eastAsia="zh-CN"/>
              </w:rPr>
            </w:pPr>
            <w:r>
              <w:rPr>
                <w:rFonts w:hint="eastAsia" w:cs="Times New Roman"/>
                <w:color w:val="auto"/>
                <w:sz w:val="21"/>
                <w:szCs w:val="21"/>
                <w:u w:val="none"/>
                <w:lang w:val="en-US" w:eastAsia="zh-CN"/>
              </w:rPr>
              <w:t>厂界</w:t>
            </w:r>
          </w:p>
        </w:tc>
        <w:tc>
          <w:tcPr>
            <w:tcW w:w="1500" w:type="dxa"/>
            <w:noWrap w:val="0"/>
            <w:vAlign w:val="center"/>
          </w:tcPr>
          <w:p>
            <w:pPr>
              <w:adjustRightInd w:val="0"/>
              <w:snapToGrid w:val="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eastAsia="zh-CN"/>
              </w:rPr>
              <w:t>颗粒物、</w:t>
            </w:r>
            <w:r>
              <w:rPr>
                <w:rFonts w:hint="eastAsia" w:cs="Times New Roman"/>
                <w:color w:val="auto"/>
                <w:sz w:val="21"/>
                <w:szCs w:val="21"/>
                <w:u w:val="none"/>
                <w:lang w:val="en-US" w:eastAsia="zh-CN"/>
              </w:rPr>
              <w:t>SO</w:t>
            </w:r>
            <w:r>
              <w:rPr>
                <w:rFonts w:hint="eastAsia" w:cs="Times New Roman"/>
                <w:color w:val="auto"/>
                <w:sz w:val="21"/>
                <w:szCs w:val="21"/>
                <w:u w:val="none"/>
                <w:vertAlign w:val="subscript"/>
                <w:lang w:val="en-US" w:eastAsia="zh-CN"/>
              </w:rPr>
              <w:t>2</w:t>
            </w:r>
            <w:r>
              <w:rPr>
                <w:rFonts w:hint="eastAsia" w:cs="Times New Roman"/>
                <w:color w:val="auto"/>
                <w:sz w:val="21"/>
                <w:szCs w:val="21"/>
                <w:u w:val="none"/>
                <w:lang w:val="en-US" w:eastAsia="zh-CN"/>
              </w:rPr>
              <w:t>、NO</w:t>
            </w:r>
            <w:r>
              <w:rPr>
                <w:rFonts w:hint="eastAsia" w:cs="Times New Roman"/>
                <w:color w:val="auto"/>
                <w:sz w:val="21"/>
                <w:szCs w:val="21"/>
                <w:u w:val="none"/>
                <w:vertAlign w:val="subscript"/>
                <w:lang w:val="en-US" w:eastAsia="zh-CN"/>
              </w:rPr>
              <w:t>X</w:t>
            </w:r>
          </w:p>
        </w:tc>
        <w:tc>
          <w:tcPr>
            <w:tcW w:w="1958" w:type="dxa"/>
            <w:noWrap w:val="0"/>
            <w:vAlign w:val="center"/>
          </w:tcPr>
          <w:p>
            <w:pPr>
              <w:pStyle w:val="11"/>
              <w:jc w:val="center"/>
              <w:rPr>
                <w:rFonts w:hint="default" w:ascii="Times New Roman" w:hAnsi="Times New Roman" w:eastAsia="新宋体" w:cs="Times New Roman"/>
                <w:b w:val="0"/>
                <w:bCs w:val="0"/>
                <w:i w:val="0"/>
                <w:iCs w:val="0"/>
                <w:caps w:val="0"/>
                <w:color w:val="auto"/>
                <w:spacing w:val="0"/>
                <w:sz w:val="21"/>
                <w:szCs w:val="21"/>
                <w:u w:val="none"/>
                <w:shd w:val="clear" w:color="auto" w:fill="FFFFFF"/>
                <w:lang w:val="en-US" w:eastAsia="zh-CN"/>
              </w:rPr>
            </w:pPr>
            <w:r>
              <w:rPr>
                <w:rFonts w:hint="eastAsia" w:eastAsia="新宋体" w:cs="Times New Roman"/>
                <w:b w:val="0"/>
                <w:bCs w:val="0"/>
                <w:i w:val="0"/>
                <w:iCs w:val="0"/>
                <w:caps w:val="0"/>
                <w:color w:val="auto"/>
                <w:spacing w:val="0"/>
                <w:sz w:val="21"/>
                <w:szCs w:val="21"/>
                <w:u w:val="none"/>
                <w:shd w:val="clear" w:color="auto" w:fill="FFFFFF"/>
                <w:lang w:val="en-US" w:eastAsia="zh-CN"/>
              </w:rPr>
              <w:t>厂区通风</w:t>
            </w:r>
          </w:p>
        </w:tc>
        <w:tc>
          <w:tcPr>
            <w:tcW w:w="2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none"/>
                <w:lang w:val="en-US"/>
              </w:rPr>
            </w:pPr>
            <w:r>
              <w:rPr>
                <w:rFonts w:hint="eastAsia" w:ascii="Times New Roman" w:hAnsi="Times New Roman" w:eastAsia="宋体" w:cs="Times New Roman"/>
                <w:color w:val="auto"/>
                <w:kern w:val="2"/>
                <w:sz w:val="21"/>
                <w:szCs w:val="21"/>
                <w:lang w:val="en-US" w:eastAsia="zh-CN"/>
              </w:rPr>
              <w:t>《大气污染物综合排放标</w:t>
            </w:r>
            <w:r>
              <w:rPr>
                <w:rFonts w:hint="eastAsia" w:ascii="Times New Roman" w:hAnsi="Times New Roman" w:eastAsia="宋体" w:cs="Times New Roman"/>
                <w:color w:val="auto"/>
                <w:kern w:val="2"/>
                <w:sz w:val="21"/>
                <w:szCs w:val="21"/>
                <w:u w:val="none"/>
                <w:lang w:val="en-US" w:eastAsia="zh-CN"/>
              </w:rPr>
              <w:t>准》（GB16297-1996）无组织排放标准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634" w:type="dxa"/>
            <w:vMerge w:val="continue"/>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p>
        </w:tc>
        <w:tc>
          <w:tcPr>
            <w:tcW w:w="1627" w:type="dxa"/>
            <w:vMerge w:val="continue"/>
            <w:noWrap w:val="0"/>
            <w:vAlign w:val="center"/>
          </w:tcPr>
          <w:p>
            <w:pPr>
              <w:widowControl w:val="0"/>
              <w:spacing w:after="0"/>
              <w:jc w:val="both"/>
              <w:rPr>
                <w:rFonts w:hint="default" w:eastAsia="宋体" w:cs="Times New Roman"/>
                <w:color w:val="auto"/>
                <w:sz w:val="21"/>
                <w:szCs w:val="21"/>
                <w:u w:val="none"/>
                <w:lang w:val="en-US" w:eastAsia="zh-CN"/>
              </w:rPr>
            </w:pPr>
          </w:p>
        </w:tc>
        <w:tc>
          <w:tcPr>
            <w:tcW w:w="1500" w:type="dxa"/>
            <w:noWrap w:val="0"/>
            <w:vAlign w:val="center"/>
          </w:tcPr>
          <w:p>
            <w:pPr>
              <w:adjustRightInd w:val="0"/>
              <w:snapToGrid w:val="0"/>
              <w:jc w:val="center"/>
              <w:rPr>
                <w:rFonts w:hint="eastAsia" w:cs="Times New Roman"/>
                <w:color w:val="auto"/>
                <w:sz w:val="21"/>
                <w:szCs w:val="21"/>
                <w:u w:val="none"/>
                <w:lang w:eastAsia="zh-CN"/>
              </w:rPr>
            </w:pPr>
            <w:r>
              <w:rPr>
                <w:rFonts w:hint="eastAsia" w:cs="Times New Roman"/>
                <w:color w:val="auto"/>
                <w:sz w:val="21"/>
                <w:szCs w:val="21"/>
                <w:u w:val="none"/>
                <w:lang w:eastAsia="zh-CN"/>
              </w:rPr>
              <w:t>非甲烷总烃</w:t>
            </w:r>
          </w:p>
        </w:tc>
        <w:tc>
          <w:tcPr>
            <w:tcW w:w="1958" w:type="dxa"/>
            <w:noWrap w:val="0"/>
            <w:vAlign w:val="center"/>
          </w:tcPr>
          <w:p>
            <w:pPr>
              <w:pStyle w:val="11"/>
              <w:jc w:val="center"/>
              <w:rPr>
                <w:rFonts w:hint="default" w:ascii="Times New Roman" w:hAnsi="Times New Roman" w:eastAsia="新宋体" w:cs="Times New Roman"/>
                <w:b w:val="0"/>
                <w:bCs w:val="0"/>
                <w:i w:val="0"/>
                <w:iCs w:val="0"/>
                <w:caps w:val="0"/>
                <w:color w:val="auto"/>
                <w:spacing w:val="0"/>
                <w:sz w:val="21"/>
                <w:szCs w:val="21"/>
                <w:u w:val="none"/>
                <w:shd w:val="clear" w:color="auto" w:fill="FFFFFF"/>
                <w:lang w:val="en-US" w:eastAsia="zh-CN"/>
              </w:rPr>
            </w:pPr>
            <w:r>
              <w:rPr>
                <w:rFonts w:hint="eastAsia" w:eastAsia="新宋体" w:cs="Times New Roman"/>
                <w:b w:val="0"/>
                <w:bCs w:val="0"/>
                <w:i w:val="0"/>
                <w:iCs w:val="0"/>
                <w:caps w:val="0"/>
                <w:color w:val="auto"/>
                <w:spacing w:val="0"/>
                <w:sz w:val="21"/>
                <w:szCs w:val="21"/>
                <w:u w:val="none"/>
                <w:shd w:val="clear" w:color="auto" w:fill="FFFFFF"/>
                <w:lang w:val="en-US" w:eastAsia="zh-CN"/>
              </w:rPr>
              <w:t>厂区通风，循环燃烧处理</w:t>
            </w:r>
          </w:p>
        </w:tc>
        <w:tc>
          <w:tcPr>
            <w:tcW w:w="2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u w:val="non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1634" w:type="dxa"/>
            <w:noWrap w:val="0"/>
            <w:vAlign w:val="center"/>
          </w:tcPr>
          <w:p>
            <w:pPr>
              <w:adjustRightInd w:val="0"/>
              <w:snapToGrid w:val="0"/>
              <w:jc w:val="center"/>
              <w:rPr>
                <w:rFonts w:hint="default" w:ascii="Times New Roman" w:hAnsi="Times New Roman" w:cs="Times New Roman"/>
                <w:color w:val="0000FF"/>
                <w:sz w:val="21"/>
                <w:szCs w:val="21"/>
              </w:rPr>
            </w:pPr>
            <w:r>
              <w:rPr>
                <w:rFonts w:hint="default" w:ascii="Times New Roman" w:hAnsi="Times New Roman" w:cs="Times New Roman"/>
                <w:color w:val="auto"/>
                <w:sz w:val="21"/>
                <w:szCs w:val="21"/>
              </w:rPr>
              <w:t>地表水环境</w:t>
            </w:r>
          </w:p>
        </w:tc>
        <w:tc>
          <w:tcPr>
            <w:tcW w:w="1627"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1500" w:type="dxa"/>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CODcr、BOD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-N、SS</w:t>
            </w:r>
          </w:p>
        </w:tc>
        <w:tc>
          <w:tcPr>
            <w:tcW w:w="1958" w:type="dxa"/>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kern w:val="2"/>
                <w:sz w:val="21"/>
                <w:szCs w:val="21"/>
                <w:u w:val="none"/>
                <w:lang w:val="en-US" w:eastAsia="zh-CN" w:bidi="ar-SA"/>
              </w:rPr>
              <w:t>生活废水经化粪池处理后进入园区生活污水处理站处理外排进入澹水</w:t>
            </w:r>
          </w:p>
        </w:tc>
        <w:tc>
          <w:tcPr>
            <w:tcW w:w="2081" w:type="dxa"/>
            <w:noWrap w:val="0"/>
            <w:vAlign w:val="center"/>
          </w:tcPr>
          <w:p>
            <w:pPr>
              <w:adjustRightInd w:val="0"/>
              <w:snapToGrid w:val="0"/>
              <w:jc w:val="center"/>
              <w:rPr>
                <w:rFonts w:hint="eastAsia" w:cs="Times New Roman"/>
                <w:color w:val="auto"/>
                <w:sz w:val="21"/>
                <w:szCs w:val="21"/>
                <w:lang w:val="en-US" w:eastAsia="zh-CN"/>
              </w:rPr>
            </w:pPr>
            <w:r>
              <w:rPr>
                <w:rFonts w:hint="eastAsia"/>
                <w:b w:val="0"/>
                <w:bCs w:val="0"/>
                <w:color w:val="auto"/>
                <w:sz w:val="21"/>
                <w:szCs w:val="21"/>
                <w:highlight w:val="none"/>
                <w:lang w:val="en-US" w:eastAsia="zh-CN"/>
              </w:rPr>
              <w:t>《污水综合排放标准》（GB8978-1996）中表4三级标准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634"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627" w:type="dxa"/>
            <w:noWrap w:val="0"/>
            <w:vAlign w:val="center"/>
          </w:tcPr>
          <w:p>
            <w:pPr>
              <w:adjustRightInd w:val="0"/>
              <w:snapToGrid w:val="0"/>
              <w:jc w:val="center"/>
              <w:rPr>
                <w:rFonts w:hint="eastAsia" w:ascii="Times New Roman" w:hAnsi="Times New Roman" w:eastAsia="Arial" w:cs="Times New Roman"/>
                <w:color w:val="auto"/>
                <w:sz w:val="21"/>
                <w:szCs w:val="21"/>
                <w:lang w:eastAsia="zh-CN"/>
              </w:rPr>
            </w:pPr>
            <w:r>
              <w:rPr>
                <w:rFonts w:hint="eastAsia" w:ascii="Times New Roman" w:hAnsi="Times New Roman" w:cs="Times New Roman"/>
                <w:color w:val="auto"/>
                <w:sz w:val="21"/>
                <w:szCs w:val="21"/>
                <w:lang w:eastAsia="zh-CN"/>
              </w:rPr>
              <w:t>设备运行噪声及振动</w:t>
            </w:r>
          </w:p>
        </w:tc>
        <w:tc>
          <w:tcPr>
            <w:tcW w:w="1500" w:type="dxa"/>
            <w:noWrap w:val="0"/>
            <w:vAlign w:val="center"/>
          </w:tcPr>
          <w:p>
            <w:pPr>
              <w:adjustRightInd w:val="0"/>
              <w:snapToGrid w:val="0"/>
              <w:jc w:val="center"/>
              <w:rPr>
                <w:rFonts w:hint="default" w:ascii="Times New Roman" w:hAnsi="Times New Roman" w:cs="Times New Roman"/>
                <w:color w:val="auto"/>
                <w:sz w:val="21"/>
                <w:szCs w:val="21"/>
              </w:rPr>
            </w:pPr>
            <w:r>
              <w:rPr>
                <w:rFonts w:ascii="Times New Roman" w:hAnsi="Times New Roman" w:cs="Times New Roman"/>
                <w:color w:val="auto"/>
                <w:sz w:val="21"/>
                <w:szCs w:val="21"/>
                <w:highlight w:val="none"/>
              </w:rPr>
              <w:t>等效连续A声级</w:t>
            </w:r>
          </w:p>
        </w:tc>
        <w:tc>
          <w:tcPr>
            <w:tcW w:w="1958" w:type="dxa"/>
            <w:noWrap w:val="0"/>
            <w:vAlign w:val="center"/>
          </w:tcPr>
          <w:p>
            <w:pPr>
              <w:adjustRightInd w:val="0"/>
              <w:snapToGrid w:val="0"/>
              <w:jc w:val="center"/>
              <w:rPr>
                <w:rFonts w:hint="default" w:ascii="Times New Roman" w:hAnsi="Times New Roman" w:cs="Times New Roman"/>
                <w:color w:val="auto"/>
                <w:sz w:val="21"/>
                <w:szCs w:val="21"/>
              </w:rPr>
            </w:pPr>
            <w:r>
              <w:rPr>
                <w:rFonts w:ascii="Times New Roman" w:hAnsi="Times New Roman" w:cs="Times New Roman"/>
                <w:color w:val="auto"/>
                <w:sz w:val="21"/>
                <w:szCs w:val="21"/>
                <w:u w:val="none"/>
              </w:rPr>
              <w:t>合理布局，加强对设备的保养；</w:t>
            </w:r>
            <w:r>
              <w:rPr>
                <w:rFonts w:hint="eastAsia" w:cs="Times New Roman"/>
                <w:color w:val="auto"/>
                <w:sz w:val="21"/>
                <w:szCs w:val="21"/>
                <w:u w:val="none"/>
                <w:lang w:eastAsia="zh-CN"/>
              </w:rPr>
              <w:t>隔声减震措施，厂房封闭</w:t>
            </w:r>
          </w:p>
        </w:tc>
        <w:tc>
          <w:tcPr>
            <w:tcW w:w="2081"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r>
              <w:rPr>
                <w:rFonts w:hint="eastAsia"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34" w:type="dxa"/>
            <w:vMerge w:val="restar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1627" w:type="dxa"/>
            <w:vMerge w:val="restart"/>
            <w:noWrap w:val="0"/>
            <w:vAlign w:val="center"/>
          </w:tcPr>
          <w:p>
            <w:pPr>
              <w:pStyle w:val="80"/>
              <w:spacing w:before="72"/>
              <w:ind w:left="170" w:leftChars="0" w:right="163" w:right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一般固废</w:t>
            </w:r>
          </w:p>
        </w:tc>
        <w:tc>
          <w:tcPr>
            <w:tcW w:w="1500" w:type="dxa"/>
            <w:noWrap w:val="0"/>
            <w:vAlign w:val="center"/>
          </w:tcPr>
          <w:p>
            <w:pPr>
              <w:pStyle w:val="2"/>
              <w:spacing w:before="0" w:after="0" w:line="240" w:lineRule="auto"/>
              <w:ind w:right="0" w:rightChars="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pacing w:val="-2"/>
                <w:sz w:val="21"/>
                <w:szCs w:val="21"/>
                <w:lang w:val="en-US" w:eastAsia="zh-CN" w:bidi="ar"/>
              </w:rPr>
              <w:t>边角料</w:t>
            </w:r>
          </w:p>
        </w:tc>
        <w:tc>
          <w:tcPr>
            <w:tcW w:w="1958" w:type="dxa"/>
            <w:noWrap w:val="0"/>
            <w:vAlign w:val="center"/>
          </w:tcPr>
          <w:p>
            <w:pPr>
              <w:pStyle w:val="2"/>
              <w:ind w:right="113" w:right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pacing w:val="-2"/>
                <w:sz w:val="21"/>
                <w:szCs w:val="21"/>
                <w:lang w:val="en-US" w:eastAsia="zh-CN" w:bidi="ar"/>
              </w:rPr>
              <w:t>由企业统一收集后外售至造纸厂</w:t>
            </w:r>
          </w:p>
        </w:tc>
        <w:tc>
          <w:tcPr>
            <w:tcW w:w="2081" w:type="dxa"/>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627" w:type="dxa"/>
            <w:vMerge w:val="continue"/>
            <w:noWrap w:val="0"/>
            <w:vAlign w:val="center"/>
          </w:tcPr>
          <w:p>
            <w:pPr>
              <w:pStyle w:val="80"/>
              <w:spacing w:before="72"/>
              <w:ind w:left="170" w:leftChars="0" w:right="163" w:rightChars="0"/>
              <w:jc w:val="center"/>
              <w:rPr>
                <w:rFonts w:hint="eastAsia" w:ascii="Times New Roman" w:hAnsi="Times New Roman" w:cs="Times New Roman"/>
                <w:color w:val="auto"/>
                <w:sz w:val="21"/>
                <w:szCs w:val="21"/>
                <w:lang w:eastAsia="zh-CN"/>
              </w:rPr>
            </w:pPr>
          </w:p>
        </w:tc>
        <w:tc>
          <w:tcPr>
            <w:tcW w:w="1500" w:type="dxa"/>
            <w:noWrap w:val="0"/>
            <w:vAlign w:val="center"/>
          </w:tcPr>
          <w:p>
            <w:pPr>
              <w:pStyle w:val="2"/>
              <w:spacing w:before="0" w:after="0"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pacing w:val="-2"/>
                <w:sz w:val="21"/>
                <w:szCs w:val="21"/>
                <w:lang w:val="en-US" w:eastAsia="zh-CN" w:bidi="ar"/>
              </w:rPr>
              <w:t>废包装材料</w:t>
            </w:r>
          </w:p>
        </w:tc>
        <w:tc>
          <w:tcPr>
            <w:tcW w:w="1958" w:type="dxa"/>
            <w:noWrap w:val="0"/>
            <w:vAlign w:val="center"/>
          </w:tcPr>
          <w:p>
            <w:pPr>
              <w:pStyle w:val="2"/>
              <w:ind w:right="113" w:rightChars="0"/>
              <w:jc w:val="center"/>
              <w:rPr>
                <w:rFonts w:hint="eastAsia" w:ascii="Times New Roman" w:hAnsi="Times New Roman" w:eastAsia="宋体" w:cs="Times New Roman"/>
                <w:color w:val="auto"/>
                <w:sz w:val="21"/>
                <w:szCs w:val="21"/>
                <w:lang w:eastAsia="zh-CN"/>
              </w:rPr>
            </w:pPr>
            <w:r>
              <w:rPr>
                <w:rFonts w:hint="eastAsia" w:cs="Times New Roman"/>
                <w:color w:val="auto"/>
                <w:spacing w:val="-2"/>
                <w:sz w:val="21"/>
                <w:szCs w:val="21"/>
                <w:lang w:val="en-US" w:eastAsia="zh-CN" w:bidi="ar"/>
              </w:rPr>
              <w:t>本项目胶桶由供应商回收</w:t>
            </w:r>
          </w:p>
        </w:tc>
        <w:tc>
          <w:tcPr>
            <w:tcW w:w="2081" w:type="dxa"/>
            <w:noWrap w:val="0"/>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 w:val="21"/>
                <w:szCs w:val="21"/>
              </w:rPr>
            </w:pPr>
          </w:p>
        </w:tc>
        <w:tc>
          <w:tcPr>
            <w:tcW w:w="1627" w:type="dxa"/>
            <w:vMerge w:val="continue"/>
            <w:noWrap w:val="0"/>
            <w:vAlign w:val="center"/>
          </w:tcPr>
          <w:p>
            <w:pPr>
              <w:pStyle w:val="80"/>
              <w:spacing w:before="72"/>
              <w:ind w:left="170" w:leftChars="0" w:right="163" w:rightChars="0"/>
              <w:jc w:val="center"/>
              <w:rPr>
                <w:rFonts w:hint="eastAsia" w:ascii="Times New Roman" w:hAnsi="Times New Roman" w:cs="Times New Roman"/>
                <w:color w:val="auto"/>
                <w:sz w:val="21"/>
                <w:szCs w:val="21"/>
                <w:lang w:eastAsia="zh-CN"/>
              </w:rPr>
            </w:pPr>
          </w:p>
        </w:tc>
        <w:tc>
          <w:tcPr>
            <w:tcW w:w="1500" w:type="dxa"/>
            <w:noWrap w:val="0"/>
            <w:vAlign w:val="center"/>
          </w:tcPr>
          <w:p>
            <w:pPr>
              <w:pStyle w:val="2"/>
              <w:spacing w:before="0" w:after="0" w:line="240" w:lineRule="auto"/>
              <w:ind w:right="0" w:rightChars="0"/>
              <w:jc w:val="center"/>
              <w:rPr>
                <w:rFonts w:hint="default"/>
                <w:sz w:val="21"/>
                <w:szCs w:val="21"/>
                <w:lang w:val="en-US" w:eastAsia="zh-CN"/>
              </w:rPr>
            </w:pPr>
            <w:r>
              <w:rPr>
                <w:rFonts w:hint="eastAsia" w:cs="Times New Roman"/>
                <w:color w:val="auto"/>
                <w:spacing w:val="-2"/>
                <w:sz w:val="21"/>
                <w:szCs w:val="21"/>
                <w:lang w:val="en-US" w:eastAsia="zh-CN" w:bidi="ar"/>
              </w:rPr>
              <w:t>除尘器收集的颗粒物</w:t>
            </w:r>
          </w:p>
        </w:tc>
        <w:tc>
          <w:tcPr>
            <w:tcW w:w="1958" w:type="dxa"/>
            <w:noWrap w:val="0"/>
            <w:vAlign w:val="center"/>
          </w:tcPr>
          <w:p>
            <w:pPr>
              <w:pStyle w:val="2"/>
              <w:ind w:right="113" w:rightChars="0"/>
              <w:jc w:val="center"/>
              <w:rPr>
                <w:rFonts w:ascii="Times New Roman" w:hAnsi="Times New Roman" w:cs="Times New Roman"/>
                <w:sz w:val="21"/>
                <w:szCs w:val="21"/>
                <w:u w:val="none"/>
              </w:rPr>
            </w:pPr>
            <w:r>
              <w:rPr>
                <w:rFonts w:hint="eastAsia" w:cs="Times New Roman"/>
                <w:color w:val="auto"/>
                <w:spacing w:val="-2"/>
                <w:sz w:val="21"/>
                <w:szCs w:val="21"/>
                <w:lang w:val="en-US" w:eastAsia="zh-CN" w:bidi="ar"/>
              </w:rPr>
              <w:t>作为固废外售</w:t>
            </w:r>
          </w:p>
        </w:tc>
        <w:tc>
          <w:tcPr>
            <w:tcW w:w="2081" w:type="dxa"/>
            <w:noWrap w:val="0"/>
            <w:vAlign w:val="center"/>
          </w:tcPr>
          <w:p>
            <w:pPr>
              <w:adjustRightInd w:val="0"/>
              <w:snapToGrid w:val="0"/>
              <w:jc w:val="center"/>
              <w:rPr>
                <w:rFonts w:hint="eastAsia" w:cs="Times New Roman"/>
                <w:color w:val="auto"/>
                <w:sz w:val="21"/>
                <w:szCs w:val="21"/>
                <w:lang w:eastAsia="zh-CN"/>
              </w:rPr>
            </w:pPr>
            <w:r>
              <w:rPr>
                <w:rFonts w:hint="eastAsia" w:cs="Times New Roman"/>
                <w:color w:val="auto"/>
                <w:sz w:val="21"/>
                <w:szCs w:val="21"/>
                <w:lang w:eastAsia="zh-CN"/>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1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4"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166" w:type="dxa"/>
            <w:gridSpan w:val="4"/>
            <w:noWrap w:val="0"/>
            <w:vAlign w:val="center"/>
          </w:tcPr>
          <w:p>
            <w:pPr>
              <w:bidi w:val="0"/>
              <w:jc w:val="center"/>
              <w:rPr>
                <w:rFonts w:hint="eastAsia" w:eastAsia="宋体"/>
                <w:color w:val="auto"/>
                <w:sz w:val="21"/>
                <w:szCs w:val="21"/>
                <w:lang w:val="en-US" w:eastAsia="zh-CN"/>
              </w:rPr>
            </w:pPr>
            <w:r>
              <w:rPr>
                <w:rFonts w:hint="eastAsia"/>
                <w:color w:val="auto"/>
                <w:sz w:val="21"/>
                <w:szCs w:val="21"/>
                <w:lang w:eastAsia="zh-CN"/>
              </w:rPr>
              <w:t>厂区进行绿化工作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634"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166" w:type="dxa"/>
            <w:gridSpan w:val="4"/>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sz w:val="21"/>
                <w:szCs w:val="21"/>
                <w:u w:val="none"/>
                <w:lang w:eastAsia="zh-CN"/>
              </w:rPr>
            </w:pPr>
            <w:r>
              <w:rPr>
                <w:rFonts w:hint="eastAsia"/>
                <w:sz w:val="21"/>
                <w:szCs w:val="21"/>
                <w:u w:val="none"/>
                <w:lang w:val="zh-CN"/>
              </w:rPr>
              <w:t>①设置单独的存放区域、</w:t>
            </w:r>
            <w:r>
              <w:rPr>
                <w:rFonts w:hint="eastAsia"/>
                <w:sz w:val="21"/>
                <w:szCs w:val="21"/>
                <w:u w:val="none"/>
                <w:lang w:eastAsia="zh-CN"/>
              </w:rPr>
              <w:t>厂区禁火</w:t>
            </w:r>
            <w:r>
              <w:rPr>
                <w:sz w:val="21"/>
                <w:szCs w:val="21"/>
                <w:u w:val="none"/>
              </w:rPr>
              <w:t>，保证阴凉、通风，采用防爆型照明、通风设施，并配备一定数量的手提灭火器。禁止使用易产生火花的机械设备和工具</w:t>
            </w:r>
            <w:r>
              <w:rPr>
                <w:rFonts w:hint="eastAsia"/>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u w:val="none"/>
                <w:lang w:eastAsia="zh-CN"/>
              </w:rPr>
            </w:pPr>
            <w:r>
              <w:rPr>
                <w:rFonts w:hint="eastAsia"/>
                <w:sz w:val="21"/>
                <w:szCs w:val="21"/>
                <w:u w:val="none"/>
                <w:lang w:eastAsia="zh-CN"/>
              </w:rPr>
              <w:t>②</w:t>
            </w:r>
            <w:r>
              <w:rPr>
                <w:sz w:val="21"/>
                <w:szCs w:val="21"/>
                <w:u w:val="none"/>
              </w:rPr>
              <w:t>完善安全生产管理制度，加强安全宣传和教育，</w:t>
            </w:r>
            <w:r>
              <w:rPr>
                <w:rFonts w:hint="eastAsia"/>
                <w:sz w:val="21"/>
                <w:szCs w:val="21"/>
                <w:u w:val="none"/>
                <w:lang w:eastAsia="zh-CN"/>
              </w:rPr>
              <w:t>加强生产管理；</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default"/>
                <w:sz w:val="21"/>
                <w:szCs w:val="21"/>
                <w:lang w:val="en-US" w:eastAsia="zh-CN"/>
              </w:rPr>
            </w:pPr>
            <w:r>
              <w:rPr>
                <w:rFonts w:hint="eastAsia"/>
                <w:color w:val="auto"/>
                <w:sz w:val="21"/>
                <w:szCs w:val="21"/>
                <w:highlight w:val="none"/>
                <w:u w:val="none"/>
                <w:lang w:eastAsia="zh-CN"/>
              </w:rPr>
              <w:t>③</w:t>
            </w:r>
            <w:r>
              <w:rPr>
                <w:rFonts w:hint="eastAsia" w:cs="Times New Roman"/>
                <w:bCs/>
                <w:strike w:val="0"/>
                <w:dstrike w:val="0"/>
                <w:color w:val="auto"/>
                <w:sz w:val="21"/>
                <w:szCs w:val="21"/>
                <w:highlight w:val="none"/>
                <w:u w:val="none"/>
                <w:lang w:val="en-US" w:eastAsia="zh-CN"/>
              </w:rPr>
              <w:t>厂区内粘接剂以及柴油储存过程设置防泄漏措施。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34"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166" w:type="dxa"/>
            <w:gridSpan w:val="4"/>
            <w:noWrap w:val="0"/>
            <w:vAlign w:val="center"/>
          </w:tcPr>
          <w:p>
            <w:pPr>
              <w:wordWrap w:val="0"/>
              <w:topLinePunct/>
              <w:adjustRightInd w:val="0"/>
              <w:snapToGrid w:val="0"/>
              <w:spacing w:line="360" w:lineRule="auto"/>
              <w:jc w:val="left"/>
              <w:rPr>
                <w:b/>
                <w:bCs/>
                <w:kern w:val="0"/>
                <w:sz w:val="21"/>
                <w:szCs w:val="21"/>
                <w:u w:val="none"/>
                <w:lang w:val="en-GB"/>
              </w:rPr>
            </w:pPr>
            <w:r>
              <w:rPr>
                <w:rFonts w:hint="eastAsia"/>
                <w:b/>
                <w:bCs/>
                <w:kern w:val="0"/>
                <w:sz w:val="21"/>
                <w:szCs w:val="21"/>
                <w:u w:val="none"/>
                <w:lang w:val="en-US" w:eastAsia="zh-CN"/>
              </w:rPr>
              <w:t>1、</w:t>
            </w:r>
            <w:r>
              <w:rPr>
                <w:rFonts w:hint="eastAsia"/>
                <w:b/>
                <w:bCs/>
                <w:kern w:val="0"/>
                <w:sz w:val="21"/>
                <w:szCs w:val="21"/>
                <w:u w:val="none"/>
                <w:lang w:val="en-GB"/>
              </w:rPr>
              <w:t>规范化排污口建设:</w:t>
            </w:r>
          </w:p>
          <w:p>
            <w:pPr>
              <w:keepNext w:val="0"/>
              <w:keepLines w:val="0"/>
              <w:suppressLineNumbers w:val="0"/>
              <w:wordWrap w:val="0"/>
              <w:topLinePunct/>
              <w:snapToGrid w:val="0"/>
              <w:spacing w:before="0" w:beforeAutospacing="0" w:after="0" w:afterAutospacing="0" w:line="360" w:lineRule="auto"/>
              <w:ind w:left="0" w:right="0" w:firstLine="384" w:firstLineChars="183"/>
              <w:rPr>
                <w:sz w:val="21"/>
                <w:szCs w:val="21"/>
                <w:u w:val="none"/>
              </w:rPr>
            </w:pPr>
            <w:r>
              <w:rPr>
                <w:sz w:val="21"/>
                <w:szCs w:val="21"/>
                <w:u w:val="none"/>
              </w:rPr>
              <w:t>（1）排放口设置要求</w:t>
            </w:r>
          </w:p>
          <w:p>
            <w:pPr>
              <w:keepNext w:val="0"/>
              <w:keepLines w:val="0"/>
              <w:suppressLineNumbers w:val="0"/>
              <w:snapToGrid w:val="0"/>
              <w:spacing w:before="0" w:beforeAutospacing="0" w:after="0" w:afterAutospacing="0" w:line="360" w:lineRule="auto"/>
              <w:ind w:left="0" w:right="0" w:firstLine="384" w:firstLineChars="183"/>
              <w:rPr>
                <w:sz w:val="21"/>
                <w:szCs w:val="21"/>
                <w:u w:val="none"/>
              </w:rPr>
            </w:pPr>
            <w:r>
              <w:rPr>
                <w:sz w:val="21"/>
                <w:szCs w:val="21"/>
                <w:u w:val="none"/>
              </w:rPr>
              <w:t>根据《关于开展排放口规范化整治工作的通知》（环发〔1999〕24号），一切新建、扩建、改建和限期治理的排污单位必须在建设污染治理设施的同时建设规范化排放口，并作为落实环境保护“三同时”制度的必要组成部门和项目验收的内容之一。</w:t>
            </w:r>
          </w:p>
          <w:p>
            <w:pPr>
              <w:keepNext w:val="0"/>
              <w:keepLines w:val="0"/>
              <w:suppressLineNumbers w:val="0"/>
              <w:snapToGrid w:val="0"/>
              <w:spacing w:before="0" w:beforeAutospacing="0" w:after="0" w:afterAutospacing="0" w:line="360" w:lineRule="auto"/>
              <w:ind w:left="0" w:right="0" w:firstLine="384" w:firstLineChars="183"/>
              <w:rPr>
                <w:sz w:val="21"/>
                <w:szCs w:val="21"/>
                <w:u w:val="none"/>
              </w:rPr>
            </w:pPr>
            <w:r>
              <w:rPr>
                <w:sz w:val="21"/>
                <w:szCs w:val="21"/>
                <w:u w:val="none"/>
              </w:rPr>
              <w:t>（2）排污口标志设置的基本要求</w:t>
            </w:r>
          </w:p>
          <w:p>
            <w:pPr>
              <w:keepNext w:val="0"/>
              <w:keepLines w:val="0"/>
              <w:suppressLineNumbers w:val="0"/>
              <w:snapToGrid w:val="0"/>
              <w:spacing w:before="0" w:beforeAutospacing="0" w:after="0" w:afterAutospacing="0" w:line="360" w:lineRule="auto"/>
              <w:ind w:left="0" w:right="0" w:firstLine="384" w:firstLineChars="183"/>
              <w:rPr>
                <w:sz w:val="21"/>
                <w:szCs w:val="21"/>
                <w:u w:val="none"/>
              </w:rPr>
            </w:pPr>
            <w:r>
              <w:rPr>
                <w:sz w:val="21"/>
                <w:szCs w:val="21"/>
                <w:u w:val="none"/>
              </w:rPr>
              <w:t>①一切排污者的排污口（源）和固体废物贮存、处置场所，必须按照国家标准《环境保护图形标志》（GB15562.1-1995、GB15562.2-1995）的规定，设置与之相适应的环境保护图形标志牌。标志牌按标准制作。</w:t>
            </w:r>
          </w:p>
          <w:p>
            <w:pPr>
              <w:keepNext w:val="0"/>
              <w:keepLines w:val="0"/>
              <w:suppressLineNumbers w:val="0"/>
              <w:snapToGrid w:val="0"/>
              <w:spacing w:before="0" w:beforeAutospacing="0" w:after="0" w:afterAutospacing="0" w:line="360" w:lineRule="auto"/>
              <w:ind w:left="0" w:right="0" w:firstLine="384" w:firstLineChars="183"/>
              <w:rPr>
                <w:sz w:val="21"/>
                <w:szCs w:val="21"/>
                <w:u w:val="none"/>
              </w:rPr>
            </w:pPr>
            <w:r>
              <w:rPr>
                <w:sz w:val="21"/>
                <w:szCs w:val="21"/>
                <w:u w:val="none"/>
              </w:rPr>
              <w:t>②环境保护图形标志牌应设置在距排污口（源）及固体废物贮存（处置）场所或采样点较近且醒目处，并能长久保留。设置高度一般为：环境保护图形标志牌上缘距离地面2米。</w:t>
            </w:r>
          </w:p>
          <w:p>
            <w:pPr>
              <w:keepNext w:val="0"/>
              <w:keepLines w:val="0"/>
              <w:suppressLineNumbers w:val="0"/>
              <w:snapToGrid w:val="0"/>
              <w:spacing w:before="0" w:beforeAutospacing="0" w:after="0" w:afterAutospacing="0" w:line="360" w:lineRule="auto"/>
              <w:ind w:left="0" w:right="0" w:firstLine="384" w:firstLineChars="183"/>
              <w:rPr>
                <w:sz w:val="21"/>
                <w:szCs w:val="21"/>
                <w:u w:val="none"/>
              </w:rPr>
            </w:pPr>
            <w:r>
              <w:rPr>
                <w:sz w:val="21"/>
                <w:szCs w:val="21"/>
                <w:u w:val="none"/>
              </w:rPr>
              <w:t>（</w:t>
            </w:r>
            <w:r>
              <w:rPr>
                <w:rFonts w:hint="eastAsia"/>
                <w:sz w:val="21"/>
                <w:szCs w:val="21"/>
                <w:u w:val="none"/>
              </w:rPr>
              <w:t>3</w:t>
            </w:r>
            <w:r>
              <w:rPr>
                <w:sz w:val="21"/>
                <w:szCs w:val="21"/>
                <w:u w:val="none"/>
              </w:rPr>
              <w:t>）</w:t>
            </w:r>
            <w:r>
              <w:rPr>
                <w:rFonts w:hint="eastAsia"/>
                <w:sz w:val="21"/>
                <w:szCs w:val="21"/>
                <w:u w:val="none"/>
              </w:rPr>
              <w:t>监测采样</w:t>
            </w:r>
            <w:r>
              <w:rPr>
                <w:sz w:val="21"/>
                <w:szCs w:val="21"/>
                <w:u w:val="none"/>
              </w:rPr>
              <w:t>口设置要求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b/>
                <w:bCs/>
                <w:color w:val="auto"/>
                <w:sz w:val="21"/>
                <w:szCs w:val="21"/>
                <w:u w:val="none"/>
              </w:rPr>
            </w:pPr>
            <w:r>
              <w:rPr>
                <w:rFonts w:hint="eastAsia"/>
                <w:sz w:val="21"/>
                <w:szCs w:val="21"/>
                <w:u w:val="none"/>
              </w:rPr>
              <w:t>根据</w:t>
            </w:r>
            <w:r>
              <w:rPr>
                <w:sz w:val="21"/>
                <w:szCs w:val="21"/>
                <w:u w:val="none"/>
              </w:rPr>
              <w:t>《固定污染源排气中颗粒物测定与气态污染物采样方法》( GB/T16157-1996 )</w:t>
            </w:r>
            <w:r>
              <w:rPr>
                <w:rFonts w:hint="eastAsia"/>
                <w:sz w:val="21"/>
                <w:szCs w:val="21"/>
                <w:u w:val="none"/>
              </w:rPr>
              <w:t>，</w:t>
            </w:r>
            <w:r>
              <w:rPr>
                <w:sz w:val="21"/>
                <w:szCs w:val="21"/>
                <w:u w:val="none"/>
              </w:rPr>
              <w:t>采样位置应优先选择在垂直管段，应避开烟道弯头和断面急剧变化的部位。采样位置应设置在距弯头、阀门、变径管下游方向不小于6倍直径和距上述部件上游方向不小于3倍直径处。对矩形烟道</w:t>
            </w:r>
            <w:r>
              <w:rPr>
                <w:rFonts w:hint="eastAsia"/>
                <w:sz w:val="21"/>
                <w:szCs w:val="21"/>
                <w:u w:val="none"/>
              </w:rPr>
              <w:t>，</w:t>
            </w:r>
            <w:r>
              <w:rPr>
                <w:sz w:val="21"/>
                <w:szCs w:val="21"/>
                <w:u w:val="none"/>
              </w:rPr>
              <w:t>其当量直径D= 2AB/(A+B)</w:t>
            </w:r>
            <w:r>
              <w:rPr>
                <w:rFonts w:hint="eastAsia"/>
                <w:sz w:val="21"/>
                <w:szCs w:val="21"/>
                <w:u w:val="none"/>
              </w:rPr>
              <w:t>，</w:t>
            </w:r>
            <w:r>
              <w:rPr>
                <w:sz w:val="21"/>
                <w:szCs w:val="21"/>
                <w:u w:val="none"/>
              </w:rPr>
              <w:t>式中A</w:t>
            </w:r>
            <w:r>
              <w:rPr>
                <w:rFonts w:hint="eastAsia"/>
                <w:sz w:val="21"/>
                <w:szCs w:val="21"/>
                <w:u w:val="none"/>
              </w:rPr>
              <w:t>、</w:t>
            </w:r>
            <w:r>
              <w:rPr>
                <w:sz w:val="21"/>
                <w:szCs w:val="21"/>
                <w:u w:val="none"/>
              </w:rPr>
              <w:t>B为边长</w:t>
            </w:r>
            <w:r>
              <w:rPr>
                <w:rFonts w:hint="eastAsia"/>
                <w:sz w:val="21"/>
                <w:szCs w:val="21"/>
                <w:u w:val="none"/>
                <w:lang w:eastAsia="zh-CN"/>
              </w:rPr>
              <w:t>。</w:t>
            </w:r>
            <w:r>
              <w:rPr>
                <w:rFonts w:hint="eastAsia" w:ascii="Times New Roman" w:hAnsi="Times New Roman" w:eastAsia="宋体" w:cs="Times New Roman"/>
                <w:color w:val="auto"/>
                <w:sz w:val="21"/>
                <w:szCs w:val="21"/>
                <w:u w:val="none"/>
                <w:lang w:val="en-US" w:eastAsia="zh-CN"/>
              </w:rPr>
              <w:t>建设项目竣工后，建设单位应当如实查验、监测、记载建设项目环境保护设施的建设和调试情况，编制验收监测报告</w:t>
            </w:r>
            <w:r>
              <w:rPr>
                <w:rFonts w:hint="eastAsia" w:cs="Times New Roman"/>
                <w:color w:val="auto"/>
                <w:sz w:val="21"/>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 w:val="21"/>
                <w:szCs w:val="21"/>
                <w:u w:val="none"/>
                <w:lang w:val="en-US" w:eastAsia="zh-CN"/>
              </w:rPr>
            </w:pPr>
            <w:r>
              <w:rPr>
                <w:rFonts w:hint="eastAsia"/>
                <w:color w:val="auto"/>
                <w:sz w:val="21"/>
                <w:szCs w:val="21"/>
                <w:u w:val="none"/>
                <w:lang w:val="en-US" w:eastAsia="zh-CN"/>
              </w:rPr>
              <w:t>2、企业建设完成后应当按要求进行</w:t>
            </w:r>
            <w:r>
              <w:rPr>
                <w:color w:val="auto"/>
                <w:sz w:val="21"/>
                <w:szCs w:val="21"/>
                <w:u w:val="none"/>
              </w:rPr>
              <w:t>建设项目竣工环境保护验收</w:t>
            </w:r>
            <w:r>
              <w:rPr>
                <w:rFonts w:hint="eastAsia"/>
                <w:color w:val="auto"/>
                <w:sz w:val="21"/>
                <w:szCs w:val="21"/>
                <w:u w:val="none"/>
                <w:lang w:eastAsia="zh-CN"/>
              </w:rPr>
              <w:t>并取得排污许可证，方可投入正式生产和使用。</w:t>
            </w:r>
          </w:p>
          <w:p>
            <w:pPr>
              <w:spacing w:line="360" w:lineRule="auto"/>
              <w:rPr>
                <w:b/>
                <w:bCs/>
                <w:color w:val="auto"/>
                <w:sz w:val="21"/>
                <w:szCs w:val="21"/>
                <w:u w:val="none"/>
              </w:rPr>
            </w:pPr>
            <w:r>
              <w:rPr>
                <w:rFonts w:hint="eastAsia"/>
                <w:b/>
                <w:bCs/>
                <w:color w:val="auto"/>
                <w:sz w:val="21"/>
                <w:szCs w:val="21"/>
                <w:u w:val="none"/>
                <w:lang w:val="en-US" w:eastAsia="zh-CN"/>
              </w:rPr>
              <w:t>3、</w:t>
            </w:r>
            <w:r>
              <w:rPr>
                <w:rFonts w:hint="eastAsia"/>
                <w:b/>
                <w:bCs/>
                <w:color w:val="auto"/>
                <w:sz w:val="21"/>
                <w:szCs w:val="21"/>
                <w:u w:val="none"/>
              </w:rPr>
              <w:t>企业自主环保验收建议：</w:t>
            </w:r>
          </w:p>
          <w:p>
            <w:pPr>
              <w:spacing w:line="360" w:lineRule="auto"/>
              <w:ind w:firstLine="420" w:firstLineChars="200"/>
              <w:rPr>
                <w:color w:val="auto"/>
                <w:sz w:val="21"/>
                <w:szCs w:val="21"/>
                <w:u w:val="none"/>
              </w:rPr>
            </w:pPr>
            <w:r>
              <w:rPr>
                <w:rFonts w:hint="eastAsia"/>
                <w:color w:val="auto"/>
                <w:sz w:val="21"/>
                <w:szCs w:val="21"/>
                <w:u w:val="none"/>
              </w:rPr>
              <w:t>关于《建设项目竣工环保验收暂行办法》相关内容如下：</w:t>
            </w:r>
          </w:p>
          <w:p>
            <w:pPr>
              <w:spacing w:line="360" w:lineRule="auto"/>
              <w:ind w:firstLine="422" w:firstLineChars="200"/>
              <w:rPr>
                <w:rFonts w:ascii="新宋体" w:eastAsia="新宋体" w:cs="新宋体"/>
                <w:b/>
                <w:color w:val="auto"/>
                <w:sz w:val="21"/>
                <w:szCs w:val="21"/>
                <w:u w:val="none"/>
              </w:rPr>
            </w:pPr>
            <w:r>
              <w:rPr>
                <w:rFonts w:hint="eastAsia" w:ascii="新宋体" w:eastAsia="新宋体" w:cs="新宋体"/>
                <w:b/>
                <w:color w:val="auto"/>
                <w:sz w:val="21"/>
                <w:szCs w:val="21"/>
                <w:u w:val="none"/>
              </w:rPr>
              <w:t>1、</w:t>
            </w:r>
            <w:r>
              <w:rPr>
                <w:rFonts w:ascii="新宋体" w:eastAsia="新宋体" w:cs="新宋体"/>
                <w:b/>
                <w:color w:val="auto"/>
                <w:sz w:val="21"/>
                <w:szCs w:val="21"/>
                <w:u w:val="none"/>
              </w:rPr>
              <w:t>建设项目竣工环境保护验收的主要依据包括：</w:t>
            </w:r>
          </w:p>
          <w:p>
            <w:pPr>
              <w:spacing w:line="360" w:lineRule="auto"/>
              <w:ind w:firstLine="420" w:firstLineChars="200"/>
              <w:rPr>
                <w:color w:val="auto"/>
                <w:sz w:val="21"/>
                <w:szCs w:val="21"/>
                <w:u w:val="none"/>
              </w:rPr>
            </w:pPr>
            <w:r>
              <w:rPr>
                <w:rFonts w:hint="eastAsia" w:ascii="新宋体" w:eastAsia="新宋体" w:cs="新宋体"/>
                <w:color w:val="auto"/>
                <w:sz w:val="21"/>
                <w:szCs w:val="21"/>
                <w:u w:val="none"/>
              </w:rPr>
              <w:t>①</w:t>
            </w:r>
            <w:r>
              <w:rPr>
                <w:rFonts w:ascii="新宋体" w:eastAsia="新宋体" w:cs="新宋体"/>
                <w:color w:val="auto"/>
                <w:sz w:val="21"/>
                <w:szCs w:val="21"/>
                <w:u w:val="none"/>
              </w:rPr>
              <w:t>建设项目环境保护相关法律、法规、规章、标准和规范性文件；</w:t>
            </w:r>
          </w:p>
          <w:p>
            <w:pPr>
              <w:spacing w:line="360" w:lineRule="auto"/>
              <w:ind w:firstLine="420" w:firstLineChars="200"/>
              <w:rPr>
                <w:color w:val="auto"/>
                <w:sz w:val="21"/>
                <w:szCs w:val="21"/>
                <w:u w:val="none"/>
              </w:rPr>
            </w:pPr>
            <w:r>
              <w:rPr>
                <w:rFonts w:hint="eastAsia" w:ascii="新宋体" w:eastAsia="新宋体" w:cs="新宋体"/>
                <w:color w:val="auto"/>
                <w:sz w:val="21"/>
                <w:szCs w:val="21"/>
                <w:u w:val="none"/>
              </w:rPr>
              <w:t>②</w:t>
            </w:r>
            <w:r>
              <w:rPr>
                <w:rFonts w:ascii="新宋体" w:eastAsia="新宋体" w:cs="新宋体"/>
                <w:color w:val="auto"/>
                <w:sz w:val="21"/>
                <w:szCs w:val="21"/>
                <w:u w:val="none"/>
              </w:rPr>
              <w:t>建设项目竣工环境保护验收技术规范；</w:t>
            </w:r>
          </w:p>
          <w:p>
            <w:pPr>
              <w:spacing w:line="360" w:lineRule="auto"/>
              <w:ind w:firstLine="420" w:firstLineChars="200"/>
              <w:rPr>
                <w:color w:val="auto"/>
                <w:sz w:val="21"/>
                <w:szCs w:val="21"/>
                <w:u w:val="none"/>
              </w:rPr>
            </w:pPr>
            <w:r>
              <w:rPr>
                <w:rFonts w:hint="eastAsia" w:ascii="新宋体" w:eastAsia="新宋体" w:cs="新宋体"/>
                <w:color w:val="auto"/>
                <w:sz w:val="21"/>
                <w:szCs w:val="21"/>
                <w:u w:val="none"/>
              </w:rPr>
              <w:t>③</w:t>
            </w:r>
            <w:r>
              <w:rPr>
                <w:rFonts w:ascii="新宋体" w:eastAsia="新宋体" w:cs="新宋体"/>
                <w:color w:val="auto"/>
                <w:sz w:val="21"/>
                <w:szCs w:val="21"/>
                <w:u w:val="none"/>
              </w:rPr>
              <w:t>建设项目环境影响报告表及审批部门审批决定。</w:t>
            </w:r>
          </w:p>
          <w:p>
            <w:pPr>
              <w:spacing w:line="360" w:lineRule="auto"/>
              <w:ind w:firstLine="420" w:firstLineChars="200"/>
              <w:rPr>
                <w:color w:val="auto"/>
                <w:sz w:val="21"/>
                <w:szCs w:val="21"/>
                <w:u w:val="none"/>
              </w:rPr>
            </w:pPr>
            <w:r>
              <w:rPr>
                <w:rFonts w:hint="eastAsia"/>
                <w:color w:val="auto"/>
                <w:sz w:val="21"/>
                <w:szCs w:val="21"/>
                <w:u w:val="none"/>
              </w:rPr>
              <w:t>④</w:t>
            </w:r>
            <w:r>
              <w:rPr>
                <w:color w:val="auto"/>
                <w:sz w:val="21"/>
                <w:szCs w:val="21"/>
                <w:u w:val="none"/>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报告、验收意见和其他需要说明的事项等三项内容。</w:t>
            </w:r>
          </w:p>
          <w:p>
            <w:pPr>
              <w:spacing w:line="360" w:lineRule="auto"/>
              <w:ind w:firstLine="422" w:firstLineChars="200"/>
              <w:rPr>
                <w:b/>
                <w:color w:val="auto"/>
                <w:sz w:val="21"/>
                <w:szCs w:val="21"/>
                <w:u w:val="none"/>
              </w:rPr>
            </w:pPr>
            <w:r>
              <w:rPr>
                <w:rFonts w:hint="eastAsia"/>
                <w:b/>
                <w:color w:val="auto"/>
                <w:sz w:val="21"/>
                <w:szCs w:val="21"/>
                <w:u w:val="none"/>
              </w:rPr>
              <w:t>2、验收的程序及内容</w:t>
            </w:r>
          </w:p>
          <w:p>
            <w:pPr>
              <w:spacing w:line="360" w:lineRule="auto"/>
              <w:ind w:firstLine="420" w:firstLineChars="200"/>
              <w:rPr>
                <w:color w:val="auto"/>
                <w:sz w:val="21"/>
                <w:szCs w:val="21"/>
                <w:u w:val="none"/>
              </w:rPr>
            </w:pPr>
            <w:r>
              <w:rPr>
                <w:rFonts w:hint="eastAsia" w:ascii="新宋体" w:eastAsia="新宋体" w:cs="新宋体"/>
                <w:color w:val="auto"/>
                <w:sz w:val="21"/>
                <w:szCs w:val="21"/>
                <w:u w:val="none"/>
              </w:rPr>
              <w:t>①</w:t>
            </w:r>
            <w:r>
              <w:rPr>
                <w:rFonts w:ascii="新宋体" w:eastAsia="新宋体" w:cs="新宋体"/>
                <w:color w:val="auto"/>
                <w:sz w:val="21"/>
                <w:szCs w:val="21"/>
                <w:u w:val="none"/>
              </w:rPr>
              <w:t>建设项目竣工后，建设单位应当如实查验、监测、记载建设项目环境保护设施的建设和调试情况，编制验收监测报告。</w:t>
            </w:r>
          </w:p>
          <w:p>
            <w:pPr>
              <w:spacing w:line="360" w:lineRule="auto"/>
              <w:ind w:firstLine="420" w:firstLineChars="200"/>
              <w:rPr>
                <w:rFonts w:ascii="新宋体" w:eastAsia="新宋体" w:cs="新宋体"/>
                <w:color w:val="auto"/>
                <w:sz w:val="21"/>
                <w:szCs w:val="21"/>
                <w:u w:val="none"/>
              </w:rPr>
            </w:pPr>
            <w:r>
              <w:rPr>
                <w:rFonts w:ascii="新宋体" w:eastAsia="新宋体" w:cs="新宋体"/>
                <w:color w:val="auto"/>
                <w:sz w:val="21"/>
                <w:szCs w:val="21"/>
                <w:u w:val="none"/>
              </w:rPr>
              <w:t>以排放污染物为主的建设项目，参照《建设项目竣工环境保护验收技术指南 污染影响类》编制验收监测报告；</w:t>
            </w:r>
          </w:p>
          <w:p>
            <w:pPr>
              <w:spacing w:line="360" w:lineRule="auto"/>
              <w:ind w:firstLine="420" w:firstLineChars="200"/>
              <w:rPr>
                <w:rFonts w:ascii="新宋体" w:eastAsia="新宋体" w:cs="新宋体"/>
                <w:color w:val="auto"/>
                <w:sz w:val="21"/>
                <w:szCs w:val="21"/>
                <w:u w:val="none"/>
              </w:rPr>
            </w:pPr>
            <w:r>
              <w:rPr>
                <w:rFonts w:ascii="新宋体" w:eastAsia="新宋体" w:cs="新宋体"/>
                <w:color w:val="auto"/>
                <w:sz w:val="21"/>
                <w:szCs w:val="21"/>
                <w:u w:val="none"/>
              </w:rPr>
              <w:t>建设单位不具备编制验收监测报告能力的，可以委托有能力的技术机构编制。建设单位对受委托的技术机构编制的验收监测报告结论负责。建设单位与受委托的技术机构之间的权利义务关系，以及受委托的技术机构应当承担的责任，可以通过合同形式约定。</w:t>
            </w:r>
          </w:p>
          <w:p>
            <w:pPr>
              <w:spacing w:line="360" w:lineRule="auto"/>
              <w:ind w:firstLine="420" w:firstLineChars="200"/>
              <w:rPr>
                <w:color w:val="auto"/>
                <w:sz w:val="21"/>
                <w:szCs w:val="21"/>
                <w:u w:val="none"/>
              </w:rPr>
            </w:pPr>
            <w:r>
              <w:rPr>
                <w:rFonts w:hint="eastAsia" w:ascii="宋体" w:cs="宋体"/>
                <w:color w:val="auto"/>
                <w:sz w:val="21"/>
                <w:szCs w:val="21"/>
                <w:u w:val="none"/>
              </w:rPr>
              <w:t>②</w:t>
            </w:r>
            <w:r>
              <w:rPr>
                <w:rFonts w:ascii="新宋体" w:eastAsia="新宋体" w:cs="新宋体"/>
                <w:color w:val="auto"/>
                <w:sz w:val="21"/>
                <w:szCs w:val="21"/>
                <w:u w:val="none"/>
              </w:rPr>
              <w:t>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spacing w:line="360" w:lineRule="auto"/>
              <w:ind w:firstLine="420" w:firstLineChars="200"/>
              <w:rPr>
                <w:color w:val="auto"/>
                <w:sz w:val="21"/>
                <w:szCs w:val="21"/>
                <w:u w:val="none"/>
              </w:rPr>
            </w:pPr>
            <w:r>
              <w:rPr>
                <w:rFonts w:hint="eastAsia" w:ascii="宋体" w:cs="宋体"/>
                <w:color w:val="auto"/>
                <w:sz w:val="21"/>
                <w:szCs w:val="21"/>
                <w:u w:val="none"/>
              </w:rPr>
              <w:t>③</w:t>
            </w:r>
            <w:r>
              <w:rPr>
                <w:rFonts w:ascii="新宋体" w:eastAsia="新宋体" w:cs="新宋体"/>
                <w:color w:val="auto"/>
                <w:sz w:val="21"/>
                <w:szCs w:val="21"/>
                <w:u w:val="none"/>
              </w:rPr>
              <w:t>验收监测报告编制完成后，建设单位应当根据验收监测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60" w:lineRule="auto"/>
              <w:ind w:firstLine="420" w:firstLineChars="200"/>
              <w:rPr>
                <w:color w:val="auto"/>
                <w:sz w:val="21"/>
                <w:szCs w:val="21"/>
                <w:u w:val="none"/>
              </w:rPr>
            </w:pPr>
            <w:r>
              <w:rPr>
                <w:rFonts w:hint="eastAsia"/>
                <w:color w:val="auto"/>
                <w:sz w:val="21"/>
                <w:szCs w:val="21"/>
                <w:u w:val="none"/>
              </w:rPr>
              <w:t>④</w:t>
            </w:r>
            <w:r>
              <w:rPr>
                <w:rFonts w:ascii="新宋体" w:eastAsia="新宋体" w:cs="新宋体"/>
                <w:color w:val="auto"/>
                <w:sz w:val="21"/>
                <w:szCs w:val="21"/>
                <w:u w:val="none"/>
              </w:rPr>
              <w:t>建设项目环境保护设施存在下列情形之一的，建设单位不得提出验收合格的意见：</w:t>
            </w:r>
          </w:p>
          <w:p>
            <w:pPr>
              <w:spacing w:line="360" w:lineRule="auto"/>
              <w:ind w:firstLine="420" w:firstLineChars="200"/>
              <w:rPr>
                <w:color w:val="auto"/>
                <w:sz w:val="21"/>
                <w:szCs w:val="21"/>
                <w:u w:val="none"/>
              </w:rPr>
            </w:pPr>
            <w:r>
              <w:rPr>
                <w:rFonts w:ascii="新宋体" w:eastAsia="新宋体" w:cs="新宋体"/>
                <w:color w:val="auto"/>
                <w:sz w:val="21"/>
                <w:szCs w:val="21"/>
                <w:u w:val="none"/>
              </w:rPr>
              <w:t>（一）未按环境影响报告表及其审批部门审批决定要求建成环境保护设施，或者环境保护设施不能与主体工程同时投产或者使用的；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（二）污染物排放不符合国家和地方相关标准、环境影响报告表及其审批部门审批决定或者重点污染物排放总量控制指标要求的；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（三）环境影响报告表经批准后，该建设项目的性质、规模、地点、采用的生产工艺或者防治污染、防止生态破坏的措施发生重大变动，建设单位未重新报批环境影响报告表或者环境影响报告表未经批准的；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（四）建设过程中造成重大环境污染未治理完成，或者造成重大生态破坏未恢复的；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（五）纳入排污许可管理的建设项目，无证排污或者不按证排污的；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（六）分期建设、分期投入生产或者使用依法应当分期验收的建设项目，其分期建设、分期投入生产或者使用的环境保护设施防治环境污染和生态破坏的能力不能满足其相应主体工程需要的；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（七）建设单位因该建设项目违反国家和地方环境保护法律法规受到处罚，被责令改正，尚未改正完成的；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（八）验收报告的基础资料数据明显不实，内容存在重大缺项、遗漏，或者验收结论不明确、不合理的；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（九）其他环境保护法律法规规章等规定不得通过环境保护验收的。</w:t>
            </w:r>
          </w:p>
          <w:p>
            <w:pPr>
              <w:spacing w:line="360" w:lineRule="auto"/>
              <w:ind w:firstLine="420" w:firstLineChars="200"/>
              <w:rPr>
                <w:color w:val="auto"/>
                <w:sz w:val="21"/>
                <w:szCs w:val="21"/>
                <w:u w:val="none"/>
              </w:rPr>
            </w:pPr>
            <w:r>
              <w:rPr>
                <w:rFonts w:hint="eastAsia" w:ascii="宋体" w:cs="宋体"/>
                <w:color w:val="auto"/>
                <w:sz w:val="21"/>
                <w:szCs w:val="21"/>
                <w:u w:val="none"/>
              </w:rPr>
              <w:t>⑤</w:t>
            </w:r>
            <w:r>
              <w:rPr>
                <w:rFonts w:ascii="新宋体" w:eastAsia="新宋体" w:cs="新宋体"/>
                <w:color w:val="auto"/>
                <w:sz w:val="21"/>
                <w:szCs w:val="21"/>
                <w:u w:val="none"/>
              </w:rPr>
              <w:t>为提高验收的有效性，在提出验收意见的过程中，建设单位可以组织成立验收工作组，采取现场检查、资料查阅、召开验收会议等方式，协助开展验收工作。验收工作组可以由设计单位、施工单位、环境影响报告表编制机构、验收监测报告编制机构等单位代表以及专业技术专家等组成，代表范围和人数自定。</w:t>
            </w:r>
          </w:p>
          <w:p>
            <w:pPr>
              <w:spacing w:line="360" w:lineRule="auto"/>
              <w:ind w:firstLine="420" w:firstLineChars="200"/>
              <w:rPr>
                <w:color w:val="auto"/>
                <w:sz w:val="21"/>
                <w:szCs w:val="21"/>
                <w:u w:val="none"/>
              </w:rPr>
            </w:pPr>
            <w:r>
              <w:rPr>
                <w:rFonts w:hint="eastAsia" w:ascii="宋体" w:cs="宋体"/>
                <w:color w:val="auto"/>
                <w:sz w:val="21"/>
                <w:szCs w:val="21"/>
                <w:u w:val="none"/>
              </w:rPr>
              <w:t>⑥</w:t>
            </w:r>
            <w:r>
              <w:rPr>
                <w:rFonts w:ascii="新宋体" w:eastAsia="新宋体" w:cs="新宋体"/>
                <w:color w:val="auto"/>
                <w:sz w:val="21"/>
                <w:szCs w:val="21"/>
                <w:u w:val="none"/>
              </w:rPr>
              <w:t>建设单位在</w:t>
            </w:r>
            <w:r>
              <w:rPr>
                <w:rFonts w:ascii="Courier New" w:hAnsi="Courier New" w:eastAsia="Courier New" w:cs="Courier New"/>
                <w:color w:val="auto"/>
                <w:sz w:val="21"/>
                <w:szCs w:val="21"/>
                <w:u w:val="none"/>
              </w:rPr>
              <w:t>“</w:t>
            </w:r>
            <w:r>
              <w:rPr>
                <w:rFonts w:ascii="新宋体" w:eastAsia="新宋体" w:cs="新宋体"/>
                <w:color w:val="auto"/>
                <w:sz w:val="21"/>
                <w:szCs w:val="21"/>
                <w:u w:val="none"/>
              </w:rPr>
              <w:t>其他需要说明的事项</w:t>
            </w:r>
            <w:r>
              <w:rPr>
                <w:rFonts w:ascii="Courier New" w:hAnsi="Courier New" w:eastAsia="Courier New" w:cs="Courier New"/>
                <w:color w:val="auto"/>
                <w:sz w:val="21"/>
                <w:szCs w:val="21"/>
                <w:u w:val="none"/>
              </w:rPr>
              <w:t>”</w:t>
            </w:r>
            <w:r>
              <w:rPr>
                <w:rFonts w:ascii="新宋体" w:eastAsia="新宋体" w:cs="新宋体"/>
                <w:color w:val="auto"/>
                <w:sz w:val="21"/>
                <w:szCs w:val="21"/>
                <w:u w:val="none"/>
              </w:rPr>
              <w:t>中应当如实记载环境保护设施设计、施工和验收过程简况、环境影响报告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w:t>
            </w:r>
          </w:p>
          <w:p>
            <w:pPr>
              <w:spacing w:line="360" w:lineRule="auto"/>
              <w:ind w:firstLine="420" w:firstLineChars="200"/>
              <w:rPr>
                <w:color w:val="auto"/>
                <w:sz w:val="21"/>
                <w:szCs w:val="21"/>
                <w:u w:val="none"/>
              </w:rPr>
            </w:pPr>
            <w:r>
              <w:rPr>
                <w:rFonts w:ascii="新宋体" w:eastAsia="新宋体" w:cs="新宋体"/>
                <w:color w:val="auto"/>
                <w:sz w:val="21"/>
                <w:szCs w:val="21"/>
                <w:u w:val="none"/>
              </w:rPr>
              <w:t>建设单位应当积极配合地方政府或部门在所承诺的时限内完成，并在</w:t>
            </w:r>
            <w:r>
              <w:rPr>
                <w:rFonts w:ascii="Courier New" w:hAnsi="Courier New" w:eastAsia="Courier New" w:cs="Courier New"/>
                <w:color w:val="auto"/>
                <w:sz w:val="21"/>
                <w:szCs w:val="21"/>
                <w:u w:val="none"/>
              </w:rPr>
              <w:t>“</w:t>
            </w:r>
            <w:r>
              <w:rPr>
                <w:rFonts w:ascii="新宋体" w:eastAsia="新宋体" w:cs="新宋体"/>
                <w:color w:val="auto"/>
                <w:sz w:val="21"/>
                <w:szCs w:val="21"/>
                <w:u w:val="none"/>
              </w:rPr>
              <w:t>其他需要说明的事项</w:t>
            </w:r>
            <w:r>
              <w:rPr>
                <w:rFonts w:ascii="Courier New" w:hAnsi="Courier New" w:eastAsia="Courier New" w:cs="Courier New"/>
                <w:color w:val="auto"/>
                <w:sz w:val="21"/>
                <w:szCs w:val="21"/>
                <w:u w:val="none"/>
              </w:rPr>
              <w:t>”</w:t>
            </w:r>
            <w:r>
              <w:rPr>
                <w:rFonts w:ascii="新宋体" w:eastAsia="新宋体" w:cs="新宋体"/>
                <w:color w:val="auto"/>
                <w:sz w:val="21"/>
                <w:szCs w:val="21"/>
                <w:u w:val="none"/>
              </w:rPr>
              <w:t>中如实记载前述环境保护对策措施的实施情况。</w:t>
            </w:r>
          </w:p>
          <w:p>
            <w:pPr>
              <w:spacing w:line="360" w:lineRule="auto"/>
              <w:ind w:firstLine="420" w:firstLineChars="200"/>
              <w:rPr>
                <w:color w:val="auto"/>
                <w:sz w:val="21"/>
                <w:szCs w:val="21"/>
                <w:u w:val="none"/>
              </w:rPr>
            </w:pPr>
            <w:r>
              <w:rPr>
                <w:rFonts w:hint="eastAsia" w:ascii="宋体" w:cs="宋体"/>
                <w:color w:val="auto"/>
                <w:sz w:val="21"/>
                <w:szCs w:val="21"/>
                <w:u w:val="none"/>
              </w:rPr>
              <w:t>⑦</w:t>
            </w:r>
            <w:r>
              <w:rPr>
                <w:rFonts w:ascii="新宋体" w:eastAsia="新宋体" w:cs="新宋体"/>
                <w:color w:val="auto"/>
                <w:sz w:val="21"/>
                <w:szCs w:val="21"/>
                <w:u w:val="none"/>
              </w:rPr>
              <w:t>除按照国家需要保密的情形外，建设单位应当通过其网站或其他便于公众知晓的方式，向社会公开下列信息：</w:t>
            </w:r>
          </w:p>
          <w:p>
            <w:pPr>
              <w:spacing w:line="360" w:lineRule="auto"/>
              <w:ind w:firstLine="420" w:firstLineChars="200"/>
              <w:rPr>
                <w:rFonts w:ascii="新宋体" w:eastAsia="新宋体" w:cs="新宋体"/>
                <w:color w:val="auto"/>
                <w:sz w:val="21"/>
                <w:szCs w:val="21"/>
                <w:u w:val="none"/>
              </w:rPr>
            </w:pPr>
            <w:r>
              <w:rPr>
                <w:rFonts w:ascii="新宋体" w:eastAsia="新宋体" w:cs="新宋体"/>
                <w:color w:val="auto"/>
                <w:sz w:val="21"/>
                <w:szCs w:val="21"/>
                <w:u w:val="none"/>
              </w:rPr>
              <w:t>（一）建设项目配套建设的环境保护设施竣工后，公开竣工日期；</w:t>
            </w:r>
          </w:p>
          <w:p>
            <w:pPr>
              <w:spacing w:line="360" w:lineRule="auto"/>
              <w:ind w:firstLine="420" w:firstLineChars="200"/>
              <w:rPr>
                <w:color w:val="auto"/>
                <w:sz w:val="21"/>
                <w:szCs w:val="21"/>
                <w:u w:val="none"/>
              </w:rPr>
            </w:pPr>
            <w:r>
              <w:rPr>
                <w:rFonts w:ascii="新宋体" w:eastAsia="新宋体" w:cs="新宋体"/>
                <w:color w:val="auto"/>
                <w:sz w:val="21"/>
                <w:szCs w:val="21"/>
                <w:u w:val="none"/>
              </w:rPr>
              <w:t>（二）对建设项目配套建设的环境保护设施进行调试前，公开调试的起止日期；</w:t>
            </w:r>
          </w:p>
          <w:p>
            <w:pPr>
              <w:spacing w:line="360" w:lineRule="auto"/>
              <w:ind w:firstLine="420" w:firstLineChars="200"/>
              <w:rPr>
                <w:rFonts w:ascii="Times New Roman" w:hAnsi="Times New Roman" w:eastAsia="新宋体" w:cs="Times New Roman"/>
                <w:color w:val="auto"/>
                <w:sz w:val="21"/>
                <w:szCs w:val="21"/>
                <w:u w:val="none"/>
              </w:rPr>
            </w:pPr>
            <w:r>
              <w:rPr>
                <w:rFonts w:ascii="新宋体" w:eastAsia="新宋体" w:cs="新宋体"/>
                <w:color w:val="auto"/>
                <w:sz w:val="21"/>
                <w:szCs w:val="21"/>
                <w:u w:val="none"/>
              </w:rPr>
              <w:t>（三）验收</w:t>
            </w:r>
            <w:r>
              <w:rPr>
                <w:rFonts w:ascii="Times New Roman" w:hAnsi="Times New Roman" w:eastAsia="新宋体" w:cs="Times New Roman"/>
                <w:color w:val="auto"/>
                <w:sz w:val="21"/>
                <w:szCs w:val="21"/>
                <w:u w:val="none"/>
              </w:rPr>
              <w:t>报告编制完成后</w:t>
            </w:r>
            <w:r>
              <w:rPr>
                <w:rFonts w:ascii="Times New Roman" w:hAnsi="Times New Roman" w:eastAsia="Courier New" w:cs="Times New Roman"/>
                <w:color w:val="auto"/>
                <w:sz w:val="21"/>
                <w:szCs w:val="21"/>
                <w:u w:val="none"/>
              </w:rPr>
              <w:t>5</w:t>
            </w:r>
            <w:r>
              <w:rPr>
                <w:rFonts w:ascii="Times New Roman" w:hAnsi="Times New Roman" w:eastAsia="新宋体" w:cs="Times New Roman"/>
                <w:color w:val="auto"/>
                <w:sz w:val="21"/>
                <w:szCs w:val="21"/>
                <w:u w:val="none"/>
              </w:rPr>
              <w:t>个工作日内，公开验收报告，公示的期限不得少于</w:t>
            </w:r>
            <w:r>
              <w:rPr>
                <w:rFonts w:ascii="Times New Roman" w:hAnsi="Times New Roman" w:eastAsia="Courier New" w:cs="Times New Roman"/>
                <w:color w:val="auto"/>
                <w:sz w:val="21"/>
                <w:szCs w:val="21"/>
                <w:u w:val="none"/>
              </w:rPr>
              <w:t>20</w:t>
            </w:r>
            <w:r>
              <w:rPr>
                <w:rFonts w:ascii="Times New Roman" w:hAnsi="Times New Roman" w:eastAsia="新宋体" w:cs="Times New Roman"/>
                <w:color w:val="auto"/>
                <w:sz w:val="21"/>
                <w:szCs w:val="21"/>
                <w:u w:val="none"/>
              </w:rPr>
              <w:t>个工作日。建设单位公开上述信息的同时，应当向所在地县级以上环境保护主管部门报送相关信息，并接受监督检查。</w:t>
            </w:r>
          </w:p>
          <w:p>
            <w:pPr>
              <w:spacing w:line="360" w:lineRule="auto"/>
              <w:ind w:firstLine="420" w:firstLineChars="200"/>
              <w:rPr>
                <w:rFonts w:ascii="Times New Roman" w:hAnsi="Times New Roman" w:cs="Times New Roman"/>
                <w:color w:val="auto"/>
                <w:sz w:val="21"/>
                <w:szCs w:val="21"/>
                <w:u w:val="none"/>
              </w:rPr>
            </w:pPr>
            <w:r>
              <w:rPr>
                <w:rFonts w:ascii="Times New Roman" w:hAnsi="Times New Roman" w:cs="Times New Roman"/>
                <w:color w:val="auto"/>
                <w:sz w:val="21"/>
                <w:szCs w:val="21"/>
                <w:u w:val="none"/>
              </w:rPr>
              <w:t>⑧</w:t>
            </w:r>
            <w:r>
              <w:rPr>
                <w:rFonts w:ascii="Times New Roman" w:hAnsi="Times New Roman" w:eastAsia="新宋体" w:cs="Times New Roman"/>
                <w:color w:val="auto"/>
                <w:sz w:val="21"/>
                <w:szCs w:val="21"/>
                <w:u w:val="none"/>
              </w:rPr>
              <w:t>除需要取得排污许可证的水和大气污染防治设施外，其他环境保护设施的验收期限一般不超过</w:t>
            </w:r>
            <w:r>
              <w:rPr>
                <w:rFonts w:hint="eastAsia" w:eastAsia="新宋体" w:cs="Times New Roman"/>
                <w:color w:val="auto"/>
                <w:sz w:val="21"/>
                <w:szCs w:val="21"/>
                <w:u w:val="none"/>
                <w:lang w:val="en-US" w:eastAsia="zh-CN"/>
              </w:rPr>
              <w:t>3</w:t>
            </w:r>
            <w:r>
              <w:rPr>
                <w:rFonts w:ascii="Times New Roman" w:hAnsi="Times New Roman" w:eastAsia="新宋体" w:cs="Times New Roman"/>
                <w:color w:val="auto"/>
                <w:sz w:val="21"/>
                <w:szCs w:val="21"/>
                <w:u w:val="none"/>
              </w:rPr>
              <w:t>个月；需要对该类环境保护设施进行调试或者整改的，验收期限可以适当延期，但最长不超过</w:t>
            </w:r>
            <w:r>
              <w:rPr>
                <w:rFonts w:ascii="Times New Roman" w:hAnsi="Times New Roman" w:eastAsia="Courier New" w:cs="Times New Roman"/>
                <w:color w:val="auto"/>
                <w:sz w:val="21"/>
                <w:szCs w:val="21"/>
                <w:u w:val="none"/>
              </w:rPr>
              <w:t>12</w:t>
            </w:r>
            <w:r>
              <w:rPr>
                <w:rFonts w:ascii="Times New Roman" w:hAnsi="Times New Roman" w:eastAsia="新宋体" w:cs="Times New Roman"/>
                <w:color w:val="auto"/>
                <w:sz w:val="21"/>
                <w:szCs w:val="21"/>
                <w:u w:val="none"/>
              </w:rPr>
              <w:t>个月。验收期限是指自建设项目环境保护设施竣工之日起至建设单位向社会公开验收报告之日止的时间。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新宋体" w:cs="Times New Roman"/>
                <w:color w:val="auto"/>
                <w:sz w:val="21"/>
                <w:szCs w:val="21"/>
                <w:lang w:val="en-US" w:eastAsia="zh-CN"/>
              </w:rPr>
            </w:pPr>
            <w:r>
              <w:rPr>
                <w:rFonts w:ascii="Times New Roman" w:hAnsi="Times New Roman" w:cs="Times New Roman"/>
                <w:color w:val="auto"/>
                <w:sz w:val="21"/>
                <w:szCs w:val="21"/>
                <w:u w:val="none"/>
              </w:rPr>
              <w:t>⑨</w:t>
            </w:r>
            <w:r>
              <w:rPr>
                <w:rFonts w:ascii="Times New Roman" w:hAnsi="Times New Roman" w:eastAsia="新宋体" w:cs="Times New Roman"/>
                <w:color w:val="auto"/>
                <w:kern w:val="0"/>
                <w:sz w:val="21"/>
                <w:szCs w:val="21"/>
                <w:u w:val="none"/>
              </w:rPr>
              <w:t>验收报告公示期满后</w:t>
            </w:r>
            <w:r>
              <w:rPr>
                <w:rFonts w:ascii="Times New Roman" w:hAnsi="Times New Roman" w:eastAsia="新宋体" w:cs="Times New Roman"/>
                <w:color w:val="auto"/>
                <w:kern w:val="0"/>
                <w:sz w:val="21"/>
                <w:szCs w:val="21"/>
                <w:u w:val="none"/>
                <w:lang w:val="en-US" w:eastAsia="zh-CN"/>
              </w:rPr>
              <w:t>5</w:t>
            </w:r>
            <w:r>
              <w:rPr>
                <w:rFonts w:ascii="Times New Roman" w:hAnsi="Times New Roman" w:eastAsia="新宋体" w:cs="Times New Roman"/>
                <w:color w:val="auto"/>
                <w:kern w:val="0"/>
                <w:sz w:val="21"/>
                <w:szCs w:val="21"/>
                <w:u w:val="none"/>
              </w:rPr>
              <w:t>个工作日内，建设单位应当登录全国建设项目竣工环境保护验收信息平</w:t>
            </w:r>
            <w:r>
              <w:rPr>
                <w:rFonts w:ascii="新宋体" w:eastAsia="新宋体" w:cs="新宋体"/>
                <w:color w:val="auto"/>
                <w:kern w:val="0"/>
                <w:sz w:val="21"/>
                <w:szCs w:val="21"/>
                <w:u w:val="none"/>
              </w:rPr>
              <w:t>台，填报建设项目基本信息、环境保护设施验收情况等相关信息，环境保护主管部门对上述信息予以公开。建设单位应当将验收报告以及其他档案资料存档备查</w:t>
            </w:r>
            <w:r>
              <w:rPr>
                <w:rFonts w:hint="eastAsia" w:ascii="新宋体" w:eastAsia="新宋体" w:cs="新宋体"/>
                <w:color w:val="auto"/>
                <w:kern w:val="0"/>
                <w:sz w:val="21"/>
                <w:szCs w:val="21"/>
                <w:u w:val="none"/>
                <w:lang w:eastAsia="zh-CN"/>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widowControl w:val="0"/>
        <w:spacing w:before="0" w:beforeAutospacing="0" w:after="0" w:afterAutospacing="0"/>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sz w:val="24"/>
              </w:rPr>
            </w:pPr>
            <w:r>
              <w:rPr>
                <w:rFonts w:hint="eastAsia"/>
                <w:sz w:val="24"/>
                <w:szCs w:val="24"/>
              </w:rPr>
              <w:t>建设项目符合国家产业政策，符合</w:t>
            </w:r>
            <w:r>
              <w:rPr>
                <w:sz w:val="24"/>
                <w:szCs w:val="24"/>
              </w:rPr>
              <w:t>《澧县经济开发区总体规划》（2012-2020）</w:t>
            </w:r>
            <w:r>
              <w:rPr>
                <w:rFonts w:hint="eastAsia"/>
                <w:sz w:val="24"/>
                <w:szCs w:val="24"/>
              </w:rPr>
              <w:t>，《湖南澧县经济开发区环境影响报告书》及其批复要求，且项目建设满足《常德市“三线一单”生态环境管控基本要求暨环境管控单元生态环境准入清单》要求。通过对该项目的工程分析、环境影响分析，在采取本报告提出的污染控制措施的基础上，本项目对环境的影响较小。本项目的建设和实施从环境保护的角度分析是可行的。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w:t>
            </w:r>
          </w:p>
        </w:tc>
      </w:tr>
    </w:tbl>
    <w:p>
      <w:r>
        <w:br w:type="page"/>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outlineLvl w:val="0"/>
        <w:rPr>
          <w:rFonts w:ascii="Times New Roman" w:hAnsi="Times New Roman" w:eastAsia="黑体" w:cs="Times New Roman"/>
          <w:snapToGrid w:val="0"/>
          <w:color w:val="auto"/>
          <w:sz w:val="32"/>
          <w:szCs w:val="32"/>
          <w:highlight w:val="none"/>
          <w:u w:val="none"/>
        </w:rPr>
      </w:pPr>
      <w:r>
        <w:rPr>
          <w:rFonts w:ascii="Times New Roman" w:hAnsi="Times New Roman" w:eastAsia="黑体" w:cs="Times New Roman"/>
          <w:snapToGrid w:val="0"/>
          <w:color w:val="auto"/>
          <w:sz w:val="32"/>
          <w:szCs w:val="32"/>
          <w:highlight w:val="none"/>
          <w:u w:val="none"/>
        </w:rPr>
        <w:t>附表</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outlineLvl w:val="0"/>
        <w:rPr>
          <w:rFonts w:ascii="Times New Roman" w:hAnsi="Times New Roman" w:eastAsia="方正小标宋_GBK" w:cs="Times New Roman"/>
          <w:snapToGrid w:val="0"/>
          <w:color w:val="auto"/>
          <w:sz w:val="38"/>
          <w:szCs w:val="38"/>
          <w:highlight w:val="none"/>
          <w:u w:val="none"/>
        </w:rPr>
      </w:pPr>
      <w:r>
        <w:rPr>
          <w:rFonts w:ascii="Times New Roman" w:hAnsi="Times New Roman" w:eastAsia="方正小标宋_GBK" w:cs="Times New Roman"/>
          <w:snapToGrid w:val="0"/>
          <w:color w:val="auto"/>
          <w:sz w:val="38"/>
          <w:szCs w:val="38"/>
          <w:highlight w:val="none"/>
          <w:u w:val="none"/>
        </w:rPr>
        <w:t>建设项目污染物排放量汇总表</w:t>
      </w:r>
      <w:r>
        <w:rPr>
          <w:rFonts w:hint="eastAsia" w:ascii="Times New Roman" w:eastAsia="方正小标宋_GBK" w:cs="Times New Roman"/>
          <w:snapToGrid w:val="0"/>
          <w:color w:val="auto"/>
          <w:sz w:val="38"/>
          <w:szCs w:val="38"/>
          <w:highlight w:val="none"/>
          <w:u w:val="none"/>
          <w:lang w:eastAsia="zh-CN"/>
        </w:rPr>
        <w:t>（</w:t>
      </w:r>
      <w:r>
        <w:rPr>
          <w:rFonts w:hint="eastAsia" w:ascii="Times New Roman" w:eastAsia="方正小标宋_GBK" w:cs="Times New Roman"/>
          <w:snapToGrid w:val="0"/>
          <w:color w:val="auto"/>
          <w:sz w:val="38"/>
          <w:szCs w:val="38"/>
          <w:highlight w:val="none"/>
          <w:u w:val="none"/>
          <w:lang w:val="en-US" w:eastAsia="zh-CN"/>
        </w:rPr>
        <w:t>t/a</w:t>
      </w:r>
      <w:r>
        <w:rPr>
          <w:rFonts w:hint="eastAsia" w:ascii="Times New Roman" w:eastAsia="方正小标宋_GBK" w:cs="Times New Roman"/>
          <w:snapToGrid w:val="0"/>
          <w:color w:val="auto"/>
          <w:sz w:val="38"/>
          <w:szCs w:val="38"/>
          <w:highlight w:val="none"/>
          <w:u w:val="none"/>
          <w:lang w:eastAsia="zh-CN"/>
        </w:rPr>
        <w:t>）</w:t>
      </w:r>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659"/>
        <w:gridCol w:w="1701"/>
        <w:gridCol w:w="1276"/>
        <w:gridCol w:w="1701"/>
        <w:gridCol w:w="1559"/>
        <w:gridCol w:w="1761"/>
        <w:gridCol w:w="1761"/>
        <w:gridCol w:w="1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46" w:type="dxa"/>
            <w:tcBorders>
              <w:tl2br w:val="single" w:color="auto" w:sz="4" w:space="0"/>
            </w:tcBorders>
            <w:noWrap/>
            <w:tcMar>
              <w:left w:w="28" w:type="dxa"/>
              <w:right w:w="28" w:type="dxa"/>
            </w:tcMar>
            <w:vAlign w:val="center"/>
          </w:tcPr>
          <w:p>
            <w:pPr>
              <w:pStyle w:val="62"/>
              <w:spacing w:before="10" w:beforeLines="0" w:after="10" w:afterLines="0" w:line="240" w:lineRule="auto"/>
              <w:jc w:val="righ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项目</w:t>
            </w:r>
          </w:p>
          <w:p>
            <w:pPr>
              <w:pStyle w:val="62"/>
              <w:spacing w:before="10" w:beforeLines="0" w:after="10" w:afterLines="0" w:line="240" w:lineRule="auto"/>
              <w:jc w:val="lef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分类</w:t>
            </w:r>
          </w:p>
        </w:tc>
        <w:tc>
          <w:tcPr>
            <w:tcW w:w="1659"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污染物名称</w:t>
            </w:r>
          </w:p>
        </w:tc>
        <w:tc>
          <w:tcPr>
            <w:tcW w:w="1701"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1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①</w:t>
            </w:r>
            <w:r>
              <w:rPr>
                <w:rFonts w:ascii="Times New Roman" w:hAnsi="Times New Roman" w:eastAsia="黑体" w:cs="Times New Roman"/>
                <w:snapToGrid w:val="0"/>
                <w:color w:val="auto"/>
                <w:spacing w:val="-6"/>
                <w:kern w:val="21"/>
                <w:szCs w:val="21"/>
                <w:highlight w:val="none"/>
                <w:u w:val="none"/>
              </w:rPr>
              <w:fldChar w:fldCharType="end"/>
            </w:r>
          </w:p>
        </w:tc>
        <w:tc>
          <w:tcPr>
            <w:tcW w:w="1276"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许可排放量</w:t>
            </w:r>
          </w:p>
          <w:p>
            <w:pPr>
              <w:pStyle w:val="62"/>
              <w:spacing w:before="10" w:beforeLines="0" w:after="10" w:afterLines="0"/>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2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snapToGrid w:val="0"/>
                <w:color w:val="auto"/>
                <w:spacing w:val="-6"/>
                <w:kern w:val="21"/>
                <w:szCs w:val="21"/>
                <w:highlight w:val="none"/>
                <w:u w:val="none"/>
              </w:rPr>
              <w:t>②</w:t>
            </w:r>
            <w:r>
              <w:rPr>
                <w:rFonts w:ascii="Times New Roman" w:hAnsi="Times New Roman" w:eastAsia="黑体" w:cs="Times New Roman"/>
                <w:snapToGrid w:val="0"/>
                <w:color w:val="auto"/>
                <w:spacing w:val="-6"/>
                <w:kern w:val="21"/>
                <w:szCs w:val="21"/>
                <w:highlight w:val="none"/>
                <w:u w:val="none"/>
              </w:rPr>
              <w:fldChar w:fldCharType="end"/>
            </w:r>
          </w:p>
        </w:tc>
        <w:tc>
          <w:tcPr>
            <w:tcW w:w="1701"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在建工程</w:t>
            </w:r>
          </w:p>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3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③</w:t>
            </w:r>
            <w:r>
              <w:rPr>
                <w:rFonts w:ascii="Times New Roman" w:hAnsi="Times New Roman" w:eastAsia="黑体" w:cs="Times New Roman"/>
                <w:snapToGrid w:val="0"/>
                <w:color w:val="auto"/>
                <w:spacing w:val="-6"/>
                <w:kern w:val="21"/>
                <w:szCs w:val="21"/>
                <w:highlight w:val="none"/>
                <w:u w:val="none"/>
              </w:rPr>
              <w:fldChar w:fldCharType="end"/>
            </w:r>
          </w:p>
        </w:tc>
        <w:tc>
          <w:tcPr>
            <w:tcW w:w="1559"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本项目</w:t>
            </w:r>
          </w:p>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4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④</w:t>
            </w:r>
            <w:r>
              <w:rPr>
                <w:rFonts w:ascii="Times New Roman" w:hAnsi="Times New Roman" w:eastAsia="黑体" w:cs="Times New Roman"/>
                <w:snapToGrid w:val="0"/>
                <w:color w:val="auto"/>
                <w:spacing w:val="-6"/>
                <w:kern w:val="21"/>
                <w:szCs w:val="21"/>
                <w:highlight w:val="none"/>
                <w:u w:val="none"/>
              </w:rPr>
              <w:fldChar w:fldCharType="end"/>
            </w:r>
          </w:p>
        </w:tc>
        <w:tc>
          <w:tcPr>
            <w:tcW w:w="1761"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以新带老削减量</w:t>
            </w:r>
          </w:p>
          <w:p>
            <w:pPr>
              <w:pStyle w:val="62"/>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（新建项目不填）</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5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⑤</w:t>
            </w:r>
            <w:r>
              <w:rPr>
                <w:rFonts w:ascii="Times New Roman" w:hAnsi="Times New Roman" w:eastAsia="黑体" w:cs="Times New Roman"/>
                <w:snapToGrid w:val="0"/>
                <w:color w:val="auto"/>
                <w:spacing w:val="-16"/>
                <w:kern w:val="21"/>
                <w:szCs w:val="21"/>
                <w:highlight w:val="none"/>
                <w:u w:val="none"/>
              </w:rPr>
              <w:fldChar w:fldCharType="end"/>
            </w:r>
          </w:p>
        </w:tc>
        <w:tc>
          <w:tcPr>
            <w:tcW w:w="1761"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本项目建成后</w:t>
            </w:r>
          </w:p>
          <w:p>
            <w:pPr>
              <w:pStyle w:val="62"/>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全厂排放量（固体废物产生量）</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6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⑥</w:t>
            </w:r>
            <w:r>
              <w:rPr>
                <w:rFonts w:ascii="Times New Roman" w:hAnsi="Times New Roman" w:eastAsia="黑体" w:cs="Times New Roman"/>
                <w:snapToGrid w:val="0"/>
                <w:color w:val="auto"/>
                <w:spacing w:val="-16"/>
                <w:kern w:val="21"/>
                <w:szCs w:val="21"/>
                <w:highlight w:val="none"/>
                <w:u w:val="none"/>
              </w:rPr>
              <w:fldChar w:fldCharType="end"/>
            </w:r>
          </w:p>
        </w:tc>
        <w:tc>
          <w:tcPr>
            <w:tcW w:w="1024" w:type="dxa"/>
            <w:noWrap/>
            <w:tcMar>
              <w:left w:w="28" w:type="dxa"/>
              <w:right w:w="28" w:type="dxa"/>
            </w:tcMar>
            <w:vAlign w:val="center"/>
          </w:tcPr>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变化量</w:t>
            </w:r>
          </w:p>
          <w:p>
            <w:pPr>
              <w:pStyle w:val="62"/>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7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⑦</w:t>
            </w:r>
            <w:r>
              <w:rPr>
                <w:rFonts w:ascii="Times New Roman" w:hAnsi="Times New Roman" w:eastAsia="黑体" w:cs="Times New Roman"/>
                <w:snapToGrid w:val="0"/>
                <w:color w:val="auto"/>
                <w:spacing w:val="-6"/>
                <w:kern w:val="21"/>
                <w:szCs w:val="21"/>
                <w:highlight w:val="none"/>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6" w:type="dxa"/>
            <w:vMerge w:val="restart"/>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废气</w:t>
            </w:r>
          </w:p>
        </w:tc>
        <w:tc>
          <w:tcPr>
            <w:tcW w:w="1659" w:type="dxa"/>
            <w:noWrap/>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eastAsia="宋体" w:cs="Times New Roman"/>
                <w:snapToGrid w:val="0"/>
                <w:color w:val="auto"/>
                <w:kern w:val="21"/>
                <w:szCs w:val="21"/>
                <w:highlight w:val="none"/>
                <w:u w:val="none"/>
                <w:lang w:val="en-US" w:eastAsia="zh-CN"/>
              </w:rPr>
            </w:pPr>
            <w:r>
              <w:rPr>
                <w:rFonts w:hint="eastAsia" w:cs="Times New Roman"/>
                <w:color w:val="auto"/>
                <w:sz w:val="21"/>
                <w:szCs w:val="21"/>
                <w:lang w:eastAsia="zh-CN"/>
              </w:rPr>
              <w:t>天然气燃烧产生颗粒物</w:t>
            </w:r>
          </w:p>
        </w:tc>
        <w:tc>
          <w:tcPr>
            <w:tcW w:w="1701" w:type="dxa"/>
            <w:noWrap/>
            <w:vAlign w:val="center"/>
          </w:tcPr>
          <w:p>
            <w:pPr>
              <w:spacing w:beforeLines="0" w:afterLines="0"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0.06</w:t>
            </w:r>
          </w:p>
        </w:tc>
        <w:tc>
          <w:tcPr>
            <w:tcW w:w="1276" w:type="dxa"/>
            <w:noWrap/>
            <w:vAlign w:val="center"/>
          </w:tcPr>
          <w:p>
            <w:pPr>
              <w:spacing w:beforeLines="0" w:afterLines="0" w:line="240" w:lineRule="auto"/>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0.003</w:t>
            </w:r>
          </w:p>
        </w:tc>
        <w:tc>
          <w:tcPr>
            <w:tcW w:w="1559"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0.003</w:t>
            </w:r>
          </w:p>
        </w:tc>
        <w:tc>
          <w:tcPr>
            <w:tcW w:w="176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0.06</w:t>
            </w:r>
          </w:p>
        </w:tc>
        <w:tc>
          <w:tcPr>
            <w:tcW w:w="176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0.003</w:t>
            </w:r>
          </w:p>
        </w:tc>
        <w:tc>
          <w:tcPr>
            <w:tcW w:w="1024"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46" w:type="dxa"/>
            <w:vMerge w:val="continue"/>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cs="Times New Roman"/>
                <w:snapToGrid w:val="0"/>
                <w:color w:val="auto"/>
                <w:kern w:val="21"/>
                <w:szCs w:val="21"/>
                <w:highlight w:val="none"/>
                <w:u w:val="none"/>
                <w:lang w:val="en-US" w:eastAsia="zh-CN"/>
              </w:rPr>
            </w:pPr>
            <w:r>
              <w:rPr>
                <w:rFonts w:hint="eastAsia" w:cs="Times New Roman"/>
                <w:color w:val="auto"/>
                <w:sz w:val="21"/>
                <w:szCs w:val="21"/>
                <w:lang w:eastAsia="zh-CN"/>
              </w:rPr>
              <w:t>天然气燃烧产生</w:t>
            </w:r>
            <w:r>
              <w:rPr>
                <w:rFonts w:hint="eastAsia" w:cs="Times New Roman"/>
                <w:color w:val="auto"/>
                <w:sz w:val="21"/>
                <w:szCs w:val="21"/>
                <w:lang w:val="en-US" w:eastAsia="zh-CN"/>
              </w:rPr>
              <w:t>SO</w:t>
            </w:r>
            <w:r>
              <w:rPr>
                <w:rFonts w:hint="eastAsia" w:cs="Times New Roman"/>
                <w:color w:val="auto"/>
                <w:sz w:val="21"/>
                <w:szCs w:val="21"/>
                <w:vertAlign w:val="subscript"/>
                <w:lang w:val="en-US" w:eastAsia="zh-CN"/>
              </w:rPr>
              <w:t>2</w:t>
            </w:r>
          </w:p>
        </w:tc>
        <w:tc>
          <w:tcPr>
            <w:tcW w:w="1701" w:type="dxa"/>
            <w:noWrap/>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0.04</w:t>
            </w:r>
          </w:p>
        </w:tc>
        <w:tc>
          <w:tcPr>
            <w:tcW w:w="1276" w:type="dxa"/>
            <w:noWrap/>
            <w:vAlign w:val="center"/>
          </w:tcPr>
          <w:p>
            <w:pPr>
              <w:spacing w:beforeLines="0" w:afterLines="0" w:line="240" w:lineRule="auto"/>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0.00</w:t>
            </w:r>
            <w:r>
              <w:rPr>
                <w:rFonts w:hint="eastAsia" w:cs="Times New Roman"/>
                <w:snapToGrid w:val="0"/>
                <w:color w:val="auto"/>
                <w:kern w:val="21"/>
                <w:szCs w:val="21"/>
                <w:highlight w:val="none"/>
                <w:u w:val="none"/>
                <w:lang w:val="en-US" w:eastAsia="zh-CN"/>
              </w:rPr>
              <w:t>1</w:t>
            </w:r>
          </w:p>
        </w:tc>
        <w:tc>
          <w:tcPr>
            <w:tcW w:w="1559" w:type="dxa"/>
            <w:noWrap/>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0.00</w:t>
            </w:r>
            <w:r>
              <w:rPr>
                <w:rFonts w:hint="eastAsia" w:cs="Times New Roman"/>
                <w:snapToGrid w:val="0"/>
                <w:color w:val="auto"/>
                <w:kern w:val="21"/>
                <w:szCs w:val="21"/>
                <w:highlight w:val="none"/>
                <w:u w:val="none"/>
                <w:lang w:val="en-US" w:eastAsia="zh-CN"/>
              </w:rPr>
              <w:t>1</w:t>
            </w:r>
          </w:p>
        </w:tc>
        <w:tc>
          <w:tcPr>
            <w:tcW w:w="176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0.04</w:t>
            </w:r>
          </w:p>
        </w:tc>
        <w:tc>
          <w:tcPr>
            <w:tcW w:w="1761" w:type="dxa"/>
            <w:noWrap/>
            <w:vAlign w:val="center"/>
          </w:tcPr>
          <w:p>
            <w:pPr>
              <w:spacing w:beforeLines="0" w:afterLines="0" w:line="240" w:lineRule="auto"/>
              <w:ind w:left="420" w:leftChars="0" w:hanging="420" w:hangingChars="200"/>
              <w:jc w:val="center"/>
              <w:rPr>
                <w:rFonts w:hint="default" w:ascii="Times New Roman"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0.00</w:t>
            </w:r>
            <w:r>
              <w:rPr>
                <w:rFonts w:hint="eastAsia" w:cs="Times New Roman"/>
                <w:snapToGrid w:val="0"/>
                <w:color w:val="auto"/>
                <w:kern w:val="21"/>
                <w:szCs w:val="21"/>
                <w:highlight w:val="none"/>
                <w:u w:val="none"/>
                <w:lang w:val="en-US" w:eastAsia="zh-CN"/>
              </w:rPr>
              <w:t>1</w:t>
            </w:r>
          </w:p>
        </w:tc>
        <w:tc>
          <w:tcPr>
            <w:tcW w:w="1024"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46" w:type="dxa"/>
            <w:vMerge w:val="continue"/>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snapToGrid w:val="0"/>
                <w:color w:val="auto"/>
                <w:kern w:val="21"/>
                <w:szCs w:val="21"/>
                <w:highlight w:val="none"/>
                <w:u w:val="none"/>
                <w:lang w:val="en-US" w:eastAsia="zh-CN"/>
              </w:rPr>
            </w:pPr>
            <w:r>
              <w:rPr>
                <w:rFonts w:hint="eastAsia" w:cs="Times New Roman"/>
                <w:color w:val="auto"/>
                <w:sz w:val="21"/>
                <w:szCs w:val="21"/>
                <w:lang w:eastAsia="zh-CN"/>
              </w:rPr>
              <w:t>天然气燃烧产生</w:t>
            </w:r>
            <w:r>
              <w:rPr>
                <w:rFonts w:hint="eastAsia" w:cs="Times New Roman"/>
                <w:color w:val="auto"/>
                <w:sz w:val="21"/>
                <w:szCs w:val="21"/>
                <w:lang w:val="en-US" w:eastAsia="zh-CN"/>
              </w:rPr>
              <w:t>NO</w:t>
            </w:r>
            <w:r>
              <w:rPr>
                <w:rFonts w:hint="eastAsia" w:cs="Times New Roman"/>
                <w:color w:val="auto"/>
                <w:sz w:val="21"/>
                <w:szCs w:val="21"/>
                <w:vertAlign w:val="subscript"/>
                <w:lang w:val="en-US" w:eastAsia="zh-CN"/>
              </w:rPr>
              <w:t>X</w:t>
            </w:r>
          </w:p>
        </w:tc>
        <w:tc>
          <w:tcPr>
            <w:tcW w:w="1701" w:type="dxa"/>
            <w:noWrap/>
            <w:vAlign w:val="center"/>
          </w:tcPr>
          <w:p>
            <w:pPr>
              <w:spacing w:beforeLines="0" w:afterLines="0"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0.122</w:t>
            </w:r>
          </w:p>
        </w:tc>
        <w:tc>
          <w:tcPr>
            <w:tcW w:w="1276" w:type="dxa"/>
            <w:noWrap/>
            <w:vAlign w:val="center"/>
          </w:tcPr>
          <w:p>
            <w:pPr>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0.02</w:t>
            </w:r>
          </w:p>
        </w:tc>
        <w:tc>
          <w:tcPr>
            <w:tcW w:w="1559" w:type="dxa"/>
            <w:noWrap/>
            <w:vAlign w:val="center"/>
          </w:tcPr>
          <w:p>
            <w:pPr>
              <w:spacing w:beforeLines="0" w:afterLines="0" w:line="240" w:lineRule="auto"/>
              <w:ind w:left="420" w:leftChars="0" w:hanging="420" w:hangingChars="200"/>
              <w:jc w:val="center"/>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0.02</w:t>
            </w:r>
          </w:p>
        </w:tc>
        <w:tc>
          <w:tcPr>
            <w:tcW w:w="176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0.122</w:t>
            </w:r>
          </w:p>
        </w:tc>
        <w:tc>
          <w:tcPr>
            <w:tcW w:w="1761" w:type="dxa"/>
            <w:noWrap/>
            <w:vAlign w:val="center"/>
          </w:tcPr>
          <w:p>
            <w:pPr>
              <w:spacing w:beforeLines="0" w:afterLines="0" w:line="240" w:lineRule="auto"/>
              <w:ind w:left="420" w:leftChars="0" w:hanging="420" w:hangingChars="200"/>
              <w:jc w:val="center"/>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0.02</w:t>
            </w:r>
          </w:p>
        </w:tc>
        <w:tc>
          <w:tcPr>
            <w:tcW w:w="1024"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46" w:type="dxa"/>
            <w:vMerge w:val="continue"/>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无组织非甲烷总烃</w:t>
            </w:r>
          </w:p>
        </w:tc>
        <w:tc>
          <w:tcPr>
            <w:tcW w:w="1701" w:type="dxa"/>
            <w:noWrap/>
            <w:vAlign w:val="center"/>
          </w:tcPr>
          <w:p>
            <w:pPr>
              <w:spacing w:beforeLines="0" w:afterLines="0" w:line="240" w:lineRule="auto"/>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40</w:t>
            </w:r>
          </w:p>
        </w:tc>
        <w:tc>
          <w:tcPr>
            <w:tcW w:w="1276"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pStyle w:val="62"/>
              <w:spacing w:beforeLines="0" w:afterLines="0" w:line="240" w:lineRule="auto"/>
              <w:ind w:left="420" w:leftChars="0" w:hanging="420" w:hangingChars="200"/>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2.4</w:t>
            </w:r>
          </w:p>
        </w:tc>
        <w:tc>
          <w:tcPr>
            <w:tcW w:w="1559" w:type="dxa"/>
            <w:noWrap/>
            <w:vAlign w:val="center"/>
          </w:tcPr>
          <w:p>
            <w:pPr>
              <w:pStyle w:val="62"/>
              <w:spacing w:beforeLines="0" w:afterLines="0" w:line="240" w:lineRule="auto"/>
              <w:ind w:left="420" w:leftChars="0" w:hanging="420" w:hangingChars="200"/>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0.946</w:t>
            </w:r>
          </w:p>
        </w:tc>
        <w:tc>
          <w:tcPr>
            <w:tcW w:w="1761" w:type="dxa"/>
            <w:noWrap/>
            <w:vAlign w:val="center"/>
          </w:tcPr>
          <w:p>
            <w:pPr>
              <w:spacing w:beforeLines="0" w:afterLines="0" w:line="240" w:lineRule="auto"/>
              <w:ind w:left="420" w:leftChars="0" w:hanging="420" w:hangingChars="200"/>
              <w:jc w:val="center"/>
              <w:rPr>
                <w:rFonts w:hint="default"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38.544</w:t>
            </w:r>
          </w:p>
        </w:tc>
        <w:tc>
          <w:tcPr>
            <w:tcW w:w="1761" w:type="dxa"/>
            <w:noWrap/>
            <w:vAlign w:val="center"/>
          </w:tcPr>
          <w:p>
            <w:pPr>
              <w:pStyle w:val="62"/>
              <w:spacing w:beforeLines="0" w:afterLines="0" w:line="240" w:lineRule="auto"/>
              <w:ind w:left="420" w:leftChars="0" w:hanging="420" w:hangingChars="200"/>
              <w:rPr>
                <w:rFonts w:hint="default" w:cs="Times New Roman"/>
                <w:snapToGrid w:val="0"/>
                <w:color w:val="auto"/>
                <w:kern w:val="21"/>
                <w:szCs w:val="21"/>
                <w:highlight w:val="none"/>
                <w:u w:val="none"/>
                <w:lang w:val="en-US" w:eastAsia="zh-CN"/>
              </w:rPr>
            </w:pPr>
            <w:r>
              <w:rPr>
                <w:rFonts w:hint="eastAsia" w:ascii="Times New Roman" w:cs="Times New Roman"/>
                <w:color w:val="auto"/>
                <w:sz w:val="21"/>
                <w:szCs w:val="21"/>
                <w:u w:val="none"/>
                <w:lang w:val="en-US" w:eastAsia="zh-CN"/>
              </w:rPr>
              <w:t>2.402</w:t>
            </w:r>
          </w:p>
        </w:tc>
        <w:tc>
          <w:tcPr>
            <w:tcW w:w="1024"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-37.598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46" w:type="dxa"/>
            <w:vMerge w:val="continue"/>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p>
        </w:tc>
        <w:tc>
          <w:tcPr>
            <w:tcW w:w="1659" w:type="dxa"/>
            <w:noWrap/>
            <w:vAlign w:val="center"/>
          </w:tcPr>
          <w:p>
            <w:pPr>
              <w:spacing w:before="10" w:beforeLines="0" w:after="1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无组织颗粒物</w:t>
            </w:r>
          </w:p>
        </w:tc>
        <w:tc>
          <w:tcPr>
            <w:tcW w:w="1701"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0.165</w:t>
            </w:r>
          </w:p>
        </w:tc>
        <w:tc>
          <w:tcPr>
            <w:tcW w:w="1276"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pStyle w:val="62"/>
              <w:spacing w:beforeLines="0" w:afterLines="0" w:line="240" w:lineRule="auto"/>
              <w:ind w:left="420" w:leftChars="0" w:hanging="420" w:hangingChars="200"/>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0.264</w:t>
            </w:r>
          </w:p>
        </w:tc>
        <w:tc>
          <w:tcPr>
            <w:tcW w:w="1559" w:type="dxa"/>
            <w:noWrap/>
            <w:vAlign w:val="center"/>
          </w:tcPr>
          <w:p>
            <w:pPr>
              <w:pStyle w:val="62"/>
              <w:spacing w:beforeLines="0" w:afterLines="0" w:line="240" w:lineRule="auto"/>
              <w:ind w:left="420" w:leftChars="0" w:hanging="420" w:hangingChars="200"/>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0.264</w:t>
            </w:r>
          </w:p>
        </w:tc>
        <w:tc>
          <w:tcPr>
            <w:tcW w:w="1761" w:type="dxa"/>
            <w:noWrap/>
            <w:vAlign w:val="center"/>
          </w:tcPr>
          <w:p>
            <w:pPr>
              <w:spacing w:beforeLines="0" w:afterLines="0" w:line="240" w:lineRule="auto"/>
              <w:ind w:left="420" w:leftChars="0" w:hanging="420" w:hangingChars="200"/>
              <w:jc w:val="center"/>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pStyle w:val="62"/>
              <w:spacing w:beforeLines="0" w:afterLines="0" w:line="240" w:lineRule="auto"/>
              <w:ind w:left="420" w:leftChars="0" w:hanging="420" w:hangingChars="200"/>
              <w:rPr>
                <w:rFonts w:hint="eastAsia" w:cs="Times New Roman"/>
                <w:snapToGrid w:val="0"/>
                <w:color w:val="auto"/>
                <w:kern w:val="21"/>
                <w:szCs w:val="21"/>
                <w:highlight w:val="none"/>
                <w:u w:val="none"/>
                <w:lang w:val="en-US" w:eastAsia="zh-CN"/>
              </w:rPr>
            </w:pPr>
            <w:r>
              <w:rPr>
                <w:rFonts w:hint="eastAsia" w:ascii="Times New Roman" w:cs="Times New Roman"/>
                <w:color w:val="auto"/>
                <w:sz w:val="21"/>
                <w:szCs w:val="21"/>
                <w:u w:val="none"/>
                <w:lang w:val="en-US" w:eastAsia="zh-CN"/>
              </w:rPr>
              <w:t>0.429</w:t>
            </w:r>
          </w:p>
        </w:tc>
        <w:tc>
          <w:tcPr>
            <w:tcW w:w="1024"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46" w:type="dxa"/>
            <w:vMerge w:val="restart"/>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废水</w:t>
            </w:r>
          </w:p>
        </w:tc>
        <w:tc>
          <w:tcPr>
            <w:tcW w:w="1659"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COD</w:t>
            </w:r>
            <w:r>
              <w:rPr>
                <w:rFonts w:hint="eastAsia" w:ascii="Times New Roman" w:cs="Times New Roman"/>
                <w:snapToGrid w:val="0"/>
                <w:color w:val="auto"/>
                <w:kern w:val="21"/>
                <w:szCs w:val="21"/>
                <w:highlight w:val="none"/>
                <w:u w:val="none"/>
                <w:vertAlign w:val="subscript"/>
                <w:lang w:val="en-US" w:eastAsia="zh-CN"/>
              </w:rPr>
              <w:t>Cr</w:t>
            </w:r>
          </w:p>
        </w:tc>
        <w:tc>
          <w:tcPr>
            <w:tcW w:w="1701" w:type="dxa"/>
            <w:noWrap/>
            <w:vAlign w:val="center"/>
          </w:tcPr>
          <w:p>
            <w:pPr>
              <w:spacing w:beforeLines="0" w:afterLines="0" w:line="240" w:lineRule="auto"/>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0.031</w:t>
            </w:r>
          </w:p>
        </w:tc>
        <w:tc>
          <w:tcPr>
            <w:tcW w:w="1276" w:type="dxa"/>
            <w:noWrap/>
            <w:vAlign w:val="center"/>
          </w:tcPr>
          <w:p>
            <w:pPr>
              <w:spacing w:beforeLines="0" w:afterLines="0" w:line="240" w:lineRule="auto"/>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ascii="Times New Roman" w:hAnsi="Times New Roman" w:cs="Times New Roman"/>
                <w:snapToGrid w:val="0"/>
                <w:color w:val="auto"/>
                <w:kern w:val="21"/>
                <w:szCs w:val="21"/>
                <w:highlight w:val="none"/>
                <w:u w:val="none"/>
              </w:rPr>
            </w:pPr>
            <w:r>
              <w:rPr>
                <w:rFonts w:hint="eastAsia" w:ascii="Times New Roman" w:cs="Times New Roman"/>
                <w:snapToGrid w:val="0"/>
                <w:color w:val="auto"/>
                <w:kern w:val="21"/>
                <w:szCs w:val="21"/>
                <w:highlight w:val="none"/>
                <w:u w:val="none"/>
                <w:lang w:val="en-US" w:eastAsia="zh-CN"/>
              </w:rPr>
              <w:t>0</w:t>
            </w:r>
          </w:p>
        </w:tc>
        <w:tc>
          <w:tcPr>
            <w:tcW w:w="1559" w:type="dxa"/>
            <w:noWrap/>
            <w:vAlign w:val="center"/>
          </w:tcPr>
          <w:p>
            <w:pPr>
              <w:spacing w:beforeLines="0" w:afterLines="0" w:line="240" w:lineRule="auto"/>
              <w:ind w:left="420" w:leftChars="0" w:hanging="420" w:hangingChars="200"/>
              <w:jc w:val="center"/>
              <w:rPr>
                <w:rFonts w:hint="default" w:ascii="Times New Roman" w:hAnsi="Times New Roman" w:cs="Times New Roman"/>
                <w:snapToGrid w:val="0"/>
                <w:color w:val="auto"/>
                <w:kern w:val="21"/>
                <w:szCs w:val="21"/>
                <w:highlight w:val="none"/>
                <w:u w:val="none"/>
                <w:lang w:val="en-US"/>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ind w:left="420" w:leftChars="0" w:hanging="420" w:hangingChars="200"/>
              <w:jc w:val="center"/>
              <w:rPr>
                <w:rFonts w:ascii="Times New Roman" w:hAnsi="Times New Roman" w:cs="Times New Roman"/>
                <w:snapToGrid w:val="0"/>
                <w:color w:val="auto"/>
                <w:kern w:val="21"/>
                <w:szCs w:val="21"/>
                <w:highlight w:val="none"/>
                <w:u w:val="none"/>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0.031</w:t>
            </w:r>
          </w:p>
        </w:tc>
        <w:tc>
          <w:tcPr>
            <w:tcW w:w="1024" w:type="dxa"/>
            <w:noWrap/>
            <w:vAlign w:val="center"/>
          </w:tcPr>
          <w:p>
            <w:pPr>
              <w:spacing w:beforeLines="0" w:afterLines="0" w:line="240" w:lineRule="auto"/>
              <w:ind w:left="420" w:leftChars="0" w:hanging="420" w:hangingChars="200"/>
              <w:jc w:val="center"/>
              <w:rPr>
                <w:rFonts w:ascii="Times New Roman" w:hAnsi="Times New Roman" w:cs="Times New Roman"/>
                <w:snapToGrid w:val="0"/>
                <w:color w:val="auto"/>
                <w:kern w:val="21"/>
                <w:szCs w:val="21"/>
                <w:highlight w:val="none"/>
                <w:u w:val="none"/>
              </w:rPr>
            </w:pPr>
            <w:r>
              <w:rPr>
                <w:rFonts w:hint="eastAsia" w:ascii="Times New Roman" w:cs="Times New Roman"/>
                <w:snapToGrid w:val="0"/>
                <w:color w:val="auto"/>
                <w:kern w:val="21"/>
                <w:szCs w:val="21"/>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6" w:type="dxa"/>
            <w:vMerge w:val="continue"/>
            <w:noWrap/>
            <w:vAlign w:val="center"/>
          </w:tcPr>
          <w:p>
            <w:pPr>
              <w:rPr>
                <w:color w:val="auto"/>
                <w:u w:val="none"/>
              </w:rPr>
            </w:pPr>
          </w:p>
        </w:tc>
        <w:tc>
          <w:tcPr>
            <w:tcW w:w="1659"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BOD</w:t>
            </w:r>
            <w:r>
              <w:rPr>
                <w:rFonts w:hint="eastAsia" w:ascii="Times New Roman" w:cs="Times New Roman"/>
                <w:snapToGrid w:val="0"/>
                <w:color w:val="auto"/>
                <w:kern w:val="21"/>
                <w:szCs w:val="21"/>
                <w:highlight w:val="none"/>
                <w:u w:val="none"/>
                <w:vertAlign w:val="subscript"/>
                <w:lang w:val="en-US" w:eastAsia="zh-CN"/>
              </w:rPr>
              <w:t>5</w:t>
            </w:r>
          </w:p>
        </w:tc>
        <w:tc>
          <w:tcPr>
            <w:tcW w:w="1701" w:type="dxa"/>
            <w:noWrap/>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0.002</w:t>
            </w:r>
          </w:p>
        </w:tc>
        <w:tc>
          <w:tcPr>
            <w:tcW w:w="1276" w:type="dxa"/>
            <w:noWrap/>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1559" w:type="dxa"/>
            <w:noWrap/>
            <w:vAlign w:val="center"/>
          </w:tcPr>
          <w:p>
            <w:pPr>
              <w:spacing w:beforeLines="0" w:afterLines="0" w:line="240" w:lineRule="auto"/>
              <w:ind w:left="420" w:leftChars="0" w:hanging="420" w:hangingChars="200"/>
              <w:jc w:val="center"/>
              <w:rPr>
                <w:rFonts w:hint="default" w:ascii="Times New Roman" w:hAnsi="Times New Roman"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ind w:left="420" w:leftChars="0" w:hanging="420" w:hangingChars="200"/>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jc w:val="center"/>
              <w:rPr>
                <w:rFonts w:hint="default"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Cs w:val="21"/>
                <w:highlight w:val="none"/>
                <w:u w:val="none"/>
                <w:lang w:val="en-US" w:eastAsia="zh-CN"/>
              </w:rPr>
              <w:t>0.002</w:t>
            </w:r>
          </w:p>
        </w:tc>
        <w:tc>
          <w:tcPr>
            <w:tcW w:w="1024" w:type="dxa"/>
            <w:noWrap/>
            <w:vAlign w:val="center"/>
          </w:tcPr>
          <w:p>
            <w:pPr>
              <w:spacing w:beforeLines="0" w:afterLines="0" w:line="240" w:lineRule="auto"/>
              <w:ind w:left="420" w:leftChars="0" w:hanging="420" w:hangingChars="200"/>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6" w:type="dxa"/>
            <w:vMerge w:val="continue"/>
            <w:noWrap/>
            <w:vAlign w:val="center"/>
          </w:tcPr>
          <w:p>
            <w:pPr>
              <w:rPr>
                <w:color w:val="auto"/>
                <w:u w:val="none"/>
              </w:rPr>
            </w:pPr>
          </w:p>
        </w:tc>
        <w:tc>
          <w:tcPr>
            <w:tcW w:w="1659"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SS</w:t>
            </w:r>
          </w:p>
        </w:tc>
        <w:tc>
          <w:tcPr>
            <w:tcW w:w="1701" w:type="dxa"/>
            <w:noWrap/>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0.002</w:t>
            </w:r>
          </w:p>
        </w:tc>
        <w:tc>
          <w:tcPr>
            <w:tcW w:w="1276" w:type="dxa"/>
            <w:noWrap/>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559" w:type="dxa"/>
            <w:noWrap/>
            <w:vAlign w:val="center"/>
          </w:tcPr>
          <w:p>
            <w:pPr>
              <w:spacing w:beforeLines="0" w:afterLines="0" w:line="240" w:lineRule="auto"/>
              <w:ind w:left="420" w:leftChars="0" w:hanging="420" w:hangingChars="200"/>
              <w:jc w:val="center"/>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0.002</w:t>
            </w:r>
          </w:p>
        </w:tc>
        <w:tc>
          <w:tcPr>
            <w:tcW w:w="1024"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6" w:type="dxa"/>
            <w:vMerge w:val="continue"/>
            <w:noWrap/>
            <w:vAlign w:val="center"/>
          </w:tcPr>
          <w:p>
            <w:pPr>
              <w:rPr>
                <w:color w:val="auto"/>
                <w:u w:val="none"/>
              </w:rPr>
            </w:pPr>
          </w:p>
        </w:tc>
        <w:tc>
          <w:tcPr>
            <w:tcW w:w="1659" w:type="dxa"/>
            <w:noWrap/>
            <w:vAlign w:val="center"/>
          </w:tcPr>
          <w:p>
            <w:pPr>
              <w:pStyle w:val="62"/>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NH</w:t>
            </w:r>
            <w:r>
              <w:rPr>
                <w:rFonts w:hint="eastAsia" w:ascii="Times New Roman" w:cs="Times New Roman"/>
                <w:snapToGrid w:val="0"/>
                <w:color w:val="auto"/>
                <w:kern w:val="21"/>
                <w:szCs w:val="21"/>
                <w:highlight w:val="none"/>
                <w:u w:val="none"/>
                <w:vertAlign w:val="subscript"/>
                <w:lang w:val="en-US" w:eastAsia="zh-CN"/>
              </w:rPr>
              <w:t>3</w:t>
            </w:r>
            <w:r>
              <w:rPr>
                <w:rFonts w:hint="eastAsia" w:ascii="Times New Roman" w:cs="Times New Roman"/>
                <w:snapToGrid w:val="0"/>
                <w:color w:val="auto"/>
                <w:kern w:val="21"/>
                <w:szCs w:val="21"/>
                <w:highlight w:val="none"/>
                <w:u w:val="none"/>
                <w:lang w:val="en-US" w:eastAsia="zh-CN"/>
              </w:rPr>
              <w:t>-N</w:t>
            </w:r>
          </w:p>
        </w:tc>
        <w:tc>
          <w:tcPr>
            <w:tcW w:w="1701" w:type="dxa"/>
            <w:noWrap/>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0.004</w:t>
            </w:r>
          </w:p>
        </w:tc>
        <w:tc>
          <w:tcPr>
            <w:tcW w:w="1276" w:type="dxa"/>
            <w:noWrap/>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559" w:type="dxa"/>
            <w:noWrap/>
            <w:vAlign w:val="center"/>
          </w:tcPr>
          <w:p>
            <w:pPr>
              <w:spacing w:beforeLines="0" w:afterLines="0" w:line="240" w:lineRule="auto"/>
              <w:ind w:left="420" w:leftChars="0" w:hanging="420" w:hangingChars="200"/>
              <w:jc w:val="center"/>
              <w:rPr>
                <w:rFonts w:hint="default"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0.004</w:t>
            </w:r>
          </w:p>
        </w:tc>
        <w:tc>
          <w:tcPr>
            <w:tcW w:w="1024" w:type="dxa"/>
            <w:noWrap/>
            <w:vAlign w:val="center"/>
          </w:tcPr>
          <w:p>
            <w:pPr>
              <w:spacing w:beforeLines="0" w:afterLines="0" w:line="240" w:lineRule="auto"/>
              <w:ind w:left="420" w:leftChars="0" w:hanging="420" w:hangingChars="20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46" w:type="dxa"/>
            <w:vMerge w:val="restart"/>
            <w:noWrap/>
            <w:vAlign w:val="center"/>
          </w:tcPr>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一般工业</w:t>
            </w:r>
          </w:p>
          <w:p>
            <w:pPr>
              <w:pStyle w:val="62"/>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固体废物</w:t>
            </w:r>
          </w:p>
        </w:tc>
        <w:tc>
          <w:tcPr>
            <w:tcW w:w="1659" w:type="dxa"/>
            <w:noWrap/>
            <w:vAlign w:val="center"/>
          </w:tcPr>
          <w:p>
            <w:pPr>
              <w:pStyle w:val="80"/>
              <w:spacing w:before="72"/>
              <w:ind w:left="170" w:leftChars="0" w:right="163" w:rightChars="0"/>
              <w:jc w:val="center"/>
              <w:rPr>
                <w:rFonts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生活垃圾</w:t>
            </w:r>
          </w:p>
        </w:tc>
        <w:tc>
          <w:tcPr>
            <w:tcW w:w="1701" w:type="dxa"/>
            <w:noWrap/>
            <w:vAlign w:val="center"/>
          </w:tcPr>
          <w:p>
            <w:pPr>
              <w:jc w:val="center"/>
              <w:rPr>
                <w:rFonts w:hint="default" w:ascii="Times New Roman" w:hAnsi="Times New Roman" w:cs="Times New Roman"/>
                <w:snapToGrid w:val="0"/>
                <w:color w:val="auto"/>
                <w:kern w:val="21"/>
                <w:szCs w:val="21"/>
                <w:highlight w:val="none"/>
                <w:u w:val="none"/>
                <w:lang w:val="en-US"/>
              </w:rPr>
            </w:pPr>
            <w:r>
              <w:rPr>
                <w:rFonts w:hint="eastAsia"/>
                <w:color w:val="auto"/>
                <w:sz w:val="21"/>
                <w:szCs w:val="21"/>
                <w:u w:val="none"/>
                <w:lang w:val="en-US" w:eastAsia="zh-CN"/>
              </w:rPr>
              <w:t>4.2</w:t>
            </w:r>
          </w:p>
        </w:tc>
        <w:tc>
          <w:tcPr>
            <w:tcW w:w="1276" w:type="dxa"/>
            <w:noWrap/>
            <w:vAlign w:val="center"/>
          </w:tcPr>
          <w:p>
            <w:pPr>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1559" w:type="dxa"/>
            <w:noWrap/>
            <w:vAlign w:val="center"/>
          </w:tcPr>
          <w:p>
            <w:pPr>
              <w:spacing w:before="88"/>
              <w:ind w:left="116" w:leftChars="0" w:right="108" w:righ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pStyle w:val="80"/>
              <w:spacing w:before="88"/>
              <w:ind w:left="116" w:leftChars="0" w:right="108" w:righ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hAnsi="Times New Roman" w:eastAsia="Times New Roman" w:cs="Times New Roman"/>
                <w:color w:val="auto"/>
                <w:kern w:val="2"/>
                <w:sz w:val="21"/>
                <w:szCs w:val="21"/>
                <w:highlight w:val="none"/>
                <w:u w:val="none"/>
                <w:lang w:val="en-US" w:eastAsia="zh-CN" w:bidi="ar-SA"/>
              </w:rPr>
              <w:t>4.2</w:t>
            </w:r>
          </w:p>
        </w:tc>
        <w:tc>
          <w:tcPr>
            <w:tcW w:w="1024" w:type="dxa"/>
            <w:noWrap/>
            <w:vAlign w:val="center"/>
          </w:tcPr>
          <w:p>
            <w:pPr>
              <w:spacing w:line="240" w:lineRule="auto"/>
              <w:jc w:val="center"/>
              <w:rPr>
                <w:rFonts w:hint="default" w:ascii="Times New Roman" w:hAnsi="Times New Roman" w:cs="Times New Roman"/>
                <w:snapToGrid w:val="0"/>
                <w:color w:val="auto"/>
                <w:kern w:val="21"/>
                <w:szCs w:val="21"/>
                <w:highlight w:val="none"/>
                <w:u w:val="none"/>
                <w:lang w:val="en-US"/>
              </w:rPr>
            </w:pPr>
            <w:r>
              <w:rPr>
                <w:rFonts w:hint="eastAsia" w:ascii="Times New Roman" w:cs="Times New Roman"/>
                <w:snapToGrid w:val="0"/>
                <w:color w:val="auto"/>
                <w:kern w:val="21"/>
                <w:szCs w:val="21"/>
                <w:highlight w:val="none"/>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46" w:type="dxa"/>
            <w:vMerge w:val="continue"/>
            <w:noWrap/>
            <w:vAlign w:val="center"/>
          </w:tcPr>
          <w:p>
            <w:pPr>
              <w:rPr>
                <w:color w:val="auto"/>
                <w:u w:val="none"/>
              </w:rPr>
            </w:pPr>
          </w:p>
        </w:tc>
        <w:tc>
          <w:tcPr>
            <w:tcW w:w="1659" w:type="dxa"/>
            <w:noWrap/>
            <w:vAlign w:val="center"/>
          </w:tcPr>
          <w:p>
            <w:pPr>
              <w:pStyle w:val="8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u w:val="none"/>
                <w:lang w:eastAsia="zh-CN"/>
              </w:rPr>
              <w:t>边角料（</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1701" w:type="dxa"/>
            <w:noWrap/>
            <w:vAlign w:val="center"/>
          </w:tcPr>
          <w:p>
            <w:pPr>
              <w:spacing w:beforeLines="0" w:afterLines="0" w:line="240" w:lineRule="auto"/>
              <w:jc w:val="center"/>
              <w:rPr>
                <w:rFonts w:hint="default" w:ascii="Times New Roman" w:hAnsi="Times New Roman" w:cs="Times New Roman"/>
                <w:snapToGrid w:val="0"/>
                <w:color w:val="auto"/>
                <w:kern w:val="21"/>
                <w:szCs w:val="21"/>
                <w:highlight w:val="none"/>
                <w:u w:val="none"/>
                <w:lang w:val="en-US"/>
              </w:rPr>
            </w:pPr>
            <w:r>
              <w:rPr>
                <w:rFonts w:hint="eastAsia" w:cs="Times New Roman"/>
                <w:color w:val="auto"/>
                <w:sz w:val="21"/>
                <w:szCs w:val="21"/>
                <w:lang w:val="en-US" w:eastAsia="zh-CN"/>
              </w:rPr>
              <w:t>240</w:t>
            </w:r>
          </w:p>
        </w:tc>
        <w:tc>
          <w:tcPr>
            <w:tcW w:w="1276" w:type="dxa"/>
            <w:noWrap/>
            <w:vAlign w:val="center"/>
          </w:tcPr>
          <w:p>
            <w:pPr>
              <w:spacing w:beforeLines="0" w:afterLines="0" w:line="240" w:lineRule="auto"/>
              <w:jc w:val="center"/>
              <w:rPr>
                <w:rFonts w:ascii="Times New Roman" w:hAnsi="Times New Roman" w:cs="Times New Roman"/>
                <w:snapToGrid w:val="0"/>
                <w:color w:val="auto"/>
                <w:kern w:val="21"/>
                <w:szCs w:val="21"/>
                <w:highlight w:val="none"/>
                <w:u w:val="none"/>
              </w:rPr>
            </w:pPr>
            <w:r>
              <w:rPr>
                <w:rFonts w:hint="eastAsia" w:cs="Times New Roman"/>
                <w:snapToGrid w:val="0"/>
                <w:color w:val="auto"/>
                <w:kern w:val="21"/>
                <w:szCs w:val="21"/>
                <w:highlight w:val="none"/>
                <w:u w:val="none"/>
                <w:lang w:val="en-US" w:eastAsia="zh-CN"/>
              </w:rPr>
              <w:t>/</w:t>
            </w:r>
          </w:p>
        </w:tc>
        <w:tc>
          <w:tcPr>
            <w:tcW w:w="1701" w:type="dxa"/>
            <w:noWrap/>
            <w:vAlign w:val="center"/>
          </w:tcPr>
          <w:p>
            <w:pPr>
              <w:pStyle w:val="8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w w:val="99"/>
                <w:sz w:val="21"/>
                <w:szCs w:val="21"/>
                <w:u w:val="none"/>
                <w:lang w:val="en-US" w:eastAsia="zh-CN"/>
              </w:rPr>
              <w:t>156</w:t>
            </w:r>
          </w:p>
        </w:tc>
        <w:tc>
          <w:tcPr>
            <w:tcW w:w="1559" w:type="dxa"/>
            <w:noWrap/>
            <w:vAlign w:val="center"/>
          </w:tcPr>
          <w:p>
            <w:pPr>
              <w:pStyle w:val="8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w w:val="99"/>
                <w:sz w:val="21"/>
                <w:szCs w:val="21"/>
                <w:u w:val="none"/>
                <w:lang w:val="en-US" w:eastAsia="zh-CN"/>
              </w:rPr>
              <w:t>156</w:t>
            </w:r>
          </w:p>
        </w:tc>
        <w:tc>
          <w:tcPr>
            <w:tcW w:w="1761" w:type="dxa"/>
            <w:noWrap/>
            <w:vAlign w:val="center"/>
          </w:tcPr>
          <w:p>
            <w:pPr>
              <w:spacing w:beforeLines="0" w:afterLines="0" w:line="240" w:lineRule="auto"/>
              <w:ind w:left="420" w:leftChars="0" w:hanging="420" w:hangingChars="200"/>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sz w:val="21"/>
                <w:szCs w:val="21"/>
                <w:u w:val="none"/>
                <w:lang w:val="en-US" w:eastAsia="zh-CN"/>
              </w:rPr>
              <w:t>396</w:t>
            </w:r>
          </w:p>
        </w:tc>
        <w:tc>
          <w:tcPr>
            <w:tcW w:w="1024" w:type="dxa"/>
            <w:noWrap/>
            <w:vAlign w:val="center"/>
          </w:tcPr>
          <w:p>
            <w:pPr>
              <w:pStyle w:val="80"/>
              <w:jc w:val="center"/>
              <w:rPr>
                <w:rFonts w:hint="eastAsia"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cs="Times New Roman"/>
                <w:color w:val="auto"/>
                <w:w w:val="99"/>
                <w:sz w:val="21"/>
                <w:szCs w:val="21"/>
                <w:u w:val="none"/>
                <w:lang w:val="en-US" w:eastAsia="zh-CN"/>
              </w:rPr>
              <w:t>+156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46" w:type="dxa"/>
            <w:vMerge w:val="continue"/>
            <w:noWrap/>
            <w:vAlign w:val="center"/>
          </w:tcPr>
          <w:p>
            <w:pPr>
              <w:rPr>
                <w:color w:val="auto"/>
                <w:u w:val="none"/>
              </w:rPr>
            </w:pPr>
          </w:p>
        </w:tc>
        <w:tc>
          <w:tcPr>
            <w:tcW w:w="1659" w:type="dxa"/>
            <w:noWrap/>
            <w:vAlign w:val="center"/>
          </w:tcPr>
          <w:p>
            <w:pPr>
              <w:pStyle w:val="80"/>
              <w:jc w:val="center"/>
              <w:rPr>
                <w:rFonts w:hint="eastAsia" w:ascii="Times New Roman" w:hAnsi="Times New Roman" w:cs="Times New Roman"/>
                <w:color w:val="auto"/>
                <w:sz w:val="21"/>
                <w:szCs w:val="21"/>
                <w:u w:val="none"/>
                <w:lang w:eastAsia="zh-CN"/>
              </w:rPr>
            </w:pPr>
            <w:r>
              <w:rPr>
                <w:rFonts w:hint="eastAsia" w:ascii="Times New Roman" w:hAnsi="Times New Roman" w:cs="Times New Roman"/>
                <w:color w:val="auto"/>
                <w:sz w:val="21"/>
                <w:szCs w:val="21"/>
                <w:u w:val="none"/>
                <w:lang w:eastAsia="zh-CN"/>
              </w:rPr>
              <w:t>废包装材料（</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1701"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color w:val="auto"/>
                <w:sz w:val="21"/>
                <w:szCs w:val="21"/>
                <w:lang w:val="en-US" w:eastAsia="zh-CN"/>
              </w:rPr>
              <w:t>0.5</w:t>
            </w:r>
          </w:p>
        </w:tc>
        <w:tc>
          <w:tcPr>
            <w:tcW w:w="1276"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0.3</w:t>
            </w:r>
          </w:p>
        </w:tc>
        <w:tc>
          <w:tcPr>
            <w:tcW w:w="1559" w:type="dxa"/>
            <w:noWrap/>
            <w:vAlign w:val="center"/>
          </w:tcPr>
          <w:p>
            <w:pPr>
              <w:jc w:val="center"/>
              <w:rPr>
                <w:rFonts w:hint="default"/>
                <w:color w:val="auto"/>
                <w:sz w:val="21"/>
                <w:szCs w:val="21"/>
                <w:u w:val="none"/>
                <w:lang w:val="en-US" w:eastAsia="zh-CN"/>
              </w:rPr>
            </w:pPr>
            <w:r>
              <w:rPr>
                <w:rFonts w:hint="eastAsia" w:cs="Times New Roman"/>
                <w:snapToGrid w:val="0"/>
                <w:color w:val="auto"/>
                <w:kern w:val="21"/>
                <w:szCs w:val="21"/>
                <w:highlight w:val="none"/>
                <w:u w:val="none"/>
                <w:lang w:val="en-US" w:eastAsia="zh-CN"/>
              </w:rPr>
              <w:t>0.3</w:t>
            </w:r>
          </w:p>
        </w:tc>
        <w:tc>
          <w:tcPr>
            <w:tcW w:w="1761" w:type="dxa"/>
            <w:noWrap/>
            <w:vAlign w:val="center"/>
          </w:tcPr>
          <w:p>
            <w:pPr>
              <w:spacing w:beforeLines="0" w:afterLines="0" w:line="240" w:lineRule="auto"/>
              <w:ind w:left="420" w:leftChars="0" w:hanging="420" w:hangingChars="200"/>
              <w:jc w:val="center"/>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color w:val="auto"/>
                <w:sz w:val="21"/>
                <w:szCs w:val="21"/>
                <w:u w:val="none"/>
                <w:lang w:val="en-US" w:eastAsia="zh-CN"/>
              </w:rPr>
            </w:pPr>
            <w:r>
              <w:rPr>
                <w:rFonts w:hint="eastAsia" w:eastAsia="Times New Roman" w:cs="Times New Roman"/>
                <w:color w:val="auto"/>
                <w:kern w:val="2"/>
                <w:sz w:val="21"/>
                <w:szCs w:val="21"/>
                <w:highlight w:val="none"/>
                <w:u w:val="none"/>
                <w:lang w:val="en-US" w:eastAsia="zh-CN" w:bidi="ar-SA"/>
              </w:rPr>
              <w:t>0.8</w:t>
            </w:r>
          </w:p>
        </w:tc>
        <w:tc>
          <w:tcPr>
            <w:tcW w:w="1024"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46" w:type="dxa"/>
            <w:vMerge w:val="continue"/>
            <w:noWrap/>
            <w:vAlign w:val="center"/>
          </w:tcPr>
          <w:p>
            <w:pPr>
              <w:rPr>
                <w:color w:val="auto"/>
                <w:u w:val="none"/>
              </w:rPr>
            </w:pPr>
          </w:p>
        </w:tc>
        <w:tc>
          <w:tcPr>
            <w:tcW w:w="1659" w:type="dxa"/>
            <w:noWrap/>
            <w:vAlign w:val="center"/>
          </w:tcPr>
          <w:p>
            <w:pPr>
              <w:pStyle w:val="80"/>
              <w:jc w:val="center"/>
              <w:rPr>
                <w:rFonts w:hint="eastAsia" w:ascii="Times New Roman" w:hAnsi="Times New Roman" w:cs="Times New Roman"/>
                <w:color w:val="auto"/>
                <w:sz w:val="21"/>
                <w:szCs w:val="21"/>
                <w:u w:val="none"/>
                <w:lang w:eastAsia="zh-CN"/>
              </w:rPr>
            </w:pPr>
            <w:r>
              <w:rPr>
                <w:rFonts w:hint="eastAsia" w:ascii="Times New Roman" w:hAnsi="Times New Roman" w:cs="Times New Roman"/>
                <w:color w:val="auto"/>
                <w:sz w:val="21"/>
                <w:szCs w:val="21"/>
                <w:u w:val="none"/>
                <w:lang w:eastAsia="zh-CN"/>
              </w:rPr>
              <w:t>除尘器收集的颗粒物（</w:t>
            </w:r>
            <w:r>
              <w:rPr>
                <w:rFonts w:hint="default" w:ascii="Times New Roman" w:hAnsi="Times New Roman" w:eastAsia="宋体" w:cs="Times New Roman"/>
                <w:color w:val="auto"/>
                <w:sz w:val="21"/>
                <w:szCs w:val="21"/>
                <w:u w:val="none"/>
              </w:rPr>
              <w:t>t/a</w:t>
            </w:r>
            <w:r>
              <w:rPr>
                <w:rFonts w:hint="eastAsia" w:ascii="Times New Roman" w:hAnsi="Times New Roman" w:cs="Times New Roman"/>
                <w:color w:val="auto"/>
                <w:sz w:val="21"/>
                <w:szCs w:val="21"/>
                <w:u w:val="none"/>
                <w:lang w:eastAsia="zh-CN"/>
              </w:rPr>
              <w:t>）</w:t>
            </w:r>
          </w:p>
        </w:tc>
        <w:tc>
          <w:tcPr>
            <w:tcW w:w="1701"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color w:val="auto"/>
                <w:sz w:val="21"/>
                <w:szCs w:val="21"/>
                <w:lang w:val="en-US" w:eastAsia="zh-CN"/>
              </w:rPr>
              <w:t>16.335</w:t>
            </w:r>
          </w:p>
        </w:tc>
        <w:tc>
          <w:tcPr>
            <w:tcW w:w="1276" w:type="dxa"/>
            <w:noWrap/>
            <w:vAlign w:val="center"/>
          </w:tcPr>
          <w:p>
            <w:pPr>
              <w:spacing w:beforeLines="0" w:afterLines="0" w:line="240" w:lineRule="auto"/>
              <w:jc w:val="center"/>
              <w:rPr>
                <w:rFonts w:hint="eastAsia"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color w:val="auto"/>
                <w:sz w:val="21"/>
                <w:szCs w:val="21"/>
                <w:u w:val="none"/>
                <w:lang w:val="en-US" w:eastAsia="zh-CN"/>
              </w:rPr>
              <w:t>26.136</w:t>
            </w:r>
          </w:p>
        </w:tc>
        <w:tc>
          <w:tcPr>
            <w:tcW w:w="1559" w:type="dxa"/>
            <w:noWrap/>
            <w:vAlign w:val="center"/>
          </w:tcPr>
          <w:p>
            <w:pPr>
              <w:jc w:val="center"/>
              <w:rPr>
                <w:rFonts w:hint="eastAsia"/>
                <w:color w:val="auto"/>
                <w:sz w:val="21"/>
                <w:szCs w:val="21"/>
                <w:u w:val="none"/>
                <w:lang w:val="en-US" w:eastAsia="zh-CN"/>
              </w:rPr>
            </w:pPr>
            <w:r>
              <w:rPr>
                <w:rFonts w:hint="eastAsia" w:cs="Times New Roman"/>
                <w:color w:val="auto"/>
                <w:sz w:val="21"/>
                <w:szCs w:val="21"/>
                <w:u w:val="none"/>
                <w:lang w:val="en-US" w:eastAsia="zh-CN"/>
              </w:rPr>
              <w:t>26.136</w:t>
            </w:r>
          </w:p>
        </w:tc>
        <w:tc>
          <w:tcPr>
            <w:tcW w:w="1761" w:type="dxa"/>
            <w:noWrap/>
            <w:vAlign w:val="center"/>
          </w:tcPr>
          <w:p>
            <w:pPr>
              <w:spacing w:beforeLines="0" w:afterLines="0" w:line="240" w:lineRule="auto"/>
              <w:ind w:left="420" w:leftChars="0" w:hanging="420" w:hangingChars="200"/>
              <w:jc w:val="center"/>
              <w:rPr>
                <w:rFonts w:hint="eastAsia"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w:t>
            </w:r>
          </w:p>
        </w:tc>
        <w:tc>
          <w:tcPr>
            <w:tcW w:w="176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color w:val="auto"/>
                <w:sz w:val="21"/>
                <w:szCs w:val="21"/>
                <w:u w:val="none"/>
                <w:lang w:val="en-US" w:eastAsia="zh-CN"/>
              </w:rPr>
            </w:pPr>
            <w:r>
              <w:rPr>
                <w:rFonts w:hint="eastAsia" w:cs="Times New Roman"/>
                <w:color w:val="auto"/>
                <w:sz w:val="21"/>
                <w:szCs w:val="21"/>
                <w:u w:val="none"/>
                <w:lang w:val="en-US" w:eastAsia="zh-CN"/>
              </w:rPr>
              <w:t>42.471</w:t>
            </w:r>
          </w:p>
        </w:tc>
        <w:tc>
          <w:tcPr>
            <w:tcW w:w="1024" w:type="dxa"/>
            <w:noWrap/>
            <w:vAlign w:val="center"/>
          </w:tcPr>
          <w:p>
            <w:pPr>
              <w:jc w:val="center"/>
              <w:rPr>
                <w:rFonts w:hint="eastAsia" w:cs="Times New Roman"/>
                <w:snapToGrid w:val="0"/>
                <w:color w:val="auto"/>
                <w:kern w:val="21"/>
                <w:szCs w:val="21"/>
                <w:highlight w:val="none"/>
                <w:u w:val="none"/>
                <w:lang w:val="en-US" w:eastAsia="zh-CN"/>
              </w:rPr>
            </w:pPr>
            <w:r>
              <w:rPr>
                <w:rFonts w:hint="eastAsia" w:cs="Times New Roman"/>
                <w:color w:val="auto"/>
                <w:sz w:val="21"/>
                <w:szCs w:val="21"/>
                <w:u w:val="none"/>
                <w:lang w:val="en-US" w:eastAsia="zh-CN"/>
              </w:rPr>
              <w:t>+26.136</w:t>
            </w:r>
          </w:p>
        </w:tc>
      </w:tr>
    </w:tbl>
    <w:p>
      <w:pPr>
        <w:pStyle w:val="62"/>
        <w:spacing w:before="192" w:beforeLines="80" w:after="24" w:afterLines="0"/>
        <w:ind w:left="0" w:leftChars="0" w:firstLine="0" w:firstLineChars="0"/>
        <w:jc w:val="left"/>
      </w:pPr>
      <w:r>
        <w:rPr>
          <w:rFonts w:ascii="Times New Roman" w:hAnsi="Times New Roman" w:cs="Times New Roman"/>
          <w:snapToGrid w:val="0"/>
          <w:color w:val="auto"/>
          <w:kern w:val="21"/>
          <w:szCs w:val="21"/>
          <w:highlight w:val="none"/>
          <w:u w:val="none"/>
        </w:rPr>
        <w:t>注：</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3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③</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4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④</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5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⑤</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7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⑦</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667891"/>
      <w:docPartObj>
        <w:docPartGallery w:val="autotext"/>
      </w:docPartObj>
    </w:sdtPr>
    <w:sdtContent>
      <w:p>
        <w:pPr>
          <w:pStyle w:val="17"/>
          <w:jc w:val="center"/>
        </w:pPr>
        <w:r>
          <w:fldChar w:fldCharType="begin"/>
        </w:r>
        <w:r>
          <w:instrText xml:space="preserve">PAGE   \* MERGEFORMAT</w:instrText>
        </w:r>
        <w:r>
          <w:fldChar w:fldCharType="separate"/>
        </w:r>
        <w:r>
          <w:rPr>
            <w:lang w:val="zh-CN"/>
          </w:rPr>
          <w:t>13</w:t>
        </w:r>
        <w: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FEBAD"/>
    <w:multiLevelType w:val="singleLevel"/>
    <w:tmpl w:val="944FEBAD"/>
    <w:lvl w:ilvl="0" w:tentative="0">
      <w:start w:val="2"/>
      <w:numFmt w:val="decimal"/>
      <w:suff w:val="nothing"/>
      <w:lvlText w:val="（%1）"/>
      <w:lvlJc w:val="left"/>
    </w:lvl>
  </w:abstractNum>
  <w:abstractNum w:abstractNumId="1">
    <w:nsid w:val="ABE64BE2"/>
    <w:multiLevelType w:val="singleLevel"/>
    <w:tmpl w:val="ABE64BE2"/>
    <w:lvl w:ilvl="0" w:tentative="0">
      <w:start w:val="3"/>
      <w:numFmt w:val="chineseCounting"/>
      <w:suff w:val="nothing"/>
      <w:lvlText w:val="%1、"/>
      <w:lvlJc w:val="left"/>
      <w:rPr>
        <w:rFonts w:hint="eastAsia"/>
      </w:rPr>
    </w:lvl>
  </w:abstractNum>
  <w:abstractNum w:abstractNumId="2">
    <w:nsid w:val="5D8CF7A6"/>
    <w:multiLevelType w:val="singleLevel"/>
    <w:tmpl w:val="5D8CF7A6"/>
    <w:lvl w:ilvl="0" w:tentative="0">
      <w:start w:val="2"/>
      <w:numFmt w:val="decimal"/>
      <w:suff w:val="nothing"/>
      <w:lvlText w:val="%1、"/>
      <w:lvlJc w:val="left"/>
    </w:lvl>
  </w:abstractNum>
  <w:abstractNum w:abstractNumId="3">
    <w:nsid w:val="6397622F"/>
    <w:multiLevelType w:val="singleLevel"/>
    <w:tmpl w:val="6397622F"/>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ZTUwNTZkZWIxNGFkYzgwMGZkZDRmNDhjZTg1NTMifQ=="/>
  </w:docVars>
  <w:rsids>
    <w:rsidRoot w:val="006A2ABA"/>
    <w:rsid w:val="00160849"/>
    <w:rsid w:val="001837DA"/>
    <w:rsid w:val="00286268"/>
    <w:rsid w:val="0035199B"/>
    <w:rsid w:val="00365715"/>
    <w:rsid w:val="003B4665"/>
    <w:rsid w:val="003F3E48"/>
    <w:rsid w:val="003F7305"/>
    <w:rsid w:val="00427BAE"/>
    <w:rsid w:val="00434597"/>
    <w:rsid w:val="00473E8D"/>
    <w:rsid w:val="0047467D"/>
    <w:rsid w:val="004B74FC"/>
    <w:rsid w:val="004F4644"/>
    <w:rsid w:val="0059774B"/>
    <w:rsid w:val="005B49CB"/>
    <w:rsid w:val="005C4EA8"/>
    <w:rsid w:val="006352E8"/>
    <w:rsid w:val="006A2ABA"/>
    <w:rsid w:val="006A55CD"/>
    <w:rsid w:val="006D3533"/>
    <w:rsid w:val="00767E5B"/>
    <w:rsid w:val="007C6E07"/>
    <w:rsid w:val="00833413"/>
    <w:rsid w:val="00863DDA"/>
    <w:rsid w:val="00903913"/>
    <w:rsid w:val="00940375"/>
    <w:rsid w:val="00BB617B"/>
    <w:rsid w:val="00BF2ABF"/>
    <w:rsid w:val="00C663E7"/>
    <w:rsid w:val="00D11817"/>
    <w:rsid w:val="00DC0532"/>
    <w:rsid w:val="00DD702E"/>
    <w:rsid w:val="00E00DB9"/>
    <w:rsid w:val="00EC4110"/>
    <w:rsid w:val="00ED6A9D"/>
    <w:rsid w:val="00F7660B"/>
    <w:rsid w:val="013D4B60"/>
    <w:rsid w:val="046B2816"/>
    <w:rsid w:val="07C36F41"/>
    <w:rsid w:val="0B862976"/>
    <w:rsid w:val="0C165A5B"/>
    <w:rsid w:val="0C8A5195"/>
    <w:rsid w:val="0E5B12CD"/>
    <w:rsid w:val="0EEC3CB7"/>
    <w:rsid w:val="118C3AA3"/>
    <w:rsid w:val="1417170D"/>
    <w:rsid w:val="159348F7"/>
    <w:rsid w:val="15B5644A"/>
    <w:rsid w:val="183A2267"/>
    <w:rsid w:val="19CC0706"/>
    <w:rsid w:val="1A413F10"/>
    <w:rsid w:val="1D70532D"/>
    <w:rsid w:val="1DD63486"/>
    <w:rsid w:val="1EF07069"/>
    <w:rsid w:val="1F387379"/>
    <w:rsid w:val="216C11E2"/>
    <w:rsid w:val="231B5F2B"/>
    <w:rsid w:val="23704A2F"/>
    <w:rsid w:val="2400212D"/>
    <w:rsid w:val="26B71CCE"/>
    <w:rsid w:val="26C326DF"/>
    <w:rsid w:val="27C723B2"/>
    <w:rsid w:val="29160FCA"/>
    <w:rsid w:val="29235B3A"/>
    <w:rsid w:val="2A662D70"/>
    <w:rsid w:val="2ABF6A95"/>
    <w:rsid w:val="2B664FC7"/>
    <w:rsid w:val="2BCC0B9C"/>
    <w:rsid w:val="2C343ED8"/>
    <w:rsid w:val="2CF95591"/>
    <w:rsid w:val="2EB33EB3"/>
    <w:rsid w:val="2F4A3E20"/>
    <w:rsid w:val="31895E41"/>
    <w:rsid w:val="342A5893"/>
    <w:rsid w:val="354B42C1"/>
    <w:rsid w:val="375255CB"/>
    <w:rsid w:val="390C77BE"/>
    <w:rsid w:val="391B1676"/>
    <w:rsid w:val="39B66864"/>
    <w:rsid w:val="39CB3418"/>
    <w:rsid w:val="3A1A0F50"/>
    <w:rsid w:val="3A330BE9"/>
    <w:rsid w:val="3BA40C0F"/>
    <w:rsid w:val="3CF93AA1"/>
    <w:rsid w:val="3DBA0E43"/>
    <w:rsid w:val="3E295549"/>
    <w:rsid w:val="3FF34060"/>
    <w:rsid w:val="41FC2EA7"/>
    <w:rsid w:val="434A0B25"/>
    <w:rsid w:val="44716D6F"/>
    <w:rsid w:val="44EC6426"/>
    <w:rsid w:val="46A72C82"/>
    <w:rsid w:val="498C5876"/>
    <w:rsid w:val="4BD756F4"/>
    <w:rsid w:val="4DC620B8"/>
    <w:rsid w:val="4EDB220E"/>
    <w:rsid w:val="4EDE0BFA"/>
    <w:rsid w:val="506F4DBF"/>
    <w:rsid w:val="50B03E8C"/>
    <w:rsid w:val="519311FF"/>
    <w:rsid w:val="539375E4"/>
    <w:rsid w:val="55E74E0F"/>
    <w:rsid w:val="56723AD9"/>
    <w:rsid w:val="57391A37"/>
    <w:rsid w:val="578B7DFB"/>
    <w:rsid w:val="57927A19"/>
    <w:rsid w:val="58331046"/>
    <w:rsid w:val="5949387E"/>
    <w:rsid w:val="5B547C51"/>
    <w:rsid w:val="5B911377"/>
    <w:rsid w:val="5F0059FA"/>
    <w:rsid w:val="60925A0D"/>
    <w:rsid w:val="610B0DB2"/>
    <w:rsid w:val="615E2D65"/>
    <w:rsid w:val="61A86601"/>
    <w:rsid w:val="625270AA"/>
    <w:rsid w:val="62DA4EE0"/>
    <w:rsid w:val="63926DF0"/>
    <w:rsid w:val="64B36623"/>
    <w:rsid w:val="66623D93"/>
    <w:rsid w:val="673D7DE3"/>
    <w:rsid w:val="68654AA3"/>
    <w:rsid w:val="68EE0C40"/>
    <w:rsid w:val="6DDB4FE2"/>
    <w:rsid w:val="6E80154C"/>
    <w:rsid w:val="6F4A6F49"/>
    <w:rsid w:val="6FAB550E"/>
    <w:rsid w:val="714A76D4"/>
    <w:rsid w:val="722946BE"/>
    <w:rsid w:val="73050A58"/>
    <w:rsid w:val="7338355D"/>
    <w:rsid w:val="74BD1F6B"/>
    <w:rsid w:val="761B33ED"/>
    <w:rsid w:val="763527ED"/>
    <w:rsid w:val="77532349"/>
    <w:rsid w:val="77C03B9D"/>
    <w:rsid w:val="794A559E"/>
    <w:rsid w:val="7AF279A1"/>
    <w:rsid w:val="7C9B5A33"/>
    <w:rsid w:val="7CA2553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99"/>
    <w:pPr>
      <w:widowControl/>
      <w:adjustRightInd w:val="0"/>
      <w:snapToGrid w:val="0"/>
      <w:spacing w:line="360" w:lineRule="auto"/>
      <w:jc w:val="center"/>
      <w:outlineLvl w:val="0"/>
    </w:pPr>
    <w:rPr>
      <w:rFonts w:eastAsia="黑体" w:cstheme="majorBidi"/>
      <w:bCs/>
      <w:kern w:val="0"/>
      <w:sz w:val="30"/>
    </w:rPr>
  </w:style>
  <w:style w:type="paragraph" w:styleId="5">
    <w:name w:val="heading 2"/>
    <w:basedOn w:val="1"/>
    <w:next w:val="1"/>
    <w:link w:val="41"/>
    <w:qFormat/>
    <w:uiPriority w:val="0"/>
    <w:pPr>
      <w:keepNext/>
      <w:keepLines/>
      <w:outlineLvl w:val="1"/>
    </w:pPr>
    <w:rPr>
      <w:rFonts w:ascii="Arial" w:hAnsi="Arial"/>
      <w:b/>
      <w:color w:val="000000"/>
      <w:sz w:val="28"/>
      <w:szCs w:val="22"/>
    </w:rPr>
  </w:style>
  <w:style w:type="paragraph" w:styleId="6">
    <w:name w:val="heading 3"/>
    <w:basedOn w:val="1"/>
    <w:next w:val="1"/>
    <w:link w:val="42"/>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8">
    <w:name w:val="Normal Indent"/>
    <w:basedOn w:val="1"/>
    <w:next w:val="1"/>
    <w:qFormat/>
    <w:uiPriority w:val="0"/>
    <w:pPr>
      <w:ind w:firstLine="420"/>
    </w:pPr>
    <w:rPr>
      <w:rFonts w:eastAsia="宋体"/>
    </w:rPr>
  </w:style>
  <w:style w:type="paragraph" w:styleId="9">
    <w:name w:val="caption"/>
    <w:basedOn w:val="1"/>
    <w:next w:val="1"/>
    <w:qFormat/>
    <w:uiPriority w:val="35"/>
    <w:rPr>
      <w:rFonts w:ascii="Calibri Light" w:hAnsi="Calibri Light" w:eastAsia="黑体"/>
      <w:sz w:val="20"/>
      <w:szCs w:val="20"/>
    </w:rPr>
  </w:style>
  <w:style w:type="paragraph" w:styleId="10">
    <w:name w:val="Document Map"/>
    <w:basedOn w:val="1"/>
    <w:link w:val="43"/>
    <w:qFormat/>
    <w:uiPriority w:val="0"/>
    <w:rPr>
      <w:rFonts w:ascii="宋体"/>
      <w:sz w:val="18"/>
      <w:szCs w:val="18"/>
    </w:rPr>
  </w:style>
  <w:style w:type="paragraph" w:styleId="11">
    <w:name w:val="annotation text"/>
    <w:basedOn w:val="1"/>
    <w:link w:val="44"/>
    <w:semiHidden/>
    <w:qFormat/>
    <w:uiPriority w:val="0"/>
    <w:pPr>
      <w:jc w:val="left"/>
    </w:pPr>
    <w:rPr>
      <w:kern w:val="0"/>
      <w:sz w:val="24"/>
      <w:szCs w:val="20"/>
    </w:rPr>
  </w:style>
  <w:style w:type="paragraph" w:styleId="12">
    <w:name w:val="Body Text Indent"/>
    <w:basedOn w:val="1"/>
    <w:link w:val="46"/>
    <w:qFormat/>
    <w:uiPriority w:val="0"/>
    <w:pPr>
      <w:spacing w:after="120"/>
      <w:ind w:left="420" w:leftChars="200"/>
    </w:pPr>
    <w:rPr>
      <w:kern w:val="0"/>
      <w:sz w:val="24"/>
      <w:szCs w:val="20"/>
    </w:rPr>
  </w:style>
  <w:style w:type="paragraph" w:styleId="13">
    <w:name w:val="Plain Text"/>
    <w:basedOn w:val="1"/>
    <w:link w:val="48"/>
    <w:qFormat/>
    <w:uiPriority w:val="0"/>
    <w:pPr>
      <w:spacing w:line="440" w:lineRule="exact"/>
      <w:ind w:firstLine="200" w:firstLineChars="200"/>
    </w:pPr>
    <w:rPr>
      <w:rFonts w:ascii="宋体" w:hAnsi="Courier New" w:eastAsia="仿宋_GB2312"/>
      <w:kern w:val="0"/>
      <w:sz w:val="28"/>
      <w:szCs w:val="21"/>
    </w:rPr>
  </w:style>
  <w:style w:type="paragraph" w:styleId="14">
    <w:name w:val="Date"/>
    <w:basedOn w:val="1"/>
    <w:next w:val="1"/>
    <w:link w:val="49"/>
    <w:qFormat/>
    <w:uiPriority w:val="0"/>
    <w:pPr>
      <w:ind w:left="100" w:leftChars="2500"/>
    </w:pPr>
    <w:rPr>
      <w:kern w:val="0"/>
      <w:sz w:val="24"/>
      <w:szCs w:val="20"/>
    </w:rPr>
  </w:style>
  <w:style w:type="paragraph" w:styleId="15">
    <w:name w:val="Body Text Indent 2"/>
    <w:basedOn w:val="1"/>
    <w:link w:val="50"/>
    <w:qFormat/>
    <w:uiPriority w:val="99"/>
    <w:pPr>
      <w:spacing w:after="120" w:line="480" w:lineRule="auto"/>
      <w:ind w:left="420" w:leftChars="200"/>
    </w:pPr>
  </w:style>
  <w:style w:type="paragraph" w:styleId="16">
    <w:name w:val="Balloon Text"/>
    <w:basedOn w:val="1"/>
    <w:link w:val="51"/>
    <w:semiHidden/>
    <w:qFormat/>
    <w:uiPriority w:val="0"/>
    <w:rPr>
      <w:kern w:val="0"/>
      <w:sz w:val="18"/>
      <w:szCs w:val="20"/>
    </w:rPr>
  </w:style>
  <w:style w:type="paragraph" w:styleId="17">
    <w:name w:val="footer"/>
    <w:basedOn w:val="1"/>
    <w:link w:val="52"/>
    <w:qFormat/>
    <w:uiPriority w:val="99"/>
    <w:pPr>
      <w:tabs>
        <w:tab w:val="center" w:pos="4153"/>
        <w:tab w:val="right" w:pos="8306"/>
      </w:tabs>
      <w:snapToGrid w:val="0"/>
      <w:jc w:val="left"/>
    </w:pPr>
    <w:rPr>
      <w:kern w:val="0"/>
      <w:sz w:val="18"/>
      <w:szCs w:val="20"/>
    </w:rPr>
  </w:style>
  <w:style w:type="paragraph" w:styleId="18">
    <w:name w:val="header"/>
    <w:basedOn w:val="1"/>
    <w:next w:val="2"/>
    <w:link w:val="53"/>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index heading"/>
    <w:basedOn w:val="1"/>
    <w:next w:val="20"/>
    <w:qFormat/>
    <w:uiPriority w:val="99"/>
    <w:rPr>
      <w:szCs w:val="20"/>
    </w:rPr>
  </w:style>
  <w:style w:type="paragraph" w:styleId="20">
    <w:name w:val="index 1"/>
    <w:basedOn w:val="1"/>
    <w:next w:val="1"/>
    <w:unhideWhenUsed/>
    <w:qFormat/>
    <w:uiPriority w:val="0"/>
  </w:style>
  <w:style w:type="paragraph" w:styleId="21">
    <w:name w:val="List"/>
    <w:basedOn w:val="1"/>
    <w:qFormat/>
    <w:uiPriority w:val="0"/>
    <w:pPr>
      <w:ind w:left="200" w:hanging="200" w:hangingChars="200"/>
      <w:jc w:val="center"/>
    </w:pPr>
  </w:style>
  <w:style w:type="paragraph" w:styleId="22">
    <w:name w:val="Body Text Indent 3"/>
    <w:basedOn w:val="1"/>
    <w:link w:val="54"/>
    <w:qFormat/>
    <w:uiPriority w:val="0"/>
    <w:pPr>
      <w:spacing w:line="360" w:lineRule="auto"/>
      <w:ind w:firstLine="480"/>
    </w:pPr>
  </w:style>
  <w:style w:type="paragraph" w:styleId="23">
    <w:name w:val="toc 2"/>
    <w:basedOn w:val="1"/>
    <w:next w:val="1"/>
    <w:qFormat/>
    <w:uiPriority w:val="39"/>
    <w:pPr>
      <w:widowControl/>
      <w:tabs>
        <w:tab w:val="right" w:leader="dot" w:pos="8777"/>
      </w:tabs>
      <w:adjustRightInd w:val="0"/>
      <w:snapToGrid w:val="0"/>
    </w:pPr>
    <w:rPr>
      <w:smallCaps/>
      <w:szCs w:val="20"/>
    </w:rPr>
  </w:style>
  <w:style w:type="paragraph" w:styleId="24">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spacing w:line="520" w:lineRule="exact"/>
      <w:ind w:left="1080" w:leftChars="500" w:hanging="1080" w:hangingChars="500"/>
    </w:pPr>
    <w:rPr>
      <w:rFonts w:ascii="Arial" w:hAnsi="Arial" w:cs="Arial"/>
      <w:bCs/>
      <w:kern w:val="0"/>
      <w:sz w:val="24"/>
    </w:rPr>
  </w:style>
  <w:style w:type="paragraph" w:styleId="25">
    <w:name w:val="Normal (Web)"/>
    <w:basedOn w:val="1"/>
    <w:link w:val="55"/>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11"/>
    <w:next w:val="11"/>
    <w:link w:val="56"/>
    <w:semiHidden/>
    <w:qFormat/>
    <w:uiPriority w:val="0"/>
    <w:rPr>
      <w:b/>
      <w:kern w:val="2"/>
    </w:rPr>
  </w:style>
  <w:style w:type="paragraph" w:styleId="27">
    <w:name w:val="Body Text First Indent 2"/>
    <w:basedOn w:val="1"/>
    <w:next w:val="1"/>
    <w:link w:val="57"/>
    <w:qFormat/>
    <w:uiPriority w:val="0"/>
    <w:pPr>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ascii="Times New Roman" w:hAnsi="Times New Roman" w:eastAsia="宋体" w:cs="Times New Roman"/>
      <w:bCs/>
      <w:sz w:val="21"/>
    </w:rPr>
  </w:style>
  <w:style w:type="character" w:styleId="32">
    <w:name w:val="page number"/>
    <w:basedOn w:val="30"/>
    <w:qFormat/>
    <w:uiPriority w:val="0"/>
  </w:style>
  <w:style w:type="character" w:styleId="33">
    <w:name w:val="FollowedHyperlink"/>
    <w:basedOn w:val="30"/>
    <w:qFormat/>
    <w:uiPriority w:val="0"/>
    <w:rPr>
      <w:color w:val="001C48"/>
      <w:u w:val="none"/>
    </w:rPr>
  </w:style>
  <w:style w:type="character" w:styleId="34">
    <w:name w:val="Hyperlink"/>
    <w:basedOn w:val="30"/>
    <w:qFormat/>
    <w:uiPriority w:val="0"/>
    <w:rPr>
      <w:color w:val="001C48"/>
      <w:u w:val="none"/>
    </w:rPr>
  </w:style>
  <w:style w:type="character" w:styleId="35">
    <w:name w:val="annotation reference"/>
    <w:semiHidden/>
    <w:qFormat/>
    <w:uiPriority w:val="0"/>
    <w:rPr>
      <w:sz w:val="21"/>
    </w:rPr>
  </w:style>
  <w:style w:type="paragraph" w:customStyle="1" w:styleId="36">
    <w:name w:val="Default"/>
    <w:basedOn w:val="3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adjustRightInd w:val="0"/>
    </w:pPr>
    <w:rPr>
      <w:rFonts w:ascii="宋体" w:hAnsi="Courier New"/>
      <w:szCs w:val="20"/>
    </w:rPr>
  </w:style>
  <w:style w:type="paragraph" w:customStyle="1" w:styleId="38">
    <w:name w:val="首行缩进"/>
    <w:basedOn w:val="1"/>
    <w:qFormat/>
    <w:uiPriority w:val="0"/>
    <w:pPr>
      <w:spacing w:line="360" w:lineRule="auto"/>
      <w:ind w:firstLine="420"/>
    </w:pPr>
    <w:rPr>
      <w:rFonts w:cs="宋体"/>
      <w:szCs w:val="20"/>
    </w:rPr>
  </w:style>
  <w:style w:type="character" w:customStyle="1" w:styleId="39">
    <w:name w:val="标题 1 字符"/>
    <w:basedOn w:val="30"/>
    <w:link w:val="4"/>
    <w:qFormat/>
    <w:uiPriority w:val="9"/>
    <w:rPr>
      <w:rFonts w:ascii="Times New Roman" w:hAnsi="Times New Roman" w:eastAsia="黑体" w:cstheme="majorBidi"/>
      <w:bCs/>
      <w:kern w:val="0"/>
      <w:sz w:val="30"/>
      <w:szCs w:val="24"/>
    </w:rPr>
  </w:style>
  <w:style w:type="paragraph" w:customStyle="1" w:styleId="40">
    <w:name w:val="文本"/>
    <w:basedOn w:val="1"/>
    <w:next w:val="1"/>
    <w:qFormat/>
    <w:uiPriority w:val="0"/>
    <w:pPr>
      <w:widowControl w:val="0"/>
      <w:adjustRightInd/>
      <w:snapToGrid/>
      <w:spacing w:line="360" w:lineRule="auto"/>
      <w:ind w:firstLine="200" w:firstLineChars="200"/>
    </w:pPr>
    <w:rPr>
      <w:rFonts w:ascii="宋体" w:hAnsi="宋体"/>
      <w:sz w:val="28"/>
      <w:szCs w:val="28"/>
    </w:rPr>
  </w:style>
  <w:style w:type="character" w:customStyle="1" w:styleId="41">
    <w:name w:val="标题 2 字符"/>
    <w:basedOn w:val="30"/>
    <w:link w:val="5"/>
    <w:qFormat/>
    <w:uiPriority w:val="0"/>
    <w:rPr>
      <w:rFonts w:ascii="Arial" w:hAnsi="Arial" w:eastAsia="宋体" w:cs="Times New Roman"/>
      <w:b/>
      <w:color w:val="000000"/>
      <w:sz w:val="28"/>
    </w:rPr>
  </w:style>
  <w:style w:type="character" w:customStyle="1" w:styleId="42">
    <w:name w:val="标题 3 字符"/>
    <w:basedOn w:val="30"/>
    <w:link w:val="6"/>
    <w:qFormat/>
    <w:uiPriority w:val="0"/>
    <w:rPr>
      <w:rFonts w:ascii="Times New Roman" w:hAnsi="Times New Roman" w:eastAsia="宋体" w:cs="Times New Roman"/>
      <w:b/>
      <w:bCs/>
      <w:sz w:val="32"/>
      <w:szCs w:val="32"/>
    </w:rPr>
  </w:style>
  <w:style w:type="character" w:customStyle="1" w:styleId="43">
    <w:name w:val="文档结构图 字符"/>
    <w:basedOn w:val="30"/>
    <w:link w:val="10"/>
    <w:qFormat/>
    <w:uiPriority w:val="0"/>
    <w:rPr>
      <w:rFonts w:ascii="宋体" w:hAnsi="Times New Roman" w:eastAsia="宋体" w:cs="Times New Roman"/>
      <w:sz w:val="18"/>
      <w:szCs w:val="18"/>
    </w:rPr>
  </w:style>
  <w:style w:type="character" w:customStyle="1" w:styleId="44">
    <w:name w:val="批注文字 字符"/>
    <w:basedOn w:val="30"/>
    <w:link w:val="11"/>
    <w:semiHidden/>
    <w:qFormat/>
    <w:uiPriority w:val="0"/>
    <w:rPr>
      <w:rFonts w:ascii="Times New Roman" w:hAnsi="Times New Roman" w:eastAsia="宋体" w:cs="Times New Roman"/>
      <w:kern w:val="0"/>
      <w:sz w:val="24"/>
      <w:szCs w:val="20"/>
    </w:rPr>
  </w:style>
  <w:style w:type="character" w:customStyle="1" w:styleId="45">
    <w:name w:val="正文文本 字符"/>
    <w:basedOn w:val="30"/>
    <w:link w:val="2"/>
    <w:qFormat/>
    <w:uiPriority w:val="0"/>
    <w:rPr>
      <w:rFonts w:ascii="Times New Roman" w:hAnsi="Times New Roman" w:eastAsia="宋体" w:cs="Times New Roman"/>
      <w:kern w:val="0"/>
      <w:sz w:val="18"/>
      <w:szCs w:val="20"/>
    </w:rPr>
  </w:style>
  <w:style w:type="character" w:customStyle="1" w:styleId="46">
    <w:name w:val="正文文本缩进 字符"/>
    <w:basedOn w:val="30"/>
    <w:link w:val="12"/>
    <w:qFormat/>
    <w:uiPriority w:val="0"/>
    <w:rPr>
      <w:rFonts w:ascii="Times New Roman" w:hAnsi="Times New Roman" w:eastAsia="宋体" w:cs="Times New Roman"/>
      <w:kern w:val="0"/>
      <w:sz w:val="24"/>
      <w:szCs w:val="20"/>
    </w:rPr>
  </w:style>
  <w:style w:type="character" w:customStyle="1" w:styleId="47">
    <w:name w:val="纯文本 Char"/>
    <w:basedOn w:val="30"/>
    <w:qFormat/>
    <w:uiPriority w:val="0"/>
    <w:rPr>
      <w:rFonts w:ascii="宋体" w:hAnsi="Courier New" w:eastAsia="宋体" w:cs="Courier New"/>
      <w:szCs w:val="21"/>
    </w:rPr>
  </w:style>
  <w:style w:type="character" w:customStyle="1" w:styleId="48">
    <w:name w:val="纯文本 字符"/>
    <w:link w:val="13"/>
    <w:qFormat/>
    <w:uiPriority w:val="0"/>
    <w:rPr>
      <w:rFonts w:ascii="宋体" w:hAnsi="Courier New" w:eastAsia="仿宋_GB2312" w:cs="Times New Roman"/>
      <w:kern w:val="0"/>
      <w:sz w:val="28"/>
      <w:szCs w:val="21"/>
    </w:rPr>
  </w:style>
  <w:style w:type="character" w:customStyle="1" w:styleId="49">
    <w:name w:val="日期 字符1"/>
    <w:basedOn w:val="30"/>
    <w:link w:val="14"/>
    <w:qFormat/>
    <w:uiPriority w:val="0"/>
    <w:rPr>
      <w:rFonts w:ascii="Times New Roman" w:hAnsi="Times New Roman" w:eastAsia="宋体" w:cs="Times New Roman"/>
      <w:kern w:val="0"/>
      <w:sz w:val="24"/>
      <w:szCs w:val="20"/>
    </w:rPr>
  </w:style>
  <w:style w:type="character" w:customStyle="1" w:styleId="50">
    <w:name w:val="正文文本缩进 2 字符"/>
    <w:basedOn w:val="30"/>
    <w:link w:val="15"/>
    <w:qFormat/>
    <w:uiPriority w:val="99"/>
    <w:rPr>
      <w:rFonts w:ascii="Times New Roman" w:hAnsi="Times New Roman" w:eastAsia="宋体" w:cs="Times New Roman"/>
      <w:szCs w:val="24"/>
    </w:rPr>
  </w:style>
  <w:style w:type="character" w:customStyle="1" w:styleId="51">
    <w:name w:val="批注框文本 字符"/>
    <w:basedOn w:val="30"/>
    <w:link w:val="16"/>
    <w:semiHidden/>
    <w:qFormat/>
    <w:uiPriority w:val="0"/>
    <w:rPr>
      <w:rFonts w:ascii="Times New Roman" w:hAnsi="Times New Roman" w:eastAsia="宋体" w:cs="Times New Roman"/>
      <w:kern w:val="0"/>
      <w:sz w:val="18"/>
      <w:szCs w:val="20"/>
    </w:rPr>
  </w:style>
  <w:style w:type="character" w:customStyle="1" w:styleId="52">
    <w:name w:val="页脚 字符1"/>
    <w:basedOn w:val="30"/>
    <w:link w:val="17"/>
    <w:qFormat/>
    <w:uiPriority w:val="99"/>
    <w:rPr>
      <w:rFonts w:ascii="Times New Roman" w:hAnsi="Times New Roman" w:eastAsia="宋体" w:cs="Times New Roman"/>
      <w:kern w:val="0"/>
      <w:sz w:val="18"/>
      <w:szCs w:val="20"/>
    </w:rPr>
  </w:style>
  <w:style w:type="character" w:customStyle="1" w:styleId="53">
    <w:name w:val="页眉 字符"/>
    <w:basedOn w:val="30"/>
    <w:link w:val="18"/>
    <w:qFormat/>
    <w:uiPriority w:val="0"/>
    <w:rPr>
      <w:rFonts w:ascii="Times New Roman" w:hAnsi="Times New Roman" w:eastAsia="宋体" w:cs="Times New Roman"/>
      <w:kern w:val="0"/>
      <w:sz w:val="18"/>
      <w:szCs w:val="20"/>
    </w:rPr>
  </w:style>
  <w:style w:type="character" w:customStyle="1" w:styleId="54">
    <w:name w:val="正文文本缩进 3 字符"/>
    <w:basedOn w:val="30"/>
    <w:link w:val="22"/>
    <w:qFormat/>
    <w:uiPriority w:val="0"/>
    <w:rPr>
      <w:rFonts w:ascii="Times New Roman" w:hAnsi="Times New Roman" w:eastAsia="宋体" w:cs="Times New Roman"/>
      <w:szCs w:val="24"/>
    </w:rPr>
  </w:style>
  <w:style w:type="character" w:customStyle="1" w:styleId="55">
    <w:name w:val="普通(网站) 字符"/>
    <w:link w:val="25"/>
    <w:qFormat/>
    <w:locked/>
    <w:uiPriority w:val="0"/>
    <w:rPr>
      <w:rFonts w:ascii="宋体" w:hAnsi="宋体" w:eastAsia="宋体" w:cs="Times New Roman"/>
      <w:kern w:val="0"/>
      <w:sz w:val="24"/>
      <w:szCs w:val="20"/>
    </w:rPr>
  </w:style>
  <w:style w:type="character" w:customStyle="1" w:styleId="56">
    <w:name w:val="批注主题 字符"/>
    <w:basedOn w:val="44"/>
    <w:link w:val="26"/>
    <w:semiHidden/>
    <w:qFormat/>
    <w:uiPriority w:val="0"/>
    <w:rPr>
      <w:rFonts w:ascii="Times New Roman" w:hAnsi="Times New Roman" w:eastAsia="宋体" w:cs="Times New Roman"/>
      <w:b/>
      <w:kern w:val="0"/>
      <w:sz w:val="24"/>
      <w:szCs w:val="20"/>
    </w:rPr>
  </w:style>
  <w:style w:type="character" w:customStyle="1" w:styleId="57">
    <w:name w:val="正文首行缩进 2 字符"/>
    <w:basedOn w:val="46"/>
    <w:link w:val="27"/>
    <w:qFormat/>
    <w:uiPriority w:val="0"/>
    <w:rPr>
      <w:rFonts w:ascii="Times New Roman" w:hAnsi="Times New Roman" w:eastAsia="宋体" w:cs="Times New Roman"/>
      <w:kern w:val="0"/>
      <w:sz w:val="24"/>
      <w:szCs w:val="20"/>
    </w:rPr>
  </w:style>
  <w:style w:type="paragraph" w:customStyle="1" w:styleId="58">
    <w:name w:val="样式1"/>
    <w:basedOn w:val="19"/>
    <w:next w:val="1"/>
    <w:qFormat/>
    <w:uiPriority w:val="0"/>
    <w:pPr>
      <w:spacing w:beforeLines="50" w:line="440" w:lineRule="exact"/>
      <w:ind w:left="100" w:leftChars="100"/>
    </w:pPr>
    <w:rPr>
      <w:rFonts w:ascii="宋体" w:hAnsi="宋体"/>
    </w:rPr>
  </w:style>
  <w:style w:type="paragraph" w:customStyle="1" w:styleId="59">
    <w:name w:val="_Style 1"/>
    <w:basedOn w:val="1"/>
    <w:next w:val="1"/>
    <w:qFormat/>
    <w:uiPriority w:val="0"/>
    <w:pPr>
      <w:ind w:firstLine="420" w:firstLineChars="200"/>
    </w:pPr>
    <w:rPr>
      <w:rFonts w:ascii="Calibri" w:hAnsi="Calibri"/>
      <w:szCs w:val="22"/>
    </w:rPr>
  </w:style>
  <w:style w:type="character" w:customStyle="1" w:styleId="60">
    <w:name w:val="fontstyle01"/>
    <w:basedOn w:val="30"/>
    <w:qFormat/>
    <w:uiPriority w:val="0"/>
    <w:rPr>
      <w:rFonts w:hint="default" w:ascii="仿宋" w:hAnsi="仿宋"/>
      <w:color w:val="000000"/>
      <w:sz w:val="30"/>
      <w:szCs w:val="30"/>
    </w:rPr>
  </w:style>
  <w:style w:type="character" w:customStyle="1" w:styleId="61">
    <w:name w:val="表格 Char"/>
    <w:link w:val="62"/>
    <w:qFormat/>
    <w:locked/>
    <w:uiPriority w:val="0"/>
    <w:rPr>
      <w:rFonts w:ascii="宋体"/>
    </w:rPr>
  </w:style>
  <w:style w:type="paragraph" w:customStyle="1" w:styleId="62">
    <w:name w:val="表格"/>
    <w:basedOn w:val="21"/>
    <w:next w:val="1"/>
    <w:link w:val="61"/>
    <w:qFormat/>
    <w:uiPriority w:val="0"/>
    <w:pPr>
      <w:adjustRightInd w:val="0"/>
      <w:snapToGrid w:val="0"/>
      <w:spacing w:beforeLines="10" w:afterLines="10" w:line="259" w:lineRule="auto"/>
    </w:pPr>
    <w:rPr>
      <w:rFonts w:ascii="宋体" w:hAnsiTheme="minorHAnsi" w:eastAsiaTheme="minorEastAsia" w:cstheme="minorBidi"/>
      <w:szCs w:val="22"/>
    </w:rPr>
  </w:style>
  <w:style w:type="paragraph" w:customStyle="1" w:styleId="63">
    <w:name w:val="表头"/>
    <w:basedOn w:val="64"/>
    <w:next w:val="22"/>
    <w:qFormat/>
    <w:uiPriority w:val="0"/>
    <w:pPr>
      <w:spacing w:beforeLines="20" w:afterLines="20"/>
      <w:jc w:val="center"/>
    </w:pPr>
    <w:rPr>
      <w:b/>
    </w:rPr>
  </w:style>
  <w:style w:type="paragraph" w:customStyle="1" w:styleId="64">
    <w:name w:val="报告表正文"/>
    <w:basedOn w:val="1"/>
    <w:link w:val="76"/>
    <w:qFormat/>
    <w:uiPriority w:val="0"/>
    <w:pPr>
      <w:spacing w:line="360" w:lineRule="auto"/>
      <w:ind w:firstLine="560" w:firstLineChars="200"/>
    </w:pPr>
    <w:rPr>
      <w:color w:val="000000"/>
      <w:sz w:val="24"/>
      <w:szCs w:val="28"/>
    </w:rPr>
  </w:style>
  <w:style w:type="paragraph" w:customStyle="1" w:styleId="65">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character" w:customStyle="1" w:styleId="66">
    <w:name w:val="正文文本 字符1"/>
    <w:semiHidden/>
    <w:qFormat/>
    <w:uiPriority w:val="0"/>
    <w:rPr>
      <w:rFonts w:ascii="Times New Roman" w:hAnsi="Times New Roman" w:eastAsia="宋体"/>
      <w:sz w:val="24"/>
    </w:rPr>
  </w:style>
  <w:style w:type="character" w:customStyle="1" w:styleId="67">
    <w:name w:val="批注文字 字符1"/>
    <w:semiHidden/>
    <w:qFormat/>
    <w:uiPriority w:val="0"/>
    <w:rPr>
      <w:rFonts w:ascii="Times New Roman" w:hAnsi="Times New Roman" w:eastAsia="宋体"/>
      <w:sz w:val="24"/>
    </w:rPr>
  </w:style>
  <w:style w:type="character" w:customStyle="1" w:styleId="68">
    <w:name w:val="页脚 字符"/>
    <w:basedOn w:val="30"/>
    <w:qFormat/>
    <w:uiPriority w:val="99"/>
  </w:style>
  <w:style w:type="character" w:customStyle="1" w:styleId="69">
    <w:name w:val="日期 字符"/>
    <w:semiHidden/>
    <w:qFormat/>
    <w:uiPriority w:val="0"/>
    <w:rPr>
      <w:rFonts w:ascii="Times New Roman" w:hAnsi="Times New Roman" w:eastAsia="宋体"/>
      <w:sz w:val="24"/>
    </w:rPr>
  </w:style>
  <w:style w:type="character" w:customStyle="1" w:styleId="70">
    <w:name w:val="fontstyle21"/>
    <w:basedOn w:val="30"/>
    <w:qFormat/>
    <w:uiPriority w:val="0"/>
    <w:rPr>
      <w:rFonts w:hint="default" w:ascii="Calibri" w:hAnsi="Calibri" w:cs="Calibri"/>
      <w:color w:val="000000"/>
      <w:sz w:val="22"/>
      <w:szCs w:val="22"/>
    </w:rPr>
  </w:style>
  <w:style w:type="character" w:customStyle="1" w:styleId="71">
    <w:name w:val="表格文字33 Char"/>
    <w:link w:val="72"/>
    <w:qFormat/>
    <w:locked/>
    <w:uiPriority w:val="99"/>
    <w:rPr>
      <w:rFonts w:ascii="宋体"/>
      <w:color w:val="000000"/>
    </w:rPr>
  </w:style>
  <w:style w:type="paragraph" w:customStyle="1" w:styleId="72">
    <w:name w:val="表格文字33"/>
    <w:basedOn w:val="1"/>
    <w:link w:val="71"/>
    <w:qFormat/>
    <w:uiPriority w:val="99"/>
    <w:pPr>
      <w:widowControl/>
      <w:jc w:val="center"/>
    </w:pPr>
    <w:rPr>
      <w:rFonts w:ascii="宋体" w:hAnsiTheme="minorHAnsi" w:eastAsiaTheme="minorEastAsia" w:cstheme="minorBidi"/>
      <w:color w:val="000000"/>
      <w:szCs w:val="22"/>
    </w:rPr>
  </w:style>
  <w:style w:type="paragraph" w:customStyle="1" w:styleId="73">
    <w:name w:val="MM正文"/>
    <w:basedOn w:val="1"/>
    <w:qFormat/>
    <w:uiPriority w:val="0"/>
    <w:pPr>
      <w:spacing w:line="480" w:lineRule="exact"/>
      <w:ind w:firstLine="200" w:firstLineChars="200"/>
    </w:pPr>
    <w:rPr>
      <w:rFonts w:cs="楷体"/>
      <w:sz w:val="24"/>
    </w:rPr>
  </w:style>
  <w:style w:type="paragraph" w:customStyle="1" w:styleId="74">
    <w:name w:val="报告正文"/>
    <w:basedOn w:val="1"/>
    <w:qFormat/>
    <w:uiPriority w:val="0"/>
    <w:pPr>
      <w:widowControl/>
      <w:adjustRightInd w:val="0"/>
      <w:snapToGrid w:val="0"/>
      <w:spacing w:line="360" w:lineRule="auto"/>
      <w:ind w:firstLine="200" w:firstLineChars="200"/>
      <w:jc w:val="left"/>
    </w:pPr>
    <w:rPr>
      <w:bCs/>
      <w:kern w:val="44"/>
      <w:sz w:val="24"/>
    </w:rPr>
  </w:style>
  <w:style w:type="paragraph" w:customStyle="1" w:styleId="75">
    <w:name w:val="标题 41"/>
    <w:basedOn w:val="1"/>
    <w:qFormat/>
    <w:uiPriority w:val="1"/>
    <w:pPr>
      <w:ind w:left="601"/>
      <w:jc w:val="left"/>
      <w:outlineLvl w:val="4"/>
    </w:pPr>
    <w:rPr>
      <w:rFonts w:ascii="宋体" w:hAnsi="宋体"/>
      <w:b/>
      <w:bCs/>
      <w:kern w:val="0"/>
      <w:sz w:val="24"/>
      <w:lang w:eastAsia="en-US"/>
    </w:rPr>
  </w:style>
  <w:style w:type="character" w:customStyle="1" w:styleId="76">
    <w:name w:val="报告表正文 Char"/>
    <w:link w:val="64"/>
    <w:qFormat/>
    <w:uiPriority w:val="0"/>
    <w:rPr>
      <w:rFonts w:ascii="Times New Roman" w:hAnsi="Times New Roman" w:eastAsia="宋体" w:cs="Times New Roman"/>
      <w:color w:val="000000"/>
      <w:sz w:val="24"/>
      <w:szCs w:val="28"/>
    </w:rPr>
  </w:style>
  <w:style w:type="paragraph" w:customStyle="1" w:styleId="77">
    <w:name w:val="表格内格式"/>
    <w:basedOn w:val="1"/>
    <w:next w:val="1"/>
    <w:qFormat/>
    <w:uiPriority w:val="0"/>
    <w:pPr>
      <w:widowControl/>
      <w:spacing w:line="360" w:lineRule="exact"/>
      <w:jc w:val="center"/>
    </w:pPr>
    <w:rPr>
      <w:kern w:val="0"/>
      <w:szCs w:val="21"/>
    </w:rPr>
  </w:style>
  <w:style w:type="paragraph" w:customStyle="1" w:styleId="7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正文1"/>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82">
    <w:name w:val="表格文字2"/>
    <w:basedOn w:val="1"/>
    <w:qFormat/>
    <w:uiPriority w:val="0"/>
    <w:pPr>
      <w:jc w:val="center"/>
    </w:pPr>
    <w:rPr>
      <w:szCs w:val="21"/>
    </w:rPr>
  </w:style>
  <w:style w:type="paragraph" w:customStyle="1" w:styleId="8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00000"/>
    <w:qFormat/>
    <w:uiPriority w:val="0"/>
    <w:rPr>
      <w:rFonts w:ascii="Times New Roman" w:hAnsi="Times New Roman" w:eastAsia="仿宋" w:cs="Times New Roman"/>
      <w:kern w:val="2"/>
      <w:sz w:val="21"/>
      <w:lang w:val="en-US" w:eastAsia="zh-CN" w:bidi="ar-SA"/>
    </w:rPr>
  </w:style>
  <w:style w:type="paragraph" w:customStyle="1" w:styleId="85">
    <w:name w:val="表格文字"/>
    <w:basedOn w:val="86"/>
    <w:qFormat/>
    <w:uiPriority w:val="0"/>
    <w:pPr>
      <w:widowControl/>
      <w:spacing w:beforeLines="10" w:afterLines="10" w:line="0" w:lineRule="atLeast"/>
      <w:jc w:val="center"/>
    </w:pPr>
    <w:rPr>
      <w:sz w:val="18"/>
      <w:szCs w:val="18"/>
    </w:rPr>
  </w:style>
  <w:style w:type="paragraph" w:customStyle="1" w:styleId="86">
    <w:name w:val="正文格式"/>
    <w:basedOn w:val="1"/>
    <w:qFormat/>
    <w:uiPriority w:val="0"/>
    <w:pPr>
      <w:jc w:val="left"/>
    </w:pPr>
    <w:rPr>
      <w:rFonts w:eastAsia="仿宋"/>
      <w:kern w:val="0"/>
      <w:szCs w:val="20"/>
      <w:lang w:val="zh-CN"/>
    </w:rPr>
  </w:style>
  <w:style w:type="paragraph" w:customStyle="1" w:styleId="87">
    <w:name w:val="D正文"/>
    <w:basedOn w:val="1"/>
    <w:qFormat/>
    <w:uiPriority w:val="0"/>
    <w:pPr>
      <w:spacing w:line="360" w:lineRule="auto"/>
      <w:ind w:firstLine="480" w:firstLineChars="200"/>
    </w:pPr>
    <w:rPr>
      <w:color w:val="000000"/>
      <w:sz w:val="24"/>
    </w:rPr>
  </w:style>
  <w:style w:type="paragraph" w:customStyle="1" w:styleId="88">
    <w:name w:val="（正文）"/>
    <w:basedOn w:val="1"/>
    <w:qFormat/>
    <w:uiPriority w:val="0"/>
    <w:pPr>
      <w:ind w:firstLine="200" w:firstLineChars="200"/>
    </w:pPr>
    <w:rPr>
      <w:szCs w:val="20"/>
    </w:rPr>
  </w:style>
  <w:style w:type="paragraph" w:customStyle="1" w:styleId="89">
    <w:name w:val="报告表表格文字"/>
    <w:basedOn w:val="1"/>
    <w:qFormat/>
    <w:uiPriority w:val="0"/>
    <w:pPr>
      <w:jc w:val="center"/>
    </w:pPr>
    <w:rPr>
      <w:rFonts w:ascii="宋体" w:hAnsi="宋体"/>
      <w:color w:val="FF0000"/>
      <w:sz w:val="24"/>
    </w:rPr>
  </w:style>
  <w:style w:type="paragraph" w:customStyle="1" w:styleId="90">
    <w:name w:val="表格文字222"/>
    <w:basedOn w:val="1"/>
    <w:qFormat/>
    <w:uiPriority w:val="0"/>
    <w:pPr>
      <w:snapToGrid w:val="0"/>
      <w:jc w:val="center"/>
    </w:pPr>
    <w:rPr>
      <w:rFonts w:hAnsi="宋体"/>
      <w:bCs/>
    </w:rPr>
  </w:style>
  <w:style w:type="paragraph" w:customStyle="1" w:styleId="91">
    <w:name w:val="表格内容"/>
    <w:basedOn w:val="62"/>
    <w:next w:val="1"/>
    <w:qFormat/>
    <w:uiPriority w:val="0"/>
    <w:pPr>
      <w:widowControl/>
      <w:jc w:val="center"/>
    </w:pPr>
    <w:rPr>
      <w:kern w:val="0"/>
      <w:sz w:val="20"/>
      <w:szCs w:val="21"/>
    </w:rPr>
  </w:style>
  <w:style w:type="character" w:customStyle="1" w:styleId="92">
    <w:name w:val="bds_nopic"/>
    <w:basedOn w:val="30"/>
    <w:qFormat/>
    <w:uiPriority w:val="0"/>
  </w:style>
  <w:style w:type="character" w:customStyle="1" w:styleId="93">
    <w:name w:val="bds_nopic1"/>
    <w:basedOn w:val="30"/>
    <w:qFormat/>
    <w:uiPriority w:val="0"/>
  </w:style>
  <w:style w:type="character" w:customStyle="1" w:styleId="94">
    <w:name w:val="bds_nopic2"/>
    <w:basedOn w:val="30"/>
    <w:qFormat/>
    <w:uiPriority w:val="0"/>
  </w:style>
  <w:style w:type="character" w:customStyle="1" w:styleId="95">
    <w:name w:val="bds_more"/>
    <w:basedOn w:val="30"/>
    <w:qFormat/>
    <w:uiPriority w:val="0"/>
    <w:rPr>
      <w:rFonts w:hint="eastAsia" w:ascii="宋体" w:hAnsi="宋体" w:eastAsia="宋体" w:cs="宋体"/>
    </w:rPr>
  </w:style>
  <w:style w:type="character" w:customStyle="1" w:styleId="96">
    <w:name w:val="bds_more1"/>
    <w:basedOn w:val="30"/>
    <w:qFormat/>
    <w:uiPriority w:val="0"/>
  </w:style>
  <w:style w:type="character" w:customStyle="1" w:styleId="97">
    <w:name w:val="bds_more2"/>
    <w:basedOn w:val="30"/>
    <w:qFormat/>
    <w:uiPriority w:val="0"/>
  </w:style>
  <w:style w:type="character" w:customStyle="1" w:styleId="98">
    <w:name w:val="wordbreaknormal1"/>
    <w:basedOn w:val="30"/>
    <w:qFormat/>
    <w:uiPriority w:val="0"/>
  </w:style>
  <w:style w:type="character" w:customStyle="1" w:styleId="99">
    <w:name w:val="fontstyle11"/>
    <w:basedOn w:val="30"/>
    <w:qFormat/>
    <w:uiPriority w:val="0"/>
    <w:rPr>
      <w:rFonts w:ascii="TimesNewRomanPSMT" w:hAnsi="TimesNewRomanPSMT" w:eastAsia="TimesNewRomanPSMT" w:cs="TimesNewRomanPSMT"/>
      <w:color w:val="000000"/>
      <w:sz w:val="22"/>
      <w:szCs w:val="22"/>
    </w:rPr>
  </w:style>
  <w:style w:type="paragraph" w:customStyle="1" w:styleId="100">
    <w:name w:val="表头、图脚"/>
    <w:next w:val="62"/>
    <w:qFormat/>
    <w:uiPriority w:val="0"/>
    <w:pPr>
      <w:jc w:val="center"/>
    </w:pPr>
    <w:rPr>
      <w:rFonts w:ascii="Times New Roman" w:hAnsi="Times New Roman" w:eastAsia="宋体" w:cs="Times New Roman"/>
      <w:b/>
      <w:sz w:val="21"/>
      <w:lang w:val="en-US" w:eastAsia="zh-CN" w:bidi="ar-SA"/>
    </w:rPr>
  </w:style>
  <w:style w:type="paragraph" w:customStyle="1" w:styleId="101">
    <w:name w:val="表格文字啊啊"/>
    <w:basedOn w:val="85"/>
    <w:qFormat/>
    <w:uiPriority w:val="0"/>
    <w:pPr>
      <w:tabs>
        <w:tab w:val="left" w:pos="1960"/>
      </w:tabs>
    </w:pPr>
  </w:style>
  <w:style w:type="paragraph" w:styleId="102">
    <w:name w:val="List Paragraph"/>
    <w:basedOn w:val="1"/>
    <w:qFormat/>
    <w:uiPriority w:val="34"/>
    <w:pPr>
      <w:ind w:firstLine="420" w:firstLineChars="200"/>
    </w:pPr>
  </w:style>
  <w:style w:type="character" w:customStyle="1" w:styleId="103">
    <w:name w:val="font11"/>
    <w:basedOn w:val="30"/>
    <w:qFormat/>
    <w:uiPriority w:val="0"/>
    <w:rPr>
      <w:rFonts w:hint="default" w:ascii="Times New Roman" w:hAnsi="Times New Roman" w:cs="Times New Roman"/>
      <w:b/>
      <w:bCs/>
      <w:color w:val="000000"/>
      <w:sz w:val="21"/>
      <w:szCs w:val="21"/>
      <w:u w:val="none"/>
    </w:rPr>
  </w:style>
  <w:style w:type="paragraph" w:styleId="104">
    <w:name w:val="No Spacing"/>
    <w:qFormat/>
    <w:uiPriority w:val="0"/>
    <w:rPr>
      <w:rFonts w:ascii="Calibri" w:hAnsi="Calibri" w:eastAsia="宋体" w:cs="Times New Roman"/>
      <w:sz w:val="22"/>
      <w:szCs w:val="22"/>
      <w:lang w:val="en-US" w:eastAsia="zh-CN" w:bidi="ar-SA"/>
    </w:rPr>
  </w:style>
  <w:style w:type="character" w:customStyle="1" w:styleId="105">
    <w:name w:val="font31"/>
    <w:basedOn w:val="30"/>
    <w:qFormat/>
    <w:uiPriority w:val="0"/>
    <w:rPr>
      <w:rFonts w:hint="default" w:ascii="Times New Roman" w:hAnsi="Times New Roman" w:cs="Times New Roman"/>
      <w:b/>
      <w:bCs/>
      <w:color w:val="000000"/>
      <w:sz w:val="21"/>
      <w:szCs w:val="21"/>
      <w:u w:val="none"/>
    </w:rPr>
  </w:style>
  <w:style w:type="paragraph" w:customStyle="1" w:styleId="106">
    <w:name w:val="列表段落1"/>
    <w:basedOn w:val="1"/>
    <w:semiHidden/>
    <w:qFormat/>
    <w:uiPriority w:val="0"/>
    <w:pPr>
      <w:autoSpaceDE w:val="0"/>
      <w:autoSpaceDN w:val="0"/>
      <w:spacing w:before="100" w:beforeAutospacing="1" w:after="100" w:afterAutospacing="1"/>
      <w:ind w:left="1699" w:hanging="613"/>
      <w:jc w:val="left"/>
    </w:pPr>
    <w:rPr>
      <w:rFonts w:ascii="宋体" w:hAnsi="宋体" w:cs="宋体"/>
      <w:kern w:val="0"/>
      <w:sz w:val="22"/>
      <w:szCs w:val="22"/>
    </w:rPr>
  </w:style>
  <w:style w:type="paragraph" w:customStyle="1" w:styleId="107">
    <w:name w:val="【正文】"/>
    <w:basedOn w:val="1"/>
    <w:next w:val="24"/>
    <w:qFormat/>
    <w:uiPriority w:val="0"/>
    <w:pPr>
      <w:spacing w:line="360" w:lineRule="auto"/>
      <w:ind w:firstLine="480" w:firstLineChars="200"/>
    </w:pPr>
    <w:rPr>
      <w:sz w:val="24"/>
    </w:rPr>
  </w:style>
  <w:style w:type="paragraph" w:customStyle="1" w:styleId="108">
    <w:name w:val="【表中文字】"/>
    <w:basedOn w:val="1"/>
    <w:qFormat/>
    <w:uiPriority w:val="0"/>
    <w:pPr>
      <w:jc w:val="center"/>
    </w:pPr>
    <w:rPr>
      <w:szCs w:val="20"/>
    </w:rPr>
  </w:style>
  <w:style w:type="paragraph" w:customStyle="1" w:styleId="109">
    <w:name w:val="表格文字1"/>
    <w:basedOn w:val="1"/>
    <w:qFormat/>
    <w:uiPriority w:val="0"/>
    <w:pPr>
      <w:widowControl/>
      <w:adjustRightInd w:val="0"/>
      <w:jc w:val="center"/>
      <w:textAlignment w:val="baseline"/>
    </w:pPr>
    <w:rPr>
      <w:rFonts w:ascii="宋体" w:hAnsi="宋体"/>
      <w:kern w:val="0"/>
      <w:sz w:val="20"/>
      <w:szCs w:val="21"/>
    </w:rPr>
  </w:style>
  <w:style w:type="paragraph" w:customStyle="1" w:styleId="110">
    <w:name w:val="HJ-表格"/>
    <w:basedOn w:val="1"/>
    <w:qFormat/>
    <w:uiPriority w:val="0"/>
    <w:pPr>
      <w:jc w:val="center"/>
    </w:pPr>
    <w:rPr>
      <w:rFonts w:asciiTheme="minorHAnsi" w:hAnsiTheme="minorHAnsi"/>
      <w:b/>
      <w:sz w:val="18"/>
    </w:rPr>
  </w:style>
  <w:style w:type="paragraph" w:customStyle="1" w:styleId="111">
    <w:name w:val="卓龙正文"/>
    <w:basedOn w:val="1"/>
    <w:qFormat/>
    <w:uiPriority w:val="99"/>
    <w:pPr>
      <w:spacing w:line="360" w:lineRule="auto"/>
      <w:ind w:firstLine="200" w:firstLineChars="200"/>
    </w:pPr>
    <w:rPr>
      <w:sz w:val="24"/>
      <w:szCs w:val="24"/>
    </w:rPr>
  </w:style>
  <w:style w:type="paragraph" w:customStyle="1" w:styleId="112">
    <w:name w:val="标准正文"/>
    <w:basedOn w:val="1"/>
    <w:qFormat/>
    <w:uiPriority w:val="0"/>
    <w:pPr>
      <w:ind w:firstLine="200" w:firstLineChars="200"/>
    </w:pPr>
    <w:rPr>
      <w:sz w:val="28"/>
      <w:szCs w:val="28"/>
    </w:rPr>
  </w:style>
  <w:style w:type="paragraph" w:customStyle="1" w:styleId="113">
    <w:name w:val="4正文"/>
    <w:basedOn w:val="1"/>
    <w:qFormat/>
    <w:uiPriority w:val="0"/>
    <w:pPr>
      <w:spacing w:line="360" w:lineRule="auto"/>
      <w:ind w:firstLine="480" w:firstLineChars="200"/>
    </w:pPr>
    <w:rPr>
      <w:rFonts w:cs="宋体"/>
      <w:sz w:val="24"/>
      <w:szCs w:val="20"/>
    </w:rPr>
  </w:style>
  <w:style w:type="paragraph" w:customStyle="1" w:styleId="114">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115">
    <w:name w:val="y正文"/>
    <w:qFormat/>
    <w:uiPriority w:val="0"/>
    <w:pPr>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116">
    <w:name w:val="段落"/>
    <w:basedOn w:val="1"/>
    <w:qFormat/>
    <w:uiPriority w:val="0"/>
    <w:pPr>
      <w:tabs>
        <w:tab w:val="left" w:pos="1021"/>
      </w:tabs>
      <w:jc w:val="center"/>
    </w:pPr>
    <w:rPr>
      <w:rFonts w:ascii="Times New Roman" w:hAnsi="Times New Roman"/>
      <w:bCs/>
      <w:color w:val="000000"/>
      <w:kern w:val="24"/>
      <w:sz w:val="24"/>
      <w:szCs w:val="24"/>
    </w:rPr>
  </w:style>
  <w:style w:type="paragraph" w:customStyle="1" w:styleId="117">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30090</Words>
  <Characters>35058</Characters>
  <Lines>222</Lines>
  <Paragraphs>62</Paragraphs>
  <TotalTime>3</TotalTime>
  <ScaleCrop>false</ScaleCrop>
  <LinksUpToDate>false</LinksUpToDate>
  <CharactersWithSpaces>35348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2022-11-10T03:11:00Z</dcterms:created>
  <dc:creator>蒋大民</dc:creator>
  <cp:lastModifiedBy>L。</cp:lastModifiedBy>
  <cp:lastPrinted>2023-05-31T04:36:00Z</cp:lastPrinted>
  <dcterms:modified xsi:type="dcterms:W3CDTF">2023-08-21T04:24:43Z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9A1056DA213740E6B79EE644A6034FCB_13</vt:lpwstr>
  </property>
</Properties>
</file>