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澧县水利局重大执法决定法制审核事项清单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60"/>
        <w:gridCol w:w="1560"/>
        <w:gridCol w:w="4930"/>
        <w:gridCol w:w="720"/>
        <w:gridCol w:w="1080"/>
        <w:gridCol w:w="362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662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执法项目类别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审核的具体执法决定项目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法制审核范围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提交部门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应提交的审核材料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审核重点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0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行政许可类决定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取水许可审批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1.年取水量 490万立方米以上的:2.年取地热评估机构出具的备执法资格，适用法律、注规、规章是否准水水量在9万立方米以上的:3.年取矿泉水量政务服务中心意见书;拟作出确，程序、期限是否合法，是否有超越本机关7个工作在0.9万立方米以上的许可;4.拟作出不予许 水利局窗口决定的意见决职权范围或滥用职权的情形:行政许可文书是可的事项;5.其他应予法制审核的事项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水利基建项目初步设计文件审批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1、跨县(市、区》或可院引发县际边界水事纠纷的事项;2,拟作出不予许可的事项:3其他应予法制审核的事项。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水工程建设规划同意书审核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1、拟作出不子许可的事项;2、其他应子法制审核的事项。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蓄滞洪区避洪设施建设审批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1、拟作出不予许可的事项；2、其他应予法制审核的事项。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0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占用农业灌溉水源、灌排工程设施审批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1、拟作出不予许可的事项；2、其他应予法制审核的事项。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河道管理范围建设项目审批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1、拟作出不予许可的事项；2、其他应予法制审核的事项。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河道采砂审批及在河道管理范围内从事弃置砂石、淤泥、爆破、挖掘鱼塘、在河道滩地存放物料、修建厂房或者其他建筑设施、开采地下资源及进行考古发掘批准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1、拟作出不予许可的事项；2、其他应予法制审核的事项。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在蓄洪区、滞洪区内建设非防洪建设项目洪水影响评价书审批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1、拟作出不予许可的事项；2、其他应予法制审核的事项。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开发建设项目水土保持法方案、设施验收审批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1、跨县《市、区)的公路、铁路、水利工程项目:2.路天矿山项目;3,拟作出不子许可的事睡验收审批项，4.其他应于法制审核的事项。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建设项目水资源论证报告书审批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1、年取水量490万立方米以上的:2、年取地热水水量在9 万立方米以上的:3、年取矿泉水量在0.9万立方米以上的许可4、拟作出不予许可的事项，5、其他应予法制审核的事项。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政务服务中心水利局窗口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申请书;论证或评估机构出具的意见书；拟作出决定的意见决定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许可主体是否合法，行政许可人员是否具备执法资格，适用法律、法规、规章是否准确，程序、期限是否合法，是否有超越本机关职权范围或滥用职权的情形:行政许可文书是否规范、齐备:其他应当审核的内容。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60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行政处罚类决定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违反水工程建设规划管理的处罚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违反水资源管理的处罚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违反河道（包括湖泊）管理（包括采砂）规定的处罚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违反水工程管理规定的处罚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违反招标投标管理规定的处罚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违反水利工程验收管理规定的处罚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违反水利工程质量监督、检测管理规定的处罚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违反水土保持管理规定的处罚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违反防汛抗旱管理规定的处罚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违反水能资源开发利用管理规定的处罚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1、对公民拟出以1万元以上的罚款；对法人或其他组织处10万元以上罚款的；2、吊销许可证的；3、没收非法所得或者没收欧非法财物相当于第一款规定的数额；4、当事人提出听证、复议、诉讼的。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违反水文管理条例规定的处罚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1、罚款5万元以上的；2、吊销许可证的；3、没收非法所得5万元以上的；4、当事人提出听证、复议、诉讼的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6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行政强制类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组织拆除或者对逾期不拆除或者不封闭的取水工程或者设施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1、当事人提出意义的；2、当事人提出听证的；3、可能发生突发事件的；4、当事人提出诉讼、复议的。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组织封闭城市公共供水水管网覆盖范围内未按照要求封闭的取水井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1、当事人提出意义的；2、当事人提出听证的；3、可能发生突发事件的；4、当事人提出诉讼、复议的。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水保收费滞纳金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1、当事人提出意义的；2、当事人提出听证的；3、可能发生突发事件的；4、当事人提出诉讼、复议的。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水保项目代履行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1、当事人提出意义的；2、当事人提出听证的；3、可能发生突发事件的；4、当事人提出诉讼、复议的。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水政监察大队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违反事实的证据、查处情况说明、当事人基本情况、集体研究记录、拟作出的处罚决定。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机关执法主体是否合法、行政执法人员是否具备执法资格、主要事实是否清楚、证据是否确凿、充分，运用法律、法规、规章是否准确，执行裁量基准是否适当、程序是否合法、是否由超越本机关职权范围或者滥用职权情形，行政执法文书是否规范齐备，违法行为是否涉嫌犯罪需要移送司法机关，其他应当审查的内容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60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行政征求类决定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水土保持费征收</w:t>
            </w:r>
          </w:p>
        </w:tc>
        <w:tc>
          <w:tcPr>
            <w:tcW w:w="493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1、当事人提出异议的；2、缓减免征收数额的。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水资源与水土保持股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征收依据、拟征收的数额和标准、征收期限。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行政征收机关主体是否合法，行政执法人员是否具备执法登格:是否有湘适本机关职权范围或温用职权的情形:是否按照标准征敬。是出具合法界据。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水能资源开发有偿使用费征收</w:t>
            </w:r>
          </w:p>
        </w:tc>
        <w:tc>
          <w:tcPr>
            <w:tcW w:w="4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1、当事人提出异议的；2、缓减免征收数额的。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水资源与水土保持股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征收依据、拟征收的数额和标准、征收期限。</w:t>
            </w:r>
          </w:p>
        </w:tc>
        <w:tc>
          <w:tcPr>
            <w:tcW w:w="3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行政征收机关主体是否合法，行政执法人员是否具备执法登格:是否有湘适本机关职权范围或温用职权的情形:是否按照标准征敬。是出具合法界据。</w:t>
            </w:r>
          </w:p>
        </w:tc>
        <w:tc>
          <w:tcPr>
            <w:tcW w:w="8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7个工作日</w:t>
            </w: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2EzZjQ3YTNhODJiYzcxNmFkYTEzOTgzNjFlNDcifQ=="/>
  </w:docVars>
  <w:rsids>
    <w:rsidRoot w:val="2DE87572"/>
    <w:rsid w:val="2DE87572"/>
    <w:rsid w:val="31740699"/>
    <w:rsid w:val="6A0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6407</Words>
  <Characters>6454</Characters>
  <Lines>0</Lines>
  <Paragraphs>0</Paragraphs>
  <TotalTime>0</TotalTime>
  <ScaleCrop>false</ScaleCrop>
  <LinksUpToDate>false</LinksUpToDate>
  <CharactersWithSpaces>6457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2022-12-19T01:15:00Z</dcterms:created>
  <dc:creator>五月天</dc:creator>
  <cp:lastModifiedBy>五月天</cp:lastModifiedBy>
  <cp:lastPrinted>2022-12-22T00:30:10Z</cp:lastPrinted>
  <dcterms:modified xsi:type="dcterms:W3CDTF">2022-12-22T00:30:17Z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AB71B4A6DC4B42139B80B5BDB03C3BA2</vt:lpwstr>
  </property>
</Properties>
</file>