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20" w:lineRule="atLeast"/>
        <w:ind w:right="0"/>
        <w:jc w:val="center"/>
        <w:rPr>
          <w:rFonts w:hint="eastAsia" w:ascii="方正小标宋简体" w:hAnsi="方正小标宋简体" w:eastAsia="方正小标宋简体" w:cs="方正小标宋简体"/>
          <w:i w:val="0"/>
          <w:iCs w:val="0"/>
          <w:caps w:val="0"/>
          <w:color w:val="555555"/>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澧县</w:t>
      </w:r>
      <w:r>
        <w:rPr>
          <w:rFonts w:hint="eastAsia" w:ascii="方正小标宋简体" w:hAnsi="方正小标宋简体" w:eastAsia="方正小标宋简体" w:cs="方正小标宋简体"/>
          <w:i w:val="0"/>
          <w:iCs w:val="0"/>
          <w:caps w:val="0"/>
          <w:color w:val="333333"/>
          <w:spacing w:val="0"/>
          <w:sz w:val="44"/>
          <w:szCs w:val="44"/>
          <w:shd w:val="clear" w:fill="FFFFFF"/>
        </w:rPr>
        <w:t>审计局重大执法决定法制审核事项清单</w:t>
      </w:r>
      <w:r>
        <w:rPr>
          <w:rFonts w:hint="eastAsia" w:ascii="方正小标宋简体" w:hAnsi="方正小标宋简体" w:eastAsia="方正小标宋简体" w:cs="方正小标宋简体"/>
          <w:i w:val="0"/>
          <w:iCs w:val="0"/>
          <w:caps w:val="0"/>
          <w:color w:val="555555"/>
          <w:spacing w:val="0"/>
          <w:kern w:val="0"/>
          <w:sz w:val="44"/>
          <w:szCs w:val="44"/>
          <w:shd w:val="clear" w:fill="FFFFFF"/>
          <w:lang w:val="en-US" w:eastAsia="zh-CN" w:bidi="ar"/>
        </w:rPr>
        <w:t> </w:t>
      </w:r>
    </w:p>
    <w:tbl>
      <w:tblPr>
        <w:tblStyle w:val="3"/>
        <w:tblW w:w="920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8"/>
        <w:gridCol w:w="768"/>
        <w:gridCol w:w="4340"/>
        <w:gridCol w:w="247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4" w:hRule="atLeast"/>
        </w:trPr>
        <w:tc>
          <w:tcPr>
            <w:tcW w:w="57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序号</w:t>
            </w:r>
          </w:p>
        </w:tc>
        <w:tc>
          <w:tcPr>
            <w:tcW w:w="76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类别</w:t>
            </w:r>
          </w:p>
        </w:tc>
        <w:tc>
          <w:tcPr>
            <w:tcW w:w="434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重大行政执法决定</w:t>
            </w:r>
            <w:bookmarkStart w:id="0" w:name="_GoBack"/>
            <w:bookmarkEnd w:id="0"/>
          </w:p>
        </w:tc>
        <w:tc>
          <w:tcPr>
            <w:tcW w:w="247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审核内容</w:t>
            </w:r>
          </w:p>
        </w:tc>
        <w:tc>
          <w:tcPr>
            <w:tcW w:w="105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1</w:t>
            </w:r>
          </w:p>
        </w:tc>
        <w:tc>
          <w:tcPr>
            <w:tcW w:w="76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行政处罚</w:t>
            </w: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对拒绝、拖延提供与审计事项有关的资料，或者提供的资料不真实、不完整，或者拒绝、阻碍检查的处罚</w:t>
            </w:r>
          </w:p>
        </w:tc>
        <w:tc>
          <w:tcPr>
            <w:tcW w:w="2470" w:type="dxa"/>
            <w:vMerge w:val="restart"/>
            <w:tcBorders>
              <w:top w:val="nil"/>
              <w:left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审理机构主要审核下列内容：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（一）是否超越本机关执法权限；</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（二）主要事实是否清楚、相关证据是否适当、充分；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（三）适用法律法规和标准是否适当；</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（四）评价、定性、处理处罚意见是否恰当；</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（五）行政自由裁量权行使是否适当；</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（六）审计程序是否符合规定；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（七）法律文书制作是否规范；</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（八）其他依法应当审核的内容。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审核过程中遇有复杂问题的，经审计机关负责人同意后，审理机构可以组织专家进行论证。</w:t>
            </w: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2</w:t>
            </w:r>
          </w:p>
        </w:tc>
        <w:tc>
          <w:tcPr>
            <w:tcW w:w="76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对违反国家规定的财政财务收支行为的处罚</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3</w:t>
            </w:r>
          </w:p>
        </w:tc>
        <w:tc>
          <w:tcPr>
            <w:tcW w:w="76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行政强制</w:t>
            </w: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制止封存权</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4</w:t>
            </w:r>
          </w:p>
        </w:tc>
        <w:tc>
          <w:tcPr>
            <w:tcW w:w="76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暂停拨付与使用权</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6"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5</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审计</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处理</w:t>
            </w: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（一）责令限期缴纳应当上缴的款项；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（二）责令限期退还被侵占的国有资产；</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（三）责令限期退还违法所得；</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（四）责令按照国家统一的会计制度的有关规定进行处理；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（五）其他需下达审计决定的处理措施。</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6</w:t>
            </w:r>
          </w:p>
        </w:tc>
        <w:tc>
          <w:tcPr>
            <w:tcW w:w="7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审计</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监督</w:t>
            </w: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拟作出审计移送处理决定</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7</w:t>
            </w:r>
          </w:p>
        </w:tc>
        <w:tc>
          <w:tcPr>
            <w:tcW w:w="76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其他</w:t>
            </w: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拟作出的其他重大、复杂、疑难处理处罚决定。</w:t>
            </w:r>
          </w:p>
        </w:tc>
        <w:tc>
          <w:tcPr>
            <w:tcW w:w="2470" w:type="dxa"/>
            <w:vMerge w:val="continue"/>
            <w:tcBorders>
              <w:left w:val="nil"/>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7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center"/>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8</w:t>
            </w:r>
          </w:p>
        </w:tc>
        <w:tc>
          <w:tcPr>
            <w:tcW w:w="76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43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textAlignment w:val="center"/>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000000"/>
                <w:spacing w:val="0"/>
                <w:kern w:val="0"/>
                <w:sz w:val="24"/>
                <w:szCs w:val="24"/>
                <w:lang w:val="en-US" w:eastAsia="zh-CN" w:bidi="ar"/>
              </w:rPr>
              <w:t>法律、法规、规章和上级行政机关规定应当进行法制审核的其他重大行政执法决定。</w:t>
            </w:r>
          </w:p>
        </w:tc>
        <w:tc>
          <w:tcPr>
            <w:tcW w:w="2470" w:type="dxa"/>
            <w:vMerge w:val="continue"/>
            <w:tcBorders>
              <w:left w:val="nil"/>
              <w:bottom w:val="single" w:color="000000" w:sz="8" w:space="0"/>
              <w:right w:val="single" w:color="000000"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555555"/>
                <w:spacing w:val="0"/>
                <w:sz w:val="16"/>
                <w:szCs w:val="16"/>
              </w:rPr>
            </w:pPr>
          </w:p>
        </w:tc>
        <w:tc>
          <w:tcPr>
            <w:tcW w:w="10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0"/>
              <w:jc w:val="left"/>
              <w:rPr>
                <w:rFonts w:hint="eastAsia" w:ascii="微软雅黑" w:hAnsi="微软雅黑" w:eastAsia="微软雅黑" w:cs="微软雅黑"/>
                <w:i w:val="0"/>
                <w:iCs w:val="0"/>
                <w:caps w:val="0"/>
                <w:color w:val="555555"/>
                <w:spacing w:val="0"/>
                <w:sz w:val="16"/>
                <w:szCs w:val="16"/>
              </w:rPr>
            </w:pPr>
            <w:r>
              <w:rPr>
                <w:rFonts w:hint="eastAsia" w:ascii="微软雅黑" w:hAnsi="微软雅黑" w:eastAsia="微软雅黑" w:cs="微软雅黑"/>
                <w:i w:val="0"/>
                <w:iCs w:val="0"/>
                <w:caps w:val="0"/>
                <w:color w:val="555555"/>
                <w:spacing w:val="0"/>
                <w:kern w:val="0"/>
                <w:sz w:val="16"/>
                <w:szCs w:val="16"/>
                <w:lang w:val="en-US" w:eastAsia="zh-CN" w:bidi="ar"/>
              </w:rPr>
              <w:t> </w:t>
            </w:r>
          </w:p>
        </w:tc>
      </w:tr>
    </w:tbl>
    <w:p/>
    <w:sectPr>
      <w:pgSz w:w="11906" w:h="16838"/>
      <w:pgMar w:top="170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WNlZDYxNmQ3YzJjYmI3YjYxODhhZGNhNjVmMTQifQ=="/>
  </w:docVars>
  <w:rsids>
    <w:rsidRoot w:val="4DDD5B70"/>
    <w:rsid w:val="155B0548"/>
    <w:rsid w:val="2E24364C"/>
    <w:rsid w:val="4DDD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2022-11-28T07:30:00Z</dcterms:created>
  <dc:creator>fazhi</dc:creator>
  <cp:lastModifiedBy>蜗牛小九</cp:lastModifiedBy>
  <dcterms:modified xsi:type="dcterms:W3CDTF">2024-01-03T08:47:44Z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8A366DB62800412FB9563578868084FA_13</vt:lpwstr>
  </property>
</Properties>
</file>