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zh-CN"/>
        </w:rPr>
      </w:pPr>
      <w:bookmarkStart w:id="0" w:name="_Toc451499552"/>
      <w:bookmarkStart w:id="1" w:name="_Toc289344509"/>
      <w:bookmarkStart w:id="2" w:name="_Toc451499683"/>
    </w:p>
    <w:p>
      <w:pPr>
        <w:spacing w:before="62"/>
        <w:ind w:firstLine="720"/>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221615</wp:posOffset>
                </wp:positionH>
                <wp:positionV relativeFrom="paragraph">
                  <wp:posOffset>31750</wp:posOffset>
                </wp:positionV>
                <wp:extent cx="1181100" cy="421005"/>
                <wp:effectExtent l="0" t="0" r="0" b="0"/>
                <wp:wrapNone/>
                <wp:docPr id="360"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1181100" cy="421005"/>
                        </a:xfrm>
                        <a:prstGeom prst="rect">
                          <a:avLst/>
                        </a:prstGeom>
                        <a:noFill/>
                        <a:ln>
                          <a:noFill/>
                        </a:ln>
                      </wps:spPr>
                      <wps:txbx>
                        <w:txbxContent>
                          <w:p>
                            <w:pPr>
                              <w:spacing w:before="62"/>
                              <w:ind w:firstLine="0" w:firstLineChars="0"/>
                              <w:rPr>
                                <w:b/>
                              </w:rPr>
                            </w:pPr>
                            <w:r>
                              <w:rPr>
                                <w:rFonts w:hint="eastAsia"/>
                                <w:b/>
                              </w:rPr>
                              <w:t>湖南景</w:t>
                            </w:r>
                            <w:r>
                              <w:rPr>
                                <w:rFonts w:hint="eastAsia"/>
                                <w:b/>
                                <w:lang w:eastAsia="zh-CN"/>
                              </w:rPr>
                              <w:t>玺</w:t>
                            </w:r>
                            <w:r>
                              <w:rPr>
                                <w:rFonts w:hint="eastAsia"/>
                                <w:b/>
                              </w:rPr>
                              <w:t>环保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45pt;margin-top:2.5pt;height:33.15pt;width:93pt;z-index:251669504;mso-width-relative:page;mso-height-relative:page;" filled="f" stroked="f" coordsize="21600,21600" o:gfxdata="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NSl81AAAAAcBAAAPAAAAAAAA&#10;AAEAIAAAACIAAABkcnMvZG93bnJldi54bWxQSwECFAAUAAAACACHTuJAptTg9xYCAAAZBAAADgAA&#10;AAAAAAABACAAAAAjAQAAZHJzL2Uyb0RvYy54bWxQSwUGAAAAAAYABgBZAQAAqwUAAAAA&#10;">
                <v:fill on="f" focussize="0,0"/>
                <v:stroke on="f"/>
                <v:imagedata o:title=""/>
                <o:lock v:ext="edit" aspectratio="f"/>
                <v:textbox>
                  <w:txbxContent>
                    <w:p>
                      <w:pPr>
                        <w:spacing w:before="62"/>
                        <w:ind w:firstLine="0" w:firstLineChars="0"/>
                        <w:rPr>
                          <w:b/>
                        </w:rPr>
                      </w:pPr>
                      <w:r>
                        <w:rPr>
                          <w:rFonts w:hint="eastAsia"/>
                          <w:b/>
                        </w:rPr>
                        <w:t>湖南景</w:t>
                      </w:r>
                      <w:r>
                        <w:rPr>
                          <w:rFonts w:hint="eastAsia"/>
                          <w:b/>
                          <w:lang w:eastAsia="zh-CN"/>
                        </w:rPr>
                        <w:t>玺</w:t>
                      </w:r>
                      <w:r>
                        <w:rPr>
                          <w:rFonts w:hint="eastAsia"/>
                          <w:b/>
                        </w:rPr>
                        <w:t>环保</w:t>
                      </w:r>
                    </w:p>
                  </w:txbxContent>
                </v:textbox>
              </v:shape>
            </w:pict>
          </mc:Fallback>
        </mc:AlternateContent>
      </w:r>
    </w:p>
    <w:p>
      <w:pPr>
        <w:spacing w:before="62" w:beforeAutospacing="0" w:after="0" w:afterAutospacing="0"/>
        <w:ind w:firstLine="315"/>
        <w:rPr>
          <w:rFonts w:hint="default" w:ascii="Times New Roman" w:hAnsi="Times New Roman" w:cs="Times New Roman"/>
          <w:color w:val="000000"/>
        </w:rPr>
      </w:pPr>
      <w:r>
        <w:rPr>
          <w:rFonts w:hint="default" w:ascii="Times New Roman" w:hAnsi="Times New Roman" w:cs="Times New Roman"/>
        </w:rPr>
        <w:drawing>
          <wp:anchor distT="0" distB="0" distL="114300" distR="114300" simplePos="0" relativeHeight="251668480" behindDoc="0" locked="0" layoutInCell="1" allowOverlap="1">
            <wp:simplePos x="0" y="0"/>
            <wp:positionH relativeFrom="column">
              <wp:posOffset>104775</wp:posOffset>
            </wp:positionH>
            <wp:positionV relativeFrom="paragraph">
              <wp:posOffset>88265</wp:posOffset>
            </wp:positionV>
            <wp:extent cx="1495425" cy="38100"/>
            <wp:effectExtent l="0" t="0" r="9525" b="0"/>
            <wp:wrapNone/>
            <wp:docPr id="362" name="图片 362" descr="说明: 说明: C:\DOCUME~1\ADMINI~1\LOCALS~1\Temp\ksohtml\wps_clip_image-4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说明: 说明: C:\DOCUME~1\ADMINI~1\LOCALS~1\Temp\ksohtml\wps_clip_image-4427.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a:xfrm>
                      <a:off x="0" y="0"/>
                      <a:ext cx="1495425" cy="3810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cs="Times New Roman"/>
          <w:b/>
          <w:bCs/>
          <w:color w:val="000000"/>
        </w:rPr>
      </w:pPr>
      <w:r>
        <w:rPr>
          <w:rFonts w:hint="default" w:ascii="Times New Roman" w:hAnsi="Times New Roman" w:cs="Times New Roman"/>
          <w:b/>
          <w:bCs/>
          <w:color w:val="000000"/>
        </w:rPr>
        <w:t xml:space="preserve">Hunan Jingxi Environmental Protection </w:t>
      </w:r>
    </w:p>
    <w:p>
      <w:pPr>
        <w:keepNext w:val="0"/>
        <w:keepLines w:val="0"/>
        <w:pageBreakBefore w:val="0"/>
        <w:widowControl/>
        <w:kinsoku/>
        <w:wordWrap/>
        <w:overflowPunct/>
        <w:topLinePunct w:val="0"/>
        <w:autoSpaceDE/>
        <w:autoSpaceDN/>
        <w:bidi w:val="0"/>
        <w:adjustRightInd/>
        <w:snapToGrid/>
        <w:spacing w:before="0" w:beforeAutospacing="0" w:afterAutospacing="0" w:line="240" w:lineRule="auto"/>
        <w:textAlignment w:val="auto"/>
        <w:rPr>
          <w:rFonts w:hint="default" w:ascii="Times New Roman" w:hAnsi="Times New Roman" w:cs="Times New Roman"/>
        </w:rPr>
      </w:pPr>
      <w:r>
        <w:rPr>
          <w:rFonts w:hint="default" w:ascii="Times New Roman" w:hAnsi="Times New Roman" w:cs="Times New Roman"/>
          <w:b/>
          <w:bCs/>
          <w:color w:val="000000"/>
        </w:rPr>
        <w:t>Science ＆ Technology CO., LTD.</w:t>
      </w:r>
    </w:p>
    <w:p>
      <w:pPr>
        <w:spacing w:before="62" w:line="480" w:lineRule="auto"/>
        <w:ind w:firstLine="720"/>
        <w:jc w:val="center"/>
        <w:outlineLvl w:val="0"/>
        <w:rPr>
          <w:rFonts w:hint="default" w:ascii="Times New Roman" w:hAnsi="Times New Roman" w:eastAsia="黑体" w:cs="Times New Roman"/>
          <w:bCs/>
          <w:sz w:val="36"/>
          <w:szCs w:val="36"/>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spacing w:before="312" w:beforeLines="100" w:after="312" w:afterLines="100" w:line="240" w:lineRule="auto"/>
        <w:ind w:firstLine="0" w:firstLineChars="0"/>
        <w:jc w:val="center"/>
        <w:rPr>
          <w:rFonts w:hint="eastAsia" w:eastAsia="宋体" w:cs="Times New Roman"/>
          <w:b/>
          <w:sz w:val="52"/>
          <w:szCs w:val="52"/>
          <w:lang w:eastAsia="zh-CN"/>
        </w:rPr>
      </w:pPr>
      <w:r>
        <w:rPr>
          <w:rFonts w:hint="eastAsia" w:eastAsia="宋体" w:cs="Times New Roman"/>
          <w:b/>
          <w:sz w:val="52"/>
          <w:szCs w:val="52"/>
          <w:lang w:eastAsia="zh-CN"/>
        </w:rPr>
        <w:t>大梁农业天子山种猪繁育基地</w:t>
      </w:r>
    </w:p>
    <w:p>
      <w:pPr>
        <w:spacing w:before="312" w:beforeLines="100" w:after="312" w:afterLines="100" w:line="240" w:lineRule="auto"/>
        <w:ind w:firstLine="0" w:firstLineChars="0"/>
        <w:jc w:val="center"/>
        <w:rPr>
          <w:rFonts w:hint="eastAsia" w:ascii="Times New Roman" w:hAnsi="Times New Roman" w:eastAsia="宋体" w:cs="Times New Roman"/>
          <w:b/>
          <w:sz w:val="52"/>
          <w:szCs w:val="52"/>
          <w:lang w:eastAsia="zh-CN"/>
        </w:rPr>
      </w:pPr>
      <w:r>
        <w:rPr>
          <w:rFonts w:hint="eastAsia" w:eastAsia="宋体" w:cs="Times New Roman"/>
          <w:b/>
          <w:sz w:val="52"/>
          <w:szCs w:val="52"/>
          <w:lang w:eastAsia="zh-CN"/>
        </w:rPr>
        <w:t>建设项目</w:t>
      </w:r>
    </w:p>
    <w:p>
      <w:pPr>
        <w:spacing w:before="312" w:beforeLines="100" w:after="312" w:afterLines="100" w:line="240" w:lineRule="auto"/>
        <w:ind w:firstLine="0" w:firstLineChars="0"/>
        <w:jc w:val="center"/>
        <w:rPr>
          <w:rFonts w:hint="default" w:ascii="Times New Roman" w:hAnsi="Times New Roman" w:eastAsia="黑体" w:cs="Times New Roman"/>
          <w:b/>
          <w:spacing w:val="52"/>
          <w:sz w:val="52"/>
          <w:szCs w:val="52"/>
        </w:rPr>
      </w:pPr>
      <w:r>
        <w:rPr>
          <w:rFonts w:hint="default" w:ascii="Times New Roman" w:hAnsi="Times New Roman" w:eastAsia="宋体" w:cs="Times New Roman"/>
          <w:b/>
          <w:sz w:val="52"/>
          <w:szCs w:val="52"/>
        </w:rPr>
        <w:t>环境影响报告书</w:t>
      </w:r>
    </w:p>
    <w:p>
      <w:pPr>
        <w:spacing w:before="62" w:line="360" w:lineRule="auto"/>
        <w:ind w:firstLine="600"/>
        <w:rPr>
          <w:rFonts w:hint="default" w:ascii="Times New Roman" w:hAnsi="Times New Roman" w:eastAsia="隶书" w:cs="Times New Roman"/>
          <w:sz w:val="30"/>
        </w:rPr>
      </w:pPr>
    </w:p>
    <w:p>
      <w:pPr>
        <w:spacing w:before="62" w:line="360" w:lineRule="auto"/>
        <w:ind w:firstLine="600"/>
        <w:rPr>
          <w:rFonts w:hint="default" w:ascii="Times New Roman" w:hAnsi="Times New Roman" w:eastAsia="隶书" w:cs="Times New Roman"/>
          <w:sz w:val="30"/>
        </w:rPr>
      </w:pPr>
    </w:p>
    <w:p>
      <w:pPr>
        <w:spacing w:before="62" w:line="360" w:lineRule="auto"/>
        <w:ind w:firstLine="600"/>
        <w:rPr>
          <w:rFonts w:hint="default" w:ascii="Times New Roman" w:hAnsi="Times New Roman" w:eastAsia="隶书" w:cs="Times New Roman"/>
          <w:sz w:val="30"/>
        </w:rPr>
      </w:pPr>
    </w:p>
    <w:p>
      <w:pPr>
        <w:spacing w:before="62" w:line="360" w:lineRule="auto"/>
        <w:ind w:firstLine="600"/>
        <w:rPr>
          <w:rFonts w:hint="default" w:ascii="Times New Roman" w:hAnsi="Times New Roman" w:eastAsia="隶书" w:cs="Times New Roman"/>
          <w:sz w:val="30"/>
        </w:rPr>
      </w:pPr>
    </w:p>
    <w:p>
      <w:pPr>
        <w:spacing w:before="62" w:line="360" w:lineRule="auto"/>
        <w:ind w:firstLine="600"/>
        <w:rPr>
          <w:rFonts w:hint="default" w:ascii="Times New Roman" w:hAnsi="Times New Roman" w:eastAsia="隶书" w:cs="Times New Roman"/>
          <w:sz w:val="30"/>
        </w:rPr>
      </w:pPr>
    </w:p>
    <w:p>
      <w:pPr>
        <w:spacing w:before="62" w:line="360" w:lineRule="auto"/>
        <w:ind w:firstLine="600"/>
        <w:rPr>
          <w:rFonts w:hint="default" w:ascii="Times New Roman" w:hAnsi="Times New Roman" w:eastAsia="隶书" w:cs="Times New Roman"/>
          <w:sz w:val="30"/>
        </w:rPr>
      </w:pPr>
    </w:p>
    <w:p>
      <w:pPr>
        <w:spacing w:line="276" w:lineRule="auto"/>
        <w:ind w:firstLine="1446" w:firstLineChars="450"/>
        <w:rPr>
          <w:rFonts w:hint="default" w:ascii="Times New Roman" w:hAnsi="Times New Roman" w:cs="Times New Roman" w:eastAsiaTheme="minorEastAsia"/>
          <w:b/>
          <w:bCs/>
          <w:sz w:val="32"/>
          <w:szCs w:val="32"/>
        </w:rPr>
      </w:pPr>
    </w:p>
    <w:p>
      <w:pPr>
        <w:rPr>
          <w:rFonts w:hint="default" w:ascii="Times New Roman" w:hAnsi="Times New Roman" w:cs="Times New Roman"/>
        </w:rPr>
      </w:pPr>
    </w:p>
    <w:p>
      <w:pPr>
        <w:rPr>
          <w:rFonts w:hint="default" w:ascii="Times New Roman" w:hAnsi="Times New Roman" w:cs="Times New Roman"/>
        </w:rPr>
      </w:pPr>
    </w:p>
    <w:p>
      <w:pPr>
        <w:spacing w:line="360" w:lineRule="auto"/>
        <w:ind w:firstLine="1355" w:firstLineChars="450"/>
        <w:rPr>
          <w:rFonts w:hint="default" w:ascii="Times New Roman" w:hAnsi="Times New Roman" w:cs="Times New Roman" w:eastAsiaTheme="minorEastAsia"/>
          <w:b/>
          <w:bCs/>
          <w:sz w:val="30"/>
          <w:szCs w:val="30"/>
        </w:rPr>
      </w:pPr>
      <w:r>
        <w:rPr>
          <w:rFonts w:hint="default" w:ascii="Times New Roman" w:hAnsi="Times New Roman" w:cs="Times New Roman" w:eastAsiaTheme="minorEastAsia"/>
          <w:b/>
          <w:bCs/>
          <w:sz w:val="30"/>
          <w:szCs w:val="30"/>
        </w:rPr>
        <w:t>编制单位：湖南景</w:t>
      </w:r>
      <w:r>
        <w:rPr>
          <w:rFonts w:hint="eastAsia" w:cs="Times New Roman"/>
          <w:b/>
          <w:bCs/>
          <w:sz w:val="30"/>
          <w:szCs w:val="30"/>
          <w:lang w:eastAsia="zh-CN"/>
        </w:rPr>
        <w:t>玺</w:t>
      </w:r>
      <w:r>
        <w:rPr>
          <w:rFonts w:hint="default" w:ascii="Times New Roman" w:hAnsi="Times New Roman" w:cs="Times New Roman" w:eastAsiaTheme="minorEastAsia"/>
          <w:b/>
          <w:bCs/>
          <w:sz w:val="30"/>
          <w:szCs w:val="30"/>
        </w:rPr>
        <w:t>环保科技有限公司</w:t>
      </w:r>
      <w:bookmarkStart w:id="3" w:name="_Toc454025349"/>
      <w:bookmarkStart w:id="4" w:name="_Toc454520502"/>
      <w:bookmarkStart w:id="5" w:name="_Toc458619165"/>
    </w:p>
    <w:p>
      <w:pPr>
        <w:spacing w:line="360" w:lineRule="auto"/>
        <w:ind w:firstLine="1355" w:firstLineChars="450"/>
        <w:rPr>
          <w:rFonts w:hint="default" w:ascii="Times New Roman" w:hAnsi="Times New Roman" w:cs="Times New Roman" w:eastAsiaTheme="minorEastAsia"/>
          <w:b/>
          <w:bCs/>
          <w:sz w:val="30"/>
          <w:szCs w:val="30"/>
        </w:rPr>
      </w:pPr>
      <w:r>
        <w:rPr>
          <w:rFonts w:hint="default" w:ascii="Times New Roman" w:hAnsi="Times New Roman" w:cs="Times New Roman" w:eastAsiaTheme="minorEastAsia"/>
          <w:b/>
          <w:bCs/>
          <w:sz w:val="30"/>
          <w:szCs w:val="30"/>
        </w:rPr>
        <w:t>建设单位：</w:t>
      </w:r>
      <w:bookmarkEnd w:id="3"/>
      <w:bookmarkEnd w:id="4"/>
      <w:bookmarkEnd w:id="5"/>
      <w:r>
        <w:rPr>
          <w:rFonts w:hint="eastAsia" w:cs="Times New Roman"/>
          <w:b/>
          <w:bCs/>
          <w:sz w:val="30"/>
          <w:szCs w:val="30"/>
          <w:lang w:val="en-US" w:eastAsia="zh-CN"/>
        </w:rPr>
        <w:t>澧县大梁农业发展有限公司</w:t>
      </w:r>
    </w:p>
    <w:p>
      <w:pPr>
        <w:spacing w:line="360" w:lineRule="auto"/>
        <w:ind w:firstLine="640"/>
        <w:jc w:val="center"/>
        <w:rPr>
          <w:rFonts w:hint="default" w:ascii="Times New Roman" w:hAnsi="Times New Roman" w:cs="Times New Roman" w:eastAsiaTheme="minorEastAsia"/>
          <w:b/>
          <w:bCs/>
          <w:sz w:val="30"/>
          <w:szCs w:val="30"/>
        </w:rPr>
      </w:pPr>
      <w:r>
        <w:rPr>
          <w:rFonts w:hint="default" w:ascii="Times New Roman" w:hAnsi="Times New Roman" w:cs="Times New Roman" w:eastAsiaTheme="minorEastAsia"/>
          <w:b/>
          <w:bCs/>
          <w:sz w:val="30"/>
          <w:szCs w:val="30"/>
        </w:rPr>
        <w:t>20</w:t>
      </w:r>
      <w:r>
        <w:rPr>
          <w:rFonts w:hint="default" w:ascii="Times New Roman" w:hAnsi="Times New Roman" w:cs="Times New Roman" w:eastAsiaTheme="minorEastAsia"/>
          <w:b/>
          <w:bCs/>
          <w:sz w:val="30"/>
          <w:szCs w:val="30"/>
          <w:lang w:val="en-US" w:eastAsia="zh-CN"/>
        </w:rPr>
        <w:t>20</w:t>
      </w:r>
      <w:r>
        <w:rPr>
          <w:rFonts w:hint="default" w:ascii="Times New Roman" w:hAnsi="Times New Roman" w:cs="Times New Roman" w:eastAsiaTheme="minorEastAsia"/>
          <w:b/>
          <w:bCs/>
          <w:sz w:val="30"/>
          <w:szCs w:val="30"/>
        </w:rPr>
        <w:t>年</w:t>
      </w:r>
      <w:r>
        <w:rPr>
          <w:rFonts w:hint="eastAsia" w:cs="Times New Roman"/>
          <w:b/>
          <w:bCs/>
          <w:sz w:val="30"/>
          <w:szCs w:val="30"/>
          <w:lang w:val="en-US" w:eastAsia="zh-CN"/>
        </w:rPr>
        <w:t>11</w:t>
      </w:r>
      <w:r>
        <w:rPr>
          <w:rFonts w:hint="default" w:ascii="Times New Roman" w:hAnsi="Times New Roman" w:cs="Times New Roman" w:eastAsiaTheme="minorEastAsia"/>
          <w:b/>
          <w:bCs/>
          <w:sz w:val="30"/>
          <w:szCs w:val="30"/>
        </w:rPr>
        <w:t>月</w:t>
      </w:r>
    </w:p>
    <w:p>
      <w:pPr>
        <w:rPr>
          <w:rFonts w:hint="eastAsia"/>
          <w:lang w:val="zh-CN"/>
        </w:rPr>
        <w:sectPr>
          <w:headerReference r:id="rId5" w:type="default"/>
          <w:footerReference r:id="rId6" w:type="default"/>
          <w:pgSz w:w="11907" w:h="16840"/>
          <w:pgMar w:top="1417" w:right="1587" w:bottom="1417" w:left="1587" w:header="851" w:footer="992" w:gutter="0"/>
          <w:pgNumType w:fmt="decimal" w:start="1"/>
          <w:cols w:space="720" w:num="1"/>
          <w:docGrid w:linePitch="312" w:charSpace="0"/>
        </w:sectPr>
      </w:pPr>
    </w:p>
    <w:p>
      <w:pPr>
        <w:pStyle w:val="3"/>
        <w:bidi w:val="0"/>
        <w:rPr>
          <w:lang w:val="zh-CN"/>
        </w:rPr>
      </w:pPr>
      <w:bookmarkStart w:id="6" w:name="_Toc11230"/>
      <w:bookmarkStart w:id="7" w:name="_Toc23733"/>
      <w:r>
        <w:rPr>
          <w:rFonts w:hint="eastAsia"/>
          <w:lang w:val="zh-CN"/>
        </w:rPr>
        <w:t>目录</w:t>
      </w:r>
      <w:bookmarkEnd w:id="6"/>
      <w:bookmarkEnd w:id="7"/>
    </w:p>
    <w:p/>
    <w:p>
      <w:pPr>
        <w:pStyle w:val="15"/>
        <w:tabs>
          <w:tab w:val="right" w:leader="dot" w:pos="8733"/>
        </w:tabs>
      </w:pPr>
      <w:r>
        <w:fldChar w:fldCharType="begin"/>
      </w:r>
      <w:r>
        <w:instrText xml:space="preserve"> TOC \o "1-2" \h \z \u </w:instrText>
      </w:r>
      <w:r>
        <w:fldChar w:fldCharType="separate"/>
      </w:r>
      <w:r>
        <w:fldChar w:fldCharType="begin"/>
      </w:r>
      <w:r>
        <w:instrText xml:space="preserve"> HYPERLINK \l _Toc23733 </w:instrText>
      </w:r>
      <w:r>
        <w:fldChar w:fldCharType="separate"/>
      </w:r>
      <w:r>
        <w:rPr>
          <w:rFonts w:hint="eastAsia"/>
          <w:lang w:val="zh-CN"/>
        </w:rPr>
        <w:t>目录</w:t>
      </w:r>
      <w:r>
        <w:tab/>
      </w:r>
      <w:r>
        <w:fldChar w:fldCharType="begin"/>
      </w:r>
      <w:r>
        <w:instrText xml:space="preserve"> PAGEREF _Toc23733 </w:instrText>
      </w:r>
      <w:r>
        <w:fldChar w:fldCharType="separate"/>
      </w:r>
      <w:r>
        <w:t>I</w:t>
      </w:r>
      <w:r>
        <w:fldChar w:fldCharType="end"/>
      </w:r>
      <w:r>
        <w:fldChar w:fldCharType="end"/>
      </w:r>
    </w:p>
    <w:p>
      <w:pPr>
        <w:pStyle w:val="15"/>
        <w:tabs>
          <w:tab w:val="right" w:leader="dot" w:pos="8733"/>
        </w:tabs>
      </w:pPr>
      <w:r>
        <w:fldChar w:fldCharType="begin"/>
      </w:r>
      <w:r>
        <w:instrText xml:space="preserve"> HYPERLINK \l _Toc13921 </w:instrText>
      </w:r>
      <w:r>
        <w:fldChar w:fldCharType="separate"/>
      </w:r>
      <w:r>
        <w:t>概述</w:t>
      </w:r>
      <w:r>
        <w:tab/>
      </w:r>
      <w:r>
        <w:fldChar w:fldCharType="begin"/>
      </w:r>
      <w:r>
        <w:instrText xml:space="preserve"> PAGEREF _Toc13921 </w:instrText>
      </w:r>
      <w:r>
        <w:fldChar w:fldCharType="separate"/>
      </w:r>
      <w:r>
        <w:t>1</w:t>
      </w:r>
      <w:r>
        <w:fldChar w:fldCharType="end"/>
      </w:r>
      <w:r>
        <w:fldChar w:fldCharType="end"/>
      </w:r>
    </w:p>
    <w:p>
      <w:pPr>
        <w:pStyle w:val="15"/>
        <w:tabs>
          <w:tab w:val="right" w:leader="dot" w:pos="8733"/>
        </w:tabs>
      </w:pPr>
      <w:r>
        <w:fldChar w:fldCharType="begin"/>
      </w:r>
      <w:r>
        <w:instrText xml:space="preserve"> HYPERLINK \l _Toc17683 </w:instrText>
      </w:r>
      <w:r>
        <w:fldChar w:fldCharType="separate"/>
      </w:r>
      <w:r>
        <w:rPr>
          <w:rFonts w:ascii="Times New Roman" w:hAnsi="Times New Roman" w:cs="微软雅黑"/>
          <w:bCs w:val="0"/>
          <w:i w:val="0"/>
          <w:iCs w:val="0"/>
          <w:caps w:val="0"/>
          <w:smallCaps w:val="0"/>
          <w:strike w:val="0"/>
          <w:dstrike w:val="0"/>
          <w:outline w:val="0"/>
          <w:shadow w:val="0"/>
          <w:emboss w:val="0"/>
          <w:imprint w:val="0"/>
          <w:vanish w:val="0"/>
          <w:spacing w:val="0"/>
          <w:position w:val="0"/>
          <w:vertAlign w:val="baseline"/>
        </w:rPr>
        <w:t xml:space="preserve">第1章 </w:t>
      </w:r>
      <w:r>
        <w:rPr>
          <w:rFonts w:hint="eastAsia"/>
        </w:rPr>
        <w:t>总则</w:t>
      </w:r>
      <w:r>
        <w:tab/>
      </w:r>
      <w:r>
        <w:fldChar w:fldCharType="begin"/>
      </w:r>
      <w:r>
        <w:instrText xml:space="preserve"> PAGEREF _Toc17683 </w:instrText>
      </w:r>
      <w:r>
        <w:fldChar w:fldCharType="separate"/>
      </w:r>
      <w:r>
        <w:t>7</w:t>
      </w:r>
      <w:r>
        <w:fldChar w:fldCharType="end"/>
      </w:r>
      <w:r>
        <w:fldChar w:fldCharType="end"/>
      </w:r>
    </w:p>
    <w:p>
      <w:pPr>
        <w:pStyle w:val="16"/>
        <w:tabs>
          <w:tab w:val="right" w:leader="dot" w:pos="8733"/>
        </w:tabs>
      </w:pPr>
      <w:r>
        <w:fldChar w:fldCharType="begin"/>
      </w:r>
      <w:r>
        <w:instrText xml:space="preserve"> HYPERLINK \l _Toc13646 </w:instrText>
      </w:r>
      <w:r>
        <w:fldChar w:fldCharType="separate"/>
      </w:r>
      <w:r>
        <w:rPr>
          <w:rFonts w:hint="eastAsia"/>
        </w:rPr>
        <w:t>1.1 评价原则</w:t>
      </w:r>
      <w:r>
        <w:tab/>
      </w:r>
      <w:r>
        <w:fldChar w:fldCharType="begin"/>
      </w:r>
      <w:r>
        <w:instrText xml:space="preserve"> PAGEREF _Toc13646 </w:instrText>
      </w:r>
      <w:r>
        <w:fldChar w:fldCharType="separate"/>
      </w:r>
      <w:r>
        <w:t>7</w:t>
      </w:r>
      <w:r>
        <w:fldChar w:fldCharType="end"/>
      </w:r>
      <w:r>
        <w:fldChar w:fldCharType="end"/>
      </w:r>
    </w:p>
    <w:p>
      <w:pPr>
        <w:pStyle w:val="16"/>
        <w:tabs>
          <w:tab w:val="right" w:leader="dot" w:pos="8733"/>
        </w:tabs>
      </w:pPr>
      <w:r>
        <w:fldChar w:fldCharType="begin"/>
      </w:r>
      <w:r>
        <w:instrText xml:space="preserve"> HYPERLINK \l _Toc345 </w:instrText>
      </w:r>
      <w:r>
        <w:fldChar w:fldCharType="separate"/>
      </w:r>
      <w:r>
        <w:rPr>
          <w:rFonts w:hint="eastAsia"/>
        </w:rPr>
        <w:t>1.2 编制依据</w:t>
      </w:r>
      <w:r>
        <w:tab/>
      </w:r>
      <w:r>
        <w:fldChar w:fldCharType="begin"/>
      </w:r>
      <w:r>
        <w:instrText xml:space="preserve"> PAGEREF _Toc345 </w:instrText>
      </w:r>
      <w:r>
        <w:fldChar w:fldCharType="separate"/>
      </w:r>
      <w:r>
        <w:t>7</w:t>
      </w:r>
      <w:r>
        <w:fldChar w:fldCharType="end"/>
      </w:r>
      <w:r>
        <w:fldChar w:fldCharType="end"/>
      </w:r>
    </w:p>
    <w:p>
      <w:pPr>
        <w:pStyle w:val="16"/>
        <w:tabs>
          <w:tab w:val="right" w:leader="dot" w:pos="8733"/>
        </w:tabs>
      </w:pPr>
      <w:r>
        <w:fldChar w:fldCharType="begin"/>
      </w:r>
      <w:r>
        <w:instrText xml:space="preserve"> HYPERLINK \l _Toc12783 </w:instrText>
      </w:r>
      <w:r>
        <w:fldChar w:fldCharType="separate"/>
      </w:r>
      <w:r>
        <w:rPr>
          <w:rFonts w:hint="eastAsia"/>
        </w:rPr>
        <w:t>1.3 评价因子筛选及评价标准</w:t>
      </w:r>
      <w:r>
        <w:tab/>
      </w:r>
      <w:r>
        <w:fldChar w:fldCharType="begin"/>
      </w:r>
      <w:r>
        <w:instrText xml:space="preserve"> PAGEREF _Toc12783 </w:instrText>
      </w:r>
      <w:r>
        <w:fldChar w:fldCharType="separate"/>
      </w:r>
      <w:r>
        <w:t>11</w:t>
      </w:r>
      <w:r>
        <w:fldChar w:fldCharType="end"/>
      </w:r>
      <w:r>
        <w:fldChar w:fldCharType="end"/>
      </w:r>
    </w:p>
    <w:p>
      <w:pPr>
        <w:pStyle w:val="16"/>
        <w:tabs>
          <w:tab w:val="right" w:leader="dot" w:pos="8733"/>
        </w:tabs>
      </w:pPr>
      <w:r>
        <w:fldChar w:fldCharType="begin"/>
      </w:r>
      <w:r>
        <w:instrText xml:space="preserve"> HYPERLINK \l _Toc24891 </w:instrText>
      </w:r>
      <w:r>
        <w:fldChar w:fldCharType="separate"/>
      </w:r>
      <w:r>
        <w:rPr>
          <w:rFonts w:hint="eastAsia"/>
        </w:rPr>
        <w:t>1.4 评价工作等级及评价范围</w:t>
      </w:r>
      <w:r>
        <w:tab/>
      </w:r>
      <w:r>
        <w:fldChar w:fldCharType="begin"/>
      </w:r>
      <w:r>
        <w:instrText xml:space="preserve"> PAGEREF _Toc24891 </w:instrText>
      </w:r>
      <w:r>
        <w:fldChar w:fldCharType="separate"/>
      </w:r>
      <w:r>
        <w:t>15</w:t>
      </w:r>
      <w:r>
        <w:fldChar w:fldCharType="end"/>
      </w:r>
      <w:r>
        <w:fldChar w:fldCharType="end"/>
      </w:r>
    </w:p>
    <w:p>
      <w:pPr>
        <w:pStyle w:val="16"/>
        <w:tabs>
          <w:tab w:val="right" w:leader="dot" w:pos="8733"/>
        </w:tabs>
      </w:pPr>
      <w:r>
        <w:fldChar w:fldCharType="begin"/>
      </w:r>
      <w:r>
        <w:instrText xml:space="preserve"> HYPERLINK \l _Toc21149 </w:instrText>
      </w:r>
      <w:r>
        <w:fldChar w:fldCharType="separate"/>
      </w:r>
      <w:r>
        <w:rPr>
          <w:rFonts w:hint="eastAsia"/>
        </w:rPr>
        <w:t>1.5 环境保护目标</w:t>
      </w:r>
      <w:r>
        <w:tab/>
      </w:r>
      <w:r>
        <w:fldChar w:fldCharType="begin"/>
      </w:r>
      <w:r>
        <w:instrText xml:space="preserve"> PAGEREF _Toc21149 </w:instrText>
      </w:r>
      <w:r>
        <w:fldChar w:fldCharType="separate"/>
      </w:r>
      <w:r>
        <w:t>18</w:t>
      </w:r>
      <w:r>
        <w:fldChar w:fldCharType="end"/>
      </w:r>
      <w:r>
        <w:fldChar w:fldCharType="end"/>
      </w:r>
    </w:p>
    <w:p>
      <w:pPr>
        <w:pStyle w:val="16"/>
        <w:tabs>
          <w:tab w:val="right" w:leader="dot" w:pos="8733"/>
        </w:tabs>
      </w:pPr>
      <w:r>
        <w:fldChar w:fldCharType="begin"/>
      </w:r>
      <w:r>
        <w:instrText xml:space="preserve"> HYPERLINK \l _Toc31062 </w:instrText>
      </w:r>
      <w:r>
        <w:fldChar w:fldCharType="separate"/>
      </w:r>
      <w:r>
        <w:rPr>
          <w:rFonts w:hint="eastAsia"/>
        </w:rPr>
        <w:t xml:space="preserve">1.6 </w:t>
      </w:r>
      <w:r>
        <w:t>相关规划</w:t>
      </w:r>
      <w:r>
        <w:tab/>
      </w:r>
      <w:r>
        <w:fldChar w:fldCharType="begin"/>
      </w:r>
      <w:r>
        <w:instrText xml:space="preserve"> PAGEREF _Toc31062 </w:instrText>
      </w:r>
      <w:r>
        <w:fldChar w:fldCharType="separate"/>
      </w:r>
      <w:r>
        <w:t>19</w:t>
      </w:r>
      <w:r>
        <w:fldChar w:fldCharType="end"/>
      </w:r>
      <w:r>
        <w:fldChar w:fldCharType="end"/>
      </w:r>
    </w:p>
    <w:p>
      <w:pPr>
        <w:pStyle w:val="15"/>
        <w:tabs>
          <w:tab w:val="right" w:leader="dot" w:pos="8733"/>
        </w:tabs>
      </w:pPr>
      <w:r>
        <w:fldChar w:fldCharType="begin"/>
      </w:r>
      <w:r>
        <w:instrText xml:space="preserve"> HYPERLINK \l _Toc27268 </w:instrText>
      </w:r>
      <w:r>
        <w:fldChar w:fldCharType="separate"/>
      </w:r>
      <w:r>
        <w:rPr>
          <w:rFonts w:ascii="Times New Roman" w:hAnsi="Times New Roman" w:cs="微软雅黑"/>
          <w:bCs w:val="0"/>
          <w:i w:val="0"/>
          <w:iCs w:val="0"/>
          <w:caps w:val="0"/>
          <w:smallCaps w:val="0"/>
          <w:strike w:val="0"/>
          <w:dstrike w:val="0"/>
          <w:outline w:val="0"/>
          <w:shadow w:val="0"/>
          <w:emboss w:val="0"/>
          <w:imprint w:val="0"/>
          <w:vanish w:val="0"/>
          <w:spacing w:val="0"/>
          <w:position w:val="0"/>
          <w:vertAlign w:val="baseline"/>
        </w:rPr>
        <w:t xml:space="preserve">第2章 </w:t>
      </w:r>
      <w:r>
        <w:t>建设项目工程分析</w:t>
      </w:r>
      <w:r>
        <w:tab/>
      </w:r>
      <w:r>
        <w:fldChar w:fldCharType="begin"/>
      </w:r>
      <w:r>
        <w:instrText xml:space="preserve"> PAGEREF _Toc27268 </w:instrText>
      </w:r>
      <w:r>
        <w:fldChar w:fldCharType="separate"/>
      </w:r>
      <w:r>
        <w:t>26</w:t>
      </w:r>
      <w:r>
        <w:fldChar w:fldCharType="end"/>
      </w:r>
      <w:r>
        <w:fldChar w:fldCharType="end"/>
      </w:r>
    </w:p>
    <w:p>
      <w:pPr>
        <w:pStyle w:val="16"/>
        <w:tabs>
          <w:tab w:val="right" w:leader="dot" w:pos="8733"/>
        </w:tabs>
      </w:pPr>
      <w:r>
        <w:fldChar w:fldCharType="begin"/>
      </w:r>
      <w:r>
        <w:instrText xml:space="preserve"> HYPERLINK \l _Toc9499 </w:instrText>
      </w:r>
      <w:r>
        <w:fldChar w:fldCharType="separate"/>
      </w:r>
      <w:r>
        <w:rPr>
          <w:rFonts w:hint="eastAsia"/>
        </w:rPr>
        <w:t>2.1 项目概况</w:t>
      </w:r>
      <w:r>
        <w:tab/>
      </w:r>
      <w:r>
        <w:fldChar w:fldCharType="begin"/>
      </w:r>
      <w:r>
        <w:instrText xml:space="preserve"> PAGEREF _Toc9499 </w:instrText>
      </w:r>
      <w:r>
        <w:fldChar w:fldCharType="separate"/>
      </w:r>
      <w:r>
        <w:t>26</w:t>
      </w:r>
      <w:r>
        <w:fldChar w:fldCharType="end"/>
      </w:r>
      <w:r>
        <w:fldChar w:fldCharType="end"/>
      </w:r>
    </w:p>
    <w:p>
      <w:pPr>
        <w:pStyle w:val="16"/>
        <w:tabs>
          <w:tab w:val="right" w:leader="dot" w:pos="8733"/>
        </w:tabs>
      </w:pPr>
      <w:r>
        <w:fldChar w:fldCharType="begin"/>
      </w:r>
      <w:r>
        <w:instrText xml:space="preserve"> HYPERLINK \l _Toc20575 </w:instrText>
      </w:r>
      <w:r>
        <w:fldChar w:fldCharType="separate"/>
      </w:r>
      <w:r>
        <w:rPr>
          <w:rFonts w:hint="eastAsia"/>
        </w:rPr>
        <w:t xml:space="preserve">2.2 </w:t>
      </w:r>
      <w:r>
        <w:t>生产工艺流程及产污环节</w:t>
      </w:r>
      <w:r>
        <w:tab/>
      </w:r>
      <w:r>
        <w:fldChar w:fldCharType="begin"/>
      </w:r>
      <w:r>
        <w:instrText xml:space="preserve"> PAGEREF _Toc20575 </w:instrText>
      </w:r>
      <w:r>
        <w:fldChar w:fldCharType="separate"/>
      </w:r>
      <w:r>
        <w:t>35</w:t>
      </w:r>
      <w:r>
        <w:fldChar w:fldCharType="end"/>
      </w:r>
      <w:r>
        <w:fldChar w:fldCharType="end"/>
      </w:r>
    </w:p>
    <w:p>
      <w:pPr>
        <w:pStyle w:val="16"/>
        <w:tabs>
          <w:tab w:val="right" w:leader="dot" w:pos="8733"/>
        </w:tabs>
      </w:pPr>
      <w:r>
        <w:fldChar w:fldCharType="begin"/>
      </w:r>
      <w:r>
        <w:instrText xml:space="preserve"> HYPERLINK \l _Toc27948 </w:instrText>
      </w:r>
      <w:r>
        <w:fldChar w:fldCharType="separate"/>
      </w:r>
      <w:r>
        <w:rPr>
          <w:rFonts w:hint="eastAsia"/>
        </w:rPr>
        <w:t xml:space="preserve">2.3 </w:t>
      </w:r>
      <w:r>
        <w:rPr>
          <w:highlight w:val="none"/>
        </w:rPr>
        <w:t>水平衡分析</w:t>
      </w:r>
      <w:r>
        <w:tab/>
      </w:r>
      <w:r>
        <w:fldChar w:fldCharType="begin"/>
      </w:r>
      <w:r>
        <w:instrText xml:space="preserve"> PAGEREF _Toc27948 </w:instrText>
      </w:r>
      <w:r>
        <w:fldChar w:fldCharType="separate"/>
      </w:r>
      <w:r>
        <w:t>41</w:t>
      </w:r>
      <w:r>
        <w:fldChar w:fldCharType="end"/>
      </w:r>
      <w:r>
        <w:fldChar w:fldCharType="end"/>
      </w:r>
    </w:p>
    <w:p>
      <w:pPr>
        <w:pStyle w:val="16"/>
        <w:tabs>
          <w:tab w:val="right" w:leader="dot" w:pos="8733"/>
        </w:tabs>
      </w:pPr>
      <w:r>
        <w:fldChar w:fldCharType="begin"/>
      </w:r>
      <w:r>
        <w:instrText xml:space="preserve"> HYPERLINK \l _Toc27630 </w:instrText>
      </w:r>
      <w:r>
        <w:fldChar w:fldCharType="separate"/>
      </w:r>
      <w:r>
        <w:rPr>
          <w:rFonts w:hint="eastAsia"/>
        </w:rPr>
        <w:t xml:space="preserve">2.4 </w:t>
      </w:r>
      <w:r>
        <w:t>污染源强分析</w:t>
      </w:r>
      <w:r>
        <w:tab/>
      </w:r>
      <w:r>
        <w:fldChar w:fldCharType="begin"/>
      </w:r>
      <w:r>
        <w:instrText xml:space="preserve"> PAGEREF _Toc27630 </w:instrText>
      </w:r>
      <w:r>
        <w:fldChar w:fldCharType="separate"/>
      </w:r>
      <w:r>
        <w:t>42</w:t>
      </w:r>
      <w:r>
        <w:fldChar w:fldCharType="end"/>
      </w:r>
      <w:r>
        <w:fldChar w:fldCharType="end"/>
      </w:r>
    </w:p>
    <w:p>
      <w:pPr>
        <w:pStyle w:val="16"/>
        <w:tabs>
          <w:tab w:val="right" w:leader="dot" w:pos="8733"/>
        </w:tabs>
      </w:pPr>
      <w:r>
        <w:fldChar w:fldCharType="begin"/>
      </w:r>
      <w:r>
        <w:instrText xml:space="preserve"> HYPERLINK \l _Toc7516 </w:instrText>
      </w:r>
      <w:r>
        <w:fldChar w:fldCharType="separate"/>
      </w:r>
      <w:r>
        <w:rPr>
          <w:rFonts w:hint="eastAsia"/>
        </w:rPr>
        <w:t xml:space="preserve">2.5 </w:t>
      </w:r>
      <w:r>
        <w:t>项目污染物产排情况汇总</w:t>
      </w:r>
      <w:r>
        <w:tab/>
      </w:r>
      <w:r>
        <w:fldChar w:fldCharType="begin"/>
      </w:r>
      <w:r>
        <w:instrText xml:space="preserve"> PAGEREF _Toc7516 </w:instrText>
      </w:r>
      <w:r>
        <w:fldChar w:fldCharType="separate"/>
      </w:r>
      <w:r>
        <w:t>56</w:t>
      </w:r>
      <w:r>
        <w:fldChar w:fldCharType="end"/>
      </w:r>
      <w:r>
        <w:fldChar w:fldCharType="end"/>
      </w:r>
    </w:p>
    <w:p>
      <w:pPr>
        <w:pStyle w:val="15"/>
        <w:tabs>
          <w:tab w:val="right" w:leader="dot" w:pos="8733"/>
        </w:tabs>
      </w:pPr>
      <w:r>
        <w:fldChar w:fldCharType="begin"/>
      </w:r>
      <w:r>
        <w:instrText xml:space="preserve"> HYPERLINK \l _Toc14439 </w:instrText>
      </w:r>
      <w:r>
        <w:fldChar w:fldCharType="separate"/>
      </w:r>
      <w:r>
        <w:rPr>
          <w:rFonts w:ascii="Times New Roman" w:hAnsi="Times New Roman" w:cs="微软雅黑"/>
          <w:bCs w:val="0"/>
          <w:i w:val="0"/>
          <w:iCs w:val="0"/>
          <w:caps w:val="0"/>
          <w:smallCaps w:val="0"/>
          <w:strike w:val="0"/>
          <w:dstrike w:val="0"/>
          <w:outline w:val="0"/>
          <w:shadow w:val="0"/>
          <w:emboss w:val="0"/>
          <w:imprint w:val="0"/>
          <w:vanish w:val="0"/>
          <w:spacing w:val="0"/>
          <w:position w:val="0"/>
          <w:vertAlign w:val="baseline"/>
        </w:rPr>
        <w:t xml:space="preserve">第3章 </w:t>
      </w:r>
      <w:r>
        <w:rPr>
          <w:rFonts w:hint="eastAsia"/>
        </w:rPr>
        <w:t>环境现状调查与评价</w:t>
      </w:r>
      <w:r>
        <w:tab/>
      </w:r>
      <w:r>
        <w:fldChar w:fldCharType="begin"/>
      </w:r>
      <w:r>
        <w:instrText xml:space="preserve"> PAGEREF _Toc14439 </w:instrText>
      </w:r>
      <w:r>
        <w:fldChar w:fldCharType="separate"/>
      </w:r>
      <w:r>
        <w:t>57</w:t>
      </w:r>
      <w:r>
        <w:fldChar w:fldCharType="end"/>
      </w:r>
      <w:r>
        <w:fldChar w:fldCharType="end"/>
      </w:r>
    </w:p>
    <w:p>
      <w:pPr>
        <w:pStyle w:val="16"/>
        <w:tabs>
          <w:tab w:val="right" w:leader="dot" w:pos="8733"/>
        </w:tabs>
      </w:pPr>
      <w:r>
        <w:fldChar w:fldCharType="begin"/>
      </w:r>
      <w:r>
        <w:instrText xml:space="preserve"> HYPERLINK \l _Toc28659 </w:instrText>
      </w:r>
      <w:r>
        <w:fldChar w:fldCharType="separate"/>
      </w:r>
      <w:r>
        <w:rPr>
          <w:rFonts w:hint="eastAsia"/>
        </w:rPr>
        <w:t>3.1 自然环境调查与评价</w:t>
      </w:r>
      <w:r>
        <w:tab/>
      </w:r>
      <w:r>
        <w:fldChar w:fldCharType="begin"/>
      </w:r>
      <w:r>
        <w:instrText xml:space="preserve"> PAGEREF _Toc28659 </w:instrText>
      </w:r>
      <w:r>
        <w:fldChar w:fldCharType="separate"/>
      </w:r>
      <w:r>
        <w:t>57</w:t>
      </w:r>
      <w:r>
        <w:fldChar w:fldCharType="end"/>
      </w:r>
      <w:r>
        <w:fldChar w:fldCharType="end"/>
      </w:r>
    </w:p>
    <w:p>
      <w:pPr>
        <w:pStyle w:val="16"/>
        <w:tabs>
          <w:tab w:val="right" w:leader="dot" w:pos="8733"/>
        </w:tabs>
      </w:pPr>
      <w:r>
        <w:fldChar w:fldCharType="begin"/>
      </w:r>
      <w:r>
        <w:instrText xml:space="preserve"> HYPERLINK \l _Toc11061 </w:instrText>
      </w:r>
      <w:r>
        <w:fldChar w:fldCharType="separate"/>
      </w:r>
      <w:r>
        <w:rPr>
          <w:rFonts w:hint="eastAsia"/>
        </w:rPr>
        <w:t xml:space="preserve">3.2 </w:t>
      </w:r>
      <w:r>
        <w:t>环境质量现状监测与评价</w:t>
      </w:r>
      <w:r>
        <w:tab/>
      </w:r>
      <w:r>
        <w:fldChar w:fldCharType="begin"/>
      </w:r>
      <w:r>
        <w:instrText xml:space="preserve"> PAGEREF _Toc11061 </w:instrText>
      </w:r>
      <w:r>
        <w:fldChar w:fldCharType="separate"/>
      </w:r>
      <w:r>
        <w:t>62</w:t>
      </w:r>
      <w:r>
        <w:fldChar w:fldCharType="end"/>
      </w:r>
      <w:r>
        <w:fldChar w:fldCharType="end"/>
      </w:r>
    </w:p>
    <w:p>
      <w:pPr>
        <w:pStyle w:val="16"/>
        <w:tabs>
          <w:tab w:val="right" w:leader="dot" w:pos="8733"/>
        </w:tabs>
      </w:pPr>
      <w:r>
        <w:fldChar w:fldCharType="begin"/>
      </w:r>
      <w:r>
        <w:instrText xml:space="preserve"> HYPERLINK \l _Toc8175 </w:instrText>
      </w:r>
      <w:r>
        <w:fldChar w:fldCharType="separate"/>
      </w:r>
      <w:r>
        <w:rPr>
          <w:rFonts w:hint="eastAsia"/>
        </w:rPr>
        <w:t xml:space="preserve">3.3 </w:t>
      </w:r>
      <w:r>
        <w:t>区域面源污染状况调查</w:t>
      </w:r>
      <w:r>
        <w:tab/>
      </w:r>
      <w:r>
        <w:fldChar w:fldCharType="begin"/>
      </w:r>
      <w:r>
        <w:instrText xml:space="preserve"> PAGEREF _Toc8175 </w:instrText>
      </w:r>
      <w:r>
        <w:fldChar w:fldCharType="separate"/>
      </w:r>
      <w:r>
        <w:t>71</w:t>
      </w:r>
      <w:r>
        <w:fldChar w:fldCharType="end"/>
      </w:r>
      <w:r>
        <w:fldChar w:fldCharType="end"/>
      </w:r>
    </w:p>
    <w:p>
      <w:pPr>
        <w:pStyle w:val="15"/>
        <w:tabs>
          <w:tab w:val="right" w:leader="dot" w:pos="8733"/>
        </w:tabs>
      </w:pPr>
      <w:r>
        <w:fldChar w:fldCharType="begin"/>
      </w:r>
      <w:r>
        <w:instrText xml:space="preserve"> HYPERLINK \l _Toc10673 </w:instrText>
      </w:r>
      <w:r>
        <w:fldChar w:fldCharType="separate"/>
      </w:r>
      <w:r>
        <w:rPr>
          <w:rFonts w:ascii="Times New Roman" w:hAnsi="Times New Roman" w:cs="微软雅黑"/>
          <w:bCs w:val="0"/>
          <w:i w:val="0"/>
          <w:iCs w:val="0"/>
          <w:caps w:val="0"/>
          <w:smallCaps w:val="0"/>
          <w:strike w:val="0"/>
          <w:dstrike w:val="0"/>
          <w:outline w:val="0"/>
          <w:shadow w:val="0"/>
          <w:emboss w:val="0"/>
          <w:imprint w:val="0"/>
          <w:vanish w:val="0"/>
          <w:spacing w:val="0"/>
          <w:position w:val="0"/>
          <w:vertAlign w:val="baseline"/>
        </w:rPr>
        <w:t xml:space="preserve">第4章 </w:t>
      </w:r>
      <w:r>
        <w:t>环境影响预测与评价</w:t>
      </w:r>
      <w:r>
        <w:tab/>
      </w:r>
      <w:r>
        <w:fldChar w:fldCharType="begin"/>
      </w:r>
      <w:r>
        <w:instrText xml:space="preserve"> PAGEREF _Toc10673 </w:instrText>
      </w:r>
      <w:r>
        <w:fldChar w:fldCharType="separate"/>
      </w:r>
      <w:r>
        <w:t>73</w:t>
      </w:r>
      <w:r>
        <w:fldChar w:fldCharType="end"/>
      </w:r>
      <w:r>
        <w:fldChar w:fldCharType="end"/>
      </w:r>
    </w:p>
    <w:p>
      <w:pPr>
        <w:pStyle w:val="16"/>
        <w:tabs>
          <w:tab w:val="right" w:leader="dot" w:pos="8733"/>
        </w:tabs>
      </w:pPr>
      <w:r>
        <w:fldChar w:fldCharType="begin"/>
      </w:r>
      <w:r>
        <w:instrText xml:space="preserve"> HYPERLINK \l _Toc589 </w:instrText>
      </w:r>
      <w:r>
        <w:fldChar w:fldCharType="separate"/>
      </w:r>
      <w:r>
        <w:rPr>
          <w:rFonts w:hint="eastAsia"/>
        </w:rPr>
        <w:t xml:space="preserve">4.1 </w:t>
      </w:r>
      <w:r>
        <w:t>施工期环境影响分析</w:t>
      </w:r>
      <w:r>
        <w:tab/>
      </w:r>
      <w:r>
        <w:fldChar w:fldCharType="begin"/>
      </w:r>
      <w:r>
        <w:instrText xml:space="preserve"> PAGEREF _Toc589 </w:instrText>
      </w:r>
      <w:r>
        <w:fldChar w:fldCharType="separate"/>
      </w:r>
      <w:r>
        <w:t>73</w:t>
      </w:r>
      <w:r>
        <w:fldChar w:fldCharType="end"/>
      </w:r>
      <w:r>
        <w:fldChar w:fldCharType="end"/>
      </w:r>
    </w:p>
    <w:p>
      <w:pPr>
        <w:pStyle w:val="16"/>
        <w:tabs>
          <w:tab w:val="right" w:leader="dot" w:pos="8733"/>
        </w:tabs>
      </w:pPr>
      <w:r>
        <w:fldChar w:fldCharType="begin"/>
      </w:r>
      <w:r>
        <w:instrText xml:space="preserve"> HYPERLINK \l _Toc19910 </w:instrText>
      </w:r>
      <w:r>
        <w:fldChar w:fldCharType="separate"/>
      </w:r>
      <w:r>
        <w:rPr>
          <w:rFonts w:hint="eastAsia"/>
        </w:rPr>
        <w:t xml:space="preserve">4.2 </w:t>
      </w:r>
      <w:r>
        <w:t>营运期环境影响预测与分析</w:t>
      </w:r>
      <w:r>
        <w:tab/>
      </w:r>
      <w:r>
        <w:fldChar w:fldCharType="begin"/>
      </w:r>
      <w:r>
        <w:instrText xml:space="preserve"> PAGEREF _Toc19910 </w:instrText>
      </w:r>
      <w:r>
        <w:fldChar w:fldCharType="separate"/>
      </w:r>
      <w:r>
        <w:t>80</w:t>
      </w:r>
      <w:r>
        <w:fldChar w:fldCharType="end"/>
      </w:r>
      <w:r>
        <w:fldChar w:fldCharType="end"/>
      </w:r>
    </w:p>
    <w:p>
      <w:pPr>
        <w:pStyle w:val="16"/>
        <w:tabs>
          <w:tab w:val="right" w:leader="dot" w:pos="8733"/>
        </w:tabs>
      </w:pPr>
      <w:r>
        <w:fldChar w:fldCharType="begin"/>
      </w:r>
      <w:r>
        <w:instrText xml:space="preserve"> HYPERLINK \l _Toc1699 </w:instrText>
      </w:r>
      <w:r>
        <w:fldChar w:fldCharType="separate"/>
      </w:r>
      <w:r>
        <w:rPr>
          <w:rFonts w:hint="eastAsia"/>
        </w:rPr>
        <w:t>4.3 环境风险评价</w:t>
      </w:r>
      <w:r>
        <w:tab/>
      </w:r>
      <w:r>
        <w:fldChar w:fldCharType="begin"/>
      </w:r>
      <w:r>
        <w:instrText xml:space="preserve"> PAGEREF _Toc1699 </w:instrText>
      </w:r>
      <w:r>
        <w:fldChar w:fldCharType="separate"/>
      </w:r>
      <w:r>
        <w:t>93</w:t>
      </w:r>
      <w:r>
        <w:fldChar w:fldCharType="end"/>
      </w:r>
      <w:r>
        <w:fldChar w:fldCharType="end"/>
      </w:r>
    </w:p>
    <w:p>
      <w:pPr>
        <w:pStyle w:val="15"/>
        <w:tabs>
          <w:tab w:val="right" w:leader="dot" w:pos="8733"/>
        </w:tabs>
      </w:pPr>
      <w:r>
        <w:fldChar w:fldCharType="begin"/>
      </w:r>
      <w:r>
        <w:instrText xml:space="preserve"> HYPERLINK \l _Toc30880 </w:instrText>
      </w:r>
      <w:r>
        <w:fldChar w:fldCharType="separate"/>
      </w:r>
      <w:r>
        <w:rPr>
          <w:rFonts w:ascii="Times New Roman" w:hAnsi="Times New Roman" w:cs="微软雅黑"/>
          <w:bCs w:val="0"/>
          <w:i w:val="0"/>
          <w:iCs w:val="0"/>
          <w:caps w:val="0"/>
          <w:smallCaps w:val="0"/>
          <w:strike w:val="0"/>
          <w:dstrike w:val="0"/>
          <w:outline w:val="0"/>
          <w:shadow w:val="0"/>
          <w:emboss w:val="0"/>
          <w:imprint w:val="0"/>
          <w:vanish w:val="0"/>
          <w:spacing w:val="0"/>
          <w:position w:val="0"/>
          <w:vertAlign w:val="baseline"/>
        </w:rPr>
        <w:t xml:space="preserve">第5章 </w:t>
      </w:r>
      <w:r>
        <w:t>环境保护措施及经济技术论证</w:t>
      </w:r>
      <w:r>
        <w:tab/>
      </w:r>
      <w:r>
        <w:fldChar w:fldCharType="begin"/>
      </w:r>
      <w:r>
        <w:instrText xml:space="preserve"> PAGEREF _Toc30880 </w:instrText>
      </w:r>
      <w:r>
        <w:fldChar w:fldCharType="separate"/>
      </w:r>
      <w:r>
        <w:t>100</w:t>
      </w:r>
      <w:r>
        <w:fldChar w:fldCharType="end"/>
      </w:r>
      <w:r>
        <w:fldChar w:fldCharType="end"/>
      </w:r>
    </w:p>
    <w:p>
      <w:pPr>
        <w:pStyle w:val="16"/>
        <w:tabs>
          <w:tab w:val="right" w:leader="dot" w:pos="8733"/>
        </w:tabs>
      </w:pPr>
      <w:r>
        <w:fldChar w:fldCharType="begin"/>
      </w:r>
      <w:r>
        <w:instrText xml:space="preserve"> HYPERLINK \l _Toc16793 </w:instrText>
      </w:r>
      <w:r>
        <w:fldChar w:fldCharType="separate"/>
      </w:r>
      <w:r>
        <w:rPr>
          <w:rFonts w:hint="eastAsia"/>
        </w:rPr>
        <w:t xml:space="preserve">5.1 </w:t>
      </w:r>
      <w:r>
        <w:t>施工期污染防治措施及可行性论证</w:t>
      </w:r>
      <w:r>
        <w:tab/>
      </w:r>
      <w:r>
        <w:fldChar w:fldCharType="begin"/>
      </w:r>
      <w:r>
        <w:instrText xml:space="preserve"> PAGEREF _Toc16793 </w:instrText>
      </w:r>
      <w:r>
        <w:fldChar w:fldCharType="separate"/>
      </w:r>
      <w:r>
        <w:t>100</w:t>
      </w:r>
      <w:r>
        <w:fldChar w:fldCharType="end"/>
      </w:r>
      <w:r>
        <w:fldChar w:fldCharType="end"/>
      </w:r>
    </w:p>
    <w:p>
      <w:pPr>
        <w:pStyle w:val="16"/>
        <w:tabs>
          <w:tab w:val="right" w:leader="dot" w:pos="8733"/>
        </w:tabs>
      </w:pPr>
      <w:r>
        <w:fldChar w:fldCharType="begin"/>
      </w:r>
      <w:r>
        <w:instrText xml:space="preserve"> HYPERLINK \l _Toc27600 </w:instrText>
      </w:r>
      <w:r>
        <w:fldChar w:fldCharType="separate"/>
      </w:r>
      <w:r>
        <w:rPr>
          <w:rFonts w:hint="eastAsia"/>
        </w:rPr>
        <w:t xml:space="preserve">5.2 </w:t>
      </w:r>
      <w:r>
        <w:t>营运期污染防治措施</w:t>
      </w:r>
      <w:r>
        <w:rPr>
          <w:rFonts w:hint="eastAsia"/>
        </w:rPr>
        <w:t>及可行性论证</w:t>
      </w:r>
      <w:r>
        <w:tab/>
      </w:r>
      <w:r>
        <w:fldChar w:fldCharType="begin"/>
      </w:r>
      <w:r>
        <w:instrText xml:space="preserve"> PAGEREF _Toc27600 </w:instrText>
      </w:r>
      <w:r>
        <w:fldChar w:fldCharType="separate"/>
      </w:r>
      <w:r>
        <w:t>104</w:t>
      </w:r>
      <w:r>
        <w:fldChar w:fldCharType="end"/>
      </w:r>
      <w:r>
        <w:fldChar w:fldCharType="end"/>
      </w:r>
    </w:p>
    <w:p>
      <w:pPr>
        <w:pStyle w:val="16"/>
        <w:tabs>
          <w:tab w:val="right" w:leader="dot" w:pos="8733"/>
        </w:tabs>
      </w:pPr>
      <w:r>
        <w:fldChar w:fldCharType="begin"/>
      </w:r>
      <w:r>
        <w:instrText xml:space="preserve"> HYPERLINK \l _Toc30711 </w:instrText>
      </w:r>
      <w:r>
        <w:fldChar w:fldCharType="separate"/>
      </w:r>
      <w:r>
        <w:rPr>
          <w:rFonts w:hint="eastAsia"/>
        </w:rPr>
        <w:t xml:space="preserve">5.3 </w:t>
      </w:r>
      <w:r>
        <w:t>污染防治措施汇总</w:t>
      </w:r>
      <w:r>
        <w:tab/>
      </w:r>
      <w:r>
        <w:fldChar w:fldCharType="begin"/>
      </w:r>
      <w:r>
        <w:instrText xml:space="preserve"> PAGEREF _Toc30711 </w:instrText>
      </w:r>
      <w:r>
        <w:fldChar w:fldCharType="separate"/>
      </w:r>
      <w:r>
        <w:t>118</w:t>
      </w:r>
      <w:r>
        <w:fldChar w:fldCharType="end"/>
      </w:r>
      <w:r>
        <w:fldChar w:fldCharType="end"/>
      </w:r>
    </w:p>
    <w:p>
      <w:pPr>
        <w:pStyle w:val="15"/>
        <w:tabs>
          <w:tab w:val="right" w:leader="dot" w:pos="8733"/>
        </w:tabs>
      </w:pPr>
      <w:r>
        <w:fldChar w:fldCharType="begin"/>
      </w:r>
      <w:r>
        <w:instrText xml:space="preserve"> HYPERLINK \l _Toc9355 </w:instrText>
      </w:r>
      <w:r>
        <w:fldChar w:fldCharType="separate"/>
      </w:r>
      <w:r>
        <w:rPr>
          <w:rFonts w:ascii="Times New Roman" w:hAnsi="Times New Roman" w:cs="微软雅黑"/>
          <w:bCs w:val="0"/>
          <w:i w:val="0"/>
          <w:iCs w:val="0"/>
          <w:caps w:val="0"/>
          <w:smallCaps w:val="0"/>
          <w:strike w:val="0"/>
          <w:dstrike w:val="0"/>
          <w:outline w:val="0"/>
          <w:shadow w:val="0"/>
          <w:emboss w:val="0"/>
          <w:imprint w:val="0"/>
          <w:vanish w:val="0"/>
          <w:spacing w:val="0"/>
          <w:position w:val="0"/>
          <w:vertAlign w:val="baseline"/>
        </w:rPr>
        <w:t xml:space="preserve">第6章 </w:t>
      </w:r>
      <w:r>
        <w:rPr>
          <w:rFonts w:hint="eastAsia"/>
        </w:rPr>
        <w:t>环境经济损益分析</w:t>
      </w:r>
      <w:r>
        <w:tab/>
      </w:r>
      <w:r>
        <w:fldChar w:fldCharType="begin"/>
      </w:r>
      <w:r>
        <w:instrText xml:space="preserve"> PAGEREF _Toc9355 </w:instrText>
      </w:r>
      <w:r>
        <w:fldChar w:fldCharType="separate"/>
      </w:r>
      <w:r>
        <w:t>120</w:t>
      </w:r>
      <w:r>
        <w:fldChar w:fldCharType="end"/>
      </w:r>
      <w:r>
        <w:fldChar w:fldCharType="end"/>
      </w:r>
    </w:p>
    <w:p>
      <w:pPr>
        <w:pStyle w:val="16"/>
        <w:tabs>
          <w:tab w:val="right" w:leader="dot" w:pos="8733"/>
        </w:tabs>
      </w:pPr>
      <w:r>
        <w:fldChar w:fldCharType="begin"/>
      </w:r>
      <w:r>
        <w:instrText xml:space="preserve"> HYPERLINK \l _Toc5993 </w:instrText>
      </w:r>
      <w:r>
        <w:fldChar w:fldCharType="separate"/>
      </w:r>
      <w:r>
        <w:rPr>
          <w:rFonts w:hint="eastAsia"/>
        </w:rPr>
        <w:t>6.1 环保投资估算</w:t>
      </w:r>
      <w:r>
        <w:tab/>
      </w:r>
      <w:r>
        <w:fldChar w:fldCharType="begin"/>
      </w:r>
      <w:r>
        <w:instrText xml:space="preserve"> PAGEREF _Toc5993 </w:instrText>
      </w:r>
      <w:r>
        <w:fldChar w:fldCharType="separate"/>
      </w:r>
      <w:r>
        <w:t>120</w:t>
      </w:r>
      <w:r>
        <w:fldChar w:fldCharType="end"/>
      </w:r>
      <w:r>
        <w:fldChar w:fldCharType="end"/>
      </w:r>
    </w:p>
    <w:p>
      <w:pPr>
        <w:pStyle w:val="16"/>
        <w:tabs>
          <w:tab w:val="right" w:leader="dot" w:pos="8733"/>
        </w:tabs>
      </w:pPr>
      <w:r>
        <w:fldChar w:fldCharType="begin"/>
      </w:r>
      <w:r>
        <w:instrText xml:space="preserve"> HYPERLINK \l _Toc20975 </w:instrText>
      </w:r>
      <w:r>
        <w:fldChar w:fldCharType="separate"/>
      </w:r>
      <w:r>
        <w:rPr>
          <w:rFonts w:hint="eastAsia"/>
        </w:rPr>
        <w:t>6.2 环境效益分析</w:t>
      </w:r>
      <w:r>
        <w:tab/>
      </w:r>
      <w:r>
        <w:fldChar w:fldCharType="begin"/>
      </w:r>
      <w:r>
        <w:instrText xml:space="preserve"> PAGEREF _Toc20975 </w:instrText>
      </w:r>
      <w:r>
        <w:fldChar w:fldCharType="separate"/>
      </w:r>
      <w:r>
        <w:t>121</w:t>
      </w:r>
      <w:r>
        <w:fldChar w:fldCharType="end"/>
      </w:r>
      <w:r>
        <w:fldChar w:fldCharType="end"/>
      </w:r>
    </w:p>
    <w:p>
      <w:pPr>
        <w:pStyle w:val="16"/>
        <w:tabs>
          <w:tab w:val="right" w:leader="dot" w:pos="8733"/>
        </w:tabs>
      </w:pPr>
      <w:r>
        <w:fldChar w:fldCharType="begin"/>
      </w:r>
      <w:r>
        <w:instrText xml:space="preserve"> HYPERLINK \l _Toc12844 </w:instrText>
      </w:r>
      <w:r>
        <w:fldChar w:fldCharType="separate"/>
      </w:r>
      <w:r>
        <w:rPr>
          <w:rFonts w:hint="eastAsia"/>
        </w:rPr>
        <w:t>6.3 结论</w:t>
      </w:r>
      <w:r>
        <w:tab/>
      </w:r>
      <w:r>
        <w:fldChar w:fldCharType="begin"/>
      </w:r>
      <w:r>
        <w:instrText xml:space="preserve"> PAGEREF _Toc12844 </w:instrText>
      </w:r>
      <w:r>
        <w:fldChar w:fldCharType="separate"/>
      </w:r>
      <w:r>
        <w:t>121</w:t>
      </w:r>
      <w:r>
        <w:fldChar w:fldCharType="end"/>
      </w:r>
      <w:r>
        <w:fldChar w:fldCharType="end"/>
      </w:r>
    </w:p>
    <w:p>
      <w:pPr>
        <w:pStyle w:val="15"/>
        <w:tabs>
          <w:tab w:val="right" w:leader="dot" w:pos="8733"/>
        </w:tabs>
      </w:pPr>
      <w:r>
        <w:fldChar w:fldCharType="begin"/>
      </w:r>
      <w:r>
        <w:instrText xml:space="preserve"> HYPERLINK \l _Toc18040 </w:instrText>
      </w:r>
      <w:r>
        <w:fldChar w:fldCharType="separate"/>
      </w:r>
      <w:r>
        <w:rPr>
          <w:rFonts w:ascii="Times New Roman" w:hAnsi="Times New Roman" w:cs="微软雅黑"/>
          <w:bCs w:val="0"/>
          <w:i w:val="0"/>
          <w:iCs w:val="0"/>
          <w:caps w:val="0"/>
          <w:smallCaps w:val="0"/>
          <w:strike w:val="0"/>
          <w:dstrike w:val="0"/>
          <w:outline w:val="0"/>
          <w:shadow w:val="0"/>
          <w:emboss w:val="0"/>
          <w:imprint w:val="0"/>
          <w:vanish w:val="0"/>
          <w:spacing w:val="0"/>
          <w:position w:val="0"/>
          <w:vertAlign w:val="baseline"/>
        </w:rPr>
        <w:t xml:space="preserve">第7章 </w:t>
      </w:r>
      <w:r>
        <w:t>环境管理与环境监测</w:t>
      </w:r>
      <w:r>
        <w:tab/>
      </w:r>
      <w:r>
        <w:fldChar w:fldCharType="begin"/>
      </w:r>
      <w:r>
        <w:instrText xml:space="preserve"> PAGEREF _Toc18040 </w:instrText>
      </w:r>
      <w:r>
        <w:fldChar w:fldCharType="separate"/>
      </w:r>
      <w:r>
        <w:t>122</w:t>
      </w:r>
      <w:r>
        <w:fldChar w:fldCharType="end"/>
      </w:r>
      <w:r>
        <w:fldChar w:fldCharType="end"/>
      </w:r>
    </w:p>
    <w:p>
      <w:pPr>
        <w:pStyle w:val="16"/>
        <w:tabs>
          <w:tab w:val="right" w:leader="dot" w:pos="8733"/>
        </w:tabs>
      </w:pPr>
      <w:r>
        <w:fldChar w:fldCharType="begin"/>
      </w:r>
      <w:r>
        <w:instrText xml:space="preserve"> HYPERLINK \l _Toc32054 </w:instrText>
      </w:r>
      <w:r>
        <w:fldChar w:fldCharType="separate"/>
      </w:r>
      <w:r>
        <w:rPr>
          <w:rFonts w:hint="eastAsia"/>
        </w:rPr>
        <w:t xml:space="preserve">7.1 </w:t>
      </w:r>
      <w:r>
        <w:t>环境管理</w:t>
      </w:r>
      <w:r>
        <w:tab/>
      </w:r>
      <w:r>
        <w:fldChar w:fldCharType="begin"/>
      </w:r>
      <w:r>
        <w:instrText xml:space="preserve"> PAGEREF _Toc32054 </w:instrText>
      </w:r>
      <w:r>
        <w:fldChar w:fldCharType="separate"/>
      </w:r>
      <w:r>
        <w:t>122</w:t>
      </w:r>
      <w:r>
        <w:fldChar w:fldCharType="end"/>
      </w:r>
      <w:r>
        <w:fldChar w:fldCharType="end"/>
      </w:r>
    </w:p>
    <w:p>
      <w:pPr>
        <w:pStyle w:val="16"/>
        <w:tabs>
          <w:tab w:val="right" w:leader="dot" w:pos="8733"/>
        </w:tabs>
      </w:pPr>
      <w:r>
        <w:fldChar w:fldCharType="begin"/>
      </w:r>
      <w:r>
        <w:instrText xml:space="preserve"> HYPERLINK \l _Toc1544 </w:instrText>
      </w:r>
      <w:r>
        <w:fldChar w:fldCharType="separate"/>
      </w:r>
      <w:r>
        <w:rPr>
          <w:rFonts w:hint="eastAsia"/>
        </w:rPr>
        <w:t xml:space="preserve">7.2 </w:t>
      </w:r>
      <w:r>
        <w:t>环境监测</w:t>
      </w:r>
      <w:r>
        <w:tab/>
      </w:r>
      <w:r>
        <w:fldChar w:fldCharType="begin"/>
      </w:r>
      <w:r>
        <w:instrText xml:space="preserve"> PAGEREF _Toc1544 </w:instrText>
      </w:r>
      <w:r>
        <w:fldChar w:fldCharType="separate"/>
      </w:r>
      <w:r>
        <w:t>125</w:t>
      </w:r>
      <w:r>
        <w:fldChar w:fldCharType="end"/>
      </w:r>
      <w:r>
        <w:fldChar w:fldCharType="end"/>
      </w:r>
    </w:p>
    <w:p>
      <w:pPr>
        <w:pStyle w:val="16"/>
        <w:tabs>
          <w:tab w:val="right" w:leader="dot" w:pos="8733"/>
        </w:tabs>
      </w:pPr>
      <w:r>
        <w:fldChar w:fldCharType="begin"/>
      </w:r>
      <w:r>
        <w:instrText xml:space="preserve"> HYPERLINK \l _Toc3231 </w:instrText>
      </w:r>
      <w:r>
        <w:fldChar w:fldCharType="separate"/>
      </w:r>
      <w:r>
        <w:rPr>
          <w:rFonts w:hint="eastAsia"/>
        </w:rPr>
        <w:t xml:space="preserve">7.3 </w:t>
      </w:r>
      <w:r>
        <w:t>环保设施“三同时”竣工验收计划</w:t>
      </w:r>
      <w:r>
        <w:tab/>
      </w:r>
      <w:r>
        <w:fldChar w:fldCharType="begin"/>
      </w:r>
      <w:r>
        <w:instrText xml:space="preserve"> PAGEREF _Toc3231 </w:instrText>
      </w:r>
      <w:r>
        <w:fldChar w:fldCharType="separate"/>
      </w:r>
      <w:r>
        <w:t>126</w:t>
      </w:r>
      <w:r>
        <w:fldChar w:fldCharType="end"/>
      </w:r>
      <w:r>
        <w:fldChar w:fldCharType="end"/>
      </w:r>
    </w:p>
    <w:p>
      <w:pPr>
        <w:pStyle w:val="15"/>
        <w:tabs>
          <w:tab w:val="right" w:leader="dot" w:pos="8733"/>
        </w:tabs>
      </w:pPr>
      <w:r>
        <w:fldChar w:fldCharType="begin"/>
      </w:r>
      <w:r>
        <w:instrText xml:space="preserve"> HYPERLINK \l _Toc23847 </w:instrText>
      </w:r>
      <w:r>
        <w:fldChar w:fldCharType="separate"/>
      </w:r>
      <w:r>
        <w:rPr>
          <w:rFonts w:ascii="Times New Roman" w:hAnsi="Times New Roman" w:cs="微软雅黑"/>
          <w:bCs w:val="0"/>
          <w:i w:val="0"/>
          <w:iCs w:val="0"/>
          <w:caps w:val="0"/>
          <w:smallCaps w:val="0"/>
          <w:strike w:val="0"/>
          <w:dstrike w:val="0"/>
          <w:outline w:val="0"/>
          <w:shadow w:val="0"/>
          <w:emboss w:val="0"/>
          <w:imprint w:val="0"/>
          <w:vanish w:val="0"/>
          <w:spacing w:val="0"/>
          <w:position w:val="0"/>
          <w:vertAlign w:val="baseline"/>
        </w:rPr>
        <w:t xml:space="preserve">第8章 </w:t>
      </w:r>
      <w:r>
        <w:t>项目可行性分析</w:t>
      </w:r>
      <w:r>
        <w:tab/>
      </w:r>
      <w:r>
        <w:fldChar w:fldCharType="begin"/>
      </w:r>
      <w:r>
        <w:instrText xml:space="preserve"> PAGEREF _Toc23847 </w:instrText>
      </w:r>
      <w:r>
        <w:fldChar w:fldCharType="separate"/>
      </w:r>
      <w:r>
        <w:t>130</w:t>
      </w:r>
      <w:r>
        <w:fldChar w:fldCharType="end"/>
      </w:r>
      <w:r>
        <w:fldChar w:fldCharType="end"/>
      </w:r>
    </w:p>
    <w:p>
      <w:pPr>
        <w:pStyle w:val="16"/>
        <w:tabs>
          <w:tab w:val="right" w:leader="dot" w:pos="8733"/>
        </w:tabs>
      </w:pPr>
      <w:r>
        <w:fldChar w:fldCharType="begin"/>
      </w:r>
      <w:r>
        <w:instrText xml:space="preserve"> HYPERLINK \l _Toc10323 </w:instrText>
      </w:r>
      <w:r>
        <w:fldChar w:fldCharType="separate"/>
      </w:r>
      <w:r>
        <w:rPr>
          <w:rFonts w:hint="eastAsia"/>
        </w:rPr>
        <w:t xml:space="preserve">8.1 </w:t>
      </w:r>
      <w:r>
        <w:t>相关政策符合性分析</w:t>
      </w:r>
      <w:r>
        <w:tab/>
      </w:r>
      <w:r>
        <w:fldChar w:fldCharType="begin"/>
      </w:r>
      <w:r>
        <w:instrText xml:space="preserve"> PAGEREF _Toc10323 </w:instrText>
      </w:r>
      <w:r>
        <w:fldChar w:fldCharType="separate"/>
      </w:r>
      <w:r>
        <w:t>130</w:t>
      </w:r>
      <w:r>
        <w:fldChar w:fldCharType="end"/>
      </w:r>
      <w:r>
        <w:fldChar w:fldCharType="end"/>
      </w:r>
    </w:p>
    <w:p>
      <w:pPr>
        <w:pStyle w:val="16"/>
        <w:tabs>
          <w:tab w:val="right" w:leader="dot" w:pos="8733"/>
        </w:tabs>
      </w:pPr>
      <w:r>
        <w:fldChar w:fldCharType="begin"/>
      </w:r>
      <w:r>
        <w:instrText xml:space="preserve"> HYPERLINK \l _Toc4980 </w:instrText>
      </w:r>
      <w:r>
        <w:fldChar w:fldCharType="separate"/>
      </w:r>
      <w:r>
        <w:rPr>
          <w:rFonts w:hint="eastAsia"/>
        </w:rPr>
        <w:t>8.2 项目选址合理性分析</w:t>
      </w:r>
      <w:r>
        <w:tab/>
      </w:r>
      <w:r>
        <w:fldChar w:fldCharType="begin"/>
      </w:r>
      <w:r>
        <w:instrText xml:space="preserve"> PAGEREF _Toc4980 </w:instrText>
      </w:r>
      <w:r>
        <w:fldChar w:fldCharType="separate"/>
      </w:r>
      <w:r>
        <w:t>134</w:t>
      </w:r>
      <w:r>
        <w:fldChar w:fldCharType="end"/>
      </w:r>
      <w:r>
        <w:fldChar w:fldCharType="end"/>
      </w:r>
    </w:p>
    <w:p>
      <w:pPr>
        <w:pStyle w:val="16"/>
        <w:tabs>
          <w:tab w:val="right" w:leader="dot" w:pos="8733"/>
        </w:tabs>
      </w:pPr>
      <w:r>
        <w:fldChar w:fldCharType="begin"/>
      </w:r>
      <w:r>
        <w:instrText xml:space="preserve"> HYPERLINK \l _Toc9046 </w:instrText>
      </w:r>
      <w:r>
        <w:fldChar w:fldCharType="separate"/>
      </w:r>
      <w:r>
        <w:rPr>
          <w:rFonts w:hint="eastAsia"/>
        </w:rPr>
        <w:t xml:space="preserve">8.3 </w:t>
      </w:r>
      <w:r>
        <w:t>总平面布置可行性分析</w:t>
      </w:r>
      <w:r>
        <w:tab/>
      </w:r>
      <w:r>
        <w:fldChar w:fldCharType="begin"/>
      </w:r>
      <w:r>
        <w:instrText xml:space="preserve"> PAGEREF _Toc9046 </w:instrText>
      </w:r>
      <w:r>
        <w:fldChar w:fldCharType="separate"/>
      </w:r>
      <w:r>
        <w:t>139</w:t>
      </w:r>
      <w:r>
        <w:fldChar w:fldCharType="end"/>
      </w:r>
      <w:r>
        <w:fldChar w:fldCharType="end"/>
      </w:r>
    </w:p>
    <w:p>
      <w:pPr>
        <w:pStyle w:val="16"/>
        <w:tabs>
          <w:tab w:val="right" w:leader="dot" w:pos="8733"/>
        </w:tabs>
      </w:pPr>
      <w:r>
        <w:fldChar w:fldCharType="begin"/>
      </w:r>
      <w:r>
        <w:instrText xml:space="preserve"> HYPERLINK \l _Toc6739 </w:instrText>
      </w:r>
      <w:r>
        <w:fldChar w:fldCharType="separate"/>
      </w:r>
      <w:r>
        <w:rPr>
          <w:rFonts w:hint="eastAsia"/>
        </w:rPr>
        <w:t>8.4 污染物排放总量控制分析</w:t>
      </w:r>
      <w:r>
        <w:tab/>
      </w:r>
      <w:r>
        <w:fldChar w:fldCharType="begin"/>
      </w:r>
      <w:r>
        <w:instrText xml:space="preserve"> PAGEREF _Toc6739 </w:instrText>
      </w:r>
      <w:r>
        <w:fldChar w:fldCharType="separate"/>
      </w:r>
      <w:r>
        <w:t>139</w:t>
      </w:r>
      <w:r>
        <w:fldChar w:fldCharType="end"/>
      </w:r>
      <w:r>
        <w:fldChar w:fldCharType="end"/>
      </w:r>
    </w:p>
    <w:p>
      <w:pPr>
        <w:pStyle w:val="16"/>
        <w:tabs>
          <w:tab w:val="right" w:leader="dot" w:pos="8733"/>
        </w:tabs>
      </w:pPr>
      <w:r>
        <w:fldChar w:fldCharType="begin"/>
      </w:r>
      <w:r>
        <w:instrText xml:space="preserve"> HYPERLINK \l _Toc12832 </w:instrText>
      </w:r>
      <w:r>
        <w:fldChar w:fldCharType="separate"/>
      </w:r>
      <w:r>
        <w:rPr>
          <w:rFonts w:hint="eastAsia"/>
        </w:rPr>
        <w:t>8.5 项目环评文件不予审批情况判断</w:t>
      </w:r>
      <w:r>
        <w:tab/>
      </w:r>
      <w:r>
        <w:fldChar w:fldCharType="begin"/>
      </w:r>
      <w:r>
        <w:instrText xml:space="preserve"> PAGEREF _Toc12832 </w:instrText>
      </w:r>
      <w:r>
        <w:fldChar w:fldCharType="separate"/>
      </w:r>
      <w:r>
        <w:t>140</w:t>
      </w:r>
      <w:r>
        <w:fldChar w:fldCharType="end"/>
      </w:r>
      <w:r>
        <w:fldChar w:fldCharType="end"/>
      </w:r>
    </w:p>
    <w:p>
      <w:pPr>
        <w:pStyle w:val="15"/>
        <w:tabs>
          <w:tab w:val="right" w:leader="dot" w:pos="8733"/>
        </w:tabs>
      </w:pPr>
      <w:r>
        <w:fldChar w:fldCharType="begin"/>
      </w:r>
      <w:r>
        <w:instrText xml:space="preserve"> HYPERLINK \l _Toc25184 </w:instrText>
      </w:r>
      <w:r>
        <w:fldChar w:fldCharType="separate"/>
      </w:r>
      <w:r>
        <w:rPr>
          <w:rFonts w:ascii="Times New Roman" w:hAnsi="Times New Roman" w:cs="微软雅黑"/>
          <w:bCs w:val="0"/>
          <w:i w:val="0"/>
          <w:iCs w:val="0"/>
          <w:caps w:val="0"/>
          <w:smallCaps w:val="0"/>
          <w:strike w:val="0"/>
          <w:dstrike w:val="0"/>
          <w:outline w:val="0"/>
          <w:shadow w:val="0"/>
          <w:emboss w:val="0"/>
          <w:imprint w:val="0"/>
          <w:vanish w:val="0"/>
          <w:spacing w:val="0"/>
          <w:position w:val="0"/>
          <w:vertAlign w:val="baseline"/>
        </w:rPr>
        <w:t xml:space="preserve">第9章 </w:t>
      </w:r>
      <w:r>
        <w:t>结论与建议</w:t>
      </w:r>
      <w:r>
        <w:tab/>
      </w:r>
      <w:r>
        <w:fldChar w:fldCharType="begin"/>
      </w:r>
      <w:r>
        <w:instrText xml:space="preserve"> PAGEREF _Toc25184 </w:instrText>
      </w:r>
      <w:r>
        <w:fldChar w:fldCharType="separate"/>
      </w:r>
      <w:r>
        <w:t>141</w:t>
      </w:r>
      <w:r>
        <w:fldChar w:fldCharType="end"/>
      </w:r>
      <w:r>
        <w:fldChar w:fldCharType="end"/>
      </w:r>
    </w:p>
    <w:p>
      <w:pPr>
        <w:pStyle w:val="16"/>
        <w:tabs>
          <w:tab w:val="right" w:leader="dot" w:pos="8733"/>
        </w:tabs>
      </w:pPr>
      <w:r>
        <w:fldChar w:fldCharType="begin"/>
      </w:r>
      <w:r>
        <w:instrText xml:space="preserve"> HYPERLINK \l _Toc24793 </w:instrText>
      </w:r>
      <w:r>
        <w:fldChar w:fldCharType="separate"/>
      </w:r>
      <w:r>
        <w:rPr>
          <w:rFonts w:hint="eastAsia"/>
        </w:rPr>
        <w:t xml:space="preserve">9.1 </w:t>
      </w:r>
      <w:r>
        <w:t>建设项目概况</w:t>
      </w:r>
      <w:r>
        <w:tab/>
      </w:r>
      <w:r>
        <w:fldChar w:fldCharType="begin"/>
      </w:r>
      <w:r>
        <w:instrText xml:space="preserve"> PAGEREF _Toc24793 </w:instrText>
      </w:r>
      <w:r>
        <w:fldChar w:fldCharType="separate"/>
      </w:r>
      <w:r>
        <w:t>141</w:t>
      </w:r>
      <w:r>
        <w:fldChar w:fldCharType="end"/>
      </w:r>
      <w:r>
        <w:fldChar w:fldCharType="end"/>
      </w:r>
    </w:p>
    <w:p>
      <w:pPr>
        <w:pStyle w:val="16"/>
        <w:tabs>
          <w:tab w:val="right" w:leader="dot" w:pos="8733"/>
        </w:tabs>
      </w:pPr>
      <w:r>
        <w:fldChar w:fldCharType="begin"/>
      </w:r>
      <w:r>
        <w:instrText xml:space="preserve"> HYPERLINK \l _Toc5428 </w:instrText>
      </w:r>
      <w:r>
        <w:fldChar w:fldCharType="separate"/>
      </w:r>
      <w:r>
        <w:rPr>
          <w:rFonts w:hint="eastAsia"/>
        </w:rPr>
        <w:t>9.2 环境质量现状评价结论</w:t>
      </w:r>
      <w:r>
        <w:tab/>
      </w:r>
      <w:r>
        <w:fldChar w:fldCharType="begin"/>
      </w:r>
      <w:r>
        <w:instrText xml:space="preserve"> PAGEREF _Toc5428 </w:instrText>
      </w:r>
      <w:r>
        <w:fldChar w:fldCharType="separate"/>
      </w:r>
      <w:r>
        <w:t>141</w:t>
      </w:r>
      <w:r>
        <w:fldChar w:fldCharType="end"/>
      </w:r>
      <w:r>
        <w:fldChar w:fldCharType="end"/>
      </w:r>
    </w:p>
    <w:p>
      <w:pPr>
        <w:pStyle w:val="16"/>
        <w:tabs>
          <w:tab w:val="right" w:leader="dot" w:pos="8733"/>
        </w:tabs>
      </w:pPr>
      <w:r>
        <w:fldChar w:fldCharType="begin"/>
      </w:r>
      <w:r>
        <w:instrText xml:space="preserve"> HYPERLINK \l _Toc4224 </w:instrText>
      </w:r>
      <w:r>
        <w:fldChar w:fldCharType="separate"/>
      </w:r>
      <w:r>
        <w:rPr>
          <w:rFonts w:hint="eastAsia"/>
        </w:rPr>
        <w:t>9.3 环境影响预测与评价结论</w:t>
      </w:r>
      <w:r>
        <w:tab/>
      </w:r>
      <w:r>
        <w:fldChar w:fldCharType="begin"/>
      </w:r>
      <w:r>
        <w:instrText xml:space="preserve"> PAGEREF _Toc4224 </w:instrText>
      </w:r>
      <w:r>
        <w:fldChar w:fldCharType="separate"/>
      </w:r>
      <w:r>
        <w:t>142</w:t>
      </w:r>
      <w:r>
        <w:fldChar w:fldCharType="end"/>
      </w:r>
      <w:r>
        <w:fldChar w:fldCharType="end"/>
      </w:r>
    </w:p>
    <w:p>
      <w:pPr>
        <w:pStyle w:val="16"/>
        <w:tabs>
          <w:tab w:val="right" w:leader="dot" w:pos="8733"/>
        </w:tabs>
      </w:pPr>
      <w:r>
        <w:fldChar w:fldCharType="begin"/>
      </w:r>
      <w:r>
        <w:instrText xml:space="preserve"> HYPERLINK \l _Toc7795 </w:instrText>
      </w:r>
      <w:r>
        <w:fldChar w:fldCharType="separate"/>
      </w:r>
      <w:r>
        <w:rPr>
          <w:rFonts w:hint="eastAsia"/>
        </w:rPr>
        <w:t xml:space="preserve">9.4 </w:t>
      </w:r>
      <w:r>
        <w:t>项目建设可行性评价结论</w:t>
      </w:r>
      <w:r>
        <w:tab/>
      </w:r>
      <w:r>
        <w:fldChar w:fldCharType="begin"/>
      </w:r>
      <w:r>
        <w:instrText xml:space="preserve"> PAGEREF _Toc7795 </w:instrText>
      </w:r>
      <w:r>
        <w:fldChar w:fldCharType="separate"/>
      </w:r>
      <w:r>
        <w:t>144</w:t>
      </w:r>
      <w:r>
        <w:fldChar w:fldCharType="end"/>
      </w:r>
      <w:r>
        <w:fldChar w:fldCharType="end"/>
      </w:r>
    </w:p>
    <w:p>
      <w:pPr>
        <w:pStyle w:val="16"/>
        <w:tabs>
          <w:tab w:val="right" w:leader="dot" w:pos="8733"/>
        </w:tabs>
      </w:pPr>
      <w:r>
        <w:fldChar w:fldCharType="begin"/>
      </w:r>
      <w:r>
        <w:instrText xml:space="preserve"> HYPERLINK \l _Toc23107 </w:instrText>
      </w:r>
      <w:r>
        <w:fldChar w:fldCharType="separate"/>
      </w:r>
      <w:r>
        <w:rPr>
          <w:rFonts w:hint="eastAsia"/>
        </w:rPr>
        <w:t xml:space="preserve">9.5 </w:t>
      </w:r>
      <w:r>
        <w:rPr>
          <w:rFonts w:hint="default"/>
        </w:rPr>
        <w:t>公众意见采纳情况</w:t>
      </w:r>
      <w:r>
        <w:tab/>
      </w:r>
      <w:r>
        <w:fldChar w:fldCharType="begin"/>
      </w:r>
      <w:r>
        <w:instrText xml:space="preserve"> PAGEREF _Toc23107 </w:instrText>
      </w:r>
      <w:r>
        <w:fldChar w:fldCharType="separate"/>
      </w:r>
      <w:r>
        <w:t>145</w:t>
      </w:r>
      <w:r>
        <w:fldChar w:fldCharType="end"/>
      </w:r>
      <w:r>
        <w:fldChar w:fldCharType="end"/>
      </w:r>
    </w:p>
    <w:p>
      <w:pPr>
        <w:pStyle w:val="16"/>
        <w:tabs>
          <w:tab w:val="right" w:leader="dot" w:pos="8733"/>
        </w:tabs>
      </w:pPr>
      <w:r>
        <w:fldChar w:fldCharType="begin"/>
      </w:r>
      <w:r>
        <w:instrText xml:space="preserve"> HYPERLINK \l _Toc1608 </w:instrText>
      </w:r>
      <w:r>
        <w:fldChar w:fldCharType="separate"/>
      </w:r>
      <w:r>
        <w:rPr>
          <w:rFonts w:hint="eastAsia"/>
        </w:rPr>
        <w:t>9.6 综合结论</w:t>
      </w:r>
      <w:r>
        <w:tab/>
      </w:r>
      <w:r>
        <w:fldChar w:fldCharType="begin"/>
      </w:r>
      <w:r>
        <w:instrText xml:space="preserve"> PAGEREF _Toc1608 </w:instrText>
      </w:r>
      <w:r>
        <w:fldChar w:fldCharType="separate"/>
      </w:r>
      <w:r>
        <w:t>145</w:t>
      </w:r>
      <w:r>
        <w:fldChar w:fldCharType="end"/>
      </w:r>
      <w:r>
        <w:fldChar w:fldCharType="end"/>
      </w:r>
    </w:p>
    <w:p>
      <w:pPr>
        <w:pStyle w:val="16"/>
        <w:tabs>
          <w:tab w:val="right" w:leader="dot" w:pos="8733"/>
        </w:tabs>
      </w:pPr>
      <w:r>
        <w:fldChar w:fldCharType="begin"/>
      </w:r>
      <w:r>
        <w:instrText xml:space="preserve"> HYPERLINK \l _Toc29325 </w:instrText>
      </w:r>
      <w:r>
        <w:fldChar w:fldCharType="separate"/>
      </w:r>
      <w:r>
        <w:rPr>
          <w:rFonts w:hint="eastAsia"/>
        </w:rPr>
        <w:t xml:space="preserve">9.7 </w:t>
      </w:r>
      <w:r>
        <w:t>建议</w:t>
      </w:r>
      <w:r>
        <w:tab/>
      </w:r>
      <w:r>
        <w:fldChar w:fldCharType="begin"/>
      </w:r>
      <w:r>
        <w:instrText xml:space="preserve"> PAGEREF _Toc29325 </w:instrText>
      </w:r>
      <w:r>
        <w:fldChar w:fldCharType="separate"/>
      </w:r>
      <w:r>
        <w:t>146</w:t>
      </w:r>
      <w:r>
        <w:fldChar w:fldCharType="end"/>
      </w:r>
      <w:r>
        <w:fldChar w:fldCharType="end"/>
      </w:r>
    </w:p>
    <w:p>
      <w:r>
        <w:fldChar w:fldCharType="end"/>
      </w:r>
    </w:p>
    <w:p/>
    <w:p/>
    <w:p/>
    <w:p/>
    <w:p/>
    <w:p/>
    <w:p/>
    <w:p>
      <w:r>
        <w:rPr>
          <w:rFonts w:hint="eastAsia"/>
        </w:rPr>
        <w:t>附表</w:t>
      </w:r>
    </w:p>
    <w:p>
      <w:pPr>
        <w:rPr>
          <w:rFonts w:hint="eastAsia"/>
        </w:rPr>
      </w:pPr>
      <w:r>
        <w:rPr>
          <w:rFonts w:hint="eastAsia"/>
        </w:rPr>
        <w:t>附表</w:t>
      </w:r>
      <w:r>
        <w:t>1</w:t>
      </w:r>
      <w:r>
        <w:rPr>
          <w:rFonts w:hint="eastAsia"/>
        </w:rPr>
        <w:t>：建设项目环境保护审批登记表</w:t>
      </w:r>
    </w:p>
    <w:p>
      <w:pPr>
        <w:rPr>
          <w:rFonts w:hint="eastAsia"/>
          <w:lang w:val="en-US" w:eastAsia="zh-CN"/>
        </w:rPr>
      </w:pPr>
      <w:r>
        <w:rPr>
          <w:rFonts w:hint="eastAsia"/>
          <w:lang w:val="en-US" w:eastAsia="zh-CN"/>
        </w:rPr>
        <w:t>附表2：大气环境影响自查表</w:t>
      </w:r>
    </w:p>
    <w:p>
      <w:pPr>
        <w:rPr>
          <w:rFonts w:hint="eastAsia"/>
          <w:lang w:val="en-US" w:eastAsia="zh-CN"/>
        </w:rPr>
      </w:pPr>
      <w:r>
        <w:rPr>
          <w:rFonts w:hint="eastAsia"/>
          <w:lang w:val="en-US" w:eastAsia="zh-CN"/>
        </w:rPr>
        <w:t>附表3：地表水环境影响自查表</w:t>
      </w:r>
    </w:p>
    <w:p>
      <w:pPr>
        <w:rPr>
          <w:rFonts w:hint="eastAsia"/>
          <w:lang w:val="en-US" w:eastAsia="zh-CN"/>
        </w:rPr>
      </w:pPr>
      <w:r>
        <w:rPr>
          <w:rFonts w:hint="eastAsia"/>
          <w:lang w:val="en-US" w:eastAsia="zh-CN"/>
        </w:rPr>
        <w:t>附表4：环境风险自查表</w:t>
      </w:r>
    </w:p>
    <w:p>
      <w:pPr>
        <w:rPr>
          <w:rFonts w:hint="default"/>
          <w:lang w:val="en-US" w:eastAsia="zh-CN"/>
        </w:rPr>
      </w:pPr>
      <w:r>
        <w:rPr>
          <w:rFonts w:hint="eastAsia"/>
          <w:lang w:val="en-US" w:eastAsia="zh-CN"/>
        </w:rPr>
        <w:t>附表5：土壤环境自查表</w:t>
      </w:r>
    </w:p>
    <w:p>
      <w:r>
        <w:rPr>
          <w:rFonts w:hint="eastAsia"/>
        </w:rPr>
        <w:t>附件</w:t>
      </w:r>
    </w:p>
    <w:p>
      <w:pPr>
        <w:rPr>
          <w:rFonts w:hint="eastAsia"/>
        </w:rPr>
      </w:pPr>
      <w:r>
        <w:rPr>
          <w:rFonts w:hint="eastAsia"/>
        </w:rPr>
        <w:t>附件</w:t>
      </w:r>
      <w:r>
        <w:t>1</w:t>
      </w:r>
      <w:r>
        <w:rPr>
          <w:rFonts w:hint="eastAsia"/>
        </w:rPr>
        <w:t>：委托函</w:t>
      </w:r>
    </w:p>
    <w:p>
      <w:pPr>
        <w:rPr>
          <w:rFonts w:hint="default" w:eastAsiaTheme="minorEastAsia"/>
          <w:lang w:val="en-US" w:eastAsia="zh-CN"/>
        </w:rPr>
      </w:pPr>
      <w:r>
        <w:rPr>
          <w:rFonts w:hint="eastAsia"/>
          <w:lang w:eastAsia="zh-CN"/>
        </w:rPr>
        <w:t>附件</w:t>
      </w:r>
      <w:r>
        <w:rPr>
          <w:rFonts w:hint="eastAsia"/>
          <w:lang w:val="en-US" w:eastAsia="zh-CN"/>
        </w:rPr>
        <w:t>2：质保单</w:t>
      </w:r>
    </w:p>
    <w:p>
      <w:r>
        <w:rPr>
          <w:rFonts w:hint="eastAsia"/>
        </w:rPr>
        <w:t>附件</w:t>
      </w:r>
      <w:r>
        <w:rPr>
          <w:rFonts w:hint="eastAsia"/>
          <w:lang w:val="en-US" w:eastAsia="zh-CN"/>
        </w:rPr>
        <w:t>3</w:t>
      </w:r>
      <w:r>
        <w:rPr>
          <w:rFonts w:hint="eastAsia"/>
        </w:rPr>
        <w:t>：营业执照</w:t>
      </w:r>
    </w:p>
    <w:p>
      <w:r>
        <w:rPr>
          <w:rFonts w:hint="eastAsia"/>
        </w:rPr>
        <w:t>附件</w:t>
      </w:r>
      <w:r>
        <w:rPr>
          <w:rFonts w:hint="eastAsia"/>
          <w:lang w:val="en-US" w:eastAsia="zh-CN"/>
        </w:rPr>
        <w:t>4</w:t>
      </w:r>
      <w:r>
        <w:rPr>
          <w:rFonts w:hint="eastAsia"/>
        </w:rPr>
        <w:t>：土地流转合同</w:t>
      </w:r>
    </w:p>
    <w:p>
      <w:r>
        <w:rPr>
          <w:rFonts w:hint="eastAsia"/>
        </w:rPr>
        <w:t>附件</w:t>
      </w:r>
      <w:r>
        <w:rPr>
          <w:rFonts w:hint="eastAsia"/>
          <w:lang w:val="en-US" w:eastAsia="zh-CN"/>
        </w:rPr>
        <w:t>5</w:t>
      </w:r>
      <w:r>
        <w:rPr>
          <w:rFonts w:hint="eastAsia"/>
        </w:rPr>
        <w:t>：畜牧局备案文件</w:t>
      </w:r>
    </w:p>
    <w:p>
      <w:pPr>
        <w:rPr>
          <w:rFonts w:hint="eastAsia" w:eastAsiaTheme="minorEastAsia"/>
          <w:lang w:eastAsia="zh-CN"/>
        </w:rPr>
      </w:pPr>
      <w:r>
        <w:rPr>
          <w:rFonts w:hint="eastAsia"/>
        </w:rPr>
        <w:t>附件</w:t>
      </w:r>
      <w:r>
        <w:rPr>
          <w:rFonts w:hint="eastAsia"/>
          <w:lang w:val="en-US" w:eastAsia="zh-CN"/>
        </w:rPr>
        <w:t>6</w:t>
      </w:r>
      <w:r>
        <w:rPr>
          <w:rFonts w:hint="eastAsia"/>
        </w:rPr>
        <w:t>：</w:t>
      </w:r>
      <w:r>
        <w:rPr>
          <w:rFonts w:hint="eastAsia"/>
          <w:lang w:eastAsia="zh-CN"/>
        </w:rPr>
        <w:t>不在禁养区证明</w:t>
      </w:r>
    </w:p>
    <w:p>
      <w:pPr>
        <w:rPr>
          <w:rFonts w:hint="eastAsia" w:eastAsiaTheme="minorEastAsia"/>
          <w:lang w:eastAsia="zh-CN"/>
        </w:rPr>
      </w:pPr>
      <w:r>
        <w:rPr>
          <w:rFonts w:hint="eastAsia"/>
        </w:rPr>
        <w:t>附件</w:t>
      </w:r>
      <w:r>
        <w:rPr>
          <w:rFonts w:hint="eastAsia"/>
          <w:lang w:val="en-US" w:eastAsia="zh-CN"/>
        </w:rPr>
        <w:t>7</w:t>
      </w:r>
      <w:r>
        <w:rPr>
          <w:rFonts w:hint="eastAsia"/>
        </w:rPr>
        <w:t>：</w:t>
      </w:r>
      <w:r>
        <w:rPr>
          <w:rFonts w:hint="eastAsia"/>
          <w:lang w:eastAsia="zh-CN"/>
        </w:rPr>
        <w:t>生态红线证明</w:t>
      </w:r>
    </w:p>
    <w:p>
      <w:pPr>
        <w:rPr>
          <w:rFonts w:hint="eastAsia" w:eastAsiaTheme="minorEastAsia"/>
          <w:lang w:eastAsia="zh-CN"/>
        </w:rPr>
      </w:pPr>
      <w:r>
        <w:rPr>
          <w:rFonts w:hint="eastAsia"/>
        </w:rPr>
        <w:t>附件</w:t>
      </w:r>
      <w:r>
        <w:rPr>
          <w:rFonts w:hint="eastAsia"/>
          <w:lang w:val="en-US" w:eastAsia="zh-CN"/>
        </w:rPr>
        <w:t>8</w:t>
      </w:r>
      <w:r>
        <w:rPr>
          <w:rFonts w:hint="eastAsia"/>
        </w:rPr>
        <w:t>：</w:t>
      </w:r>
      <w:r>
        <w:rPr>
          <w:rFonts w:hint="eastAsia"/>
          <w:lang w:eastAsia="zh-CN"/>
        </w:rPr>
        <w:t>林业行政许可</w:t>
      </w:r>
    </w:p>
    <w:p>
      <w:pPr>
        <w:rPr>
          <w:rFonts w:hint="eastAsia"/>
          <w:lang w:eastAsia="zh-CN"/>
        </w:rPr>
      </w:pPr>
      <w:r>
        <w:rPr>
          <w:rFonts w:hint="eastAsia"/>
        </w:rPr>
        <w:t>附件</w:t>
      </w:r>
      <w:r>
        <w:rPr>
          <w:rFonts w:hint="eastAsia"/>
          <w:lang w:val="en-US" w:eastAsia="zh-CN"/>
        </w:rPr>
        <w:t>9</w:t>
      </w:r>
      <w:r>
        <w:rPr>
          <w:rFonts w:hint="eastAsia"/>
        </w:rPr>
        <w:t>：</w:t>
      </w:r>
      <w:r>
        <w:rPr>
          <w:rFonts w:hint="eastAsia"/>
          <w:lang w:eastAsia="zh-CN"/>
        </w:rPr>
        <w:t>林业审批</w:t>
      </w:r>
    </w:p>
    <w:p>
      <w:pPr>
        <w:rPr>
          <w:rFonts w:hint="eastAsia"/>
          <w:lang w:val="en-US" w:eastAsia="zh-CN"/>
        </w:rPr>
      </w:pPr>
      <w:r>
        <w:rPr>
          <w:rFonts w:hint="eastAsia"/>
          <w:lang w:eastAsia="zh-CN"/>
        </w:rPr>
        <w:t>附件</w:t>
      </w:r>
      <w:r>
        <w:rPr>
          <w:rFonts w:hint="eastAsia"/>
          <w:lang w:val="en-US" w:eastAsia="zh-CN"/>
        </w:rPr>
        <w:t>10：国土面积测定</w:t>
      </w:r>
    </w:p>
    <w:p>
      <w:pPr>
        <w:rPr>
          <w:rFonts w:hint="eastAsia"/>
          <w:lang w:val="en-US" w:eastAsia="zh-CN"/>
        </w:rPr>
      </w:pPr>
      <w:r>
        <w:rPr>
          <w:rFonts w:hint="eastAsia"/>
          <w:lang w:val="en-US" w:eastAsia="zh-CN"/>
        </w:rPr>
        <w:t>附件11：沼液合同</w:t>
      </w:r>
    </w:p>
    <w:p>
      <w:pPr>
        <w:rPr>
          <w:rFonts w:hint="eastAsia"/>
          <w:lang w:val="en-US" w:eastAsia="zh-CN"/>
        </w:rPr>
      </w:pPr>
      <w:r>
        <w:rPr>
          <w:rFonts w:hint="eastAsia"/>
          <w:lang w:val="en-US" w:eastAsia="zh-CN"/>
        </w:rPr>
        <w:t>附件12：农用设施地审批</w:t>
      </w:r>
    </w:p>
    <w:p>
      <w:pPr>
        <w:rPr>
          <w:rFonts w:hint="default"/>
          <w:lang w:val="en-US" w:eastAsia="zh-CN"/>
        </w:rPr>
      </w:pPr>
      <w:r>
        <w:rPr>
          <w:rFonts w:hint="eastAsia"/>
          <w:lang w:val="en-US" w:eastAsia="zh-CN"/>
        </w:rPr>
        <w:t>附件13：房屋租赁协议</w:t>
      </w:r>
    </w:p>
    <w:p>
      <w:r>
        <w:rPr>
          <w:rFonts w:hint="eastAsia"/>
        </w:rPr>
        <w:t>附图</w:t>
      </w:r>
    </w:p>
    <w:p>
      <w:r>
        <w:rPr>
          <w:rFonts w:hint="eastAsia"/>
        </w:rPr>
        <w:t>附图</w:t>
      </w:r>
      <w:r>
        <w:t>1</w:t>
      </w:r>
      <w:r>
        <w:rPr>
          <w:rFonts w:hint="eastAsia"/>
        </w:rPr>
        <w:t>：项目地理位置图</w:t>
      </w:r>
    </w:p>
    <w:p>
      <w:r>
        <w:rPr>
          <w:rFonts w:hint="eastAsia"/>
        </w:rPr>
        <w:t>附图</w:t>
      </w:r>
      <w:r>
        <w:t>2</w:t>
      </w:r>
      <w:r>
        <w:rPr>
          <w:rFonts w:hint="eastAsia"/>
        </w:rPr>
        <w:t>：项目平面布置</w:t>
      </w:r>
    </w:p>
    <w:p>
      <w:r>
        <w:rPr>
          <w:rFonts w:hint="eastAsia"/>
        </w:rPr>
        <w:t>附图3：项目环保目标图</w:t>
      </w:r>
    </w:p>
    <w:p>
      <w:r>
        <w:rPr>
          <w:rFonts w:hint="eastAsia"/>
        </w:rPr>
        <w:t>附图4：项目养殖区卫生防护距离图</w:t>
      </w:r>
    </w:p>
    <w:p>
      <w:r>
        <w:rPr>
          <w:rFonts w:hint="eastAsia"/>
        </w:rPr>
        <w:t>附图5：项目所在区域环境质量监测点位示意图</w:t>
      </w:r>
    </w:p>
    <w:p>
      <w:r>
        <w:rPr>
          <w:rFonts w:hint="eastAsia"/>
        </w:rPr>
        <w:t>附图6：本项目所在区域地表水系分布图</w:t>
      </w:r>
    </w:p>
    <w:p>
      <w:r>
        <w:rPr>
          <w:rFonts w:hint="eastAsia"/>
        </w:rPr>
        <w:t>附图7：项目周边环境现状照片图</w:t>
      </w:r>
    </w:p>
    <w:p/>
    <w:p>
      <w:pPr>
        <w:pStyle w:val="10"/>
        <w:bidi w:val="0"/>
        <w:sectPr>
          <w:footerReference r:id="rId7" w:type="default"/>
          <w:pgSz w:w="11907" w:h="16840"/>
          <w:pgMar w:top="1417" w:right="1587" w:bottom="1417" w:left="1587" w:header="851" w:footer="992" w:gutter="0"/>
          <w:pgNumType w:fmt="upperRoman" w:start="1"/>
          <w:cols w:space="720" w:num="1"/>
          <w:docGrid w:linePitch="312" w:charSpace="0"/>
        </w:sectPr>
      </w:pPr>
      <w:bookmarkStart w:id="8" w:name="_Toc479672412"/>
      <w:bookmarkStart w:id="9" w:name="_Toc468689076"/>
    </w:p>
    <w:p>
      <w:pPr>
        <w:pStyle w:val="3"/>
        <w:bidi w:val="0"/>
      </w:pPr>
      <w:bookmarkStart w:id="10" w:name="_Toc13921"/>
      <w:r>
        <w:t>概述</w:t>
      </w:r>
      <w:bookmarkEnd w:id="8"/>
      <w:bookmarkEnd w:id="10"/>
    </w:p>
    <w:p>
      <w:pPr>
        <w:rPr>
          <w:b/>
          <w:bCs/>
        </w:rPr>
      </w:pPr>
      <w:bookmarkStart w:id="11" w:name="_Toc468689077"/>
      <w:bookmarkStart w:id="12" w:name="_Toc289344510"/>
      <w:r>
        <w:rPr>
          <w:rFonts w:hint="eastAsia"/>
          <w:b/>
          <w:bCs/>
          <w:lang w:eastAsia="zh-CN"/>
        </w:rPr>
        <w:t>一、</w:t>
      </w:r>
      <w:r>
        <w:rPr>
          <w:rFonts w:hint="eastAsia"/>
          <w:b/>
          <w:bCs/>
        </w:rPr>
        <w:t>项目由来</w:t>
      </w:r>
      <w:bookmarkEnd w:id="11"/>
      <w:bookmarkEnd w:id="12"/>
      <w:r>
        <w:rPr>
          <w:rFonts w:hint="eastAsia"/>
          <w:b/>
          <w:bCs/>
        </w:rPr>
        <w:t>及特点</w:t>
      </w:r>
    </w:p>
    <w:p>
      <w:pPr>
        <w:bidi w:val="0"/>
      </w:pPr>
      <w:r>
        <w:rPr>
          <w:rFonts w:hint="eastAsia"/>
          <w:lang w:val="en-US" w:eastAsia="zh-CN"/>
        </w:rPr>
        <w:t>2019年</w:t>
      </w:r>
      <w:r>
        <w:rPr>
          <w:rFonts w:hint="eastAsia"/>
        </w:rPr>
        <w:t>以来，农业农村部把生猪稳产保供放在更加突出的位置，9月以来，农业农村部相继召开东北和南方片区会，指导东北地区扩群增养，要求南方地区尽快遏制下滑趋势。成立恢复生猪生产协调办公室，加强生产和政策情况调度，约谈11个生猪生产下降幅度较大的省份。以国务院办公厅名义印发《关于稳定生猪生产促进转型升级的意见》，会同有关部门出台17项政策措施，全国31省（区、市）印发生猪稳产保供实施意见。在市场拉动和政策推动下，生猪生产已出现止降回升的积极变化，但恢复生产发展保障市场供给仍面临不少困难和挑战，任务十分艰巨。当前首先是把生猪生产抓上去，确保各项既定目标如期实现。</w:t>
      </w:r>
    </w:p>
    <w:p>
      <w:r>
        <w:rPr>
          <w:rFonts w:hint="eastAsia"/>
        </w:rPr>
        <w:t>《湖南省人民政府办公厅关于加快转型升级推进现代畜牧业发展的意见》也指出，应大力推广种养结合的生态养殖模式。把畜禽养殖场建设纳入农业产业布局和功能区总体规划，结合实施“百企千社万户”现代农业发展工程、“百片千园万名”科技兴农工程，大力推行种养结合、林牧结合、牧渔结合等以种养平衡为主要内容的生态养殖模式。支持家庭农场、林果基地配套发展适度规模养殖场，支持适度规模养殖场开发利用周边农地林地资源配套发展种植生产。</w:t>
      </w:r>
    </w:p>
    <w:p>
      <w:r>
        <w:rPr>
          <w:rFonts w:hint="eastAsia"/>
        </w:rPr>
        <w:t>生猪养殖是农业生产的重要组成部分。抓好生猪生产，保持生猪的合理供应，对稳定市场供应、满足消费需求、增加农民收入、促进经济发展具有重要意义。党中央、国务院高度重视生猪稳产保供工作。今年以来，农业农村部把生猪稳产保供放在更加突出的位置，2019年为促进生猪产业发展，国家自然资源部、生态环境部、农业农村部接连出手，发布支持养猪新政策，严格规范禁养区划定和管理，允许使用耕地养猪，为生猪生产提供多重保障。2019年8月，自然资源部办公厅发出《关于保障生猪</w:t>
      </w:r>
      <w:r>
        <w:fldChar w:fldCharType="begin"/>
      </w:r>
      <w:r>
        <w:instrText xml:space="preserve"> HYPERLINK "https://www.tuliu.com/baike/list-c304" \t "https://www.tuliu.com/_blank" </w:instrText>
      </w:r>
      <w:r>
        <w:fldChar w:fldCharType="separate"/>
      </w:r>
      <w:r>
        <w:rPr>
          <w:rFonts w:hint="eastAsia"/>
        </w:rPr>
        <w:t>养殖</w:t>
      </w:r>
      <w:r>
        <w:rPr>
          <w:rFonts w:hint="eastAsia"/>
        </w:rPr>
        <w:fldChar w:fldCharType="end"/>
      </w:r>
      <w:r>
        <w:rPr>
          <w:rFonts w:hint="eastAsia"/>
        </w:rPr>
        <w:t>用地有关问题的通知》，通知强调要完善生猪生产的用地政策，鼓励利用</w:t>
      </w:r>
      <w:r>
        <w:fldChar w:fldCharType="begin"/>
      </w:r>
      <w:r>
        <w:instrText xml:space="preserve"> HYPERLINK "https://www.tuliu.com/gongying/huangshan/" \t "https://www.tuliu.com/_blank" </w:instrText>
      </w:r>
      <w:r>
        <w:fldChar w:fldCharType="separate"/>
      </w:r>
      <w:r>
        <w:rPr>
          <w:rFonts w:hint="eastAsia"/>
        </w:rPr>
        <w:t>荒山</w:t>
      </w:r>
      <w:r>
        <w:rPr>
          <w:rFonts w:hint="eastAsia"/>
        </w:rPr>
        <w:fldChar w:fldCharType="end"/>
      </w:r>
      <w:r>
        <w:rPr>
          <w:rFonts w:hint="eastAsia"/>
        </w:rPr>
        <w:t>、荒沟、荒丘、荒滩和农村集体建设用地及原有养殖设施用地进行生猪养殖生产，各地可进一步制定鼓励支持政策。</w:t>
      </w:r>
    </w:p>
    <w:p>
      <w:pPr>
        <w:rPr>
          <w:highlight w:val="none"/>
        </w:rPr>
      </w:pPr>
      <w:r>
        <w:rPr>
          <w:rFonts w:hint="eastAsia"/>
          <w:lang w:eastAsia="zh-CN"/>
        </w:rPr>
        <w:t>澧县大梁农业发展有限公司拟投资</w:t>
      </w:r>
      <w:r>
        <w:rPr>
          <w:rFonts w:hint="eastAsia"/>
          <w:lang w:val="en-US" w:eastAsia="zh-CN"/>
        </w:rPr>
        <w:t>8000万元</w:t>
      </w:r>
      <w:r>
        <w:rPr>
          <w:rFonts w:hint="eastAsia"/>
          <w:lang w:eastAsia="zh-CN"/>
        </w:rPr>
        <w:t>在澧县澧南镇天子山社区、</w:t>
      </w:r>
      <w:r>
        <w:rPr>
          <w:rFonts w:hint="eastAsia"/>
          <w:lang w:val="en-US" w:eastAsia="zh-CN"/>
        </w:rPr>
        <w:t>临澧县修梅镇杨板桥社区</w:t>
      </w:r>
      <w:r>
        <w:rPr>
          <w:rFonts w:hint="eastAsia"/>
          <w:lang w:eastAsia="zh-CN"/>
        </w:rPr>
        <w:t>建设牲猪养殖项目，建设规模为年存栏母猪</w:t>
      </w:r>
      <w:r>
        <w:rPr>
          <w:rFonts w:hint="eastAsia"/>
          <w:lang w:val="en-US" w:eastAsia="zh-CN"/>
        </w:rPr>
        <w:t>4800头。主要建设内容为6栋猪舍、堆肥棚、厌氧罐、沼液池、</w:t>
      </w:r>
      <w:r>
        <w:rPr>
          <w:rFonts w:hint="eastAsia"/>
        </w:rPr>
        <w:t>办公生活楼、消毒房、仓库、门卫以及供水、供电、供热、道路等相关配套设施</w:t>
      </w:r>
      <w:r>
        <w:rPr>
          <w:rFonts w:hint="eastAsia"/>
          <w:lang w:eastAsia="zh-CN"/>
        </w:rPr>
        <w:t>。</w:t>
      </w:r>
      <w:r>
        <w:rPr>
          <w:rFonts w:hint="eastAsia"/>
          <w:highlight w:val="none"/>
          <w:lang w:eastAsia="zh-CN"/>
        </w:rPr>
        <w:t>沼液免费提供给</w:t>
      </w:r>
      <w:r>
        <w:rPr>
          <w:rFonts w:hint="eastAsia"/>
          <w:lang w:eastAsia="zh-CN"/>
        </w:rPr>
        <w:t>常德华诚现代农业开发有限公司果蔬地、经济林</w:t>
      </w:r>
      <w:r>
        <w:rPr>
          <w:rFonts w:hint="eastAsia"/>
          <w:highlight w:val="none"/>
          <w:lang w:eastAsia="zh-CN"/>
        </w:rPr>
        <w:t>施肥（</w:t>
      </w:r>
      <w:r>
        <w:rPr>
          <w:rFonts w:hint="eastAsia"/>
          <w:highlight w:val="none"/>
          <w:lang w:val="en-US" w:eastAsia="zh-CN"/>
        </w:rPr>
        <w:t>附件11</w:t>
      </w:r>
      <w:r>
        <w:rPr>
          <w:rFonts w:hint="eastAsia"/>
          <w:highlight w:val="none"/>
          <w:lang w:eastAsia="zh-CN"/>
        </w:rPr>
        <w:t>），堆肥产生的有机肥作为有机肥料外售给有机肥厂</w:t>
      </w:r>
      <w:r>
        <w:rPr>
          <w:rFonts w:hint="eastAsia"/>
          <w:highlight w:val="none"/>
        </w:rPr>
        <w:t>。</w:t>
      </w:r>
    </w:p>
    <w:p>
      <w:pPr>
        <w:rPr>
          <w:b/>
          <w:bCs/>
        </w:rPr>
      </w:pPr>
      <w:r>
        <w:rPr>
          <w:rFonts w:hint="eastAsia"/>
          <w:b/>
          <w:bCs/>
          <w:lang w:eastAsia="zh-CN"/>
        </w:rPr>
        <w:t>二、</w:t>
      </w:r>
      <w:r>
        <w:rPr>
          <w:rFonts w:hint="eastAsia"/>
          <w:b/>
          <w:bCs/>
        </w:rPr>
        <w:t>环境影响评价过程</w:t>
      </w:r>
    </w:p>
    <w:p>
      <w:r>
        <w:rPr>
          <w:rFonts w:hint="eastAsia"/>
        </w:rPr>
        <w:t>根据《中华人民共和国环境影响评价法》和《建设项目环境保护管理条例》等法律法规的有关规定，为切实做好建设项目的环境保护工作，严格执行环境影响评价制度，公司于</w:t>
      </w:r>
      <w:r>
        <w:t>20</w:t>
      </w:r>
      <w:r>
        <w:rPr>
          <w:rFonts w:hint="eastAsia"/>
          <w:lang w:val="en-US" w:eastAsia="zh-CN"/>
        </w:rPr>
        <w:t>20</w:t>
      </w:r>
      <w:r>
        <w:rPr>
          <w:rFonts w:hint="eastAsia"/>
        </w:rPr>
        <w:t>年</w:t>
      </w:r>
      <w:r>
        <w:rPr>
          <w:rFonts w:hint="eastAsia"/>
          <w:lang w:val="en-US" w:eastAsia="zh-CN"/>
        </w:rPr>
        <w:t>6</w:t>
      </w:r>
      <w:r>
        <w:rPr>
          <w:rFonts w:hint="eastAsia"/>
        </w:rPr>
        <w:t>月委托湖南景玺环保科技有限公司承担本项目的环境影响评价工作。</w:t>
      </w:r>
    </w:p>
    <w:p>
      <w:r>
        <w:rPr>
          <w:rFonts w:hint="eastAsia"/>
        </w:rPr>
        <w:t>根据《建设项目环境影响评价分类管理名录》，本项目应编制环境影响报告书。我公司接受委托后，立即组织技术人员对项目现场及周边环境进行了详细的调查，收集项目相关资料，并详细研究了项目的设计方案，最终确定本项目的环评技术路线和重点内容。依据环境影响评价有关技术导则、规范，分析、预测工程施工期及营运期对环境的影响以及周边环境对本工程的影响，提出相应的污染防治措施，在此基础上编制了本环境影响报告书。</w:t>
      </w:r>
    </w:p>
    <w:p>
      <w:pPr>
        <w:rPr>
          <w:b/>
          <w:bCs/>
        </w:rPr>
      </w:pPr>
      <w:bookmarkStart w:id="13" w:name="_Toc364085728"/>
      <w:bookmarkStart w:id="14" w:name="_Toc479672414"/>
      <w:r>
        <w:rPr>
          <w:rFonts w:hint="eastAsia"/>
          <w:b/>
          <w:bCs/>
          <w:lang w:eastAsia="zh-CN"/>
        </w:rPr>
        <w:t>三、</w:t>
      </w:r>
      <w:r>
        <w:rPr>
          <w:rFonts w:hint="eastAsia"/>
          <w:b/>
          <w:bCs/>
        </w:rPr>
        <w:t>分析判定相关情况</w:t>
      </w:r>
    </w:p>
    <w:p>
      <w:r>
        <w:t>1.3.1</w:t>
      </w:r>
      <w:r>
        <w:rPr>
          <w:rFonts w:hint="eastAsia"/>
        </w:rPr>
        <w:t>产业政</w:t>
      </w:r>
      <w:bookmarkEnd w:id="13"/>
      <w:r>
        <w:rPr>
          <w:rFonts w:hint="eastAsia"/>
        </w:rPr>
        <w:t>策相符性分析</w:t>
      </w:r>
      <w:bookmarkEnd w:id="14"/>
    </w:p>
    <w:p>
      <w:bookmarkStart w:id="15" w:name="_Toc479672415"/>
      <w:r>
        <w:rPr>
          <w:rFonts w:hint="eastAsia"/>
        </w:rPr>
        <w:t>（</w:t>
      </w:r>
      <w:r>
        <w:t>1</w:t>
      </w:r>
      <w:r>
        <w:rPr>
          <w:rFonts w:hint="eastAsia"/>
        </w:rPr>
        <w:t>）《产业结构调整指导目录》（</w:t>
      </w:r>
      <w:r>
        <w:t>201</w:t>
      </w:r>
      <w:r>
        <w:rPr>
          <w:rFonts w:hint="eastAsia"/>
          <w:lang w:val="en-US" w:eastAsia="zh-CN"/>
        </w:rPr>
        <w:t>9</w:t>
      </w:r>
      <w:r>
        <w:rPr>
          <w:rFonts w:hint="eastAsia"/>
        </w:rPr>
        <w:t>年）</w:t>
      </w:r>
    </w:p>
    <w:p>
      <w:r>
        <w:rPr>
          <w:rFonts w:hint="eastAsia"/>
        </w:rPr>
        <w:t>本项目属于《国民经济行业分类》（</w:t>
      </w:r>
      <w:r>
        <w:t>GBT4754-2017</w:t>
      </w:r>
      <w:r>
        <w:rPr>
          <w:rFonts w:hint="eastAsia"/>
        </w:rPr>
        <w:t>）中的“</w:t>
      </w:r>
      <w:r>
        <w:t>A0313</w:t>
      </w:r>
      <w:r>
        <w:rPr>
          <w:rFonts w:hint="eastAsia"/>
        </w:rPr>
        <w:t>猪的饲养”根据《产业结构调整指导目录》（</w:t>
      </w:r>
      <w:r>
        <w:t>201</w:t>
      </w:r>
      <w:r>
        <w:rPr>
          <w:rFonts w:hint="eastAsia"/>
          <w:lang w:val="en-US" w:eastAsia="zh-CN"/>
        </w:rPr>
        <w:t>9</w:t>
      </w:r>
      <w:r>
        <w:rPr>
          <w:rFonts w:hint="eastAsia"/>
        </w:rPr>
        <w:t>年），本项目不属于限制类和淘汰类，属于允许类。</w:t>
      </w:r>
    </w:p>
    <w:p>
      <w:pPr>
        <w:rPr>
          <w:rFonts w:hint="eastAsia" w:eastAsiaTheme="minorEastAsia"/>
          <w:lang w:eastAsia="zh-CN"/>
        </w:rPr>
      </w:pPr>
      <w:r>
        <w:rPr>
          <w:rFonts w:hint="eastAsia"/>
        </w:rPr>
        <w:t>（</w:t>
      </w:r>
      <w:r>
        <w:t>2</w:t>
      </w:r>
      <w:r>
        <w:rPr>
          <w:rFonts w:hint="eastAsia"/>
        </w:rPr>
        <w:t>）畜牧养殖相关政策</w:t>
      </w:r>
      <w:r>
        <w:rPr>
          <w:rFonts w:hint="eastAsia"/>
          <w:lang w:eastAsia="zh-CN"/>
        </w:rPr>
        <w:t>符合性分析</w:t>
      </w:r>
    </w:p>
    <w:p>
      <w:r>
        <w:t>2017</w:t>
      </w:r>
      <w:r>
        <w:rPr>
          <w:rFonts w:hint="eastAsia"/>
        </w:rPr>
        <w:t>年</w:t>
      </w:r>
      <w:r>
        <w:t>5</w:t>
      </w:r>
      <w:r>
        <w:rPr>
          <w:rFonts w:hint="eastAsia"/>
        </w:rPr>
        <w:t>月</w:t>
      </w:r>
      <w:r>
        <w:t>31</w:t>
      </w:r>
      <w:r>
        <w:rPr>
          <w:rFonts w:hint="eastAsia"/>
        </w:rPr>
        <w:t>日国务院办公厅发布《关于加快推进畜禽养殖废弃物资源化利用的意见》（国办发〔</w:t>
      </w:r>
      <w:r>
        <w:t>2017</w:t>
      </w:r>
      <w:r>
        <w:rPr>
          <w:rFonts w:hint="eastAsia"/>
        </w:rPr>
        <w:t>〕</w:t>
      </w:r>
      <w:r>
        <w:t>48</w:t>
      </w:r>
      <w:r>
        <w:rPr>
          <w:rFonts w:hint="eastAsia"/>
        </w:rPr>
        <w:t>号）文件中，明确指出：“（四）要严格落实畜禽规模养殖环评制度。规范环评内容和要求。对畜禽规模养殖相关规划依法依规开展环境影响评价，调整优化畜牧业生产布局，协调畜禽规模养殖和环境保护的关系。新建或改扩建畜禽规模养殖场，应突出养分综合利用，配套与养殖规模和处理工艺相适应的粪污消纳用地，配备必要的粪污收集、贮存、处理、利用设施，依法进行环境影响评价。”“（十二）加快畜牧业转型升级。优化调整生猪养殖布局，向粮食主产区和环境容量大的地区转移。大力发展标准化规模养殖，建设自动喂料、自动饮水、环境控制等现代化装备，推广节水、节料等清洁养殖工艺和干清粪、微生物发酵等实用技术，实现源头减量。”</w:t>
      </w:r>
    </w:p>
    <w:p>
      <w:r>
        <w:rPr>
          <w:rFonts w:hint="eastAsia"/>
        </w:rPr>
        <w:t>本项目采用微生物</w:t>
      </w:r>
      <w:r>
        <w:rPr>
          <w:rFonts w:hint="eastAsia"/>
          <w:lang w:eastAsia="zh-CN"/>
        </w:rPr>
        <w:t>堆肥</w:t>
      </w:r>
      <w:r>
        <w:rPr>
          <w:rFonts w:hint="eastAsia"/>
        </w:rPr>
        <w:t>技术，属于该文件推荐的实用技术，本项目对养殖粪尿进行微生物发酵处理，无养殖废水产生，有机肥施</w:t>
      </w:r>
      <w:r>
        <w:rPr>
          <w:rFonts w:hint="eastAsia"/>
          <w:lang w:eastAsia="zh-CN"/>
        </w:rPr>
        <w:t>还田</w:t>
      </w:r>
      <w:r>
        <w:rPr>
          <w:rFonts w:hint="eastAsia"/>
        </w:rPr>
        <w:t>，对养殖废物进行综合利用的处理模式是符合禽养殖废弃物的资源化利用相关要求的。</w:t>
      </w:r>
    </w:p>
    <w:p>
      <w:r>
        <w:rPr>
          <w:rFonts w:hint="eastAsia"/>
        </w:rPr>
        <w:t>《农业部关于印发&lt;畜禽粪污资源化利用行动方案（2017—2020年）&gt;》</w:t>
      </w:r>
      <w:r>
        <w:t>(农牧发[2017]11号)</w:t>
      </w:r>
      <w:r>
        <w:rPr>
          <w:rFonts w:hint="eastAsia"/>
        </w:rPr>
        <w:t>中指出“提升种养结合水平。以发展生态循环农业、促进果菜茶质量效益提升为目标，以果菜茶优势产区、核心产区、知名品牌生产基地为重点，支持引导农民和新型经营主体积造和施用有机肥，实现节本增效、提质增效。健全畜禽粪污还田利用和检测方法标准体系。加大有机肥、沼肥施用装备研发推广力度。引导国家现代农业示范区、农业可持续发展试验示范区和现代农业产业园率先实现农牧循环发展，带动形成一批种养结合的典型模式。”在区域重点及技术模式中“(四)中东部地区：包括安徽、江西、湖北和湖南4省，是我国粮食主产区和畜产品优势区，位于南方水网地区，环境负荷较高，重点推广的技术模式:一是“粪污专业化能源利用”模式。依托大规模养殖场或第三方粪污处理企业，对一定区域内的粪污进行集中收集，通过大型沼气工程或生物天然气工程，沼气发电上网或提纯生物天然气，沼渣生产有机肥，沼液直接农田利用或浓缩使用。二是“污水肥料化利用”模式。对于有配套农田的规模养殖场，养殖污水通过三级沉淀池或沼气工程进行无害化处理，配套建设肥水输送和配比设施，在农田施肥和灌溉期间，实行肥水一体化施用：三是“污水达标排放”模式。对于无配套农田的规模养殖场，养殖污水固液分离后通过厌氧、好氧进行深度处理，达标排放或消毒回用。”本项目属于推广模式二，即对养殖废物进行生物发酵处理后进行资源化利用的模式。</w:t>
      </w:r>
    </w:p>
    <w:p>
      <w:pPr>
        <w:rPr>
          <w:highlight w:val="yellow"/>
        </w:rPr>
      </w:pPr>
      <w:r>
        <w:rPr>
          <w:rFonts w:hint="eastAsia"/>
        </w:rPr>
        <w:t>《湖南省人民政府办公厅关于加快转型升级推进现代畜牧业发展的意见》也指出，应大力推广种养结合的生态养殖模式。把畜禽养殖场建设纳入农业产业布局和功能区总体规划，结合实施“百企千社万户”现代农业发展工程、“百片千园万名”科技兴农工程，大力推行种养结合、林牧结合、牧渔结合等以种养平衡为主要内容的生态养殖模式。支持家庭农场、林果基地配套发展适度规模养殖场，支持适度规模养殖场开发利用周边农地林地资源配套发展种植生产。</w:t>
      </w:r>
      <w:r>
        <w:rPr>
          <w:rFonts w:hint="eastAsia"/>
          <w:lang w:eastAsia="zh-CN"/>
        </w:rPr>
        <w:t>常德华诚现代农业开发有限公司果蔬地、经济林</w:t>
      </w:r>
      <w:r>
        <w:rPr>
          <w:rFonts w:hint="eastAsia"/>
          <w:highlight w:val="none"/>
          <w:lang w:eastAsia="zh-CN"/>
        </w:rPr>
        <w:t>大于</w:t>
      </w:r>
      <w:r>
        <w:rPr>
          <w:rFonts w:hint="eastAsia"/>
          <w:highlight w:val="none"/>
          <w:lang w:val="en-US" w:eastAsia="zh-CN"/>
        </w:rPr>
        <w:t>5000亩，</w:t>
      </w:r>
      <w:r>
        <w:rPr>
          <w:rFonts w:hint="eastAsia"/>
          <w:highlight w:val="none"/>
        </w:rPr>
        <w:t>能做到完全消纳沼液养殖粪污。</w:t>
      </w:r>
    </w:p>
    <w:p>
      <w:r>
        <w:rPr>
          <w:rFonts w:hint="eastAsia"/>
        </w:rPr>
        <w:t>党中央、国务院高度重视生猪稳产保供工作。今年以来，农业农村部把生猪稳产保供放在更加突出的位置，9月以来，农业农村部相继召开东北和南方片区会，指导东北地区扩群增养，要求南方地区尽快遏制下滑趋势。成立恢复生猪生产协调办公室，加强生产和政策情况调度，约谈11个生猪生产下降幅度较大的省份。以国务院办公厅名义印发《关于稳定生猪生产促进转型升级的意见》，会同有关部门出台17项政策措施，全国31省（区、市）印发生猪稳产保供实施意见。在市场拉动和政策推动下，生猪生产已出现止降回升的积极变化，但恢复生产发展保障市场供给仍面临不少困难和挑战，任务十分艰巨。当前首先是把生猪生产抓上去，确保各项既定目标如期实现。2019年9月生态环境部、农业农村部联合《关于进一步规范畜禽养殖禁养区划定和管理促进生猪生产发展的通知》（环办土壤﹝2019﹞55号）要求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区划定依据。对禁养区内关停需搬迁的</w:t>
      </w:r>
      <w:r>
        <w:fldChar w:fldCharType="begin"/>
      </w:r>
      <w:r>
        <w:instrText xml:space="preserve"> HYPERLINK "https://www.tuliu.com/tags/142.html" \t "https://www.tuliu.com/_blank" </w:instrText>
      </w:r>
      <w:r>
        <w:fldChar w:fldCharType="separate"/>
      </w:r>
      <w:r>
        <w:rPr>
          <w:rFonts w:hint="eastAsia"/>
        </w:rPr>
        <w:t>规模化养殖</w:t>
      </w:r>
      <w:r>
        <w:rPr>
          <w:rFonts w:hint="eastAsia"/>
        </w:rPr>
        <w:fldChar w:fldCharType="end"/>
      </w:r>
      <w:r>
        <w:rPr>
          <w:rFonts w:hint="eastAsia"/>
        </w:rPr>
        <w:t>场户，优先支持异地重建，对符合环保要求的畜禽养殖建设项目，加快环评审批。2019年12月农业农村部先后发布了</w:t>
      </w:r>
      <w:r>
        <w:t>《加快生猪生产恢复发展三年行动方案》（农牧发[2019]39号</w:t>
      </w:r>
      <w:r>
        <w:rPr>
          <w:rFonts w:hint="eastAsia"/>
        </w:rPr>
        <w:t>）、《</w:t>
      </w:r>
      <w:r>
        <w:t>农业农村部关于调整动物防疫条件审查有关规定的通知</w:t>
      </w:r>
      <w:r>
        <w:rPr>
          <w:rFonts w:hint="eastAsia"/>
        </w:rPr>
        <w:t>》（农牧发[2019]42号，2019.12.19），暂停执行关于兴办动物饲养场、养殖小区等场所的选址距离规定，并对年出栏5000头以上的生猪养殖场建设，开展环评告知承诺制试点，建设单位提交承诺书和环评报告的，可以不经过开工前的评估审查，直接作出审批决定。</w:t>
      </w:r>
    </w:p>
    <w:p>
      <w:r>
        <w:rPr>
          <w:rFonts w:hint="eastAsia"/>
        </w:rPr>
        <w:t>本项目的建设贯彻执行了上述文件精神。</w:t>
      </w:r>
    </w:p>
    <w:p>
      <w:r>
        <w:rPr>
          <w:rFonts w:hint="eastAsia"/>
        </w:rPr>
        <w:t>综上所述，本项目建设符合目前国家产业政策及畜禽养殖废弃物资源化利用的相关政策要求。</w:t>
      </w:r>
    </w:p>
    <w:bookmarkEnd w:id="15"/>
    <w:p>
      <w:bookmarkStart w:id="16" w:name="_Toc343516648"/>
      <w:bookmarkStart w:id="17" w:name="_Toc479672416"/>
      <w:bookmarkStart w:id="18" w:name="_Toc435778093"/>
      <w:r>
        <w:t>1.3.2</w:t>
      </w:r>
      <w:r>
        <w:rPr>
          <w:rFonts w:hint="eastAsia"/>
        </w:rPr>
        <w:t>《畜禽养殖业污染防治技术规范》（</w:t>
      </w:r>
      <w:r>
        <w:t>HJ/T8-2001</w:t>
      </w:r>
      <w:r>
        <w:rPr>
          <w:rFonts w:hint="eastAsia"/>
        </w:rPr>
        <w:t>）相符性分析</w:t>
      </w:r>
    </w:p>
    <w:p>
      <w:pPr>
        <w:rPr>
          <w:rFonts w:hint="eastAsia" w:eastAsiaTheme="minorEastAsia"/>
          <w:lang w:eastAsia="zh-CN"/>
        </w:rPr>
      </w:pPr>
      <w:r>
        <w:rPr>
          <w:rFonts w:hint="eastAsia"/>
        </w:rPr>
        <w:t>根据《畜禽养殖业污染防治技术规范》，畜禽养殖业选址必须符合下列要求</w:t>
      </w:r>
      <w:r>
        <w:rPr>
          <w:rFonts w:hint="eastAsia"/>
          <w:lang w:eastAsia="zh-CN"/>
        </w:rPr>
        <w:t>：</w:t>
      </w:r>
    </w:p>
    <w:p>
      <w:r>
        <w:rPr>
          <w:rFonts w:hint="eastAsia"/>
        </w:rPr>
        <w:t>（</w:t>
      </w:r>
      <w:r>
        <w:t>1</w:t>
      </w:r>
      <w:r>
        <w:rPr>
          <w:rFonts w:hint="eastAsia"/>
        </w:rPr>
        <w:t>）禁止在下列区域内建设畜禽养殖场：</w:t>
      </w:r>
    </w:p>
    <w:p>
      <w:r>
        <w:rPr>
          <w:rFonts w:hint="eastAsia"/>
        </w:rPr>
        <w:t>①生活饮用水水源保护区、风景名胜区、自然保护区的核心区及缓冲区；</w:t>
      </w:r>
    </w:p>
    <w:p>
      <w:r>
        <w:rPr>
          <w:rFonts w:hint="eastAsia"/>
        </w:rPr>
        <w:t>②城市和城镇居民区，包括文教科研区、医疗区、商业区、工业区、游览区等人口集中地区；</w:t>
      </w:r>
    </w:p>
    <w:p>
      <w:r>
        <w:rPr>
          <w:rFonts w:hint="eastAsia"/>
        </w:rPr>
        <w:t>③县级人民政府依法划定的禁养区域；</w:t>
      </w:r>
    </w:p>
    <w:p>
      <w:r>
        <w:rPr>
          <w:rFonts w:hint="eastAsia"/>
        </w:rPr>
        <w:t>④国家或地方法律、法规规定需特殊保护的其它区域。</w:t>
      </w:r>
    </w:p>
    <w:p>
      <w:r>
        <w:rPr>
          <w:rFonts w:hint="eastAsia"/>
        </w:rPr>
        <w:t>（</w:t>
      </w:r>
      <w:r>
        <w:t>2</w:t>
      </w:r>
      <w:r>
        <w:rPr>
          <w:rFonts w:hint="eastAsia"/>
        </w:rPr>
        <w:t>）新建、改建、扩建的畜禽养殖场选址应避开（</w:t>
      </w:r>
      <w:r>
        <w:t>1</w:t>
      </w:r>
      <w:r>
        <w:rPr>
          <w:rFonts w:hint="eastAsia"/>
        </w:rPr>
        <w:t>）中规定的禁建区域，在禁建区域附近建设的，应设在（</w:t>
      </w:r>
      <w:r>
        <w:t>1</w:t>
      </w:r>
      <w:r>
        <w:rPr>
          <w:rFonts w:hint="eastAsia"/>
        </w:rPr>
        <w:t>）中规定的禁建区域常年主导风向的下风向或侧风向处，场界与禁建区域边界的最小距离不得小于</w:t>
      </w:r>
      <w:r>
        <w:t>500m</w:t>
      </w:r>
      <w:r>
        <w:rPr>
          <w:rFonts w:hint="eastAsia"/>
        </w:rPr>
        <w:t>。</w:t>
      </w:r>
    </w:p>
    <w:p>
      <w:pPr>
        <w:pStyle w:val="11"/>
        <w:bidi w:val="0"/>
      </w:pPr>
      <w:r>
        <w:rPr>
          <w:rFonts w:hint="eastAsia"/>
        </w:rPr>
        <w:t>表</w:t>
      </w:r>
      <w:r>
        <w:t xml:space="preserve">1  </w:t>
      </w:r>
      <w:r>
        <w:rPr>
          <w:rFonts w:hint="eastAsia"/>
        </w:rPr>
        <w:t>本项目场址与选址要求的符合性分析表</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9"/>
        <w:gridCol w:w="4747"/>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Header/>
          <w:jc w:val="center"/>
        </w:trPr>
        <w:tc>
          <w:tcPr>
            <w:tcW w:w="3299" w:type="dxa"/>
            <w:vAlign w:val="center"/>
          </w:tcPr>
          <w:p>
            <w:pPr>
              <w:pStyle w:val="8"/>
              <w:bidi w:val="0"/>
            </w:pPr>
            <w:r>
              <w:rPr>
                <w:rFonts w:hint="eastAsia"/>
              </w:rPr>
              <w:t>选址条件</w:t>
            </w:r>
          </w:p>
        </w:tc>
        <w:tc>
          <w:tcPr>
            <w:tcW w:w="4747" w:type="dxa"/>
            <w:vAlign w:val="center"/>
          </w:tcPr>
          <w:p>
            <w:pPr>
              <w:pStyle w:val="8"/>
              <w:bidi w:val="0"/>
            </w:pPr>
            <w:r>
              <w:rPr>
                <w:rFonts w:hint="eastAsia"/>
              </w:rPr>
              <w:t>本项目情况</w:t>
            </w:r>
          </w:p>
        </w:tc>
        <w:tc>
          <w:tcPr>
            <w:tcW w:w="1015" w:type="dxa"/>
            <w:vAlign w:val="center"/>
          </w:tcPr>
          <w:p>
            <w:pPr>
              <w:pStyle w:val="8"/>
              <w:bidi w:val="0"/>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299" w:type="dxa"/>
            <w:vAlign w:val="center"/>
          </w:tcPr>
          <w:p>
            <w:pPr>
              <w:pStyle w:val="8"/>
              <w:bidi w:val="0"/>
            </w:pPr>
            <w:r>
              <w:rPr>
                <w:rFonts w:hint="eastAsia"/>
              </w:rPr>
              <w:t>禁止在生活饮用水水源保护区、风景名胜区、自然保护区的核心区及缓冲区建设</w:t>
            </w:r>
          </w:p>
        </w:tc>
        <w:tc>
          <w:tcPr>
            <w:tcW w:w="4747" w:type="dxa"/>
            <w:vAlign w:val="center"/>
          </w:tcPr>
          <w:p>
            <w:pPr>
              <w:pStyle w:val="8"/>
              <w:bidi w:val="0"/>
            </w:pPr>
            <w:r>
              <w:rPr>
                <w:rFonts w:hint="eastAsia"/>
              </w:rPr>
              <w:t>本项目所在地不是生活饮用水水源保护区、风景名胜区、自然保护区的核心区及缓冲区</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99" w:type="dxa"/>
            <w:vAlign w:val="center"/>
          </w:tcPr>
          <w:p>
            <w:pPr>
              <w:pStyle w:val="8"/>
              <w:bidi w:val="0"/>
            </w:pPr>
            <w:r>
              <w:rPr>
                <w:rFonts w:hint="eastAsia"/>
              </w:rPr>
              <w:t>禁止城市和城镇居民区，包括文教科研区、医疗区、商业区、工业区、游览区等人口集中地区建设</w:t>
            </w:r>
          </w:p>
        </w:tc>
        <w:tc>
          <w:tcPr>
            <w:tcW w:w="4747" w:type="dxa"/>
            <w:vAlign w:val="center"/>
          </w:tcPr>
          <w:p>
            <w:pPr>
              <w:pStyle w:val="8"/>
              <w:bidi w:val="0"/>
            </w:pPr>
            <w:r>
              <w:rPr>
                <w:rFonts w:hint="eastAsia"/>
              </w:rPr>
              <w:t>本项目所在地不位于城市和城镇居民区</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299" w:type="dxa"/>
            <w:vAlign w:val="center"/>
          </w:tcPr>
          <w:p>
            <w:pPr>
              <w:pStyle w:val="8"/>
              <w:bidi w:val="0"/>
            </w:pPr>
            <w:r>
              <w:rPr>
                <w:rFonts w:hint="eastAsia"/>
              </w:rPr>
              <w:t>禁止在县级人民政府依法划定的禁养区域建设</w:t>
            </w:r>
          </w:p>
        </w:tc>
        <w:tc>
          <w:tcPr>
            <w:tcW w:w="4747" w:type="dxa"/>
            <w:vAlign w:val="center"/>
          </w:tcPr>
          <w:p>
            <w:pPr>
              <w:pStyle w:val="8"/>
              <w:bidi w:val="0"/>
            </w:pPr>
            <w:r>
              <w:rPr>
                <w:rFonts w:hint="eastAsia"/>
              </w:rPr>
              <w:t>根据澧县人民政府《澧县畜禽养殖禁养区划定方案》（澧政发[</w:t>
            </w:r>
            <w:r>
              <w:rPr>
                <w:rFonts w:hint="eastAsia"/>
                <w:lang w:val="en-US" w:eastAsia="zh-CN"/>
              </w:rPr>
              <w:t>2020</w:t>
            </w:r>
            <w:r>
              <w:rPr>
                <w:rFonts w:hint="eastAsia"/>
              </w:rPr>
              <w:t>]</w:t>
            </w:r>
            <w:r>
              <w:rPr>
                <w:rFonts w:hint="eastAsia"/>
                <w:lang w:val="en-US" w:eastAsia="zh-CN"/>
              </w:rPr>
              <w:t>6</w:t>
            </w:r>
            <w:r>
              <w:rPr>
                <w:rFonts w:hint="eastAsia"/>
              </w:rPr>
              <w:t>号，20</w:t>
            </w:r>
            <w:r>
              <w:rPr>
                <w:rFonts w:hint="eastAsia"/>
                <w:lang w:val="en-US" w:eastAsia="zh-CN"/>
              </w:rPr>
              <w:t>20</w:t>
            </w:r>
            <w:r>
              <w:rPr>
                <w:rFonts w:hint="eastAsia"/>
              </w:rPr>
              <w:t>.</w:t>
            </w:r>
            <w:r>
              <w:rPr>
                <w:rFonts w:hint="eastAsia"/>
                <w:lang w:val="en-US" w:eastAsia="zh-CN"/>
              </w:rPr>
              <w:t>4</w:t>
            </w:r>
            <w:r>
              <w:rPr>
                <w:rFonts w:hint="eastAsia"/>
              </w:rPr>
              <w:t>.</w:t>
            </w:r>
            <w:r>
              <w:rPr>
                <w:rFonts w:hint="eastAsia"/>
                <w:lang w:val="en-US" w:eastAsia="zh-CN"/>
              </w:rPr>
              <w:t>17</w:t>
            </w:r>
            <w:r>
              <w:rPr>
                <w:rFonts w:hint="eastAsia"/>
              </w:rPr>
              <w:t>），本项目不在禁养区范围</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299" w:type="dxa"/>
            <w:vAlign w:val="center"/>
          </w:tcPr>
          <w:p>
            <w:pPr>
              <w:pStyle w:val="8"/>
              <w:bidi w:val="0"/>
            </w:pPr>
            <w:r>
              <w:rPr>
                <w:rFonts w:hint="eastAsia"/>
              </w:rPr>
              <w:t>禁止在国家或地方法律、法规规定需特殊保护的其它区域建设</w:t>
            </w:r>
          </w:p>
        </w:tc>
        <w:tc>
          <w:tcPr>
            <w:tcW w:w="4747" w:type="dxa"/>
            <w:vAlign w:val="center"/>
          </w:tcPr>
          <w:p>
            <w:pPr>
              <w:pStyle w:val="8"/>
              <w:bidi w:val="0"/>
            </w:pPr>
            <w:r>
              <w:rPr>
                <w:rFonts w:hint="eastAsia"/>
              </w:rPr>
              <w:t>本项目所在地不属于国家或地方法律、法规规定需特殊保护的其它区域</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299" w:type="dxa"/>
            <w:vAlign w:val="center"/>
          </w:tcPr>
          <w:p>
            <w:pPr>
              <w:pStyle w:val="8"/>
              <w:bidi w:val="0"/>
            </w:pPr>
            <w:r>
              <w:rPr>
                <w:rFonts w:hint="eastAsia"/>
              </w:rPr>
              <w:t>场界与禁建区域边界的最小距离不得小于</w:t>
            </w:r>
            <w:r>
              <w:t>500m</w:t>
            </w:r>
          </w:p>
        </w:tc>
        <w:tc>
          <w:tcPr>
            <w:tcW w:w="4747" w:type="dxa"/>
            <w:vAlign w:val="center"/>
          </w:tcPr>
          <w:p>
            <w:pPr>
              <w:pStyle w:val="8"/>
              <w:bidi w:val="0"/>
            </w:pPr>
            <w:r>
              <w:rPr>
                <w:rFonts w:hint="eastAsia" w:ascii="Times New Roman" w:hAnsi="Times New Roman" w:cs="Times New Roman"/>
              </w:rPr>
              <w:t>周边居民距离猪舍最近距离为</w:t>
            </w:r>
            <w:r>
              <w:rPr>
                <w:rFonts w:hint="eastAsia" w:cs="Times New Roman"/>
                <w:lang w:val="en-US" w:eastAsia="zh-CN"/>
              </w:rPr>
              <w:t>205</w:t>
            </w:r>
            <w:r>
              <w:rPr>
                <w:rFonts w:ascii="Times New Roman" w:hAnsi="Times New Roman" w:cs="Times New Roman"/>
              </w:rPr>
              <w:t>m</w:t>
            </w:r>
            <w:r>
              <w:rPr>
                <w:rFonts w:hint="eastAsia" w:ascii="Times New Roman" w:hAnsi="Times New Roman" w:cs="Times New Roman"/>
              </w:rPr>
              <w:t>；周边地表水系</w:t>
            </w:r>
            <w:r>
              <w:rPr>
                <w:rFonts w:hint="eastAsia" w:cs="Times New Roman"/>
                <w:lang w:eastAsia="zh-CN"/>
              </w:rPr>
              <w:t>主要为北的道水支流和东侧的道水，直线距离分别为</w:t>
            </w:r>
            <w:r>
              <w:rPr>
                <w:rFonts w:hint="eastAsia" w:cs="Times New Roman"/>
                <w:lang w:val="en-US" w:eastAsia="zh-CN"/>
              </w:rPr>
              <w:t>420m、2500m。项目所在东南侧桑木峪水库设立了饮用水源保护区，</w:t>
            </w:r>
            <w:r>
              <w:rPr>
                <w:rFonts w:hint="eastAsia"/>
              </w:rPr>
              <w:t>项目区域不属于饮用水源保护区的集雨范围</w:t>
            </w:r>
            <w:r>
              <w:rPr>
                <w:rFonts w:hint="eastAsia"/>
                <w:lang w:eastAsia="zh-CN"/>
              </w:rPr>
              <w:t>，</w:t>
            </w:r>
            <w:r>
              <w:rPr>
                <w:rFonts w:hint="eastAsia"/>
                <w:lang w:val="en-US" w:eastAsia="zh-CN"/>
              </w:rPr>
              <w:t>与桑木峪水库饮用水源保护区最近距离为502m</w:t>
            </w:r>
            <w:r>
              <w:rPr>
                <w:rFonts w:hint="eastAsia"/>
              </w:rPr>
              <w:t>。</w:t>
            </w:r>
          </w:p>
        </w:tc>
        <w:tc>
          <w:tcPr>
            <w:tcW w:w="1015" w:type="dxa"/>
            <w:vAlign w:val="center"/>
          </w:tcPr>
          <w:p>
            <w:pPr>
              <w:pStyle w:val="8"/>
              <w:bidi w:val="0"/>
            </w:pPr>
            <w:r>
              <w:rPr>
                <w:rFonts w:hint="eastAsia"/>
              </w:rPr>
              <w:t>符合</w:t>
            </w:r>
          </w:p>
        </w:tc>
      </w:tr>
    </w:tbl>
    <w:p>
      <w:r>
        <w:rPr>
          <w:rFonts w:hint="eastAsia"/>
        </w:rPr>
        <w:t>根据表</w:t>
      </w:r>
      <w:r>
        <w:t>1</w:t>
      </w:r>
      <w:r>
        <w:rPr>
          <w:rFonts w:hint="eastAsia"/>
        </w:rPr>
        <w:t>可知，本项目选址符合《畜禽养殖业污染防治技术规范》（</w:t>
      </w:r>
      <w:r>
        <w:t>HJ/T8-2001</w:t>
      </w:r>
      <w:r>
        <w:rPr>
          <w:rFonts w:hint="eastAsia"/>
        </w:rPr>
        <w:t>）选址要求，选址</w:t>
      </w:r>
      <w:r>
        <w:rPr>
          <w:rFonts w:hint="eastAsia"/>
          <w:lang w:val="en-US" w:eastAsia="zh-CN"/>
        </w:rPr>
        <w:t>不位于</w:t>
      </w:r>
      <w:r>
        <w:rPr>
          <w:rFonts w:hint="eastAsia"/>
        </w:rPr>
        <w:t>位于《澧县畜禽养殖禁养区划定方案》（澧政发[</w:t>
      </w:r>
      <w:r>
        <w:rPr>
          <w:rFonts w:hint="eastAsia"/>
          <w:lang w:val="en-US" w:eastAsia="zh-CN"/>
        </w:rPr>
        <w:t>2020</w:t>
      </w:r>
      <w:r>
        <w:rPr>
          <w:rFonts w:hint="eastAsia"/>
        </w:rPr>
        <w:t>]</w:t>
      </w:r>
      <w:r>
        <w:rPr>
          <w:rFonts w:hint="eastAsia"/>
          <w:lang w:val="en-US" w:eastAsia="zh-CN"/>
        </w:rPr>
        <w:t>6</w:t>
      </w:r>
      <w:r>
        <w:rPr>
          <w:rFonts w:hint="eastAsia"/>
        </w:rPr>
        <w:t>号，20</w:t>
      </w:r>
      <w:r>
        <w:rPr>
          <w:rFonts w:hint="eastAsia"/>
          <w:lang w:val="en-US" w:eastAsia="zh-CN"/>
        </w:rPr>
        <w:t>20</w:t>
      </w:r>
      <w:r>
        <w:rPr>
          <w:rFonts w:hint="eastAsia"/>
        </w:rPr>
        <w:t>.</w:t>
      </w:r>
      <w:r>
        <w:rPr>
          <w:rFonts w:hint="eastAsia"/>
          <w:lang w:val="en-US" w:eastAsia="zh-CN"/>
        </w:rPr>
        <w:t>4</w:t>
      </w:r>
      <w:r>
        <w:rPr>
          <w:rFonts w:hint="eastAsia"/>
        </w:rPr>
        <w:t>.</w:t>
      </w:r>
      <w:r>
        <w:rPr>
          <w:rFonts w:hint="eastAsia"/>
          <w:lang w:val="en-US" w:eastAsia="zh-CN"/>
        </w:rPr>
        <w:t>17</w:t>
      </w:r>
      <w:r>
        <w:rPr>
          <w:rFonts w:hint="eastAsia"/>
        </w:rPr>
        <w:t>）中的</w:t>
      </w:r>
      <w:r>
        <w:rPr>
          <w:rFonts w:hint="eastAsia"/>
          <w:lang w:val="en-US" w:eastAsia="zh-CN"/>
        </w:rPr>
        <w:t>禁养区</w:t>
      </w:r>
      <w:r>
        <w:rPr>
          <w:rFonts w:hint="eastAsia"/>
        </w:rPr>
        <w:t>。</w:t>
      </w:r>
    </w:p>
    <w:bookmarkEnd w:id="16"/>
    <w:bookmarkEnd w:id="17"/>
    <w:bookmarkEnd w:id="18"/>
    <w:p>
      <w:pPr>
        <w:rPr>
          <w:b/>
          <w:bCs/>
        </w:rPr>
      </w:pPr>
      <w:bookmarkStart w:id="19" w:name="_Toc343516649"/>
      <w:bookmarkStart w:id="20" w:name="_Toc435778094"/>
      <w:bookmarkStart w:id="21" w:name="_Toc479672417"/>
      <w:r>
        <w:rPr>
          <w:rFonts w:hint="eastAsia"/>
          <w:b/>
          <w:bCs/>
          <w:lang w:eastAsia="zh-CN"/>
        </w:rPr>
        <w:t>四、</w:t>
      </w:r>
      <w:r>
        <w:rPr>
          <w:rFonts w:hint="eastAsia"/>
          <w:b/>
          <w:bCs/>
        </w:rPr>
        <w:t>关注的主要环境问题</w:t>
      </w:r>
      <w:bookmarkEnd w:id="19"/>
      <w:bookmarkEnd w:id="20"/>
      <w:bookmarkEnd w:id="21"/>
      <w:r>
        <w:rPr>
          <w:rFonts w:hint="eastAsia"/>
          <w:b/>
          <w:bCs/>
        </w:rPr>
        <w:t>及环境影响</w:t>
      </w:r>
    </w:p>
    <w:p>
      <w:r>
        <w:rPr>
          <w:rFonts w:hint="eastAsia"/>
        </w:rPr>
        <w:t>根据项目的特点，本项目采用</w:t>
      </w:r>
      <w:r>
        <w:rPr>
          <w:rFonts w:hint="eastAsia"/>
          <w:lang w:val="en-US" w:eastAsia="zh-CN"/>
        </w:rPr>
        <w:t>粪污采用堆粪工艺</w:t>
      </w:r>
      <w:r>
        <w:rPr>
          <w:rFonts w:hint="eastAsia"/>
        </w:rPr>
        <w:t>，</w:t>
      </w:r>
      <w:r>
        <w:rPr>
          <w:rFonts w:hint="eastAsia"/>
          <w:lang w:val="en-US" w:eastAsia="zh-CN"/>
        </w:rPr>
        <w:t>堆粪产生的有机肥料外售给有机肥厂；尿污经</w:t>
      </w:r>
      <w:r>
        <w:rPr>
          <w:rFonts w:hint="eastAsia"/>
          <w:lang w:eastAsia="zh-CN"/>
        </w:rPr>
        <w:t>厌氧发酵</w:t>
      </w:r>
      <w:r>
        <w:rPr>
          <w:rFonts w:hint="eastAsia"/>
          <w:lang w:val="en-US" w:eastAsia="zh-CN"/>
        </w:rPr>
        <w:t>+AO组合池废水处理</w:t>
      </w:r>
      <w:r>
        <w:rPr>
          <w:rFonts w:hint="eastAsia"/>
          <w:lang w:eastAsia="zh-CN"/>
        </w:rPr>
        <w:t>系统</w:t>
      </w:r>
      <w:r>
        <w:rPr>
          <w:rFonts w:hint="eastAsia"/>
          <w:lang w:val="en-US" w:eastAsia="zh-CN"/>
        </w:rPr>
        <w:t>处理后回用，</w:t>
      </w:r>
      <w:r>
        <w:rPr>
          <w:rFonts w:hint="eastAsia"/>
        </w:rPr>
        <w:t>无养殖废水</w:t>
      </w:r>
      <w:r>
        <w:rPr>
          <w:rFonts w:hint="eastAsia"/>
          <w:lang w:val="en-US" w:eastAsia="zh-CN"/>
        </w:rPr>
        <w:t>外派</w:t>
      </w:r>
      <w:r>
        <w:rPr>
          <w:rFonts w:hint="eastAsia"/>
        </w:rPr>
        <w:t>；项目周边均为</w:t>
      </w:r>
      <w:r>
        <w:rPr>
          <w:rFonts w:hint="eastAsia"/>
          <w:lang w:eastAsia="zh-CN"/>
        </w:rPr>
        <w:t>农作地</w:t>
      </w:r>
      <w:r>
        <w:rPr>
          <w:rFonts w:hint="eastAsia"/>
          <w:lang w:val="en-US" w:eastAsia="zh-CN"/>
        </w:rPr>
        <w:t>或山地</w:t>
      </w:r>
      <w:r>
        <w:rPr>
          <w:rFonts w:hint="eastAsia"/>
        </w:rPr>
        <w:t>，居民</w:t>
      </w:r>
      <w:r>
        <w:rPr>
          <w:rFonts w:hint="eastAsia"/>
          <w:lang w:eastAsia="zh-CN"/>
        </w:rPr>
        <w:t>较少</w:t>
      </w:r>
      <w:r>
        <w:rPr>
          <w:rFonts w:hint="eastAsia"/>
        </w:rPr>
        <w:t>，养殖噪声对周边环境影响不显著，因此，本次评价主要关注的环境问题为：</w:t>
      </w:r>
    </w:p>
    <w:p>
      <w:r>
        <w:t>（1）废气：养殖过程产生的恶臭污染物可能对附近环境造成影响。</w:t>
      </w:r>
    </w:p>
    <w:p>
      <w:r>
        <w:t>（</w:t>
      </w:r>
      <w:r>
        <w:rPr>
          <w:rFonts w:hint="eastAsia"/>
        </w:rPr>
        <w:t>2</w:t>
      </w:r>
      <w:r>
        <w:t>）固体废弃物：病死猪尸体</w:t>
      </w:r>
      <w:r>
        <w:rPr>
          <w:rFonts w:hint="eastAsia"/>
        </w:rPr>
        <w:t>、防疫</w:t>
      </w:r>
      <w:r>
        <w:t>等固体废弃物如果不能得到妥善处理将对周围环境造成影响。</w:t>
      </w:r>
    </w:p>
    <w:p>
      <w:r>
        <w:rPr>
          <w:rFonts w:hint="eastAsia"/>
        </w:rPr>
        <w:t>（3）土地承载力分析。</w:t>
      </w:r>
    </w:p>
    <w:p>
      <w:pPr>
        <w:rPr>
          <w:b/>
          <w:bCs/>
        </w:rPr>
      </w:pPr>
      <w:r>
        <w:rPr>
          <w:rFonts w:hint="eastAsia"/>
          <w:b/>
          <w:bCs/>
          <w:lang w:eastAsia="zh-CN"/>
        </w:rPr>
        <w:t>五、</w:t>
      </w:r>
      <w:r>
        <w:rPr>
          <w:rFonts w:hint="eastAsia"/>
          <w:b/>
          <w:bCs/>
        </w:rPr>
        <w:t>环境影响评价主要结论</w:t>
      </w:r>
    </w:p>
    <w:p>
      <w:r>
        <w:rPr>
          <w:rFonts w:hint="eastAsia"/>
        </w:rPr>
        <w:t>项目采用“猪</w:t>
      </w:r>
      <w:r>
        <w:t>—</w:t>
      </w:r>
      <w:r>
        <w:rPr>
          <w:rFonts w:hint="eastAsia"/>
        </w:rPr>
        <w:t>肥</w:t>
      </w:r>
      <w:r>
        <w:t>—</w:t>
      </w:r>
      <w:r>
        <w:rPr>
          <w:rFonts w:hint="eastAsia"/>
        </w:rPr>
        <w:t>林”的农业循环经济发展模式进行生猪养殖并</w:t>
      </w:r>
      <w:r>
        <w:rPr>
          <w:rFonts w:hint="eastAsia"/>
          <w:lang w:eastAsia="zh-CN"/>
        </w:rPr>
        <w:t>利用</w:t>
      </w:r>
      <w:r>
        <w:rPr>
          <w:rFonts w:hint="eastAsia"/>
        </w:rPr>
        <w:t>林果种植消纳养殖肥料，符合产业政策要求，社会经济效益明显。项目采用</w:t>
      </w:r>
      <w:r>
        <w:rPr>
          <w:rFonts w:hint="eastAsia"/>
          <w:lang w:eastAsia="zh-CN"/>
        </w:rPr>
        <w:t>堆肥、厌氧发酵</w:t>
      </w:r>
      <w:r>
        <w:rPr>
          <w:rFonts w:hint="eastAsia"/>
          <w:lang w:val="en-US" w:eastAsia="zh-CN"/>
        </w:rPr>
        <w:t>+AO组合池废水处理</w:t>
      </w:r>
      <w:r>
        <w:rPr>
          <w:rFonts w:hint="eastAsia"/>
          <w:lang w:eastAsia="zh-CN"/>
        </w:rPr>
        <w:t>系统处理废水工艺</w:t>
      </w:r>
      <w:r>
        <w:rPr>
          <w:rFonts w:hint="eastAsia"/>
        </w:rPr>
        <w:t>，将猪粪尿进行生物发酵处理，粪污</w:t>
      </w:r>
      <w:r>
        <w:rPr>
          <w:rFonts w:hint="eastAsia"/>
          <w:lang w:eastAsia="zh-CN"/>
        </w:rPr>
        <w:t>经发酵后</w:t>
      </w:r>
      <w:r>
        <w:rPr>
          <w:rFonts w:hint="eastAsia"/>
        </w:rPr>
        <w:t>作为有机肥料</w:t>
      </w:r>
      <w:r>
        <w:rPr>
          <w:rFonts w:hint="eastAsia"/>
          <w:lang w:eastAsia="zh-CN"/>
        </w:rPr>
        <w:t>外售有机肥厂</w:t>
      </w:r>
      <w:r>
        <w:rPr>
          <w:rFonts w:hint="eastAsia"/>
        </w:rPr>
        <w:t>，符合《国务院办公厅关于加快推进畜禽养殖废弃物资源化利用的意见》的相关要求，对环境的影响较小，在环境可承受的范围内。因此，只要建设单位认真贯彻执行国家和地方的环境保护法律法规，切实落实本评价提出的各项污染防治措施及风险防范措施，进一步加强日常环境管理和风险防控，可做到废气和噪声达标排放、粪污液渣全部综合利用，从环境保护技术角度而言，本项目的建设是可行的。</w:t>
      </w:r>
    </w:p>
    <w:p/>
    <w:p/>
    <w:p>
      <w:pPr>
        <w:pStyle w:val="2"/>
        <w:bidi w:val="0"/>
      </w:pPr>
      <w:r>
        <w:br w:type="page"/>
      </w:r>
      <w:bookmarkStart w:id="22" w:name="_Toc17683"/>
      <w:r>
        <w:rPr>
          <w:rFonts w:hint="eastAsia"/>
        </w:rPr>
        <w:t>总</w:t>
      </w:r>
      <w:bookmarkEnd w:id="0"/>
      <w:bookmarkEnd w:id="1"/>
      <w:bookmarkEnd w:id="2"/>
      <w:bookmarkEnd w:id="9"/>
      <w:r>
        <w:rPr>
          <w:rFonts w:hint="eastAsia"/>
        </w:rPr>
        <w:t>则</w:t>
      </w:r>
      <w:bookmarkEnd w:id="22"/>
    </w:p>
    <w:p>
      <w:pPr>
        <w:pStyle w:val="4"/>
        <w:bidi w:val="0"/>
      </w:pPr>
      <w:bookmarkStart w:id="23" w:name="_Toc13646"/>
      <w:r>
        <w:rPr>
          <w:rFonts w:hint="eastAsia"/>
        </w:rPr>
        <w:t>评价原则</w:t>
      </w:r>
      <w:bookmarkEnd w:id="23"/>
    </w:p>
    <w:p>
      <w:r>
        <w:rPr>
          <w:rFonts w:hint="eastAsia"/>
        </w:rPr>
        <w:t>突出环境影响评价的源头预防作用，坚持保护和改善环境质量。</w:t>
      </w:r>
    </w:p>
    <w:p>
      <w:r>
        <w:rPr>
          <w:rFonts w:hint="eastAsia"/>
        </w:rPr>
        <w:t>（</w:t>
      </w:r>
      <w:r>
        <w:t>1</w:t>
      </w:r>
      <w:r>
        <w:rPr>
          <w:rFonts w:hint="eastAsia"/>
        </w:rPr>
        <w:t>）依法评价</w:t>
      </w:r>
    </w:p>
    <w:p>
      <w:r>
        <w:rPr>
          <w:rFonts w:hint="eastAsia"/>
        </w:rPr>
        <w:t>贯彻执行我国环境保护相关法律法规、标准、政策和规划等，优化项目建设，服务环境管理。</w:t>
      </w:r>
    </w:p>
    <w:p>
      <w:r>
        <w:rPr>
          <w:rFonts w:hint="eastAsia"/>
        </w:rPr>
        <w:t>（</w:t>
      </w:r>
      <w:r>
        <w:t>2</w:t>
      </w:r>
      <w:r>
        <w:rPr>
          <w:rFonts w:hint="eastAsia"/>
        </w:rPr>
        <w:t>）科学评价</w:t>
      </w:r>
    </w:p>
    <w:p>
      <w:r>
        <w:rPr>
          <w:rFonts w:hint="eastAsia"/>
        </w:rPr>
        <w:t>规范环境影响评价方法，科学分析项目建设对环境质量的影响。</w:t>
      </w:r>
    </w:p>
    <w:p>
      <w:r>
        <w:rPr>
          <w:rFonts w:hint="eastAsia"/>
        </w:rPr>
        <w:t>（</w:t>
      </w:r>
      <w:r>
        <w:t>3</w:t>
      </w:r>
      <w:r>
        <w:rPr>
          <w:rFonts w:hint="eastAsia"/>
        </w:rPr>
        <w:t>）突出重点</w:t>
      </w:r>
    </w:p>
    <w:p>
      <w:r>
        <w:rPr>
          <w:rFonts w:hint="eastAsia"/>
        </w:rPr>
        <w:t>根据建设项目的工程内容及其产排污特点，明确与环境要素间的作用效应关系，结合现状工程的运营情况，对建设项目主要环境影响予以重点分析和评价。</w:t>
      </w:r>
    </w:p>
    <w:p>
      <w:pPr>
        <w:pStyle w:val="4"/>
        <w:bidi w:val="0"/>
      </w:pPr>
      <w:bookmarkStart w:id="24" w:name="_Toc289344511"/>
      <w:bookmarkStart w:id="25" w:name="_Toc345"/>
      <w:bookmarkStart w:id="26" w:name="_Toc468689078"/>
      <w:r>
        <w:rPr>
          <w:rFonts w:hint="eastAsia"/>
        </w:rPr>
        <w:t>编制依据</w:t>
      </w:r>
      <w:bookmarkEnd w:id="24"/>
      <w:bookmarkEnd w:id="25"/>
      <w:bookmarkEnd w:id="26"/>
    </w:p>
    <w:p>
      <w:pPr>
        <w:pStyle w:val="5"/>
        <w:bidi w:val="0"/>
      </w:pPr>
      <w:bookmarkStart w:id="27" w:name="_Toc249942727"/>
      <w:bookmarkStart w:id="28" w:name="_Toc2644"/>
      <w:bookmarkStart w:id="29" w:name="_Toc289344512"/>
      <w:bookmarkStart w:id="30" w:name="_Toc7200"/>
      <w:bookmarkStart w:id="31" w:name="_Toc2703"/>
      <w:bookmarkStart w:id="32" w:name="_Toc26902"/>
      <w:bookmarkStart w:id="33" w:name="_Toc249944901"/>
      <w:bookmarkStart w:id="34" w:name="_Toc27746"/>
      <w:bookmarkStart w:id="35" w:name="_Toc288479967"/>
      <w:bookmarkStart w:id="36" w:name="_Toc249945610"/>
      <w:bookmarkStart w:id="37" w:name="_Toc288479609"/>
      <w:bookmarkStart w:id="38" w:name="_Toc26564"/>
      <w:bookmarkStart w:id="39" w:name="_Toc468689079"/>
      <w:bookmarkStart w:id="40" w:name="_Toc289329171"/>
      <w:bookmarkStart w:id="41" w:name="_Toc249943634"/>
      <w:bookmarkStart w:id="42" w:name="_Toc249946020"/>
      <w:r>
        <w:rPr>
          <w:rFonts w:hint="eastAsia"/>
        </w:rPr>
        <w:t>法律、法规</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
        <w:rPr>
          <w:rFonts w:hint="eastAsia"/>
        </w:rPr>
        <w:t>（</w:t>
      </w:r>
      <w:r>
        <w:t>1</w:t>
      </w:r>
      <w:r>
        <w:rPr>
          <w:rFonts w:hint="eastAsia"/>
        </w:rPr>
        <w:t>）《中华人民共和国环境保护法》（</w:t>
      </w:r>
      <w:r>
        <w:t>2015</w:t>
      </w:r>
      <w:r>
        <w:rPr>
          <w:rFonts w:hint="eastAsia"/>
        </w:rPr>
        <w:t>年</w:t>
      </w:r>
      <w:r>
        <w:t>1</w:t>
      </w:r>
      <w:r>
        <w:rPr>
          <w:rFonts w:hint="eastAsia"/>
        </w:rPr>
        <w:t>月</w:t>
      </w:r>
      <w:r>
        <w:t>1</w:t>
      </w:r>
      <w:r>
        <w:rPr>
          <w:rFonts w:hint="eastAsia"/>
        </w:rPr>
        <w:t>日实施）；</w:t>
      </w:r>
    </w:p>
    <w:p>
      <w:r>
        <w:rPr>
          <w:rFonts w:hint="eastAsia"/>
        </w:rPr>
        <w:t>（</w:t>
      </w:r>
      <w:r>
        <w:t>2</w:t>
      </w:r>
      <w:r>
        <w:rPr>
          <w:rFonts w:hint="eastAsia"/>
        </w:rPr>
        <w:t>）《中华人民共和国环境影响评价法》（2018年12月29日修订）；</w:t>
      </w:r>
    </w:p>
    <w:p>
      <w:bookmarkStart w:id="43" w:name="_Toc468689080"/>
      <w:r>
        <w:rPr>
          <w:rFonts w:hint="eastAsia"/>
        </w:rPr>
        <w:t>（</w:t>
      </w:r>
      <w:r>
        <w:t>3</w:t>
      </w:r>
      <w:r>
        <w:rPr>
          <w:rFonts w:hint="eastAsia"/>
        </w:rPr>
        <w:t>）《中华人民共和国水污染防治法》（</w:t>
      </w:r>
      <w:r>
        <w:t>2018</w:t>
      </w:r>
      <w:r>
        <w:rPr>
          <w:rFonts w:hint="eastAsia"/>
        </w:rPr>
        <w:t>年</w:t>
      </w:r>
      <w:r>
        <w:t>1</w:t>
      </w:r>
      <w:r>
        <w:rPr>
          <w:rFonts w:hint="eastAsia"/>
        </w:rPr>
        <w:t>月</w:t>
      </w:r>
      <w:r>
        <w:t>1</w:t>
      </w:r>
      <w:r>
        <w:rPr>
          <w:rFonts w:hint="eastAsia"/>
        </w:rPr>
        <w:t>日实施）；</w:t>
      </w:r>
      <w:bookmarkEnd w:id="43"/>
    </w:p>
    <w:p>
      <w:r>
        <w:rPr>
          <w:rFonts w:hint="eastAsia"/>
        </w:rPr>
        <w:t>（</w:t>
      </w:r>
      <w:r>
        <w:t>4</w:t>
      </w:r>
      <w:r>
        <w:rPr>
          <w:rFonts w:hint="eastAsia"/>
        </w:rPr>
        <w:t>）《中华人民共和国大气污染防治法》（</w:t>
      </w:r>
      <w:r>
        <w:t>2015</w:t>
      </w:r>
      <w:r>
        <w:rPr>
          <w:rFonts w:hint="eastAsia"/>
        </w:rPr>
        <w:t>年</w:t>
      </w:r>
      <w:r>
        <w:t>8</w:t>
      </w:r>
      <w:r>
        <w:rPr>
          <w:rFonts w:hint="eastAsia"/>
        </w:rPr>
        <w:t>月</w:t>
      </w:r>
      <w:r>
        <w:t>29</w:t>
      </w:r>
      <w:r>
        <w:rPr>
          <w:rFonts w:hint="eastAsia"/>
        </w:rPr>
        <w:t>日修订）；</w:t>
      </w:r>
    </w:p>
    <w:p>
      <w:r>
        <w:rPr>
          <w:rFonts w:hint="eastAsia"/>
        </w:rPr>
        <w:t>（</w:t>
      </w:r>
      <w:r>
        <w:t>5</w:t>
      </w:r>
      <w:r>
        <w:rPr>
          <w:rFonts w:hint="eastAsia"/>
        </w:rPr>
        <w:t>）《中华人民共和国固体废物污染环境防治法》（</w:t>
      </w:r>
      <w:r>
        <w:t>2016</w:t>
      </w:r>
      <w:r>
        <w:rPr>
          <w:rFonts w:hint="eastAsia"/>
        </w:rPr>
        <w:t>年</w:t>
      </w:r>
      <w:r>
        <w:t>11</w:t>
      </w:r>
      <w:r>
        <w:rPr>
          <w:rFonts w:hint="eastAsia"/>
        </w:rPr>
        <w:t>月</w:t>
      </w:r>
      <w:r>
        <w:t>7</w:t>
      </w:r>
      <w:r>
        <w:rPr>
          <w:rFonts w:hint="eastAsia"/>
        </w:rPr>
        <w:t>日修订）；</w:t>
      </w:r>
    </w:p>
    <w:p>
      <w:bookmarkStart w:id="44" w:name="_Toc468689081"/>
      <w:r>
        <w:rPr>
          <w:rFonts w:hint="eastAsia"/>
        </w:rPr>
        <w:t>（</w:t>
      </w:r>
      <w:r>
        <w:t>6</w:t>
      </w:r>
      <w:r>
        <w:rPr>
          <w:rFonts w:hint="eastAsia"/>
        </w:rPr>
        <w:t>）《中华人民共和国环境噪声污染防治法》（2019年</w:t>
      </w:r>
      <w:r>
        <w:t>1</w:t>
      </w:r>
      <w:r>
        <w:rPr>
          <w:rFonts w:hint="eastAsia"/>
        </w:rPr>
        <w:t>月11日）；</w:t>
      </w:r>
      <w:bookmarkEnd w:id="44"/>
    </w:p>
    <w:p>
      <w:bookmarkStart w:id="45" w:name="_Toc468689082"/>
      <w:r>
        <w:rPr>
          <w:rFonts w:hint="eastAsia"/>
        </w:rPr>
        <w:t>（</w:t>
      </w:r>
      <w:r>
        <w:t>7</w:t>
      </w:r>
      <w:r>
        <w:rPr>
          <w:rFonts w:hint="eastAsia"/>
        </w:rPr>
        <w:t>）《中华人民共和国水土保持法》（</w:t>
      </w:r>
      <w:r>
        <w:t>2011</w:t>
      </w:r>
      <w:r>
        <w:rPr>
          <w:rFonts w:hint="eastAsia"/>
        </w:rPr>
        <w:t>年</w:t>
      </w:r>
      <w:r>
        <w:t>3</w:t>
      </w:r>
      <w:r>
        <w:rPr>
          <w:rFonts w:hint="eastAsia"/>
        </w:rPr>
        <w:t>月</w:t>
      </w:r>
      <w:r>
        <w:t>1</w:t>
      </w:r>
      <w:r>
        <w:rPr>
          <w:rFonts w:hint="eastAsia"/>
        </w:rPr>
        <w:t>日）；</w:t>
      </w:r>
      <w:bookmarkEnd w:id="45"/>
    </w:p>
    <w:p>
      <w:r>
        <w:rPr>
          <w:rFonts w:hint="eastAsia"/>
        </w:rPr>
        <w:t>（</w:t>
      </w:r>
      <w:r>
        <w:t>8</w:t>
      </w:r>
      <w:r>
        <w:rPr>
          <w:rFonts w:hint="eastAsia"/>
        </w:rPr>
        <w:t>）《中华人民共和国水法》（</w:t>
      </w:r>
      <w:r>
        <w:t>2017</w:t>
      </w:r>
      <w:r>
        <w:rPr>
          <w:rFonts w:hint="eastAsia"/>
        </w:rPr>
        <w:t>年</w:t>
      </w:r>
      <w:r>
        <w:t>7</w:t>
      </w:r>
      <w:r>
        <w:rPr>
          <w:rFonts w:hint="eastAsia"/>
        </w:rPr>
        <w:t>月</w:t>
      </w:r>
      <w:r>
        <w:t>2</w:t>
      </w:r>
      <w:r>
        <w:rPr>
          <w:rFonts w:hint="eastAsia"/>
        </w:rPr>
        <w:t>日修订）；</w:t>
      </w:r>
    </w:p>
    <w:p>
      <w:bookmarkStart w:id="46" w:name="_Toc468689083"/>
      <w:r>
        <w:rPr>
          <w:rFonts w:hint="eastAsia"/>
        </w:rPr>
        <w:t>（</w:t>
      </w:r>
      <w:r>
        <w:t>9</w:t>
      </w:r>
      <w:r>
        <w:rPr>
          <w:rFonts w:hint="eastAsia"/>
        </w:rPr>
        <w:t>）《中华人民共和国畜牧法》（</w:t>
      </w:r>
      <w:r>
        <w:t>20</w:t>
      </w:r>
      <w:r>
        <w:rPr>
          <w:rFonts w:hint="eastAsia"/>
        </w:rPr>
        <w:t>1</w:t>
      </w:r>
      <w:r>
        <w:t>5</w:t>
      </w:r>
      <w:r>
        <w:rPr>
          <w:rFonts w:hint="eastAsia"/>
        </w:rPr>
        <w:t>年4月24日）；</w:t>
      </w:r>
      <w:bookmarkEnd w:id="46"/>
    </w:p>
    <w:p>
      <w:r>
        <w:rPr>
          <w:rFonts w:hint="eastAsia"/>
        </w:rPr>
        <w:t>（</w:t>
      </w:r>
      <w:r>
        <w:t>10</w:t>
      </w:r>
      <w:r>
        <w:rPr>
          <w:rFonts w:hint="eastAsia"/>
        </w:rPr>
        <w:t>）《中华人民共和国动物防疫法》（</w:t>
      </w:r>
      <w:r>
        <w:t>2007</w:t>
      </w:r>
      <w:r>
        <w:rPr>
          <w:rFonts w:hint="eastAsia"/>
        </w:rPr>
        <w:t>年</w:t>
      </w:r>
      <w:r>
        <w:t>8</w:t>
      </w:r>
      <w:r>
        <w:rPr>
          <w:rFonts w:hint="eastAsia"/>
        </w:rPr>
        <w:t>月</w:t>
      </w:r>
      <w:r>
        <w:t>30</w:t>
      </w:r>
      <w:r>
        <w:rPr>
          <w:rFonts w:hint="eastAsia"/>
        </w:rPr>
        <w:t>日）；</w:t>
      </w:r>
    </w:p>
    <w:p>
      <w:bookmarkStart w:id="47" w:name="_Toc468689084"/>
      <w:r>
        <w:rPr>
          <w:rFonts w:hint="eastAsia"/>
        </w:rPr>
        <w:t>（</w:t>
      </w:r>
      <w:r>
        <w:t>11</w:t>
      </w:r>
      <w:r>
        <w:rPr>
          <w:rFonts w:hint="eastAsia"/>
        </w:rPr>
        <w:t>）《中华人民共和国清洁生产促进法》（</w:t>
      </w:r>
      <w:r>
        <w:t>2012</w:t>
      </w:r>
      <w:r>
        <w:rPr>
          <w:rFonts w:hint="eastAsia"/>
        </w:rPr>
        <w:t>年</w:t>
      </w:r>
      <w:r>
        <w:t>2</w:t>
      </w:r>
      <w:r>
        <w:rPr>
          <w:rFonts w:hint="eastAsia"/>
        </w:rPr>
        <w:t>月</w:t>
      </w:r>
      <w:r>
        <w:t>29</w:t>
      </w:r>
      <w:r>
        <w:rPr>
          <w:rFonts w:hint="eastAsia"/>
        </w:rPr>
        <w:t>日修订）；</w:t>
      </w:r>
      <w:bookmarkEnd w:id="47"/>
    </w:p>
    <w:p>
      <w:r>
        <w:rPr>
          <w:rFonts w:hint="eastAsia"/>
        </w:rPr>
        <w:t>（</w:t>
      </w:r>
      <w:r>
        <w:t>12</w:t>
      </w:r>
      <w:r>
        <w:rPr>
          <w:rFonts w:hint="eastAsia"/>
        </w:rPr>
        <w:t>）《中华人民共和国循环经济促进法》（</w:t>
      </w:r>
      <w:r>
        <w:t>2009</w:t>
      </w:r>
      <w:r>
        <w:rPr>
          <w:rFonts w:hint="eastAsia"/>
        </w:rPr>
        <w:t>年</w:t>
      </w:r>
      <w:r>
        <w:t>1</w:t>
      </w:r>
      <w:r>
        <w:rPr>
          <w:rFonts w:hint="eastAsia"/>
        </w:rPr>
        <w:t>月</w:t>
      </w:r>
      <w:r>
        <w:t>1</w:t>
      </w:r>
      <w:r>
        <w:rPr>
          <w:rFonts w:hint="eastAsia"/>
        </w:rPr>
        <w:t>日）；</w:t>
      </w:r>
    </w:p>
    <w:p>
      <w:r>
        <w:rPr>
          <w:rFonts w:hint="eastAsia"/>
        </w:rPr>
        <w:t>（</w:t>
      </w:r>
      <w:r>
        <w:t>13</w:t>
      </w:r>
      <w:r>
        <w:rPr>
          <w:rFonts w:hint="eastAsia"/>
        </w:rPr>
        <w:t>）《建设项目环境保护管理条例》（国务院令第</w:t>
      </w:r>
      <w:r>
        <w:t>682</w:t>
      </w:r>
      <w:r>
        <w:rPr>
          <w:rFonts w:hint="eastAsia"/>
        </w:rPr>
        <w:t>号，</w:t>
      </w:r>
      <w:r>
        <w:t>2017</w:t>
      </w:r>
      <w:r>
        <w:rPr>
          <w:rFonts w:hint="eastAsia"/>
        </w:rPr>
        <w:t>年</w:t>
      </w:r>
      <w:r>
        <w:t>10</w:t>
      </w:r>
      <w:r>
        <w:rPr>
          <w:rFonts w:hint="eastAsia"/>
        </w:rPr>
        <w:t>月</w:t>
      </w:r>
      <w:r>
        <w:t>1</w:t>
      </w:r>
      <w:r>
        <w:rPr>
          <w:rFonts w:hint="eastAsia"/>
        </w:rPr>
        <w:t>日实施）；</w:t>
      </w:r>
    </w:p>
    <w:p>
      <w:r>
        <w:rPr>
          <w:rFonts w:hint="eastAsia"/>
        </w:rPr>
        <w:t>（</w:t>
      </w:r>
      <w:r>
        <w:t>14</w:t>
      </w:r>
      <w:r>
        <w:rPr>
          <w:rFonts w:hint="eastAsia"/>
        </w:rPr>
        <w:t>） 《畜禽规模养殖污染防治条例》（国务院令第</w:t>
      </w:r>
      <w:r>
        <w:t>643</w:t>
      </w:r>
      <w:r>
        <w:rPr>
          <w:rFonts w:hint="eastAsia"/>
        </w:rPr>
        <w:t>号，</w:t>
      </w:r>
      <w:r>
        <w:t>2014</w:t>
      </w:r>
      <w:r>
        <w:rPr>
          <w:rFonts w:hint="eastAsia"/>
        </w:rPr>
        <w:t>年</w:t>
      </w:r>
      <w:r>
        <w:t>1</w:t>
      </w:r>
      <w:r>
        <w:rPr>
          <w:rFonts w:hint="eastAsia"/>
        </w:rPr>
        <w:t>月</w:t>
      </w:r>
      <w:r>
        <w:t>1</w:t>
      </w:r>
      <w:r>
        <w:rPr>
          <w:rFonts w:hint="eastAsia"/>
        </w:rPr>
        <w:t>日）；</w:t>
      </w:r>
    </w:p>
    <w:p>
      <w:r>
        <w:rPr>
          <w:rFonts w:hint="eastAsia"/>
        </w:rPr>
        <w:t>（</w:t>
      </w:r>
      <w:r>
        <w:t>15</w:t>
      </w:r>
      <w:r>
        <w:rPr>
          <w:rFonts w:hint="eastAsia"/>
        </w:rPr>
        <w:t>）《湖南省环境保护条例》（</w:t>
      </w:r>
      <w:r>
        <w:t>201</w:t>
      </w:r>
      <w:r>
        <w:rPr>
          <w:rFonts w:hint="eastAsia"/>
        </w:rPr>
        <w:t>9年9月</w:t>
      </w:r>
      <w:r>
        <w:t>2</w:t>
      </w:r>
      <w:r>
        <w:rPr>
          <w:rFonts w:hint="eastAsia"/>
        </w:rPr>
        <w:t>9日修正）；</w:t>
      </w:r>
    </w:p>
    <w:p>
      <w:r>
        <w:rPr>
          <w:rFonts w:hint="eastAsia"/>
        </w:rPr>
        <w:t>（</w:t>
      </w:r>
      <w:r>
        <w:t>1</w:t>
      </w:r>
      <w:r>
        <w:rPr>
          <w:rFonts w:hint="eastAsia"/>
        </w:rPr>
        <w:t>6）《湖南省大气污染防治条例》</w:t>
      </w:r>
      <w:r>
        <w:t>(2017.6.1)</w:t>
      </w:r>
      <w:r>
        <w:rPr>
          <w:rFonts w:hint="eastAsia"/>
        </w:rPr>
        <w:t>。</w:t>
      </w:r>
    </w:p>
    <w:p>
      <w:pPr>
        <w:pStyle w:val="5"/>
        <w:bidi w:val="0"/>
      </w:pPr>
      <w:r>
        <w:rPr>
          <w:rFonts w:hint="eastAsia"/>
        </w:rPr>
        <w:t>规章、政策</w:t>
      </w:r>
    </w:p>
    <w:p>
      <w:r>
        <w:rPr>
          <w:rFonts w:hint="eastAsia"/>
        </w:rPr>
        <w:t>（</w:t>
      </w:r>
      <w:r>
        <w:t>1</w:t>
      </w:r>
      <w:r>
        <w:rPr>
          <w:rFonts w:hint="eastAsia"/>
        </w:rPr>
        <w:t>）《环境影响评价公众参与办法》（生态环境部</w:t>
      </w:r>
      <w:r>
        <w:t>[20</w:t>
      </w:r>
      <w:r>
        <w:rPr>
          <w:rFonts w:hint="eastAsia"/>
        </w:rPr>
        <w:t>18</w:t>
      </w:r>
      <w:r>
        <w:t>]</w:t>
      </w:r>
      <w:r>
        <w:rPr>
          <w:rFonts w:hint="eastAsia"/>
        </w:rPr>
        <w:t>4号，</w:t>
      </w:r>
      <w:r>
        <w:t>20</w:t>
      </w:r>
      <w:r>
        <w:rPr>
          <w:rFonts w:hint="eastAsia"/>
        </w:rPr>
        <w:t>18</w:t>
      </w:r>
      <w:r>
        <w:t>.</w:t>
      </w:r>
      <w:r>
        <w:rPr>
          <w:rFonts w:hint="eastAsia"/>
        </w:rPr>
        <w:t>7.16</w:t>
      </w:r>
      <w:r>
        <w:t>)</w:t>
      </w:r>
      <w:r>
        <w:rPr>
          <w:rFonts w:hint="eastAsia"/>
        </w:rPr>
        <w:t>；</w:t>
      </w:r>
    </w:p>
    <w:p>
      <w:r>
        <w:rPr>
          <w:rFonts w:hint="eastAsia"/>
        </w:rPr>
        <w:t>（</w:t>
      </w:r>
      <w:r>
        <w:t>2</w:t>
      </w:r>
      <w:r>
        <w:rPr>
          <w:rFonts w:hint="eastAsia"/>
        </w:rPr>
        <w:t>）《建设项目环境影响评价信息公开机制方案》（环发</w:t>
      </w:r>
      <w:r>
        <w:t>[2015]162</w:t>
      </w:r>
      <w:r>
        <w:rPr>
          <w:rFonts w:hint="eastAsia"/>
        </w:rPr>
        <w:t>号，</w:t>
      </w:r>
      <w:r>
        <w:t>2015.12.15.</w:t>
      </w:r>
      <w:r>
        <w:rPr>
          <w:rFonts w:hint="eastAsia"/>
        </w:rPr>
        <w:t>）；</w:t>
      </w:r>
    </w:p>
    <w:p>
      <w:r>
        <w:rPr>
          <w:rFonts w:hint="eastAsia"/>
        </w:rPr>
        <w:t>（</w:t>
      </w:r>
      <w:r>
        <w:t>3</w:t>
      </w:r>
      <w:r>
        <w:rPr>
          <w:rFonts w:hint="eastAsia"/>
        </w:rPr>
        <w:t>）《关于加强环境影响评价管理防范环境风险的通知》，</w:t>
      </w:r>
      <w:r>
        <w:t>(</w:t>
      </w:r>
      <w:r>
        <w:rPr>
          <w:rFonts w:hint="eastAsia"/>
        </w:rPr>
        <w:t>环发</w:t>
      </w:r>
      <w:r>
        <w:t>[2012]77</w:t>
      </w:r>
      <w:r>
        <w:rPr>
          <w:rFonts w:hint="eastAsia"/>
        </w:rPr>
        <w:t>号，</w:t>
      </w:r>
      <w:r>
        <w:t>2012.7.3)</w:t>
      </w:r>
      <w:r>
        <w:rPr>
          <w:rFonts w:hint="eastAsia"/>
        </w:rPr>
        <w:t>；</w:t>
      </w:r>
    </w:p>
    <w:p>
      <w:bookmarkStart w:id="48" w:name="_Toc468689086"/>
      <w:r>
        <w:rPr>
          <w:rFonts w:hint="eastAsia"/>
        </w:rPr>
        <w:t>（</w:t>
      </w:r>
      <w:r>
        <w:t>4</w:t>
      </w:r>
      <w:r>
        <w:rPr>
          <w:rFonts w:hint="eastAsia"/>
        </w:rPr>
        <w:t>）</w:t>
      </w:r>
      <w:bookmarkEnd w:id="48"/>
      <w:r>
        <w:rPr>
          <w:rFonts w:hint="eastAsia"/>
        </w:rPr>
        <w:t>《关于印发</w:t>
      </w:r>
      <w:r>
        <w:t>&lt;</w:t>
      </w:r>
      <w:r>
        <w:rPr>
          <w:rFonts w:hint="eastAsia"/>
        </w:rPr>
        <w:t>病死及死因不明动物处置办法（试行）</w:t>
      </w:r>
      <w:r>
        <w:t>&gt;</w:t>
      </w:r>
      <w:r>
        <w:rPr>
          <w:rFonts w:hint="eastAsia"/>
        </w:rPr>
        <w:t>的通知》（农医发</w:t>
      </w:r>
      <w:r>
        <w:t>[2005]25</w:t>
      </w:r>
      <w:r>
        <w:rPr>
          <w:rFonts w:hint="eastAsia"/>
        </w:rPr>
        <w:t>号）；</w:t>
      </w:r>
    </w:p>
    <w:p>
      <w:r>
        <w:rPr>
          <w:rFonts w:hint="eastAsia"/>
        </w:rPr>
        <w:t>（</w:t>
      </w:r>
      <w:r>
        <w:t>5</w:t>
      </w:r>
      <w:r>
        <w:rPr>
          <w:rFonts w:hint="eastAsia"/>
        </w:rPr>
        <w:t>）《国务院办公厅关于建立病死畜禽无害化处理机制的意见》（国办发〔</w:t>
      </w:r>
      <w:r>
        <w:t>2014</w:t>
      </w:r>
      <w:r>
        <w:rPr>
          <w:rFonts w:hint="eastAsia"/>
        </w:rPr>
        <w:t>〕</w:t>
      </w:r>
      <w:r>
        <w:t>47</w:t>
      </w:r>
      <w:r>
        <w:rPr>
          <w:rFonts w:hint="eastAsia"/>
        </w:rPr>
        <w:t>号）；</w:t>
      </w:r>
    </w:p>
    <w:p>
      <w:r>
        <w:rPr>
          <w:rFonts w:hint="eastAsia"/>
        </w:rPr>
        <w:t>（</w:t>
      </w:r>
      <w:r>
        <w:t>6</w:t>
      </w:r>
      <w:r>
        <w:rPr>
          <w:rFonts w:hint="eastAsia"/>
        </w:rPr>
        <w:t>）《水污染防治行动计划》（国务院，</w:t>
      </w:r>
      <w:r>
        <w:t>2015</w:t>
      </w:r>
      <w:r>
        <w:rPr>
          <w:rFonts w:hint="eastAsia"/>
        </w:rPr>
        <w:t>年</w:t>
      </w:r>
      <w:r>
        <w:t>4</w:t>
      </w:r>
      <w:r>
        <w:rPr>
          <w:rFonts w:hint="eastAsia"/>
        </w:rPr>
        <w:t>月</w:t>
      </w:r>
      <w:r>
        <w:t>2</w:t>
      </w:r>
      <w:r>
        <w:rPr>
          <w:rFonts w:hint="eastAsia"/>
        </w:rPr>
        <w:t>日）；</w:t>
      </w:r>
    </w:p>
    <w:p>
      <w:r>
        <w:rPr>
          <w:rFonts w:hint="eastAsia"/>
        </w:rPr>
        <w:t>（</w:t>
      </w:r>
      <w:r>
        <w:t>7</w:t>
      </w:r>
      <w:r>
        <w:rPr>
          <w:rFonts w:hint="eastAsia"/>
        </w:rPr>
        <w:t>）《大气污染物防治行动计划》（国务院，</w:t>
      </w:r>
      <w:r>
        <w:t>2013</w:t>
      </w:r>
      <w:r>
        <w:rPr>
          <w:rFonts w:hint="eastAsia"/>
        </w:rPr>
        <w:t>年</w:t>
      </w:r>
      <w:r>
        <w:t>9</w:t>
      </w:r>
      <w:r>
        <w:rPr>
          <w:rFonts w:hint="eastAsia"/>
        </w:rPr>
        <w:t>月</w:t>
      </w:r>
      <w:r>
        <w:t>10</w:t>
      </w:r>
      <w:r>
        <w:rPr>
          <w:rFonts w:hint="eastAsia"/>
        </w:rPr>
        <w:t>日）；</w:t>
      </w:r>
    </w:p>
    <w:p>
      <w:r>
        <w:rPr>
          <w:rFonts w:hint="eastAsia"/>
        </w:rPr>
        <w:t>（</w:t>
      </w:r>
      <w:r>
        <w:t>8</w:t>
      </w:r>
      <w:r>
        <w:rPr>
          <w:rFonts w:hint="eastAsia"/>
        </w:rPr>
        <w:t>）《土壤污染防治行动计划》（国务院，</w:t>
      </w:r>
      <w:r>
        <w:t>2016</w:t>
      </w:r>
      <w:r>
        <w:rPr>
          <w:rFonts w:hint="eastAsia"/>
        </w:rPr>
        <w:t>年</w:t>
      </w:r>
      <w:r>
        <w:t>5</w:t>
      </w:r>
      <w:r>
        <w:rPr>
          <w:rFonts w:hint="eastAsia"/>
        </w:rPr>
        <w:t>月</w:t>
      </w:r>
      <w:r>
        <w:t>28</w:t>
      </w:r>
      <w:r>
        <w:rPr>
          <w:rFonts w:hint="eastAsia"/>
        </w:rPr>
        <w:t>日）；</w:t>
      </w:r>
    </w:p>
    <w:p>
      <w:r>
        <w:rPr>
          <w:rFonts w:hint="eastAsia"/>
        </w:rPr>
        <w:t>（</w:t>
      </w:r>
      <w:r>
        <w:t>9</w:t>
      </w:r>
      <w:r>
        <w:rPr>
          <w:rFonts w:hint="eastAsia"/>
        </w:rPr>
        <w:t>）《国务院关于加快推进畜禽养殖废弃物资源化利用的意见》，（国办发</w:t>
      </w:r>
      <w:r>
        <w:t>[2017]48</w:t>
      </w:r>
      <w:r>
        <w:rPr>
          <w:rFonts w:hint="eastAsia"/>
        </w:rPr>
        <w:t>号，</w:t>
      </w:r>
      <w:r>
        <w:t>2017</w:t>
      </w:r>
      <w:r>
        <w:rPr>
          <w:rFonts w:hint="eastAsia"/>
        </w:rPr>
        <w:t>年</w:t>
      </w:r>
      <w:r>
        <w:t>5</w:t>
      </w:r>
      <w:r>
        <w:rPr>
          <w:rFonts w:hint="eastAsia"/>
        </w:rPr>
        <w:t>月</w:t>
      </w:r>
      <w:r>
        <w:t>31</w:t>
      </w:r>
      <w:r>
        <w:rPr>
          <w:rFonts w:hint="eastAsia"/>
        </w:rPr>
        <w:t>日）；</w:t>
      </w:r>
    </w:p>
    <w:p>
      <w:r>
        <w:rPr>
          <w:rFonts w:hint="eastAsia"/>
        </w:rPr>
        <w:t>（</w:t>
      </w:r>
      <w:r>
        <w:t>10</w:t>
      </w:r>
      <w:r>
        <w:rPr>
          <w:rFonts w:hint="eastAsia"/>
        </w:rPr>
        <w:t>）《畜禽养殖业污染防治技术政策》（环发</w:t>
      </w:r>
      <w:r>
        <w:t>[2010]151</w:t>
      </w:r>
      <w:r>
        <w:rPr>
          <w:rFonts w:hint="eastAsia"/>
        </w:rPr>
        <w:t>号，</w:t>
      </w:r>
      <w:r>
        <w:t>2010</w:t>
      </w:r>
      <w:r>
        <w:rPr>
          <w:rFonts w:hint="eastAsia"/>
        </w:rPr>
        <w:t>年</w:t>
      </w:r>
      <w:r>
        <w:t>12</w:t>
      </w:r>
      <w:r>
        <w:rPr>
          <w:rFonts w:hint="eastAsia"/>
        </w:rPr>
        <w:t>月</w:t>
      </w:r>
      <w:r>
        <w:t>30</w:t>
      </w:r>
      <w:r>
        <w:rPr>
          <w:rFonts w:hint="eastAsia"/>
        </w:rPr>
        <w:t>日）；</w:t>
      </w:r>
    </w:p>
    <w:p>
      <w:r>
        <w:rPr>
          <w:rFonts w:hint="eastAsia"/>
        </w:rPr>
        <w:t>（</w:t>
      </w:r>
      <w:r>
        <w:t>11</w:t>
      </w:r>
      <w:r>
        <w:rPr>
          <w:rFonts w:hint="eastAsia"/>
        </w:rPr>
        <w:t>）《农业综合开发区域生态循环农业项目（</w:t>
      </w:r>
      <w:r>
        <w:t>2017-2020</w:t>
      </w:r>
      <w:r>
        <w:rPr>
          <w:rFonts w:hint="eastAsia"/>
        </w:rPr>
        <w:t>）》（农办计</w:t>
      </w:r>
      <w:r>
        <w:t xml:space="preserve"> [2016]93</w:t>
      </w:r>
      <w:r>
        <w:rPr>
          <w:rFonts w:hint="eastAsia"/>
        </w:rPr>
        <w:t>号，</w:t>
      </w:r>
      <w:r>
        <w:t>2016.9</w:t>
      </w:r>
      <w:r>
        <w:rPr>
          <w:rFonts w:hint="eastAsia"/>
        </w:rPr>
        <w:t>）；</w:t>
      </w:r>
    </w:p>
    <w:p>
      <w:r>
        <w:rPr>
          <w:rFonts w:hint="eastAsia"/>
        </w:rPr>
        <w:t>（</w:t>
      </w:r>
      <w:r>
        <w:t>12</w:t>
      </w:r>
      <w:r>
        <w:rPr>
          <w:rFonts w:hint="eastAsia"/>
        </w:rPr>
        <w:t>）</w:t>
      </w:r>
      <w:r>
        <w:t>《关于做好畜禽规模养殖项目环境影响评价管理工作的通知》（环办环评〔2018〕31号）</w:t>
      </w:r>
      <w:r>
        <w:rPr>
          <w:rFonts w:hint="eastAsia"/>
        </w:rPr>
        <w:t>；</w:t>
      </w:r>
    </w:p>
    <w:p>
      <w:r>
        <w:rPr>
          <w:rFonts w:hint="eastAsia"/>
        </w:rPr>
        <w:t>（</w:t>
      </w:r>
      <w:r>
        <w:t>13</w:t>
      </w:r>
      <w:r>
        <w:rPr>
          <w:rFonts w:hint="eastAsia"/>
        </w:rPr>
        <w:t>）《关于进一步规范畜禽养殖禁养区划定和管理促进生猪生产发展的通知》（生态环境部、农业农村部联合，环办土壤﹝2019﹞55号，2019.9）；</w:t>
      </w:r>
    </w:p>
    <w:p>
      <w:r>
        <w:rPr>
          <w:rFonts w:hint="eastAsia"/>
        </w:rPr>
        <w:t>（</w:t>
      </w:r>
      <w:r>
        <w:t>14</w:t>
      </w:r>
      <w:r>
        <w:rPr>
          <w:rFonts w:hint="eastAsia"/>
        </w:rPr>
        <w:t>）《环境保护部农业部关于进一步加强畜禽养殖污染防治工作的通知》（环水体〔</w:t>
      </w:r>
      <w:r>
        <w:t>2016</w:t>
      </w:r>
      <w:r>
        <w:rPr>
          <w:rFonts w:hint="eastAsia"/>
        </w:rPr>
        <w:t>〕</w:t>
      </w:r>
      <w:r>
        <w:t>144</w:t>
      </w:r>
      <w:r>
        <w:rPr>
          <w:rFonts w:hint="eastAsia"/>
        </w:rPr>
        <w:t>号</w:t>
      </w:r>
      <w:r>
        <w:t xml:space="preserve">) </w:t>
      </w:r>
      <w:r>
        <w:rPr>
          <w:rFonts w:hint="eastAsia"/>
        </w:rPr>
        <w:t>；</w:t>
      </w:r>
    </w:p>
    <w:p>
      <w:r>
        <w:rPr>
          <w:rFonts w:hint="eastAsia"/>
        </w:rPr>
        <w:t>（</w:t>
      </w:r>
      <w:r>
        <w:t>15</w:t>
      </w:r>
      <w:r>
        <w:rPr>
          <w:rFonts w:hint="eastAsia"/>
        </w:rPr>
        <w:t>）《农业部关于印发&lt;畜禽粪污资源化利用行动方案（2017—2020年）&gt;》(农牧发[2017]11号)；</w:t>
      </w:r>
    </w:p>
    <w:p>
      <w:r>
        <w:rPr>
          <w:rFonts w:hint="eastAsia"/>
        </w:rPr>
        <w:t>（16）《农业部办公厅关于印发&lt;畜禽粪污土地承载力测算技术指南&gt;、&lt;畜禽规模养殖场粪污资源化利用设施建设规范（试行）&gt;的通知》（农办牧[2018]1号）(农办牧[2018]2号)；</w:t>
      </w:r>
    </w:p>
    <w:p>
      <w:bookmarkStart w:id="49" w:name="_Toc468689088"/>
      <w:r>
        <w:rPr>
          <w:rFonts w:hint="eastAsia"/>
        </w:rPr>
        <w:t>（17）《国务院办公厅关于建立病死畜禽无害化处理机制的意见》（国办发〔</w:t>
      </w:r>
      <w:r>
        <w:t>2014〕47号）</w:t>
      </w:r>
      <w:r>
        <w:rPr>
          <w:rFonts w:hint="eastAsia"/>
        </w:rPr>
        <w:t>；</w:t>
      </w:r>
    </w:p>
    <w:p>
      <w:r>
        <w:rPr>
          <w:rFonts w:hint="eastAsia"/>
        </w:rPr>
        <w:t>（18）《湖南省人民政府办公厅关于建立病死畜禽无害化处理机制的实施意见》</w:t>
      </w:r>
      <w:r>
        <w:t>(湘政办发〔2015〕103号)</w:t>
      </w:r>
      <w:r>
        <w:rPr>
          <w:rFonts w:hint="eastAsia"/>
        </w:rPr>
        <w:t>；</w:t>
      </w:r>
    </w:p>
    <w:p>
      <w:r>
        <w:t>（</w:t>
      </w:r>
      <w:r>
        <w:rPr>
          <w:rFonts w:hint="eastAsia"/>
        </w:rPr>
        <w:t>19</w:t>
      </w:r>
      <w:r>
        <w:t>）</w:t>
      </w:r>
      <w:r>
        <w:rPr>
          <w:rFonts w:hint="eastAsia"/>
        </w:rPr>
        <w:t>《湖南省县级以上地表水集中式饮用水水源保护区划定方案》（湘政发</w:t>
      </w:r>
      <w:r>
        <w:t>[2016]176</w:t>
      </w:r>
      <w:r>
        <w:rPr>
          <w:rFonts w:hint="eastAsia"/>
        </w:rPr>
        <w:t>号）；</w:t>
      </w:r>
    </w:p>
    <w:p>
      <w:r>
        <w:rPr>
          <w:rFonts w:hint="eastAsia"/>
        </w:rPr>
        <w:t>（20）</w:t>
      </w:r>
      <w:bookmarkEnd w:id="49"/>
      <w:r>
        <w:rPr>
          <w:rFonts w:hint="eastAsia"/>
        </w:rPr>
        <w:t>《湖南省人民政府办公厅关于加快转型升级推进现代畜牧业发展的意见》（湘政办发〔</w:t>
      </w:r>
      <w:r>
        <w:t>2016</w:t>
      </w:r>
      <w:r>
        <w:rPr>
          <w:rFonts w:hint="eastAsia"/>
        </w:rPr>
        <w:t>〕</w:t>
      </w:r>
      <w:r>
        <w:t>27</w:t>
      </w:r>
      <w:r>
        <w:rPr>
          <w:rFonts w:hint="eastAsia"/>
        </w:rPr>
        <w:t>号）；</w:t>
      </w:r>
    </w:p>
    <w:p>
      <w:r>
        <w:rPr>
          <w:rFonts w:hint="eastAsia"/>
        </w:rPr>
        <w:t>（21）《湖南省畜禽规模养殖污染防治规定》（湘政办发〔</w:t>
      </w:r>
      <w:r>
        <w:t>2017</w:t>
      </w:r>
      <w:r>
        <w:rPr>
          <w:rFonts w:hint="eastAsia"/>
        </w:rPr>
        <w:t>〕</w:t>
      </w:r>
      <w:r>
        <w:t>29</w:t>
      </w:r>
      <w:r>
        <w:rPr>
          <w:rFonts w:hint="eastAsia"/>
        </w:rPr>
        <w:t>号）；</w:t>
      </w:r>
    </w:p>
    <w:p>
      <w:r>
        <w:rPr>
          <w:rFonts w:hint="eastAsia"/>
        </w:rPr>
        <w:t>（22）《湖南省人民政府关于印发&lt;湖南省生态保护红线&gt;的通知》（湘政发〔</w:t>
      </w:r>
      <w:r>
        <w:t>2018〕20号</w:t>
      </w:r>
      <w:r>
        <w:rPr>
          <w:rFonts w:hint="eastAsia"/>
        </w:rPr>
        <w:t>）；</w:t>
      </w:r>
    </w:p>
    <w:p>
      <w:r>
        <w:rPr>
          <w:rFonts w:hint="eastAsia"/>
        </w:rPr>
        <w:t>（23）</w:t>
      </w:r>
      <w:r>
        <w:t>《湖南省人民政府办公厅关于印发〈洞庭湖区养殖环境整治专项行动实施方案〉的通知》（湘政办函〔2016〕55号）</w:t>
      </w:r>
      <w:r>
        <w:rPr>
          <w:rFonts w:hint="eastAsia"/>
        </w:rPr>
        <w:t>；</w:t>
      </w:r>
    </w:p>
    <w:p>
      <w:r>
        <w:rPr>
          <w:rFonts w:hint="eastAsia"/>
        </w:rPr>
        <w:t>（24）《常德市大气污染防治行动计划实施方案》（常政办发</w:t>
      </w:r>
      <w:r>
        <w:t>[2014]13</w:t>
      </w:r>
      <w:r>
        <w:rPr>
          <w:rFonts w:hint="eastAsia"/>
        </w:rPr>
        <w:t>号文，</w:t>
      </w:r>
      <w:r>
        <w:t>2014.4.26)</w:t>
      </w:r>
      <w:r>
        <w:rPr>
          <w:rFonts w:hint="eastAsia"/>
        </w:rPr>
        <w:t>；</w:t>
      </w:r>
    </w:p>
    <w:p>
      <w:r>
        <w:rPr>
          <w:rFonts w:hint="eastAsia"/>
        </w:rPr>
        <w:t>（</w:t>
      </w:r>
      <w:r>
        <w:t>2</w:t>
      </w:r>
      <w:r>
        <w:rPr>
          <w:rFonts w:hint="eastAsia"/>
        </w:rPr>
        <w:t>5）《常德市贯彻落实</w:t>
      </w:r>
      <w:r>
        <w:t>&lt;</w:t>
      </w:r>
      <w:r>
        <w:rPr>
          <w:rFonts w:hint="eastAsia"/>
        </w:rPr>
        <w:t>水污染防治行动计划</w:t>
      </w:r>
      <w:r>
        <w:t>&gt;</w:t>
      </w:r>
      <w:r>
        <w:rPr>
          <w:rFonts w:hint="eastAsia"/>
        </w:rPr>
        <w:t>实施方案（</w:t>
      </w:r>
      <w:r>
        <w:t>2016-2020</w:t>
      </w:r>
      <w:r>
        <w:rPr>
          <w:rFonts w:hint="eastAsia"/>
        </w:rPr>
        <w:t>）》，（常政发〔</w:t>
      </w:r>
      <w:r>
        <w:t>2016</w:t>
      </w:r>
      <w:r>
        <w:rPr>
          <w:rFonts w:hint="eastAsia"/>
        </w:rPr>
        <w:t>〕</w:t>
      </w:r>
      <w:r>
        <w:t>11</w:t>
      </w:r>
      <w:r>
        <w:rPr>
          <w:rFonts w:hint="eastAsia"/>
        </w:rPr>
        <w:t>号，</w:t>
      </w:r>
      <w:r>
        <w:t>2016.7.3</w:t>
      </w:r>
      <w:r>
        <w:rPr>
          <w:rFonts w:hint="eastAsia"/>
        </w:rPr>
        <w:t>）；</w:t>
      </w:r>
    </w:p>
    <w:p>
      <w:r>
        <w:rPr>
          <w:rFonts w:hint="eastAsia"/>
        </w:rPr>
        <w:t>（</w:t>
      </w:r>
      <w:r>
        <w:t>2</w:t>
      </w:r>
      <w:r>
        <w:rPr>
          <w:rFonts w:hint="eastAsia"/>
        </w:rPr>
        <w:t>6）《常德市人民政府关于加强畜禽养殖污染防治促进畜牧业发展的意见》（常政发</w:t>
      </w:r>
      <w:r>
        <w:t>[2013]4</w:t>
      </w:r>
      <w:r>
        <w:rPr>
          <w:rFonts w:hint="eastAsia"/>
        </w:rPr>
        <w:t>号文，</w:t>
      </w:r>
      <w:r>
        <w:t>2013.1.24)</w:t>
      </w:r>
      <w:r>
        <w:rPr>
          <w:rFonts w:hint="eastAsia"/>
        </w:rPr>
        <w:t>；</w:t>
      </w:r>
    </w:p>
    <w:p>
      <w:r>
        <w:rPr>
          <w:rFonts w:hint="eastAsia"/>
        </w:rPr>
        <w:t>（</w:t>
      </w:r>
      <w:r>
        <w:t>2</w:t>
      </w:r>
      <w:r>
        <w:rPr>
          <w:rFonts w:hint="eastAsia"/>
        </w:rPr>
        <w:t>7）《常德市饮用水水源环境保护条例》（</w:t>
      </w:r>
      <w:r>
        <w:t>2017.1.10</w:t>
      </w:r>
      <w:r>
        <w:rPr>
          <w:rFonts w:hint="eastAsia"/>
        </w:rPr>
        <w:t>）；</w:t>
      </w:r>
    </w:p>
    <w:p>
      <w:r>
        <w:rPr>
          <w:rFonts w:hint="eastAsia"/>
        </w:rPr>
        <w:t>（</w:t>
      </w:r>
      <w:r>
        <w:t>2</w:t>
      </w:r>
      <w:r>
        <w:rPr>
          <w:rFonts w:hint="eastAsia"/>
        </w:rPr>
        <w:t>8）《常德市人民政府办公室关于印发&lt;常德市病死畜禽无害化处理体系建设实施方案&gt;的通知》（常政办发〔</w:t>
      </w:r>
      <w:r>
        <w:t>2017〕19号</w:t>
      </w:r>
      <w:r>
        <w:rPr>
          <w:rFonts w:hint="eastAsia"/>
        </w:rPr>
        <w:t>）；</w:t>
      </w:r>
    </w:p>
    <w:p>
      <w:r>
        <w:rPr>
          <w:rFonts w:hint="eastAsia"/>
        </w:rPr>
        <w:t>（</w:t>
      </w:r>
      <w:r>
        <w:t>2</w:t>
      </w:r>
      <w:r>
        <w:rPr>
          <w:rFonts w:hint="eastAsia"/>
        </w:rPr>
        <w:t>9）《澧县养殖环境整治专项行动实施方案》</w:t>
      </w:r>
      <w:r>
        <w:t>(2016.5.12)</w:t>
      </w:r>
      <w:r>
        <w:rPr>
          <w:rFonts w:hint="eastAsia"/>
        </w:rPr>
        <w:t>；</w:t>
      </w:r>
    </w:p>
    <w:p>
      <w:r>
        <w:rPr>
          <w:rFonts w:hint="eastAsia"/>
        </w:rPr>
        <w:t>（30）《澧县人民政府关于加强饮用水水源保护区管理的通告》，（澧政通告〔</w:t>
      </w:r>
      <w:r>
        <w:t>2015</w:t>
      </w:r>
      <w:r>
        <w:rPr>
          <w:rFonts w:hint="eastAsia"/>
        </w:rPr>
        <w:t>〕</w:t>
      </w:r>
      <w:r>
        <w:t>3</w:t>
      </w:r>
      <w:r>
        <w:rPr>
          <w:rFonts w:hint="eastAsia"/>
        </w:rPr>
        <w:t>号，</w:t>
      </w:r>
      <w:r>
        <w:t>2015.7.9)</w:t>
      </w:r>
      <w:r>
        <w:rPr>
          <w:rFonts w:hint="eastAsia"/>
        </w:rPr>
        <w:t>；</w:t>
      </w:r>
    </w:p>
    <w:p>
      <w:r>
        <w:rPr>
          <w:rFonts w:hint="eastAsia"/>
        </w:rPr>
        <w:t>（31）《澧县水环境功能区划》（澧政函</w:t>
      </w:r>
      <w:r>
        <w:t>[2014]59</w:t>
      </w:r>
      <w:r>
        <w:rPr>
          <w:rFonts w:hint="eastAsia"/>
        </w:rPr>
        <w:t>号），</w:t>
      </w:r>
      <w:r>
        <w:t>2014.6</w:t>
      </w:r>
      <w:r>
        <w:rPr>
          <w:rFonts w:hint="eastAsia"/>
        </w:rPr>
        <w:t>）；</w:t>
      </w:r>
    </w:p>
    <w:p>
      <w:r>
        <w:rPr>
          <w:rFonts w:hint="eastAsia"/>
        </w:rPr>
        <w:t>（32）《澧县大气污染防治行动计划实施方案》（澧政办发〔</w:t>
      </w:r>
      <w:r>
        <w:t>2014</w:t>
      </w:r>
      <w:r>
        <w:rPr>
          <w:rFonts w:hint="eastAsia"/>
        </w:rPr>
        <w:t>〕</w:t>
      </w:r>
      <w:r>
        <w:t>14</w:t>
      </w:r>
      <w:r>
        <w:rPr>
          <w:rFonts w:hint="eastAsia"/>
        </w:rPr>
        <w:t>号，</w:t>
      </w:r>
      <w:r>
        <w:t>2014.7.30</w:t>
      </w:r>
      <w:r>
        <w:rPr>
          <w:rFonts w:hint="eastAsia"/>
        </w:rPr>
        <w:t>）；</w:t>
      </w:r>
    </w:p>
    <w:p>
      <w:r>
        <w:rPr>
          <w:rFonts w:hint="eastAsia"/>
        </w:rPr>
        <w:t>（33）《澧县人民政府关于加强畜禽养殖污染防治促进畜牧业发展的意见》，（澧政发〔</w:t>
      </w:r>
      <w:r>
        <w:t>2013</w:t>
      </w:r>
      <w:r>
        <w:rPr>
          <w:rFonts w:hint="eastAsia"/>
        </w:rPr>
        <w:t>〕</w:t>
      </w:r>
      <w:r>
        <w:t>14</w:t>
      </w:r>
      <w:r>
        <w:rPr>
          <w:rFonts w:hint="eastAsia"/>
        </w:rPr>
        <w:t>号）；</w:t>
      </w:r>
    </w:p>
    <w:p>
      <w:r>
        <w:rPr>
          <w:rFonts w:hint="eastAsia"/>
        </w:rPr>
        <w:t>（34）《澧县畜禽养殖禁养区划定方案》（澧政发[</w:t>
      </w:r>
      <w:r>
        <w:rPr>
          <w:rFonts w:hint="eastAsia"/>
          <w:lang w:val="en-US" w:eastAsia="zh-CN"/>
        </w:rPr>
        <w:t>2020</w:t>
      </w:r>
      <w:r>
        <w:rPr>
          <w:rFonts w:hint="eastAsia"/>
        </w:rPr>
        <w:t>]</w:t>
      </w:r>
      <w:r>
        <w:rPr>
          <w:rFonts w:hint="eastAsia"/>
          <w:lang w:val="en-US" w:eastAsia="zh-CN"/>
        </w:rPr>
        <w:t>6</w:t>
      </w:r>
      <w:r>
        <w:rPr>
          <w:rFonts w:hint="eastAsia"/>
        </w:rPr>
        <w:t>号，20</w:t>
      </w:r>
      <w:r>
        <w:rPr>
          <w:rFonts w:hint="eastAsia"/>
          <w:lang w:val="en-US" w:eastAsia="zh-CN"/>
        </w:rPr>
        <w:t>20</w:t>
      </w:r>
      <w:r>
        <w:rPr>
          <w:rFonts w:hint="eastAsia"/>
        </w:rPr>
        <w:t>.</w:t>
      </w:r>
      <w:r>
        <w:rPr>
          <w:rFonts w:hint="eastAsia"/>
          <w:lang w:val="en-US" w:eastAsia="zh-CN"/>
        </w:rPr>
        <w:t>4</w:t>
      </w:r>
      <w:r>
        <w:rPr>
          <w:rFonts w:hint="eastAsia"/>
        </w:rPr>
        <w:t>.</w:t>
      </w:r>
      <w:r>
        <w:rPr>
          <w:rFonts w:hint="eastAsia"/>
          <w:lang w:val="en-US" w:eastAsia="zh-CN"/>
        </w:rPr>
        <w:t>17</w:t>
      </w:r>
      <w:r>
        <w:rPr>
          <w:rFonts w:hint="eastAsia"/>
        </w:rPr>
        <w:t>）；</w:t>
      </w:r>
    </w:p>
    <w:p>
      <w:r>
        <w:rPr>
          <w:rFonts w:hint="eastAsia"/>
        </w:rPr>
        <w:t>（35）《关于保障生猪养殖用地有关问题的通知》（</w:t>
      </w:r>
      <w:r>
        <w:t>自然资发[2019]39号</w:t>
      </w:r>
      <w:r>
        <w:rPr>
          <w:rFonts w:hint="eastAsia"/>
        </w:rPr>
        <w:t>）</w:t>
      </w:r>
      <w:r>
        <w:t>源部办公厅</w:t>
      </w:r>
      <w:r>
        <w:rPr>
          <w:rFonts w:hint="eastAsia"/>
        </w:rPr>
        <w:t>，2019.9.4</w:t>
      </w:r>
      <w:r>
        <w:t>）；</w:t>
      </w:r>
    </w:p>
    <w:p>
      <w:r>
        <w:t>（3</w:t>
      </w:r>
      <w:r>
        <w:rPr>
          <w:rFonts w:hint="eastAsia"/>
        </w:rPr>
        <w:t>6</w:t>
      </w:r>
      <w:r>
        <w:t>）《加快生猪生产恢复发展三年行动方案》（农牧发[2019]39号</w:t>
      </w:r>
      <w:r>
        <w:rPr>
          <w:rFonts w:hint="eastAsia"/>
        </w:rPr>
        <w:t>，2019.12.4）；</w:t>
      </w:r>
    </w:p>
    <w:p>
      <w:r>
        <w:rPr>
          <w:rFonts w:hint="eastAsia"/>
        </w:rPr>
        <w:t>（37）《</w:t>
      </w:r>
      <w:r>
        <w:t>农业农村部关于调整动物防疫条件审查有关规定的通知</w:t>
      </w:r>
      <w:r>
        <w:rPr>
          <w:rFonts w:hint="eastAsia"/>
        </w:rPr>
        <w:t>》（农牧发[2019]42号，2019.12.19）。</w:t>
      </w:r>
    </w:p>
    <w:p>
      <w:pPr>
        <w:pStyle w:val="5"/>
        <w:bidi w:val="0"/>
      </w:pPr>
      <w:bookmarkStart w:id="50" w:name="_Toc14468"/>
      <w:bookmarkStart w:id="51" w:name="_Toc1802"/>
      <w:bookmarkStart w:id="52" w:name="_Toc468689090"/>
      <w:bookmarkStart w:id="53" w:name="_Toc16549"/>
      <w:bookmarkStart w:id="54" w:name="_Toc289344513"/>
      <w:bookmarkStart w:id="55" w:name="_Toc249945611"/>
      <w:bookmarkStart w:id="56" w:name="_Toc249944902"/>
      <w:bookmarkStart w:id="57" w:name="_Toc24751"/>
      <w:bookmarkStart w:id="58" w:name="_Toc249943635"/>
      <w:bookmarkStart w:id="59" w:name="_Toc289329172"/>
      <w:bookmarkStart w:id="60" w:name="_Toc288479968"/>
      <w:bookmarkStart w:id="61" w:name="_Toc27277"/>
      <w:bookmarkStart w:id="62" w:name="_Toc771"/>
      <w:bookmarkStart w:id="63" w:name="_Toc249942728"/>
      <w:bookmarkStart w:id="64" w:name="_Toc249946021"/>
      <w:bookmarkStart w:id="65" w:name="_Toc288479610"/>
      <w:r>
        <w:rPr>
          <w:rFonts w:hint="eastAsia"/>
        </w:rPr>
        <w:t>相关技术导则及规范</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
        <w:rPr>
          <w:rFonts w:hint="eastAsia"/>
        </w:rPr>
        <w:t>（</w:t>
      </w:r>
      <w:r>
        <w:t>1</w:t>
      </w:r>
      <w:r>
        <w:rPr>
          <w:rFonts w:hint="eastAsia"/>
        </w:rPr>
        <w:t>）《建设项目环境影响评价技术导则总纲》（</w:t>
      </w:r>
      <w:r>
        <w:t>HJ2.1-2016</w:t>
      </w:r>
      <w:r>
        <w:rPr>
          <w:rFonts w:hint="eastAsia"/>
        </w:rPr>
        <w:t>）；</w:t>
      </w:r>
    </w:p>
    <w:p>
      <w:bookmarkStart w:id="66" w:name="_Toc468689091"/>
      <w:r>
        <w:rPr>
          <w:rFonts w:hint="eastAsia"/>
        </w:rPr>
        <w:t>（</w:t>
      </w:r>
      <w:r>
        <w:t>2</w:t>
      </w:r>
      <w:r>
        <w:rPr>
          <w:rFonts w:hint="eastAsia"/>
        </w:rPr>
        <w:t>）《环境影响评价技术导则大气环境》（</w:t>
      </w:r>
      <w:r>
        <w:t>HJ2.2-20</w:t>
      </w:r>
      <w:r>
        <w:rPr>
          <w:rFonts w:hint="eastAsia"/>
        </w:rPr>
        <w:t>1</w:t>
      </w:r>
      <w:r>
        <w:t>8</w:t>
      </w:r>
      <w:r>
        <w:rPr>
          <w:rFonts w:hint="eastAsia"/>
        </w:rPr>
        <w:t>）；</w:t>
      </w:r>
      <w:bookmarkEnd w:id="66"/>
    </w:p>
    <w:p>
      <w:r>
        <w:rPr>
          <w:rFonts w:hint="eastAsia"/>
        </w:rPr>
        <w:t>（</w:t>
      </w:r>
      <w:r>
        <w:t>3</w:t>
      </w:r>
      <w:r>
        <w:rPr>
          <w:rFonts w:hint="eastAsia"/>
        </w:rPr>
        <w:t>）《环境影响评价技术导则地面水环境》（</w:t>
      </w:r>
      <w:r>
        <w:t>HJ2.3-</w:t>
      </w:r>
      <w:r>
        <w:rPr>
          <w:rFonts w:hint="eastAsia"/>
        </w:rPr>
        <w:t>2018）；</w:t>
      </w:r>
    </w:p>
    <w:p>
      <w:bookmarkStart w:id="67" w:name="_Toc468689092"/>
      <w:r>
        <w:rPr>
          <w:rFonts w:hint="eastAsia"/>
        </w:rPr>
        <w:t>（</w:t>
      </w:r>
      <w:r>
        <w:t>4</w:t>
      </w:r>
      <w:r>
        <w:rPr>
          <w:rFonts w:hint="eastAsia"/>
        </w:rPr>
        <w:t>）《环境影响评价技术导则地下水环境》（</w:t>
      </w:r>
      <w:r>
        <w:t>HJ610-2016</w:t>
      </w:r>
      <w:r>
        <w:rPr>
          <w:rFonts w:hint="eastAsia"/>
        </w:rPr>
        <w:t>）；</w:t>
      </w:r>
      <w:bookmarkEnd w:id="67"/>
    </w:p>
    <w:p>
      <w:r>
        <w:rPr>
          <w:rFonts w:hint="eastAsia"/>
        </w:rPr>
        <w:t>（</w:t>
      </w:r>
      <w:r>
        <w:t>5</w:t>
      </w:r>
      <w:r>
        <w:rPr>
          <w:rFonts w:hint="eastAsia"/>
        </w:rPr>
        <w:t>）《环境影响评价技术导则声环境》（</w:t>
      </w:r>
      <w:r>
        <w:t>HJ2.4-2009</w:t>
      </w:r>
      <w:r>
        <w:rPr>
          <w:rFonts w:hint="eastAsia"/>
        </w:rPr>
        <w:t>）；</w:t>
      </w:r>
    </w:p>
    <w:p>
      <w:bookmarkStart w:id="68" w:name="_Toc468689093"/>
      <w:r>
        <w:rPr>
          <w:rFonts w:hint="eastAsia"/>
        </w:rPr>
        <w:t>（</w:t>
      </w:r>
      <w:r>
        <w:t>6</w:t>
      </w:r>
      <w:r>
        <w:rPr>
          <w:rFonts w:hint="eastAsia"/>
        </w:rPr>
        <w:t>）《环境影响评价技术导则生态影响》（</w:t>
      </w:r>
      <w:r>
        <w:t>HJ19-201</w:t>
      </w:r>
      <w:r>
        <w:rPr>
          <w:rFonts w:hint="eastAsia"/>
        </w:rPr>
        <w:t>6）；</w:t>
      </w:r>
      <w:bookmarkEnd w:id="68"/>
    </w:p>
    <w:p>
      <w:r>
        <w:rPr>
          <w:rFonts w:hint="eastAsia"/>
        </w:rPr>
        <w:t>（</w:t>
      </w:r>
      <w:r>
        <w:t>7</w:t>
      </w:r>
      <w:r>
        <w:rPr>
          <w:rFonts w:hint="eastAsia"/>
        </w:rPr>
        <w:t>）《建设项目环境风险评价技术导则》（</w:t>
      </w:r>
      <w:r>
        <w:t>HJ169-20</w:t>
      </w:r>
      <w:r>
        <w:rPr>
          <w:rFonts w:hint="eastAsia"/>
        </w:rPr>
        <w:t>18）；</w:t>
      </w:r>
    </w:p>
    <w:p>
      <w:bookmarkStart w:id="69" w:name="_Toc468689094"/>
      <w:r>
        <w:rPr>
          <w:rFonts w:hint="eastAsia"/>
        </w:rPr>
        <w:t>（</w:t>
      </w:r>
      <w:r>
        <w:t>8</w:t>
      </w:r>
      <w:r>
        <w:rPr>
          <w:rFonts w:hint="eastAsia"/>
        </w:rPr>
        <w:t xml:space="preserve">）《环境影响评价技术导则土壤环境（试行）》（HJ 964—2018）； </w:t>
      </w:r>
      <w:bookmarkEnd w:id="69"/>
    </w:p>
    <w:p>
      <w:r>
        <w:rPr>
          <w:rFonts w:hint="eastAsia"/>
        </w:rPr>
        <w:t>（9）《危险化学品重大危险源辨识》（</w:t>
      </w:r>
      <w:r>
        <w:t>GB18218-2009</w:t>
      </w:r>
      <w:r>
        <w:rPr>
          <w:rFonts w:hint="eastAsia"/>
        </w:rPr>
        <w:t>）；</w:t>
      </w:r>
    </w:p>
    <w:p>
      <w:bookmarkStart w:id="70" w:name="_Toc468689085"/>
      <w:r>
        <w:rPr>
          <w:rFonts w:hint="eastAsia"/>
        </w:rPr>
        <w:t>（10）《建设项目环境影响评价分类管理名录》（</w:t>
      </w:r>
      <w:r>
        <w:t>201</w:t>
      </w:r>
      <w:r>
        <w:rPr>
          <w:rFonts w:hint="eastAsia"/>
        </w:rPr>
        <w:t>8年4月</w:t>
      </w:r>
      <w:r>
        <w:t>1</w:t>
      </w:r>
      <w:r>
        <w:rPr>
          <w:rFonts w:hint="eastAsia"/>
        </w:rPr>
        <w:t>8日修订）；</w:t>
      </w:r>
    </w:p>
    <w:bookmarkEnd w:id="70"/>
    <w:p>
      <w:r>
        <w:rPr>
          <w:rFonts w:hint="eastAsia"/>
        </w:rPr>
        <w:t>（11）《产业结构调整指导目录》（</w:t>
      </w:r>
      <w:r>
        <w:t>201</w:t>
      </w:r>
      <w:r>
        <w:rPr>
          <w:rFonts w:hint="eastAsia"/>
          <w:lang w:val="en-US" w:eastAsia="zh-CN"/>
        </w:rPr>
        <w:t>9</w:t>
      </w:r>
      <w:r>
        <w:rPr>
          <w:rFonts w:hint="eastAsia"/>
        </w:rPr>
        <w:t>年）；</w:t>
      </w:r>
    </w:p>
    <w:p>
      <w:bookmarkStart w:id="71" w:name="_Toc468689095"/>
      <w:r>
        <w:rPr>
          <w:rFonts w:hint="eastAsia"/>
        </w:rPr>
        <w:t>（</w:t>
      </w:r>
      <w:r>
        <w:t>1</w:t>
      </w:r>
      <w:r>
        <w:rPr>
          <w:rFonts w:hint="eastAsia"/>
        </w:rPr>
        <w:t>2）《高致病性禽流感疫情处置技术规范》（农业部</w:t>
      </w:r>
      <w:r>
        <w:t xml:space="preserve"> 2004.11.14</w:t>
      </w:r>
      <w:r>
        <w:rPr>
          <w:rFonts w:hint="eastAsia"/>
        </w:rPr>
        <w:t>）；</w:t>
      </w:r>
      <w:bookmarkEnd w:id="71"/>
    </w:p>
    <w:p>
      <w:r>
        <w:rPr>
          <w:rFonts w:hint="eastAsia"/>
        </w:rPr>
        <w:t>（</w:t>
      </w:r>
      <w:r>
        <w:t>1</w:t>
      </w:r>
      <w:r>
        <w:rPr>
          <w:rFonts w:hint="eastAsia"/>
        </w:rPr>
        <w:t>3） 《病死及病害动物无害化处理技术规范》（农医发</w:t>
      </w:r>
      <w:r>
        <w:t>[2017]25</w:t>
      </w:r>
      <w:r>
        <w:rPr>
          <w:rFonts w:hint="eastAsia"/>
        </w:rPr>
        <w:t>号，</w:t>
      </w:r>
      <w:r>
        <w:t>2017.7.3</w:t>
      </w:r>
      <w:r>
        <w:rPr>
          <w:rFonts w:hint="eastAsia"/>
        </w:rPr>
        <w:t>）；</w:t>
      </w:r>
    </w:p>
    <w:p>
      <w:r>
        <w:rPr>
          <w:rFonts w:hint="eastAsia"/>
        </w:rPr>
        <w:t>（</w:t>
      </w:r>
      <w:r>
        <w:t>1</w:t>
      </w:r>
      <w:r>
        <w:rPr>
          <w:rFonts w:hint="eastAsia"/>
        </w:rPr>
        <w:t>4）《湖南省主要水系地表水环境功能区划》（</w:t>
      </w:r>
      <w:r>
        <w:t>DB 43/023-2005</w:t>
      </w:r>
      <w:r>
        <w:rPr>
          <w:rFonts w:hint="eastAsia"/>
        </w:rPr>
        <w:t>）；</w:t>
      </w:r>
    </w:p>
    <w:p>
      <w:r>
        <w:rPr>
          <w:rFonts w:hint="eastAsia"/>
        </w:rPr>
        <w:t>（</w:t>
      </w:r>
      <w:r>
        <w:t>1</w:t>
      </w:r>
      <w:r>
        <w:rPr>
          <w:rFonts w:hint="eastAsia"/>
        </w:rPr>
        <w:t>5）《畜禽养殖业污染防治技术规范》（</w:t>
      </w:r>
      <w:r>
        <w:t>HJ/T8-2001</w:t>
      </w:r>
      <w:r>
        <w:rPr>
          <w:rFonts w:hint="eastAsia"/>
        </w:rPr>
        <w:t>）；</w:t>
      </w:r>
    </w:p>
    <w:p>
      <w:bookmarkStart w:id="72" w:name="_Toc468689097"/>
      <w:r>
        <w:rPr>
          <w:rFonts w:hint="eastAsia"/>
        </w:rPr>
        <w:t>（</w:t>
      </w:r>
      <w:r>
        <w:t>1</w:t>
      </w:r>
      <w:r>
        <w:rPr>
          <w:rFonts w:hint="eastAsia"/>
        </w:rPr>
        <w:t>6）《畜禽养殖业污染治理工程技术规范》（</w:t>
      </w:r>
      <w:r>
        <w:t>HJ497-2009</w:t>
      </w:r>
      <w:r>
        <w:rPr>
          <w:rFonts w:hint="eastAsia"/>
        </w:rPr>
        <w:t>）</w:t>
      </w:r>
      <w:bookmarkEnd w:id="72"/>
      <w:r>
        <w:rPr>
          <w:rFonts w:hint="eastAsia"/>
        </w:rPr>
        <w:t>；</w:t>
      </w:r>
    </w:p>
    <w:p>
      <w:r>
        <w:rPr>
          <w:rFonts w:hint="eastAsia"/>
        </w:rPr>
        <w:t>（17）《畜禽粪便无害化处理技术规范》（GB/T 36195—2018）</w:t>
      </w:r>
    </w:p>
    <w:p>
      <w:r>
        <w:rPr>
          <w:rFonts w:hint="eastAsia"/>
        </w:rPr>
        <w:t>（18） 《粪便无害化卫生要求》（GB7959-2012）；</w:t>
      </w:r>
    </w:p>
    <w:p>
      <w:r>
        <w:rPr>
          <w:rFonts w:hint="eastAsia"/>
        </w:rPr>
        <w:t>（19）  《规模畜禽养殖场污染防治最佳可行性技术指南（试行）》（HJ-BAT-10）；</w:t>
      </w:r>
    </w:p>
    <w:p>
      <w:r>
        <w:rPr>
          <w:rFonts w:hint="eastAsia"/>
        </w:rPr>
        <w:t>（20） 《病害动物和病害动物产品生物安全处理规程》（</w:t>
      </w:r>
      <w:r>
        <w:t>GB16548-2006</w:t>
      </w:r>
      <w:r>
        <w:rPr>
          <w:rFonts w:hint="eastAsia"/>
        </w:rPr>
        <w:t>）；</w:t>
      </w:r>
    </w:p>
    <w:p>
      <w:r>
        <w:rPr>
          <w:rFonts w:hint="eastAsia"/>
        </w:rPr>
        <w:t>（21） 《畜禽粪污土地承载力测算技术指南》（农办牧</w:t>
      </w:r>
      <w:r>
        <w:t>[2018]1号</w:t>
      </w:r>
      <w:r>
        <w:rPr>
          <w:rFonts w:hint="eastAsia"/>
        </w:rPr>
        <w:t>）；</w:t>
      </w:r>
    </w:p>
    <w:p>
      <w:pPr>
        <w:pStyle w:val="5"/>
        <w:bidi w:val="0"/>
      </w:pPr>
      <w:bookmarkStart w:id="73" w:name="_Toc288479969"/>
      <w:bookmarkStart w:id="74" w:name="_Toc289329173"/>
      <w:bookmarkStart w:id="75" w:name="_Toc15144"/>
      <w:bookmarkStart w:id="76" w:name="_Toc289344514"/>
      <w:bookmarkStart w:id="77" w:name="_Toc249945612"/>
      <w:bookmarkStart w:id="78" w:name="_Toc249946022"/>
      <w:bookmarkStart w:id="79" w:name="_Toc19521"/>
      <w:bookmarkStart w:id="80" w:name="_Toc249942729"/>
      <w:bookmarkStart w:id="81" w:name="_Toc249943636"/>
      <w:bookmarkStart w:id="82" w:name="_Toc249944903"/>
      <w:bookmarkStart w:id="83" w:name="_Toc468689098"/>
      <w:bookmarkStart w:id="84" w:name="_Toc288479611"/>
      <w:bookmarkStart w:id="85" w:name="_Toc12828"/>
      <w:bookmarkStart w:id="86" w:name="_Toc28006"/>
      <w:bookmarkStart w:id="87" w:name="_Toc23862"/>
      <w:bookmarkStart w:id="88" w:name="_Toc20258"/>
      <w:r>
        <w:rPr>
          <w:rFonts w:hint="eastAsia"/>
        </w:rPr>
        <w:t>技术性文件及相关资料</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
        <w:rPr>
          <w:rFonts w:hint="eastAsia"/>
        </w:rPr>
        <w:t>（</w:t>
      </w:r>
      <w:r>
        <w:t>1</w:t>
      </w:r>
      <w:r>
        <w:rPr>
          <w:rFonts w:hint="eastAsia"/>
        </w:rPr>
        <w:t>）环评委托书；</w:t>
      </w:r>
    </w:p>
    <w:p>
      <w:r>
        <w:rPr>
          <w:rFonts w:hint="eastAsia"/>
        </w:rPr>
        <w:t>（</w:t>
      </w:r>
      <w:r>
        <w:t>2</w:t>
      </w:r>
      <w:r>
        <w:rPr>
          <w:rFonts w:hint="eastAsia"/>
        </w:rPr>
        <w:t>）环境影响评价执行标准的函；</w:t>
      </w:r>
    </w:p>
    <w:p>
      <w:r>
        <w:rPr>
          <w:rFonts w:hint="eastAsia"/>
        </w:rPr>
        <w:t>（</w:t>
      </w:r>
      <w:r>
        <w:t>3</w:t>
      </w:r>
      <w:r>
        <w:rPr>
          <w:rFonts w:hint="eastAsia"/>
        </w:rPr>
        <w:t>）建设方提供的其他相关资料。</w:t>
      </w:r>
      <w:bookmarkStart w:id="89" w:name="_Toc468689105"/>
      <w:bookmarkStart w:id="90" w:name="_Toc219258493"/>
      <w:bookmarkStart w:id="91" w:name="_Toc249433214"/>
      <w:bookmarkStart w:id="92" w:name="_Toc220122767"/>
      <w:bookmarkStart w:id="93" w:name="_Toc289344517"/>
    </w:p>
    <w:p>
      <w:pPr>
        <w:pStyle w:val="4"/>
        <w:bidi w:val="0"/>
      </w:pPr>
      <w:bookmarkStart w:id="94" w:name="_Toc12783"/>
      <w:r>
        <w:rPr>
          <w:rFonts w:hint="eastAsia"/>
        </w:rPr>
        <w:t>评价因子筛选</w:t>
      </w:r>
      <w:bookmarkEnd w:id="89"/>
      <w:bookmarkEnd w:id="90"/>
      <w:bookmarkEnd w:id="91"/>
      <w:bookmarkEnd w:id="92"/>
      <w:bookmarkEnd w:id="93"/>
      <w:r>
        <w:rPr>
          <w:rFonts w:hint="eastAsia"/>
        </w:rPr>
        <w:t>及评价标准</w:t>
      </w:r>
      <w:bookmarkEnd w:id="94"/>
      <w:bookmarkStart w:id="95" w:name="_Toc468689108"/>
    </w:p>
    <w:p>
      <w:pPr>
        <w:pStyle w:val="5"/>
        <w:bidi w:val="0"/>
      </w:pPr>
      <w:r>
        <w:rPr>
          <w:rFonts w:hint="eastAsia"/>
        </w:rPr>
        <w:t>评价因子筛选</w:t>
      </w:r>
      <w:bookmarkEnd w:id="95"/>
    </w:p>
    <w:p>
      <w:r>
        <w:rPr>
          <w:rFonts w:hint="eastAsia"/>
        </w:rPr>
        <w:t>根据工程性质、污染物排放特点和环境特征，确定本项目评价因子，评价因子见表</w:t>
      </w:r>
      <w:r>
        <w:rPr>
          <w:rFonts w:hint="eastAsia"/>
          <w:lang w:val="en-US" w:eastAsia="zh-CN"/>
        </w:rPr>
        <w:t>1.3-1</w:t>
      </w:r>
      <w:r>
        <w:rPr>
          <w:rFonts w:hint="eastAsia"/>
        </w:rPr>
        <w:t>。</w:t>
      </w:r>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1</w:t>
      </w:r>
      <w:r>
        <w:fldChar w:fldCharType="end"/>
      </w:r>
      <w:r>
        <w:rPr>
          <w:rFonts w:hint="eastAsia"/>
          <w:lang w:val="en-US" w:eastAsia="zh-CN"/>
        </w:rPr>
        <w:t xml:space="preserve">  </w:t>
      </w:r>
      <w:r>
        <w:rPr>
          <w:rFonts w:hint="eastAsia"/>
        </w:rPr>
        <w:t>环境评价因子筛选</w:t>
      </w:r>
    </w:p>
    <w:tbl>
      <w:tblPr>
        <w:tblStyle w:val="17"/>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5397"/>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01" w:type="dxa"/>
            <w:vMerge w:val="restart"/>
            <w:tcMar>
              <w:left w:w="28" w:type="dxa"/>
              <w:right w:w="28" w:type="dxa"/>
            </w:tcMar>
            <w:vAlign w:val="center"/>
          </w:tcPr>
          <w:p>
            <w:pPr>
              <w:pStyle w:val="8"/>
              <w:bidi w:val="0"/>
            </w:pPr>
            <w:r>
              <w:rPr>
                <w:rFonts w:hint="eastAsia"/>
              </w:rPr>
              <w:t>环境要素</w:t>
            </w:r>
          </w:p>
        </w:tc>
        <w:tc>
          <w:tcPr>
            <w:tcW w:w="7730" w:type="dxa"/>
            <w:gridSpan w:val="2"/>
            <w:tcMar>
              <w:left w:w="28" w:type="dxa"/>
              <w:right w:w="28" w:type="dxa"/>
            </w:tcMar>
            <w:vAlign w:val="center"/>
          </w:tcPr>
          <w:p>
            <w:pPr>
              <w:pStyle w:val="8"/>
              <w:bidi w:val="0"/>
            </w:pPr>
            <w:r>
              <w:rPr>
                <w:rFonts w:hint="eastAsia"/>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01" w:type="dxa"/>
            <w:vMerge w:val="continue"/>
            <w:tcMar>
              <w:left w:w="28" w:type="dxa"/>
              <w:right w:w="28" w:type="dxa"/>
            </w:tcMar>
            <w:vAlign w:val="center"/>
          </w:tcPr>
          <w:p>
            <w:pPr>
              <w:pStyle w:val="8"/>
              <w:bidi w:val="0"/>
            </w:pPr>
          </w:p>
        </w:tc>
        <w:tc>
          <w:tcPr>
            <w:tcW w:w="5397" w:type="dxa"/>
            <w:tcMar>
              <w:left w:w="28" w:type="dxa"/>
              <w:right w:w="28" w:type="dxa"/>
            </w:tcMar>
            <w:vAlign w:val="center"/>
          </w:tcPr>
          <w:p>
            <w:pPr>
              <w:pStyle w:val="8"/>
              <w:bidi w:val="0"/>
            </w:pPr>
            <w:r>
              <w:rPr>
                <w:rFonts w:hint="eastAsia"/>
              </w:rPr>
              <w:t>现状评价因子</w:t>
            </w:r>
          </w:p>
        </w:tc>
        <w:tc>
          <w:tcPr>
            <w:tcW w:w="2333" w:type="dxa"/>
            <w:tcMar>
              <w:left w:w="28" w:type="dxa"/>
              <w:right w:w="28" w:type="dxa"/>
            </w:tcMar>
            <w:vAlign w:val="center"/>
          </w:tcPr>
          <w:p>
            <w:pPr>
              <w:pStyle w:val="8"/>
              <w:bidi w:val="0"/>
            </w:pPr>
            <w:r>
              <w:rPr>
                <w:rFonts w:hint="eastAsia"/>
              </w:rPr>
              <w:t>影响评价因子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01" w:type="dxa"/>
            <w:tcMar>
              <w:left w:w="28" w:type="dxa"/>
              <w:right w:w="28" w:type="dxa"/>
            </w:tcMar>
            <w:vAlign w:val="center"/>
          </w:tcPr>
          <w:p>
            <w:pPr>
              <w:pStyle w:val="8"/>
              <w:bidi w:val="0"/>
            </w:pPr>
            <w:r>
              <w:rPr>
                <w:rFonts w:hint="eastAsia"/>
              </w:rPr>
              <w:t>环境空气</w:t>
            </w:r>
          </w:p>
        </w:tc>
        <w:tc>
          <w:tcPr>
            <w:tcW w:w="5397" w:type="dxa"/>
            <w:tcMar>
              <w:left w:w="28" w:type="dxa"/>
              <w:right w:w="28" w:type="dxa"/>
            </w:tcMar>
            <w:vAlign w:val="center"/>
          </w:tcPr>
          <w:p>
            <w:pPr>
              <w:pStyle w:val="8"/>
              <w:bidi w:val="0"/>
            </w:pPr>
            <w:r>
              <w:t>NO</w:t>
            </w:r>
            <w:r>
              <w:rPr>
                <w:vertAlign w:val="subscript"/>
              </w:rPr>
              <w:t>2</w:t>
            </w:r>
            <w:r>
              <w:rPr>
                <w:rFonts w:hint="eastAsia"/>
              </w:rPr>
              <w:t>、</w:t>
            </w:r>
            <w:r>
              <w:t>SO</w:t>
            </w:r>
            <w:r>
              <w:rPr>
                <w:vertAlign w:val="subscript"/>
              </w:rPr>
              <w:t>2</w:t>
            </w:r>
            <w:r>
              <w:rPr>
                <w:rFonts w:hint="eastAsia"/>
              </w:rPr>
              <w:t>、</w:t>
            </w:r>
            <w:r>
              <w:t>PM</w:t>
            </w:r>
            <w:r>
              <w:rPr>
                <w:vertAlign w:val="subscript"/>
              </w:rPr>
              <w:t>10</w:t>
            </w:r>
            <w:r>
              <w:rPr>
                <w:rFonts w:hint="eastAsia"/>
              </w:rPr>
              <w:t>、</w:t>
            </w:r>
            <w:r>
              <w:t>NH</w:t>
            </w:r>
            <w:r>
              <w:rPr>
                <w:vertAlign w:val="subscript"/>
              </w:rPr>
              <w:t>3</w:t>
            </w:r>
            <w:r>
              <w:rPr>
                <w:rFonts w:hint="eastAsia"/>
              </w:rPr>
              <w:t>、</w:t>
            </w:r>
            <w:r>
              <w:t>H</w:t>
            </w:r>
            <w:r>
              <w:rPr>
                <w:vertAlign w:val="subscript"/>
              </w:rPr>
              <w:t>2</w:t>
            </w:r>
            <w:r>
              <w:t>S</w:t>
            </w:r>
          </w:p>
        </w:tc>
        <w:tc>
          <w:tcPr>
            <w:tcW w:w="2333" w:type="dxa"/>
            <w:tcMar>
              <w:left w:w="28" w:type="dxa"/>
              <w:right w:w="28" w:type="dxa"/>
            </w:tcMar>
            <w:vAlign w:val="center"/>
          </w:tcPr>
          <w:p>
            <w:pPr>
              <w:pStyle w:val="8"/>
              <w:bidi w:val="0"/>
            </w:pPr>
            <w:r>
              <w:t>NH</w:t>
            </w:r>
            <w:r>
              <w:rPr>
                <w:vertAlign w:val="subscript"/>
              </w:rPr>
              <w:t>3</w:t>
            </w:r>
            <w:r>
              <w:rPr>
                <w:rFonts w:hint="eastAsia"/>
              </w:rPr>
              <w:t>、</w:t>
            </w:r>
            <w:r>
              <w:t>H</w:t>
            </w:r>
            <w:r>
              <w:rPr>
                <w:vertAlign w:val="subscript"/>
              </w:rPr>
              <w:t>2</w:t>
            </w:r>
            <w: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01" w:type="dxa"/>
            <w:tcMar>
              <w:left w:w="28" w:type="dxa"/>
              <w:right w:w="28" w:type="dxa"/>
            </w:tcMar>
            <w:vAlign w:val="center"/>
          </w:tcPr>
          <w:p>
            <w:pPr>
              <w:pStyle w:val="8"/>
              <w:bidi w:val="0"/>
            </w:pPr>
            <w:r>
              <w:rPr>
                <w:rFonts w:hint="eastAsia"/>
              </w:rPr>
              <w:t>地表水</w:t>
            </w:r>
          </w:p>
        </w:tc>
        <w:tc>
          <w:tcPr>
            <w:tcW w:w="5397" w:type="dxa"/>
            <w:tcMar>
              <w:left w:w="28" w:type="dxa"/>
              <w:right w:w="28" w:type="dxa"/>
            </w:tcMar>
            <w:vAlign w:val="center"/>
          </w:tcPr>
          <w:p>
            <w:pPr>
              <w:pStyle w:val="8"/>
              <w:bidi w:val="0"/>
            </w:pPr>
            <w:r>
              <w:t>pH</w:t>
            </w:r>
            <w:r>
              <w:rPr>
                <w:rFonts w:hint="eastAsia"/>
              </w:rPr>
              <w:t>、</w:t>
            </w:r>
            <w:r>
              <w:t>CODcr</w:t>
            </w:r>
            <w:r>
              <w:rPr>
                <w:rFonts w:hint="eastAsia"/>
              </w:rPr>
              <w:t>、</w:t>
            </w:r>
            <w:r>
              <w:t>BOD</w:t>
            </w:r>
            <w:r>
              <w:rPr>
                <w:vertAlign w:val="subscript"/>
              </w:rPr>
              <w:t>5</w:t>
            </w:r>
            <w:r>
              <w:rPr>
                <w:rFonts w:hint="eastAsia"/>
              </w:rPr>
              <w:t>、氨氮、总磷、粪大肠菌群</w:t>
            </w:r>
          </w:p>
        </w:tc>
        <w:tc>
          <w:tcPr>
            <w:tcW w:w="2333" w:type="dxa"/>
            <w:tcMar>
              <w:left w:w="28" w:type="dxa"/>
              <w:right w:w="28" w:type="dxa"/>
            </w:tcMar>
            <w:vAlign w:val="center"/>
          </w:tcPr>
          <w:p>
            <w:pPr>
              <w:pStyle w:val="8"/>
              <w:bidi w:val="0"/>
            </w:pPr>
            <w:r>
              <w:t>CODcr</w:t>
            </w:r>
            <w:r>
              <w:rPr>
                <w:rFonts w:hint="eastAsia"/>
              </w:rPr>
              <w:t>、</w:t>
            </w:r>
            <w:r>
              <w:t>BOD</w:t>
            </w:r>
            <w:r>
              <w:rPr>
                <w:vertAlign w:val="subscript"/>
              </w:rPr>
              <w:t>5</w:t>
            </w:r>
            <w:r>
              <w:rPr>
                <w:rFonts w:hint="eastAsia"/>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01" w:type="dxa"/>
            <w:tcMar>
              <w:left w:w="28" w:type="dxa"/>
              <w:right w:w="28" w:type="dxa"/>
            </w:tcMar>
            <w:vAlign w:val="center"/>
          </w:tcPr>
          <w:p>
            <w:pPr>
              <w:pStyle w:val="8"/>
              <w:bidi w:val="0"/>
            </w:pPr>
            <w:r>
              <w:rPr>
                <w:rFonts w:hint="eastAsia"/>
              </w:rPr>
              <w:t>地下水</w:t>
            </w:r>
          </w:p>
        </w:tc>
        <w:tc>
          <w:tcPr>
            <w:tcW w:w="5397" w:type="dxa"/>
            <w:tcMar>
              <w:left w:w="28" w:type="dxa"/>
              <w:right w:w="28" w:type="dxa"/>
            </w:tcMar>
            <w:vAlign w:val="center"/>
          </w:tcPr>
          <w:p>
            <w:pPr>
              <w:pStyle w:val="8"/>
              <w:bidi w:val="0"/>
            </w:pPr>
            <w:r>
              <w:t>pH</w:t>
            </w:r>
            <w:r>
              <w:rPr>
                <w:rFonts w:hint="eastAsia"/>
              </w:rPr>
              <w:t>、耗氧量（</w:t>
            </w:r>
            <w:r>
              <w:t>COD</w:t>
            </w:r>
            <w:r>
              <w:rPr>
                <w:rFonts w:hint="eastAsia"/>
              </w:rPr>
              <w:t>Mn法）、氨氮、</w:t>
            </w:r>
            <w:r>
              <w:t>Pb、Cd、As、硝酸盐、亚硝酸盐、Cr</w:t>
            </w:r>
            <w:r>
              <w:rPr>
                <w:vertAlign w:val="superscript"/>
              </w:rPr>
              <w:t>6+</w:t>
            </w:r>
            <w:r>
              <w:t>、</w:t>
            </w:r>
            <w:r>
              <w:rPr>
                <w:rFonts w:hint="eastAsia"/>
              </w:rPr>
              <w:t>总大肠菌群</w:t>
            </w:r>
          </w:p>
        </w:tc>
        <w:tc>
          <w:tcPr>
            <w:tcW w:w="2333" w:type="dxa"/>
            <w:tcMar>
              <w:left w:w="28" w:type="dxa"/>
              <w:right w:w="28" w:type="dxa"/>
            </w:tcMar>
            <w:vAlign w:val="center"/>
          </w:tcPr>
          <w:p>
            <w:pPr>
              <w:pStyle w:val="8"/>
              <w:bidi w:val="0"/>
            </w:pPr>
            <w:r>
              <w:rPr>
                <w:rFonts w:hint="eastAsia"/>
              </w:rPr>
              <w:t>耗氧量（</w:t>
            </w:r>
            <w:r>
              <w:t>COD</w:t>
            </w:r>
            <w:r>
              <w:rPr>
                <w:rFonts w:hint="eastAsia"/>
                <w:vertAlign w:val="subscript"/>
              </w:rPr>
              <w:t>Mn</w:t>
            </w:r>
            <w:r>
              <w:rPr>
                <w:rFonts w:hint="eastAsia"/>
              </w:rPr>
              <w:t>法）、氨氮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001" w:type="dxa"/>
            <w:tcMar>
              <w:left w:w="28" w:type="dxa"/>
              <w:right w:w="28" w:type="dxa"/>
            </w:tcMar>
            <w:vAlign w:val="center"/>
          </w:tcPr>
          <w:p>
            <w:pPr>
              <w:pStyle w:val="8"/>
              <w:bidi w:val="0"/>
            </w:pPr>
            <w:r>
              <w:rPr>
                <w:rFonts w:hint="eastAsia"/>
              </w:rPr>
              <w:t>声环境</w:t>
            </w:r>
          </w:p>
        </w:tc>
        <w:tc>
          <w:tcPr>
            <w:tcW w:w="5397" w:type="dxa"/>
            <w:tcMar>
              <w:left w:w="28" w:type="dxa"/>
              <w:right w:w="28" w:type="dxa"/>
            </w:tcMar>
            <w:vAlign w:val="center"/>
          </w:tcPr>
          <w:p>
            <w:pPr>
              <w:pStyle w:val="8"/>
              <w:bidi w:val="0"/>
            </w:pPr>
            <w:r>
              <w:t>Leq(A)</w:t>
            </w:r>
          </w:p>
        </w:tc>
        <w:tc>
          <w:tcPr>
            <w:tcW w:w="2333" w:type="dxa"/>
            <w:tcMar>
              <w:left w:w="28" w:type="dxa"/>
              <w:right w:w="28" w:type="dxa"/>
            </w:tcMar>
            <w:vAlign w:val="center"/>
          </w:tcPr>
          <w:p>
            <w:pPr>
              <w:pStyle w:val="8"/>
              <w:bidi w:val="0"/>
            </w:pPr>
            <w:r>
              <w:t>Leq(A)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001" w:type="dxa"/>
            <w:tcMar>
              <w:left w:w="28" w:type="dxa"/>
              <w:right w:w="28" w:type="dxa"/>
            </w:tcMar>
            <w:vAlign w:val="center"/>
          </w:tcPr>
          <w:p>
            <w:pPr>
              <w:pStyle w:val="8"/>
              <w:bidi w:val="0"/>
            </w:pPr>
            <w:r>
              <w:rPr>
                <w:rFonts w:hint="eastAsia"/>
              </w:rPr>
              <w:t>固体废物</w:t>
            </w:r>
          </w:p>
        </w:tc>
        <w:tc>
          <w:tcPr>
            <w:tcW w:w="5397" w:type="dxa"/>
            <w:tcMar>
              <w:left w:w="28" w:type="dxa"/>
              <w:right w:w="28" w:type="dxa"/>
            </w:tcMar>
            <w:vAlign w:val="center"/>
          </w:tcPr>
          <w:p>
            <w:pPr>
              <w:pStyle w:val="8"/>
              <w:bidi w:val="0"/>
            </w:pPr>
            <w:r>
              <w:t>——</w:t>
            </w:r>
          </w:p>
        </w:tc>
        <w:tc>
          <w:tcPr>
            <w:tcW w:w="2333" w:type="dxa"/>
            <w:tcMar>
              <w:left w:w="28" w:type="dxa"/>
              <w:right w:w="28" w:type="dxa"/>
            </w:tcMar>
            <w:vAlign w:val="center"/>
          </w:tcPr>
          <w:p>
            <w:pPr>
              <w:pStyle w:val="8"/>
              <w:bidi w:val="0"/>
            </w:pPr>
            <w:r>
              <w:rPr>
                <w:rFonts w:hint="eastAsia"/>
              </w:rPr>
              <w:t>生活垃圾、病死猪、医疗废物、</w:t>
            </w:r>
            <w:r>
              <w:rPr>
                <w:rFonts w:hint="eastAsia"/>
                <w:lang w:val="en-US" w:eastAsia="zh-CN"/>
              </w:rPr>
              <w:t>猪粪污</w:t>
            </w:r>
            <w:r>
              <w:rPr>
                <w:rFonts w:hint="eastAsia"/>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01" w:type="dxa"/>
            <w:tcMar>
              <w:left w:w="28" w:type="dxa"/>
              <w:right w:w="28" w:type="dxa"/>
            </w:tcMar>
            <w:vAlign w:val="center"/>
          </w:tcPr>
          <w:p>
            <w:pPr>
              <w:pStyle w:val="8"/>
              <w:bidi w:val="0"/>
            </w:pPr>
            <w:r>
              <w:rPr>
                <w:rFonts w:hint="eastAsia"/>
              </w:rPr>
              <w:t>生态环境</w:t>
            </w:r>
          </w:p>
        </w:tc>
        <w:tc>
          <w:tcPr>
            <w:tcW w:w="5397" w:type="dxa"/>
            <w:tcMar>
              <w:left w:w="28" w:type="dxa"/>
              <w:right w:w="28" w:type="dxa"/>
            </w:tcMar>
            <w:vAlign w:val="center"/>
          </w:tcPr>
          <w:p>
            <w:pPr>
              <w:pStyle w:val="8"/>
              <w:bidi w:val="0"/>
            </w:pPr>
            <w:r>
              <w:rPr>
                <w:rFonts w:hint="eastAsia"/>
              </w:rPr>
              <w:t>植被破坏</w:t>
            </w:r>
          </w:p>
        </w:tc>
        <w:tc>
          <w:tcPr>
            <w:tcW w:w="2333" w:type="dxa"/>
            <w:vAlign w:val="center"/>
          </w:tcPr>
          <w:p>
            <w:pPr>
              <w:pStyle w:val="8"/>
              <w:bidi w:val="0"/>
            </w:pPr>
            <w:r>
              <w:t>——</w:t>
            </w:r>
          </w:p>
        </w:tc>
      </w:tr>
    </w:tbl>
    <w:p>
      <w:pPr>
        <w:pStyle w:val="5"/>
        <w:bidi w:val="0"/>
      </w:pPr>
      <w:bookmarkStart w:id="96" w:name="_Ref229931098"/>
      <w:bookmarkStart w:id="97" w:name="_Ref229931109"/>
      <w:r>
        <w:rPr>
          <w:rFonts w:hint="eastAsia"/>
        </w:rPr>
        <w:t>评价标准</w:t>
      </w:r>
    </w:p>
    <w:p>
      <w:r>
        <w:rPr>
          <w:rFonts w:hint="eastAsia"/>
        </w:rPr>
        <w:t>根据《本项目环境影响评价执行标准的函》，本次评价拟执行标准如下：</w:t>
      </w:r>
      <w:bookmarkEnd w:id="96"/>
      <w:bookmarkEnd w:id="97"/>
    </w:p>
    <w:p>
      <w:bookmarkStart w:id="98" w:name="_Toc468689106"/>
      <w:r>
        <w:rPr>
          <w:rFonts w:hint="eastAsia"/>
          <w:lang w:val="en-US" w:eastAsia="zh-CN"/>
        </w:rPr>
        <w:t>1.3.2.1</w:t>
      </w:r>
      <w:r>
        <w:rPr>
          <w:rFonts w:hint="eastAsia"/>
        </w:rPr>
        <w:t>环境质量标准</w:t>
      </w:r>
      <w:bookmarkEnd w:id="98"/>
    </w:p>
    <w:p>
      <w:r>
        <w:rPr>
          <w:rFonts w:hint="eastAsia"/>
        </w:rPr>
        <w:t>（</w:t>
      </w:r>
      <w:r>
        <w:t>1</w:t>
      </w:r>
      <w:r>
        <w:rPr>
          <w:rFonts w:hint="eastAsia"/>
        </w:rPr>
        <w:t>）环境空气</w:t>
      </w:r>
    </w:p>
    <w:p>
      <w:r>
        <w:rPr>
          <w:rFonts w:hint="eastAsia"/>
        </w:rPr>
        <w:t>项目环境空气质量执行《环境空气质量标准》（</w:t>
      </w:r>
      <w:r>
        <w:t>GB3095-2012</w:t>
      </w:r>
      <w:r>
        <w:rPr>
          <w:rFonts w:hint="eastAsia"/>
        </w:rPr>
        <w:t>）中二级标准，标准中未包含因子</w:t>
      </w:r>
      <w:r>
        <w:t>NH</w:t>
      </w:r>
      <w:r>
        <w:rPr>
          <w:vertAlign w:val="subscript"/>
        </w:rPr>
        <w:t>3</w:t>
      </w:r>
      <w:r>
        <w:rPr>
          <w:rFonts w:hint="eastAsia"/>
        </w:rPr>
        <w:t>、</w:t>
      </w:r>
      <w:r>
        <w:t>H</w:t>
      </w:r>
      <w:r>
        <w:rPr>
          <w:vertAlign w:val="subscript"/>
        </w:rPr>
        <w:t>2</w:t>
      </w:r>
      <w:r>
        <w:t>S</w:t>
      </w:r>
      <w:r>
        <w:rPr>
          <w:rFonts w:hint="eastAsia"/>
        </w:rPr>
        <w:t>执行《环境影响评价技术导则 大气环境》（HJ2.2-2018）附录D1“其他污染物空气质量参考限值”有关标准要求，见表</w:t>
      </w:r>
      <w:r>
        <w:rPr>
          <w:rFonts w:hint="eastAsia"/>
          <w:lang w:val="en-US" w:eastAsia="zh-CN"/>
        </w:rPr>
        <w:t>1.3</w:t>
      </w:r>
      <w:r>
        <w:t>-2</w:t>
      </w:r>
      <w:r>
        <w:rPr>
          <w:rFonts w:hint="eastAsia"/>
        </w:rPr>
        <w:t>。</w:t>
      </w:r>
    </w:p>
    <w:p>
      <w:pPr>
        <w:pStyle w:val="11"/>
      </w:pPr>
      <w:bookmarkStart w:id="99" w:name="_Toc499621062" w:colFirst="0" w:colLast="4"/>
      <w:bookmarkStart w:id="100" w:name="_Toc488237316" w:colFirst="0" w:colLast="4"/>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2</w:t>
      </w:r>
      <w:r>
        <w:fldChar w:fldCharType="end"/>
      </w:r>
      <w:r>
        <w:rPr>
          <w:rFonts w:hint="eastAsia"/>
          <w:lang w:val="en-US" w:eastAsia="zh-CN"/>
        </w:rPr>
        <w:t xml:space="preserve">  </w:t>
      </w:r>
      <w:r>
        <w:rPr>
          <w:rFonts w:hint="eastAsia"/>
        </w:rPr>
        <w:t>畜禽养殖场环境空气质量标准值</w:t>
      </w:r>
      <w:r>
        <w:rPr>
          <w:rFonts w:hint="eastAsia"/>
          <w:lang w:val="en-US" w:eastAsia="zh-CN"/>
        </w:rPr>
        <w:t xml:space="preserve">   </w:t>
      </w:r>
      <w:r>
        <w:rPr>
          <w:rFonts w:hint="eastAsia"/>
        </w:rPr>
        <w:t>单位：</w:t>
      </w:r>
      <w:r>
        <w:t>mg/m</w:t>
      </w:r>
      <w:r>
        <w:rPr>
          <w:vertAlign w:val="superscript"/>
        </w:rPr>
        <w:t>3</w:t>
      </w:r>
    </w:p>
    <w:tbl>
      <w:tblPr>
        <w:tblStyle w:val="17"/>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41"/>
        <w:gridCol w:w="934"/>
        <w:gridCol w:w="5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397" w:type="dxa"/>
            <w:vAlign w:val="center"/>
          </w:tcPr>
          <w:p>
            <w:pPr>
              <w:pStyle w:val="8"/>
              <w:bidi w:val="0"/>
            </w:pPr>
            <w:r>
              <w:rPr>
                <w:rFonts w:hint="eastAsia"/>
              </w:rPr>
              <w:t>污染物名称</w:t>
            </w:r>
          </w:p>
        </w:tc>
        <w:tc>
          <w:tcPr>
            <w:tcW w:w="2275" w:type="dxa"/>
            <w:gridSpan w:val="2"/>
            <w:vAlign w:val="center"/>
          </w:tcPr>
          <w:p>
            <w:pPr>
              <w:pStyle w:val="8"/>
              <w:bidi w:val="0"/>
            </w:pPr>
            <w:r>
              <w:rPr>
                <w:rFonts w:hint="eastAsia"/>
              </w:rPr>
              <w:t>标准值</w:t>
            </w:r>
          </w:p>
        </w:tc>
        <w:tc>
          <w:tcPr>
            <w:tcW w:w="5067" w:type="dxa"/>
            <w:vAlign w:val="center"/>
          </w:tcPr>
          <w:p>
            <w:pPr>
              <w:pStyle w:val="8"/>
              <w:bidi w:val="0"/>
            </w:pPr>
            <w:r>
              <w:rPr>
                <w:rFonts w:hint="eastAsia"/>
              </w:rPr>
              <w:t>选用标准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397" w:type="dxa"/>
            <w:vAlign w:val="center"/>
          </w:tcPr>
          <w:p>
            <w:pPr>
              <w:pStyle w:val="8"/>
              <w:bidi w:val="0"/>
            </w:pPr>
            <w:r>
              <w:t>SO</w:t>
            </w:r>
            <w:r>
              <w:rPr>
                <w:vertAlign w:val="subscript"/>
              </w:rPr>
              <w:t>2</w:t>
            </w:r>
          </w:p>
        </w:tc>
        <w:tc>
          <w:tcPr>
            <w:tcW w:w="1341" w:type="dxa"/>
            <w:vAlign w:val="center"/>
          </w:tcPr>
          <w:p>
            <w:pPr>
              <w:pStyle w:val="8"/>
              <w:bidi w:val="0"/>
            </w:pPr>
            <w:r>
              <w:rPr>
                <w:rFonts w:hint="eastAsia"/>
              </w:rPr>
              <w:t>日均值</w:t>
            </w:r>
          </w:p>
        </w:tc>
        <w:tc>
          <w:tcPr>
            <w:tcW w:w="934" w:type="dxa"/>
            <w:vAlign w:val="center"/>
          </w:tcPr>
          <w:p>
            <w:pPr>
              <w:pStyle w:val="8"/>
              <w:bidi w:val="0"/>
            </w:pPr>
            <w:r>
              <w:t>0.15</w:t>
            </w:r>
          </w:p>
        </w:tc>
        <w:tc>
          <w:tcPr>
            <w:tcW w:w="5067" w:type="dxa"/>
            <w:vMerge w:val="restart"/>
            <w:vAlign w:val="center"/>
          </w:tcPr>
          <w:p>
            <w:pPr>
              <w:pStyle w:val="8"/>
              <w:bidi w:val="0"/>
            </w:pPr>
            <w:r>
              <w:rPr>
                <w:rFonts w:hint="eastAsia"/>
              </w:rPr>
              <w:t>《环境空气质量标准》（</w:t>
            </w:r>
            <w:r>
              <w:t>GB3095-2012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397" w:type="dxa"/>
            <w:vAlign w:val="center"/>
          </w:tcPr>
          <w:p>
            <w:pPr>
              <w:pStyle w:val="8"/>
              <w:bidi w:val="0"/>
            </w:pPr>
            <w:r>
              <w:t>NO</w:t>
            </w:r>
            <w:r>
              <w:rPr>
                <w:vertAlign w:val="subscript"/>
              </w:rPr>
              <w:t>2</w:t>
            </w:r>
          </w:p>
        </w:tc>
        <w:tc>
          <w:tcPr>
            <w:tcW w:w="1341" w:type="dxa"/>
            <w:vAlign w:val="center"/>
          </w:tcPr>
          <w:p>
            <w:pPr>
              <w:pStyle w:val="8"/>
              <w:bidi w:val="0"/>
            </w:pPr>
            <w:r>
              <w:rPr>
                <w:rFonts w:hint="eastAsia"/>
              </w:rPr>
              <w:t>日均值</w:t>
            </w:r>
          </w:p>
        </w:tc>
        <w:tc>
          <w:tcPr>
            <w:tcW w:w="934" w:type="dxa"/>
            <w:vAlign w:val="center"/>
          </w:tcPr>
          <w:p>
            <w:pPr>
              <w:pStyle w:val="8"/>
              <w:bidi w:val="0"/>
            </w:pPr>
            <w:r>
              <w:t>0.08</w:t>
            </w:r>
          </w:p>
        </w:tc>
        <w:tc>
          <w:tcPr>
            <w:tcW w:w="5067"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397" w:type="dxa"/>
            <w:vAlign w:val="center"/>
          </w:tcPr>
          <w:p>
            <w:pPr>
              <w:pStyle w:val="8"/>
              <w:bidi w:val="0"/>
            </w:pPr>
            <w:r>
              <w:t>PM</w:t>
            </w:r>
            <w:r>
              <w:rPr>
                <w:vertAlign w:val="subscript"/>
              </w:rPr>
              <w:t>10</w:t>
            </w:r>
          </w:p>
        </w:tc>
        <w:tc>
          <w:tcPr>
            <w:tcW w:w="1341" w:type="dxa"/>
            <w:vAlign w:val="center"/>
          </w:tcPr>
          <w:p>
            <w:pPr>
              <w:pStyle w:val="8"/>
              <w:bidi w:val="0"/>
              <w:rPr>
                <w:lang w:val="en-GB" w:eastAsia="en-GB"/>
              </w:rPr>
            </w:pPr>
            <w:r>
              <w:rPr>
                <w:rFonts w:hint="eastAsia"/>
                <w:lang w:val="en-GB" w:eastAsia="en-GB"/>
              </w:rPr>
              <w:t>日均值</w:t>
            </w:r>
          </w:p>
        </w:tc>
        <w:tc>
          <w:tcPr>
            <w:tcW w:w="934" w:type="dxa"/>
            <w:vAlign w:val="center"/>
          </w:tcPr>
          <w:p>
            <w:pPr>
              <w:pStyle w:val="8"/>
              <w:bidi w:val="0"/>
            </w:pPr>
            <w:r>
              <w:t>0.15</w:t>
            </w:r>
          </w:p>
        </w:tc>
        <w:tc>
          <w:tcPr>
            <w:tcW w:w="5067"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397" w:type="dxa"/>
            <w:vAlign w:val="center"/>
          </w:tcPr>
          <w:p>
            <w:pPr>
              <w:pStyle w:val="8"/>
              <w:bidi w:val="0"/>
            </w:pPr>
            <w:r>
              <w:t>H</w:t>
            </w:r>
            <w:r>
              <w:rPr>
                <w:vertAlign w:val="subscript"/>
              </w:rPr>
              <w:t>2</w:t>
            </w:r>
            <w:r>
              <w:t>S</w:t>
            </w:r>
          </w:p>
        </w:tc>
        <w:tc>
          <w:tcPr>
            <w:tcW w:w="1341" w:type="dxa"/>
            <w:vAlign w:val="center"/>
          </w:tcPr>
          <w:p>
            <w:pPr>
              <w:pStyle w:val="8"/>
              <w:bidi w:val="0"/>
            </w:pPr>
            <w:r>
              <w:rPr>
                <w:rFonts w:hint="eastAsia"/>
              </w:rPr>
              <w:t>小时值</w:t>
            </w:r>
          </w:p>
        </w:tc>
        <w:tc>
          <w:tcPr>
            <w:tcW w:w="934" w:type="dxa"/>
            <w:vAlign w:val="center"/>
          </w:tcPr>
          <w:p>
            <w:pPr>
              <w:pStyle w:val="8"/>
              <w:bidi w:val="0"/>
            </w:pPr>
            <w:r>
              <w:rPr>
                <w:lang w:val="en-GB" w:eastAsia="en-GB"/>
              </w:rPr>
              <w:t>0.01</w:t>
            </w:r>
          </w:p>
        </w:tc>
        <w:tc>
          <w:tcPr>
            <w:tcW w:w="5067" w:type="dxa"/>
            <w:vMerge w:val="restart"/>
            <w:vAlign w:val="center"/>
          </w:tcPr>
          <w:p>
            <w:pPr>
              <w:pStyle w:val="8"/>
              <w:bidi w:val="0"/>
            </w:pPr>
            <w:r>
              <w:rPr>
                <w:rFonts w:hint="eastAsia"/>
              </w:rPr>
              <w:t>执行《环境影响评价技术导则 大气环境》（HJ2.2-2018）附录D1“其他污染物空气质量参考限值”有关标准要求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97" w:type="dxa"/>
            <w:vAlign w:val="center"/>
          </w:tcPr>
          <w:p>
            <w:pPr>
              <w:pStyle w:val="8"/>
              <w:bidi w:val="0"/>
            </w:pPr>
            <w:r>
              <w:t>NH</w:t>
            </w:r>
            <w:r>
              <w:rPr>
                <w:vertAlign w:val="subscript"/>
              </w:rPr>
              <w:t>3</w:t>
            </w:r>
          </w:p>
        </w:tc>
        <w:tc>
          <w:tcPr>
            <w:tcW w:w="1341" w:type="dxa"/>
            <w:vAlign w:val="center"/>
          </w:tcPr>
          <w:p>
            <w:pPr>
              <w:pStyle w:val="8"/>
              <w:bidi w:val="0"/>
              <w:rPr>
                <w:lang w:val="en-GB" w:eastAsia="en-GB"/>
              </w:rPr>
            </w:pPr>
            <w:r>
              <w:rPr>
                <w:rFonts w:hint="eastAsia"/>
              </w:rPr>
              <w:t>小时</w:t>
            </w:r>
            <w:r>
              <w:rPr>
                <w:rFonts w:hint="eastAsia"/>
                <w:lang w:val="en-GB" w:eastAsia="en-GB"/>
              </w:rPr>
              <w:t>值</w:t>
            </w:r>
          </w:p>
        </w:tc>
        <w:tc>
          <w:tcPr>
            <w:tcW w:w="934" w:type="dxa"/>
            <w:vAlign w:val="center"/>
          </w:tcPr>
          <w:p>
            <w:pPr>
              <w:pStyle w:val="8"/>
              <w:bidi w:val="0"/>
              <w:rPr>
                <w:lang w:val="en-GB" w:eastAsia="en-GB"/>
              </w:rPr>
            </w:pPr>
            <w:r>
              <w:rPr>
                <w:lang w:val="en-GB" w:eastAsia="en-GB"/>
              </w:rPr>
              <w:t>0.20</w:t>
            </w:r>
          </w:p>
        </w:tc>
        <w:tc>
          <w:tcPr>
            <w:tcW w:w="5067" w:type="dxa"/>
            <w:vMerge w:val="continue"/>
            <w:vAlign w:val="center"/>
          </w:tcPr>
          <w:p/>
        </w:tc>
      </w:tr>
      <w:bookmarkEnd w:id="99"/>
      <w:bookmarkEnd w:id="100"/>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w:t>
      </w:r>
      <w:r>
        <w:t>2</w:t>
      </w:r>
      <w:r>
        <w:rPr>
          <w:rFonts w:hint="eastAsia"/>
        </w:rPr>
        <w:t>）地表水</w:t>
      </w:r>
    </w:p>
    <w:p>
      <w:r>
        <w:rPr>
          <w:rFonts w:hint="eastAsia"/>
        </w:rPr>
        <w:t>根据湖南省水环境功能区划及澧县水功能区划相关要求，</w:t>
      </w:r>
      <w:r>
        <w:rPr>
          <w:rFonts w:hint="eastAsia"/>
          <w:lang w:eastAsia="zh-CN"/>
        </w:rPr>
        <w:t>项目</w:t>
      </w:r>
      <w:r>
        <w:rPr>
          <w:rFonts w:hint="eastAsia"/>
        </w:rPr>
        <w:t>所在地</w:t>
      </w:r>
      <w:r>
        <w:rPr>
          <w:rFonts w:hint="eastAsia"/>
          <w:lang w:eastAsia="zh-CN"/>
        </w:rPr>
        <w:t>道水</w:t>
      </w:r>
      <w:r>
        <w:rPr>
          <w:rFonts w:hint="eastAsia"/>
        </w:rPr>
        <w:t>执行《地表水环境质量标准》（</w:t>
      </w:r>
      <w:r>
        <w:t>GB3838-2002</w:t>
      </w:r>
      <w:r>
        <w:rPr>
          <w:rFonts w:hint="eastAsia"/>
        </w:rPr>
        <w:t>）</w:t>
      </w:r>
      <w:r>
        <w:t>III</w:t>
      </w:r>
      <w:r>
        <w:rPr>
          <w:rFonts w:hint="eastAsia"/>
        </w:rPr>
        <w:t>类标准。</w:t>
      </w:r>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3</w:t>
      </w:r>
      <w:r>
        <w:fldChar w:fldCharType="end"/>
      </w:r>
      <w:r>
        <w:rPr>
          <w:rFonts w:hint="eastAsia"/>
          <w:lang w:val="en-US" w:eastAsia="zh-CN"/>
        </w:rPr>
        <w:t xml:space="preserve">  </w:t>
      </w:r>
      <w:r>
        <w:rPr>
          <w:rFonts w:hint="eastAsia"/>
        </w:rPr>
        <w:t>地表水水质评价标准</w:t>
      </w:r>
    </w:p>
    <w:tbl>
      <w:tblPr>
        <w:tblStyle w:val="17"/>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005"/>
        <w:gridCol w:w="1122"/>
        <w:gridCol w:w="1031"/>
        <w:gridCol w:w="1151"/>
        <w:gridCol w:w="1153"/>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366" w:type="dxa"/>
            <w:vAlign w:val="center"/>
          </w:tcPr>
          <w:p>
            <w:pPr>
              <w:pStyle w:val="8"/>
              <w:bidi w:val="0"/>
            </w:pPr>
            <w:r>
              <w:rPr>
                <w:rFonts w:hint="eastAsia"/>
              </w:rPr>
              <w:t>项目</w:t>
            </w:r>
          </w:p>
        </w:tc>
        <w:tc>
          <w:tcPr>
            <w:tcW w:w="1005" w:type="dxa"/>
            <w:vAlign w:val="center"/>
          </w:tcPr>
          <w:p>
            <w:pPr>
              <w:pStyle w:val="8"/>
              <w:bidi w:val="0"/>
            </w:pPr>
            <w:r>
              <w:t>pH</w:t>
            </w:r>
          </w:p>
        </w:tc>
        <w:tc>
          <w:tcPr>
            <w:tcW w:w="1122" w:type="dxa"/>
            <w:vAlign w:val="center"/>
          </w:tcPr>
          <w:p>
            <w:pPr>
              <w:pStyle w:val="8"/>
              <w:bidi w:val="0"/>
            </w:pPr>
            <w:r>
              <w:t>CODcr</w:t>
            </w:r>
          </w:p>
        </w:tc>
        <w:tc>
          <w:tcPr>
            <w:tcW w:w="1031" w:type="dxa"/>
            <w:vAlign w:val="center"/>
          </w:tcPr>
          <w:p>
            <w:pPr>
              <w:pStyle w:val="8"/>
              <w:bidi w:val="0"/>
            </w:pPr>
            <w:r>
              <w:t>BOD</w:t>
            </w:r>
            <w:r>
              <w:rPr>
                <w:vertAlign w:val="subscript"/>
              </w:rPr>
              <w:t>5</w:t>
            </w:r>
          </w:p>
        </w:tc>
        <w:tc>
          <w:tcPr>
            <w:tcW w:w="1151" w:type="dxa"/>
            <w:vAlign w:val="center"/>
          </w:tcPr>
          <w:p>
            <w:pPr>
              <w:pStyle w:val="8"/>
              <w:bidi w:val="0"/>
            </w:pPr>
            <w:r>
              <w:rPr>
                <w:rFonts w:hint="eastAsia"/>
              </w:rPr>
              <w:t>氨氮</w:t>
            </w:r>
          </w:p>
        </w:tc>
        <w:tc>
          <w:tcPr>
            <w:tcW w:w="1153" w:type="dxa"/>
            <w:vAlign w:val="center"/>
          </w:tcPr>
          <w:p>
            <w:pPr>
              <w:pStyle w:val="8"/>
              <w:bidi w:val="0"/>
            </w:pPr>
            <w:r>
              <w:t>TP</w:t>
            </w:r>
          </w:p>
        </w:tc>
        <w:tc>
          <w:tcPr>
            <w:tcW w:w="1903" w:type="dxa"/>
            <w:vAlign w:val="center"/>
          </w:tcPr>
          <w:p>
            <w:pPr>
              <w:pStyle w:val="8"/>
              <w:bidi w:val="0"/>
            </w:pPr>
            <w:r>
              <w:rPr>
                <w:rFonts w:hint="eastAsia"/>
              </w:rPr>
              <w:t>粪大肠菌群数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pPr>
              <w:pStyle w:val="8"/>
              <w:bidi w:val="0"/>
            </w:pPr>
            <w:r>
              <w:t>GB3838-2002 III</w:t>
            </w:r>
            <w:r>
              <w:rPr>
                <w:rFonts w:hint="eastAsia"/>
              </w:rPr>
              <w:t>类标准</w:t>
            </w:r>
          </w:p>
        </w:tc>
        <w:tc>
          <w:tcPr>
            <w:tcW w:w="1005" w:type="dxa"/>
            <w:vAlign w:val="center"/>
          </w:tcPr>
          <w:p>
            <w:pPr>
              <w:pStyle w:val="8"/>
              <w:bidi w:val="0"/>
            </w:pPr>
            <w:r>
              <w:t>6</w:t>
            </w:r>
            <w:r>
              <w:rPr>
                <w:rFonts w:hint="eastAsia"/>
              </w:rPr>
              <w:t>～</w:t>
            </w:r>
            <w:r>
              <w:t>9</w:t>
            </w:r>
          </w:p>
        </w:tc>
        <w:tc>
          <w:tcPr>
            <w:tcW w:w="1122" w:type="dxa"/>
            <w:vAlign w:val="center"/>
          </w:tcPr>
          <w:p>
            <w:pPr>
              <w:pStyle w:val="8"/>
              <w:bidi w:val="0"/>
            </w:pPr>
            <w:r>
              <w:t>≤20mg/L</w:t>
            </w:r>
          </w:p>
        </w:tc>
        <w:tc>
          <w:tcPr>
            <w:tcW w:w="1031" w:type="dxa"/>
            <w:vAlign w:val="center"/>
          </w:tcPr>
          <w:p>
            <w:pPr>
              <w:pStyle w:val="8"/>
              <w:bidi w:val="0"/>
            </w:pPr>
            <w:r>
              <w:t>≤4mg/L</w:t>
            </w:r>
          </w:p>
        </w:tc>
        <w:tc>
          <w:tcPr>
            <w:tcW w:w="1151" w:type="dxa"/>
            <w:vAlign w:val="center"/>
          </w:tcPr>
          <w:p>
            <w:pPr>
              <w:pStyle w:val="8"/>
              <w:bidi w:val="0"/>
            </w:pPr>
            <w:r>
              <w:t>≤1.0mg/L</w:t>
            </w:r>
          </w:p>
        </w:tc>
        <w:tc>
          <w:tcPr>
            <w:tcW w:w="1153" w:type="dxa"/>
            <w:vAlign w:val="center"/>
          </w:tcPr>
          <w:p>
            <w:pPr>
              <w:pStyle w:val="8"/>
              <w:bidi w:val="0"/>
            </w:pPr>
            <w:r>
              <w:t>≤0.2mg/L</w:t>
            </w:r>
          </w:p>
        </w:tc>
        <w:tc>
          <w:tcPr>
            <w:tcW w:w="1903" w:type="dxa"/>
            <w:vAlign w:val="center"/>
          </w:tcPr>
          <w:p>
            <w:pPr>
              <w:pStyle w:val="8"/>
              <w:bidi w:val="0"/>
            </w:pPr>
            <w:r>
              <w:t>≤10000</w:t>
            </w:r>
            <w:r>
              <w:rPr>
                <w:rFonts w:hint="eastAsia"/>
              </w:rPr>
              <w:t>个</w:t>
            </w:r>
            <w:r>
              <w:t>/L</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w:t>
      </w:r>
      <w:r>
        <w:t>3</w:t>
      </w:r>
      <w:r>
        <w:rPr>
          <w:rFonts w:hint="eastAsia"/>
        </w:rPr>
        <w:t>）地下水</w:t>
      </w:r>
    </w:p>
    <w:p>
      <w:r>
        <w:rPr>
          <w:rFonts w:hint="eastAsia"/>
        </w:rPr>
        <w:t>项目地下水执行《地下水环境质量标准》（</w:t>
      </w:r>
      <w:r>
        <w:t>GB/T14848-</w:t>
      </w:r>
      <w:r>
        <w:rPr>
          <w:rFonts w:hint="eastAsia"/>
        </w:rPr>
        <w:t>2017）中的</w:t>
      </w:r>
      <w:r>
        <w:t>III</w:t>
      </w:r>
      <w:r>
        <w:rPr>
          <w:rFonts w:hint="eastAsia"/>
        </w:rPr>
        <w:t>类，具体标准见表</w:t>
      </w:r>
      <w:r>
        <w:rPr>
          <w:rFonts w:hint="eastAsia"/>
          <w:lang w:val="en-US" w:eastAsia="zh-CN"/>
        </w:rPr>
        <w:t>1.3</w:t>
      </w:r>
      <w:r>
        <w:t>-4</w:t>
      </w:r>
      <w:r>
        <w:rPr>
          <w:rFonts w:hint="eastAsia"/>
        </w:rPr>
        <w:t>。</w:t>
      </w:r>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4</w:t>
      </w:r>
      <w:r>
        <w:fldChar w:fldCharType="end"/>
      </w:r>
      <w:r>
        <w:rPr>
          <w:rFonts w:hint="eastAsia"/>
          <w:lang w:val="en-US" w:eastAsia="zh-CN"/>
        </w:rPr>
        <w:t xml:space="preserve">  </w:t>
      </w:r>
      <w:r>
        <w:rPr>
          <w:rFonts w:hint="eastAsia"/>
        </w:rPr>
        <w:t>地下水质量标准单位：</w:t>
      </w:r>
      <w:r>
        <w:t>mg/L</w:t>
      </w:r>
      <w:r>
        <w:rPr>
          <w:rFonts w:hint="eastAsia"/>
        </w:rPr>
        <w:t>，</w:t>
      </w:r>
      <w:r>
        <w:t>pH</w:t>
      </w:r>
      <w:r>
        <w:rPr>
          <w:rFonts w:hint="eastAsia"/>
        </w:rPr>
        <w:t>值除外</w:t>
      </w:r>
    </w:p>
    <w:tbl>
      <w:tblPr>
        <w:tblStyle w:val="17"/>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622"/>
        <w:gridCol w:w="1547"/>
        <w:gridCol w:w="1437"/>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1" w:type="dxa"/>
            <w:vAlign w:val="center"/>
          </w:tcPr>
          <w:p>
            <w:pPr>
              <w:pStyle w:val="8"/>
              <w:bidi w:val="0"/>
            </w:pPr>
            <w:r>
              <w:t>pH</w:t>
            </w:r>
          </w:p>
        </w:tc>
        <w:tc>
          <w:tcPr>
            <w:tcW w:w="1622" w:type="dxa"/>
            <w:vAlign w:val="center"/>
          </w:tcPr>
          <w:p>
            <w:pPr>
              <w:pStyle w:val="8"/>
              <w:bidi w:val="0"/>
            </w:pPr>
            <w:r>
              <w:rPr>
                <w:rFonts w:hint="eastAsia"/>
              </w:rPr>
              <w:t>高锰酸盐指数</w:t>
            </w:r>
          </w:p>
        </w:tc>
        <w:tc>
          <w:tcPr>
            <w:tcW w:w="1547" w:type="dxa"/>
            <w:vAlign w:val="center"/>
          </w:tcPr>
          <w:p>
            <w:pPr>
              <w:pStyle w:val="8"/>
              <w:bidi w:val="0"/>
            </w:pPr>
            <w:r>
              <w:rPr>
                <w:rFonts w:hint="eastAsia"/>
              </w:rPr>
              <w:t>氨氮</w:t>
            </w:r>
          </w:p>
        </w:tc>
        <w:tc>
          <w:tcPr>
            <w:tcW w:w="1437" w:type="dxa"/>
            <w:vAlign w:val="center"/>
          </w:tcPr>
          <w:p>
            <w:pPr>
              <w:pStyle w:val="8"/>
              <w:bidi w:val="0"/>
            </w:pPr>
            <w:r>
              <w:rPr>
                <w:rFonts w:hint="eastAsia"/>
              </w:rPr>
              <w:t>氰化物</w:t>
            </w:r>
          </w:p>
        </w:tc>
        <w:tc>
          <w:tcPr>
            <w:tcW w:w="2450" w:type="dxa"/>
            <w:vAlign w:val="center"/>
          </w:tcPr>
          <w:p>
            <w:pPr>
              <w:pStyle w:val="8"/>
              <w:bidi w:val="0"/>
            </w:pPr>
            <w:r>
              <w:rPr>
                <w:rFonts w:hint="eastAsia"/>
              </w:rPr>
              <w:t>总大肠菌群（个</w:t>
            </w:r>
            <w:r>
              <w:t>/L</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681" w:type="dxa"/>
            <w:vAlign w:val="center"/>
          </w:tcPr>
          <w:p>
            <w:pPr>
              <w:pStyle w:val="8"/>
              <w:bidi w:val="0"/>
            </w:pPr>
            <w:r>
              <w:t>6.5~8.5</w:t>
            </w:r>
          </w:p>
        </w:tc>
        <w:tc>
          <w:tcPr>
            <w:tcW w:w="1622" w:type="dxa"/>
            <w:vAlign w:val="center"/>
          </w:tcPr>
          <w:p>
            <w:pPr>
              <w:pStyle w:val="8"/>
              <w:bidi w:val="0"/>
            </w:pPr>
            <w:r>
              <w:t>≤3.0</w:t>
            </w:r>
          </w:p>
        </w:tc>
        <w:tc>
          <w:tcPr>
            <w:tcW w:w="1547" w:type="dxa"/>
            <w:vAlign w:val="center"/>
          </w:tcPr>
          <w:p>
            <w:pPr>
              <w:pStyle w:val="8"/>
              <w:bidi w:val="0"/>
            </w:pPr>
            <w:r>
              <w:t>≤0.2</w:t>
            </w:r>
          </w:p>
        </w:tc>
        <w:tc>
          <w:tcPr>
            <w:tcW w:w="1437" w:type="dxa"/>
            <w:vAlign w:val="center"/>
          </w:tcPr>
          <w:p>
            <w:pPr>
              <w:pStyle w:val="8"/>
              <w:bidi w:val="0"/>
            </w:pPr>
            <w:r>
              <w:rPr>
                <w:rFonts w:hint="eastAsia"/>
              </w:rPr>
              <w:t>0.05</w:t>
            </w:r>
          </w:p>
        </w:tc>
        <w:tc>
          <w:tcPr>
            <w:tcW w:w="2450" w:type="dxa"/>
            <w:vAlign w:val="center"/>
          </w:tcPr>
          <w:p>
            <w:pPr>
              <w:pStyle w:val="8"/>
              <w:bidi w:val="0"/>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681" w:type="dxa"/>
            <w:vAlign w:val="center"/>
          </w:tcPr>
          <w:p>
            <w:pPr>
              <w:pStyle w:val="8"/>
              <w:bidi w:val="0"/>
            </w:pPr>
            <w:r>
              <w:rPr>
                <w:rFonts w:hint="eastAsia"/>
              </w:rPr>
              <w:t>铅</w:t>
            </w:r>
          </w:p>
        </w:tc>
        <w:tc>
          <w:tcPr>
            <w:tcW w:w="1622" w:type="dxa"/>
            <w:vAlign w:val="center"/>
          </w:tcPr>
          <w:p>
            <w:pPr>
              <w:pStyle w:val="8"/>
              <w:bidi w:val="0"/>
            </w:pPr>
            <w:r>
              <w:rPr>
                <w:rFonts w:hint="eastAsia"/>
              </w:rPr>
              <w:t>砷</w:t>
            </w:r>
          </w:p>
        </w:tc>
        <w:tc>
          <w:tcPr>
            <w:tcW w:w="1547" w:type="dxa"/>
            <w:vAlign w:val="center"/>
          </w:tcPr>
          <w:p>
            <w:pPr>
              <w:pStyle w:val="8"/>
              <w:bidi w:val="0"/>
            </w:pPr>
            <w:r>
              <w:rPr>
                <w:rFonts w:hint="eastAsia"/>
              </w:rPr>
              <w:t>六价铬</w:t>
            </w:r>
          </w:p>
        </w:tc>
        <w:tc>
          <w:tcPr>
            <w:tcW w:w="1437" w:type="dxa"/>
            <w:vAlign w:val="center"/>
          </w:tcPr>
          <w:p>
            <w:pPr>
              <w:pStyle w:val="8"/>
              <w:bidi w:val="0"/>
            </w:pPr>
            <w:r>
              <w:rPr>
                <w:rFonts w:hint="eastAsia"/>
              </w:rPr>
              <w:t>镉</w:t>
            </w:r>
          </w:p>
        </w:tc>
        <w:tc>
          <w:tcPr>
            <w:tcW w:w="2450"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jc w:val="center"/>
        </w:trPr>
        <w:tc>
          <w:tcPr>
            <w:tcW w:w="1681" w:type="dxa"/>
            <w:vAlign w:val="center"/>
          </w:tcPr>
          <w:p>
            <w:pPr>
              <w:pStyle w:val="8"/>
              <w:bidi w:val="0"/>
            </w:pPr>
            <w:r>
              <w:rPr>
                <w:rFonts w:hint="eastAsia"/>
              </w:rPr>
              <w:t>0.05</w:t>
            </w:r>
          </w:p>
        </w:tc>
        <w:tc>
          <w:tcPr>
            <w:tcW w:w="1622" w:type="dxa"/>
            <w:vAlign w:val="center"/>
          </w:tcPr>
          <w:p>
            <w:pPr>
              <w:pStyle w:val="8"/>
              <w:bidi w:val="0"/>
            </w:pPr>
            <w:r>
              <w:rPr>
                <w:rFonts w:hint="eastAsia"/>
              </w:rPr>
              <w:t>0.05</w:t>
            </w:r>
          </w:p>
        </w:tc>
        <w:tc>
          <w:tcPr>
            <w:tcW w:w="1547" w:type="dxa"/>
            <w:vAlign w:val="center"/>
          </w:tcPr>
          <w:p>
            <w:pPr>
              <w:pStyle w:val="8"/>
              <w:bidi w:val="0"/>
            </w:pPr>
            <w:r>
              <w:rPr>
                <w:rFonts w:hint="eastAsia"/>
              </w:rPr>
              <w:t>0.05</w:t>
            </w:r>
          </w:p>
        </w:tc>
        <w:tc>
          <w:tcPr>
            <w:tcW w:w="1437" w:type="dxa"/>
            <w:vAlign w:val="center"/>
          </w:tcPr>
          <w:p>
            <w:pPr>
              <w:pStyle w:val="8"/>
              <w:bidi w:val="0"/>
            </w:pPr>
            <w:r>
              <w:rPr>
                <w:rFonts w:hint="eastAsia"/>
              </w:rPr>
              <w:t>0.01</w:t>
            </w:r>
          </w:p>
        </w:tc>
        <w:tc>
          <w:tcPr>
            <w:tcW w:w="2450" w:type="dxa"/>
            <w:vAlign w:val="center"/>
          </w:tcPr>
          <w:p>
            <w:pPr>
              <w:pStyle w:val="8"/>
              <w:bidi w:val="0"/>
            </w:pP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w:t>
      </w:r>
      <w:r>
        <w:t>4</w:t>
      </w:r>
      <w:r>
        <w:rPr>
          <w:rFonts w:hint="eastAsia"/>
        </w:rPr>
        <w:t>）声环境</w:t>
      </w:r>
    </w:p>
    <w:p>
      <w:r>
        <w:rPr>
          <w:rFonts w:hint="eastAsia"/>
        </w:rPr>
        <w:t>项目</w:t>
      </w:r>
      <w:r>
        <w:rPr>
          <w:rFonts w:hint="eastAsia"/>
          <w:lang w:eastAsia="zh-CN"/>
        </w:rPr>
        <w:t>所在</w:t>
      </w:r>
      <w:r>
        <w:rPr>
          <w:rFonts w:hint="eastAsia"/>
        </w:rPr>
        <w:t>区域声环境执行《声环境质量标准》（</w:t>
      </w:r>
      <w:r>
        <w:t>GB3095-2008</w:t>
      </w:r>
      <w:r>
        <w:rPr>
          <w:rFonts w:hint="eastAsia"/>
        </w:rPr>
        <w:t>）中</w:t>
      </w:r>
      <w:r>
        <w:t>2</w:t>
      </w:r>
      <w:r>
        <w:rPr>
          <w:rFonts w:hint="eastAsia"/>
        </w:rPr>
        <w:t>类标准，见表</w:t>
      </w:r>
      <w:r>
        <w:rPr>
          <w:rFonts w:hint="eastAsia"/>
          <w:lang w:val="en-US" w:eastAsia="zh-CN"/>
        </w:rPr>
        <w:t>1.3</w:t>
      </w:r>
      <w:r>
        <w:t>-5</w:t>
      </w:r>
      <w:r>
        <w:rPr>
          <w:rFonts w:hint="eastAsia"/>
        </w:rPr>
        <w:t>。</w:t>
      </w:r>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5</w:t>
      </w:r>
      <w:r>
        <w:fldChar w:fldCharType="end"/>
      </w:r>
      <w:r>
        <w:rPr>
          <w:rFonts w:hint="eastAsia"/>
          <w:lang w:val="en-US" w:eastAsia="zh-CN"/>
        </w:rPr>
        <w:t xml:space="preserve">  </w:t>
      </w:r>
      <w:r>
        <w:t xml:space="preserve"> </w:t>
      </w:r>
      <w:r>
        <w:rPr>
          <w:rFonts w:hint="eastAsia"/>
        </w:rPr>
        <w:t>声环境质量标准单位：</w:t>
      </w:r>
      <w:r>
        <w:t>dB</w:t>
      </w:r>
      <w:r>
        <w:rPr>
          <w:rFonts w:hint="eastAsia"/>
        </w:rPr>
        <w:t>（</w:t>
      </w:r>
      <w:r>
        <w:t>A</w:t>
      </w:r>
      <w:r>
        <w:rPr>
          <w:rFonts w:hint="eastAsia"/>
        </w:rPr>
        <w:t>）</w:t>
      </w:r>
    </w:p>
    <w:tbl>
      <w:tblPr>
        <w:tblStyle w:val="17"/>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1"/>
        <w:gridCol w:w="2599"/>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991" w:type="dxa"/>
            <w:vAlign w:val="center"/>
          </w:tcPr>
          <w:p>
            <w:pPr>
              <w:pStyle w:val="8"/>
              <w:bidi w:val="0"/>
            </w:pPr>
            <w:r>
              <w:rPr>
                <w:rFonts w:hint="eastAsia"/>
              </w:rPr>
              <w:t>类别</w:t>
            </w:r>
          </w:p>
        </w:tc>
        <w:tc>
          <w:tcPr>
            <w:tcW w:w="2599" w:type="dxa"/>
            <w:vAlign w:val="center"/>
          </w:tcPr>
          <w:p>
            <w:pPr>
              <w:pStyle w:val="8"/>
              <w:bidi w:val="0"/>
            </w:pPr>
            <w:r>
              <w:rPr>
                <w:rFonts w:hint="eastAsia"/>
              </w:rPr>
              <w:t>昼间</w:t>
            </w:r>
          </w:p>
        </w:tc>
        <w:tc>
          <w:tcPr>
            <w:tcW w:w="2169" w:type="dxa"/>
            <w:vAlign w:val="center"/>
          </w:tcPr>
          <w:p>
            <w:pPr>
              <w:pStyle w:val="8"/>
              <w:bidi w:val="0"/>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991" w:type="dxa"/>
            <w:vAlign w:val="center"/>
          </w:tcPr>
          <w:p>
            <w:pPr>
              <w:pStyle w:val="8"/>
              <w:bidi w:val="0"/>
            </w:pPr>
            <w:r>
              <w:rPr>
                <w:rFonts w:hint="eastAsia"/>
              </w:rPr>
              <w:t>（</w:t>
            </w:r>
            <w:r>
              <w:t>GB3095-2008</w:t>
            </w:r>
            <w:r>
              <w:rPr>
                <w:rFonts w:hint="eastAsia"/>
              </w:rPr>
              <w:t>）中</w:t>
            </w:r>
            <w:r>
              <w:t>2</w:t>
            </w:r>
            <w:r>
              <w:rPr>
                <w:rFonts w:hint="eastAsia"/>
              </w:rPr>
              <w:t>类标准</w:t>
            </w:r>
          </w:p>
        </w:tc>
        <w:tc>
          <w:tcPr>
            <w:tcW w:w="2599" w:type="dxa"/>
            <w:vAlign w:val="center"/>
          </w:tcPr>
          <w:p>
            <w:pPr>
              <w:pStyle w:val="8"/>
              <w:bidi w:val="0"/>
            </w:pPr>
            <w:r>
              <w:t>60</w:t>
            </w:r>
          </w:p>
        </w:tc>
        <w:tc>
          <w:tcPr>
            <w:tcW w:w="2169" w:type="dxa"/>
            <w:vAlign w:val="center"/>
          </w:tcPr>
          <w:p>
            <w:pPr>
              <w:pStyle w:val="8"/>
              <w:bidi w:val="0"/>
            </w:pPr>
            <w:r>
              <w:t>50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bookmarkStart w:id="101" w:name="_Toc468689107"/>
      <w:r>
        <w:rPr>
          <w:rFonts w:hint="eastAsia"/>
          <w:lang w:eastAsia="zh-CN"/>
        </w:rPr>
        <w:t>（</w:t>
      </w:r>
      <w:r>
        <w:rPr>
          <w:rFonts w:hint="eastAsia"/>
          <w:lang w:val="en-US" w:eastAsia="zh-CN"/>
        </w:rPr>
        <w:t>5</w:t>
      </w:r>
      <w:r>
        <w:rPr>
          <w:rFonts w:hint="eastAsia"/>
          <w:lang w:eastAsia="zh-CN"/>
        </w:rPr>
        <w:t>）</w:t>
      </w:r>
      <w:r>
        <w:rPr>
          <w:rFonts w:hint="eastAsia"/>
        </w:rPr>
        <w:t>土壤环境</w:t>
      </w:r>
    </w:p>
    <w:p>
      <w:r>
        <w:rPr>
          <w:rFonts w:hint="eastAsia"/>
        </w:rPr>
        <w:t>根据评价范围的土地使用功能，项目属于设施农用地，执行《畜禽养殖产地环境评价规范》（HJ568-2010）中《畜禽养殖场和养殖小区内土壤环境质量评价指标限值》，项目周边土壤环境执行《土壤环境质量—农用地土壤污染风险管控标准》（GB15618-2018）中农用地土壤污染风险筛选值。标准值见</w:t>
      </w:r>
      <w:r>
        <w:rPr>
          <w:rFonts w:hint="eastAsia"/>
          <w:lang w:val="en-US" w:eastAsia="zh-CN"/>
        </w:rPr>
        <w:t>1.3</w:t>
      </w:r>
      <w:r>
        <w:rPr>
          <w:rFonts w:hint="eastAsia"/>
        </w:rPr>
        <w:t>-6</w:t>
      </w:r>
      <w:r>
        <w:t>。</w:t>
      </w:r>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6</w:t>
      </w:r>
      <w:r>
        <w:fldChar w:fldCharType="end"/>
      </w:r>
      <w:r>
        <w:rPr>
          <w:rFonts w:hint="eastAsia"/>
          <w:lang w:val="en-US" w:eastAsia="zh-CN"/>
        </w:rPr>
        <w:t xml:space="preserve">  </w:t>
      </w:r>
      <w:r>
        <w:t>土壤环境质量标准单位：mg/kg，pH值除外</w:t>
      </w:r>
    </w:p>
    <w:tbl>
      <w:tblPr>
        <w:tblStyle w:val="17"/>
        <w:tblW w:w="9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907"/>
        <w:gridCol w:w="1105"/>
        <w:gridCol w:w="1136"/>
        <w:gridCol w:w="996"/>
        <w:gridCol w:w="1136"/>
        <w:gridCol w:w="1132"/>
        <w:gridCol w:w="1136"/>
        <w:gridCol w:w="566"/>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746" w:type="dxa"/>
            <w:vAlign w:val="center"/>
          </w:tcPr>
          <w:p>
            <w:pPr>
              <w:pStyle w:val="8"/>
              <w:bidi w:val="0"/>
            </w:pPr>
            <w:r>
              <w:rPr>
                <w:rFonts w:hint="eastAsia"/>
              </w:rPr>
              <w:t>区域</w:t>
            </w:r>
          </w:p>
        </w:tc>
        <w:tc>
          <w:tcPr>
            <w:tcW w:w="907" w:type="dxa"/>
            <w:vAlign w:val="center"/>
          </w:tcPr>
          <w:p>
            <w:pPr>
              <w:pStyle w:val="8"/>
              <w:bidi w:val="0"/>
            </w:pPr>
            <w:r>
              <w:rPr>
                <w:rFonts w:hint="eastAsia"/>
              </w:rPr>
              <w:t>pH</w:t>
            </w:r>
          </w:p>
        </w:tc>
        <w:tc>
          <w:tcPr>
            <w:tcW w:w="1105" w:type="dxa"/>
            <w:vAlign w:val="center"/>
          </w:tcPr>
          <w:p>
            <w:pPr>
              <w:pStyle w:val="8"/>
              <w:bidi w:val="0"/>
            </w:pPr>
            <w:r>
              <w:t>镉</w:t>
            </w:r>
          </w:p>
        </w:tc>
        <w:tc>
          <w:tcPr>
            <w:tcW w:w="1136" w:type="dxa"/>
            <w:vAlign w:val="center"/>
          </w:tcPr>
          <w:p>
            <w:pPr>
              <w:pStyle w:val="8"/>
              <w:bidi w:val="0"/>
            </w:pPr>
            <w:r>
              <w:t>汞</w:t>
            </w:r>
          </w:p>
        </w:tc>
        <w:tc>
          <w:tcPr>
            <w:tcW w:w="996" w:type="dxa"/>
            <w:vAlign w:val="center"/>
          </w:tcPr>
          <w:p>
            <w:pPr>
              <w:pStyle w:val="8"/>
              <w:bidi w:val="0"/>
            </w:pPr>
            <w:r>
              <w:t>砷</w:t>
            </w:r>
          </w:p>
        </w:tc>
        <w:tc>
          <w:tcPr>
            <w:tcW w:w="1136" w:type="dxa"/>
            <w:vAlign w:val="center"/>
          </w:tcPr>
          <w:p>
            <w:pPr>
              <w:pStyle w:val="8"/>
              <w:bidi w:val="0"/>
            </w:pPr>
            <w:r>
              <w:t>铜</w:t>
            </w:r>
          </w:p>
        </w:tc>
        <w:tc>
          <w:tcPr>
            <w:tcW w:w="1132" w:type="dxa"/>
            <w:vAlign w:val="center"/>
          </w:tcPr>
          <w:p>
            <w:pPr>
              <w:pStyle w:val="8"/>
              <w:bidi w:val="0"/>
            </w:pPr>
            <w:r>
              <w:t>铅</w:t>
            </w:r>
          </w:p>
        </w:tc>
        <w:tc>
          <w:tcPr>
            <w:tcW w:w="1136" w:type="dxa"/>
            <w:vAlign w:val="center"/>
          </w:tcPr>
          <w:p>
            <w:pPr>
              <w:pStyle w:val="8"/>
              <w:bidi w:val="0"/>
            </w:pPr>
            <w:r>
              <w:t>铬</w:t>
            </w:r>
          </w:p>
        </w:tc>
        <w:tc>
          <w:tcPr>
            <w:tcW w:w="566" w:type="dxa"/>
            <w:vAlign w:val="center"/>
          </w:tcPr>
          <w:p>
            <w:pPr>
              <w:pStyle w:val="8"/>
              <w:bidi w:val="0"/>
            </w:pPr>
            <w:r>
              <w:rPr>
                <w:rFonts w:hint="eastAsia"/>
              </w:rPr>
              <w:t>锌</w:t>
            </w:r>
          </w:p>
        </w:tc>
        <w:tc>
          <w:tcPr>
            <w:tcW w:w="568" w:type="dxa"/>
            <w:vAlign w:val="center"/>
          </w:tcPr>
          <w:p>
            <w:pPr>
              <w:pStyle w:val="8"/>
              <w:bidi w:val="0"/>
            </w:pPr>
            <w: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746" w:type="dxa"/>
            <w:vAlign w:val="center"/>
          </w:tcPr>
          <w:p>
            <w:pPr>
              <w:pStyle w:val="8"/>
              <w:bidi w:val="0"/>
            </w:pPr>
            <w:r>
              <w:rPr>
                <w:rFonts w:hint="eastAsia"/>
              </w:rPr>
              <w:t>养殖场</w:t>
            </w:r>
          </w:p>
        </w:tc>
        <w:tc>
          <w:tcPr>
            <w:tcW w:w="907" w:type="dxa"/>
            <w:vAlign w:val="center"/>
          </w:tcPr>
          <w:p>
            <w:pPr>
              <w:pStyle w:val="8"/>
              <w:bidi w:val="0"/>
            </w:pPr>
            <w:r>
              <w:rPr>
                <w:rFonts w:hint="eastAsia"/>
              </w:rPr>
              <w:t>_</w:t>
            </w:r>
          </w:p>
        </w:tc>
        <w:tc>
          <w:tcPr>
            <w:tcW w:w="1105" w:type="dxa"/>
            <w:vAlign w:val="center"/>
          </w:tcPr>
          <w:p>
            <w:pPr>
              <w:pStyle w:val="8"/>
              <w:bidi w:val="0"/>
            </w:pPr>
            <w:r>
              <w:rPr>
                <w:rFonts w:hint="eastAsia"/>
              </w:rPr>
              <w:t>1.0</w:t>
            </w:r>
          </w:p>
        </w:tc>
        <w:tc>
          <w:tcPr>
            <w:tcW w:w="1136" w:type="dxa"/>
            <w:vAlign w:val="center"/>
          </w:tcPr>
          <w:p>
            <w:pPr>
              <w:pStyle w:val="8"/>
              <w:bidi w:val="0"/>
            </w:pPr>
            <w:r>
              <w:rPr>
                <w:rFonts w:hint="eastAsia"/>
              </w:rPr>
              <w:t>1.5</w:t>
            </w:r>
          </w:p>
        </w:tc>
        <w:tc>
          <w:tcPr>
            <w:tcW w:w="996" w:type="dxa"/>
            <w:vAlign w:val="center"/>
          </w:tcPr>
          <w:p>
            <w:pPr>
              <w:pStyle w:val="8"/>
              <w:bidi w:val="0"/>
            </w:pPr>
            <w:r>
              <w:rPr>
                <w:rFonts w:hint="eastAsia"/>
              </w:rPr>
              <w:t>40</w:t>
            </w:r>
          </w:p>
        </w:tc>
        <w:tc>
          <w:tcPr>
            <w:tcW w:w="1136" w:type="dxa"/>
            <w:vAlign w:val="center"/>
          </w:tcPr>
          <w:p>
            <w:pPr>
              <w:pStyle w:val="8"/>
              <w:bidi w:val="0"/>
            </w:pPr>
            <w:r>
              <w:rPr>
                <w:rFonts w:hint="eastAsia"/>
              </w:rPr>
              <w:t>400</w:t>
            </w:r>
          </w:p>
        </w:tc>
        <w:tc>
          <w:tcPr>
            <w:tcW w:w="1132" w:type="dxa"/>
            <w:vAlign w:val="center"/>
          </w:tcPr>
          <w:p>
            <w:pPr>
              <w:pStyle w:val="8"/>
              <w:bidi w:val="0"/>
            </w:pPr>
            <w:r>
              <w:rPr>
                <w:rFonts w:hint="eastAsia"/>
              </w:rPr>
              <w:t>500</w:t>
            </w:r>
          </w:p>
        </w:tc>
        <w:tc>
          <w:tcPr>
            <w:tcW w:w="1136" w:type="dxa"/>
            <w:vAlign w:val="center"/>
          </w:tcPr>
          <w:p>
            <w:pPr>
              <w:pStyle w:val="8"/>
              <w:bidi w:val="0"/>
            </w:pPr>
            <w:r>
              <w:rPr>
                <w:rFonts w:hint="eastAsia"/>
              </w:rPr>
              <w:t>300</w:t>
            </w:r>
          </w:p>
        </w:tc>
        <w:tc>
          <w:tcPr>
            <w:tcW w:w="566" w:type="dxa"/>
            <w:vAlign w:val="center"/>
          </w:tcPr>
          <w:p>
            <w:pPr>
              <w:pStyle w:val="8"/>
              <w:bidi w:val="0"/>
            </w:pPr>
            <w:r>
              <w:rPr>
                <w:rFonts w:hint="eastAsia"/>
              </w:rPr>
              <w:t>500</w:t>
            </w:r>
          </w:p>
        </w:tc>
        <w:tc>
          <w:tcPr>
            <w:tcW w:w="568" w:type="dxa"/>
            <w:vAlign w:val="center"/>
          </w:tcPr>
          <w:p>
            <w:pPr>
              <w:pStyle w:val="8"/>
              <w:bidi w:val="0"/>
            </w:pPr>
            <w:r>
              <w:rPr>
                <w:rFonts w:hint="eastAsi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746" w:type="dxa"/>
            <w:vMerge w:val="restart"/>
            <w:vAlign w:val="center"/>
          </w:tcPr>
          <w:p>
            <w:pPr>
              <w:pStyle w:val="8"/>
              <w:bidi w:val="0"/>
            </w:pPr>
            <w:r>
              <w:rPr>
                <w:rFonts w:hint="eastAsia"/>
              </w:rPr>
              <w:t>养殖场周边</w:t>
            </w:r>
          </w:p>
        </w:tc>
        <w:tc>
          <w:tcPr>
            <w:tcW w:w="907" w:type="dxa"/>
            <w:vAlign w:val="center"/>
          </w:tcPr>
          <w:p>
            <w:pPr>
              <w:pStyle w:val="8"/>
              <w:bidi w:val="0"/>
            </w:pPr>
            <w:r>
              <w:rPr>
                <w:rFonts w:hint="eastAsia"/>
              </w:rPr>
              <w:t>≤5.5</w:t>
            </w:r>
          </w:p>
        </w:tc>
        <w:tc>
          <w:tcPr>
            <w:tcW w:w="1105" w:type="dxa"/>
            <w:vAlign w:val="center"/>
          </w:tcPr>
          <w:p>
            <w:pPr>
              <w:pStyle w:val="8"/>
              <w:bidi w:val="0"/>
            </w:pPr>
            <w:r>
              <w:rPr>
                <w:rFonts w:hint="eastAsia"/>
              </w:rPr>
              <w:t>0.3</w:t>
            </w:r>
          </w:p>
        </w:tc>
        <w:tc>
          <w:tcPr>
            <w:tcW w:w="1136" w:type="dxa"/>
            <w:vAlign w:val="center"/>
          </w:tcPr>
          <w:p>
            <w:pPr>
              <w:pStyle w:val="8"/>
              <w:bidi w:val="0"/>
            </w:pPr>
            <w:r>
              <w:rPr>
                <w:rFonts w:hint="eastAsia"/>
              </w:rPr>
              <w:t>0.5</w:t>
            </w:r>
          </w:p>
          <w:p>
            <w:pPr>
              <w:pStyle w:val="8"/>
              <w:bidi w:val="0"/>
            </w:pPr>
            <w:r>
              <w:rPr>
                <w:rFonts w:hint="eastAsia"/>
              </w:rPr>
              <w:t>(水田)</w:t>
            </w:r>
          </w:p>
          <w:p>
            <w:pPr>
              <w:pStyle w:val="8"/>
              <w:bidi w:val="0"/>
            </w:pPr>
            <w:r>
              <w:rPr>
                <w:rFonts w:hint="eastAsia"/>
              </w:rPr>
              <w:t>1.3</w:t>
            </w:r>
          </w:p>
          <w:p>
            <w:pPr>
              <w:pStyle w:val="8"/>
              <w:bidi w:val="0"/>
            </w:pPr>
            <w:r>
              <w:rPr>
                <w:rFonts w:hint="eastAsia"/>
              </w:rPr>
              <w:t>(其他)</w:t>
            </w:r>
          </w:p>
        </w:tc>
        <w:tc>
          <w:tcPr>
            <w:tcW w:w="996" w:type="dxa"/>
            <w:vAlign w:val="center"/>
          </w:tcPr>
          <w:p>
            <w:pPr>
              <w:pStyle w:val="8"/>
              <w:bidi w:val="0"/>
            </w:pPr>
            <w:r>
              <w:rPr>
                <w:rFonts w:hint="eastAsia"/>
              </w:rPr>
              <w:t>30</w:t>
            </w:r>
          </w:p>
          <w:p>
            <w:pPr>
              <w:pStyle w:val="8"/>
              <w:bidi w:val="0"/>
            </w:pPr>
            <w:r>
              <w:rPr>
                <w:rFonts w:hint="eastAsia"/>
              </w:rPr>
              <w:t>(水田)</w:t>
            </w:r>
          </w:p>
          <w:p>
            <w:pPr>
              <w:pStyle w:val="8"/>
              <w:bidi w:val="0"/>
            </w:pPr>
            <w:r>
              <w:rPr>
                <w:rFonts w:hint="eastAsia"/>
              </w:rPr>
              <w:t>40(其他</w:t>
            </w:r>
          </w:p>
        </w:tc>
        <w:tc>
          <w:tcPr>
            <w:tcW w:w="1136" w:type="dxa"/>
            <w:vAlign w:val="center"/>
          </w:tcPr>
          <w:p>
            <w:pPr>
              <w:pStyle w:val="8"/>
              <w:bidi w:val="0"/>
            </w:pPr>
            <w:r>
              <w:rPr>
                <w:rFonts w:hint="eastAsia"/>
              </w:rPr>
              <w:t>150</w:t>
            </w:r>
          </w:p>
          <w:p>
            <w:pPr>
              <w:pStyle w:val="8"/>
              <w:bidi w:val="0"/>
            </w:pPr>
            <w:r>
              <w:rPr>
                <w:rFonts w:hint="eastAsia"/>
              </w:rPr>
              <w:t>(果园)</w:t>
            </w:r>
          </w:p>
          <w:p>
            <w:pPr>
              <w:pStyle w:val="8"/>
              <w:bidi w:val="0"/>
            </w:pPr>
            <w:r>
              <w:rPr>
                <w:rFonts w:hint="eastAsia"/>
              </w:rPr>
              <w:t>50(其他)</w:t>
            </w:r>
          </w:p>
        </w:tc>
        <w:tc>
          <w:tcPr>
            <w:tcW w:w="1132" w:type="dxa"/>
            <w:vAlign w:val="center"/>
          </w:tcPr>
          <w:p>
            <w:pPr>
              <w:pStyle w:val="8"/>
              <w:bidi w:val="0"/>
            </w:pPr>
            <w:r>
              <w:rPr>
                <w:rFonts w:hint="eastAsia"/>
              </w:rPr>
              <w:t>80(水田)</w:t>
            </w:r>
          </w:p>
          <w:p>
            <w:pPr>
              <w:pStyle w:val="8"/>
              <w:bidi w:val="0"/>
            </w:pPr>
            <w:r>
              <w:rPr>
                <w:rFonts w:hint="eastAsia"/>
              </w:rPr>
              <w:t>70(其他)</w:t>
            </w:r>
          </w:p>
        </w:tc>
        <w:tc>
          <w:tcPr>
            <w:tcW w:w="1136" w:type="dxa"/>
            <w:vAlign w:val="center"/>
          </w:tcPr>
          <w:p>
            <w:pPr>
              <w:pStyle w:val="8"/>
              <w:bidi w:val="0"/>
            </w:pPr>
            <w:r>
              <w:rPr>
                <w:rFonts w:hint="eastAsia"/>
              </w:rPr>
              <w:t>250</w:t>
            </w:r>
          </w:p>
          <w:p>
            <w:pPr>
              <w:pStyle w:val="8"/>
              <w:bidi w:val="0"/>
            </w:pPr>
            <w:r>
              <w:rPr>
                <w:rFonts w:hint="eastAsia"/>
              </w:rPr>
              <w:t>(水田)</w:t>
            </w:r>
          </w:p>
          <w:p>
            <w:pPr>
              <w:pStyle w:val="8"/>
              <w:bidi w:val="0"/>
            </w:pPr>
            <w:r>
              <w:rPr>
                <w:rFonts w:hint="eastAsia"/>
              </w:rPr>
              <w:t>150</w:t>
            </w:r>
          </w:p>
          <w:p>
            <w:pPr>
              <w:pStyle w:val="8"/>
              <w:bidi w:val="0"/>
            </w:pPr>
            <w:r>
              <w:rPr>
                <w:rFonts w:hint="eastAsia"/>
              </w:rPr>
              <w:t>(其他)</w:t>
            </w:r>
          </w:p>
        </w:tc>
        <w:tc>
          <w:tcPr>
            <w:tcW w:w="566" w:type="dxa"/>
            <w:vAlign w:val="center"/>
          </w:tcPr>
          <w:p>
            <w:pPr>
              <w:pStyle w:val="8"/>
              <w:bidi w:val="0"/>
            </w:pPr>
            <w:r>
              <w:rPr>
                <w:rFonts w:hint="eastAsia"/>
              </w:rPr>
              <w:t>200</w:t>
            </w:r>
          </w:p>
        </w:tc>
        <w:tc>
          <w:tcPr>
            <w:tcW w:w="568" w:type="dxa"/>
            <w:vAlign w:val="center"/>
          </w:tcPr>
          <w:p>
            <w:pPr>
              <w:pStyle w:val="8"/>
              <w:bidi w:val="0"/>
            </w:pPr>
            <w:r>
              <w:rPr>
                <w:rFonts w:hint="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746" w:type="dxa"/>
            <w:vMerge w:val="continue"/>
            <w:vAlign w:val="center"/>
          </w:tcPr>
          <w:p>
            <w:pPr>
              <w:pStyle w:val="8"/>
              <w:bidi w:val="0"/>
            </w:pPr>
          </w:p>
        </w:tc>
        <w:tc>
          <w:tcPr>
            <w:tcW w:w="907" w:type="dxa"/>
            <w:vAlign w:val="center"/>
          </w:tcPr>
          <w:p>
            <w:pPr>
              <w:pStyle w:val="8"/>
              <w:bidi w:val="0"/>
            </w:pPr>
            <w:r>
              <w:rPr>
                <w:rFonts w:hint="eastAsia"/>
              </w:rPr>
              <w:t>5.5＜pH≤6.5</w:t>
            </w:r>
          </w:p>
        </w:tc>
        <w:tc>
          <w:tcPr>
            <w:tcW w:w="1105" w:type="dxa"/>
            <w:vAlign w:val="center"/>
          </w:tcPr>
          <w:p>
            <w:pPr>
              <w:pStyle w:val="8"/>
              <w:bidi w:val="0"/>
            </w:pPr>
            <w:r>
              <w:rPr>
                <w:rFonts w:hint="eastAsia"/>
              </w:rPr>
              <w:t>0.4</w:t>
            </w:r>
          </w:p>
          <w:p>
            <w:pPr>
              <w:pStyle w:val="8"/>
              <w:bidi w:val="0"/>
            </w:pPr>
            <w:r>
              <w:rPr>
                <w:rFonts w:hint="eastAsia"/>
              </w:rPr>
              <w:t>(水田)</w:t>
            </w:r>
          </w:p>
          <w:p>
            <w:pPr>
              <w:pStyle w:val="8"/>
              <w:bidi w:val="0"/>
            </w:pPr>
            <w:r>
              <w:rPr>
                <w:rFonts w:hint="eastAsia"/>
              </w:rPr>
              <w:t>0.3</w:t>
            </w:r>
          </w:p>
          <w:p>
            <w:pPr>
              <w:pStyle w:val="8"/>
              <w:bidi w:val="0"/>
            </w:pPr>
            <w:r>
              <w:rPr>
                <w:rFonts w:hint="eastAsia"/>
              </w:rPr>
              <w:t>(其他)</w:t>
            </w:r>
          </w:p>
        </w:tc>
        <w:tc>
          <w:tcPr>
            <w:tcW w:w="1136" w:type="dxa"/>
            <w:vAlign w:val="center"/>
          </w:tcPr>
          <w:p>
            <w:pPr>
              <w:pStyle w:val="8"/>
              <w:bidi w:val="0"/>
            </w:pPr>
            <w:r>
              <w:rPr>
                <w:rFonts w:hint="eastAsia"/>
              </w:rPr>
              <w:t>0.5</w:t>
            </w:r>
          </w:p>
          <w:p>
            <w:pPr>
              <w:pStyle w:val="8"/>
              <w:bidi w:val="0"/>
            </w:pPr>
            <w:r>
              <w:rPr>
                <w:rFonts w:hint="eastAsia"/>
              </w:rPr>
              <w:t>(水田)</w:t>
            </w:r>
          </w:p>
          <w:p>
            <w:pPr>
              <w:pStyle w:val="8"/>
              <w:bidi w:val="0"/>
            </w:pPr>
            <w:r>
              <w:rPr>
                <w:rFonts w:hint="eastAsia"/>
              </w:rPr>
              <w:t>1.8</w:t>
            </w:r>
          </w:p>
          <w:p>
            <w:pPr>
              <w:pStyle w:val="8"/>
              <w:bidi w:val="0"/>
            </w:pPr>
            <w:r>
              <w:rPr>
                <w:rFonts w:hint="eastAsia"/>
              </w:rPr>
              <w:t>(其他)</w:t>
            </w:r>
          </w:p>
        </w:tc>
        <w:tc>
          <w:tcPr>
            <w:tcW w:w="996" w:type="dxa"/>
            <w:vAlign w:val="center"/>
          </w:tcPr>
          <w:p>
            <w:pPr>
              <w:pStyle w:val="8"/>
              <w:bidi w:val="0"/>
            </w:pPr>
            <w:r>
              <w:rPr>
                <w:rFonts w:hint="eastAsia"/>
              </w:rPr>
              <w:t>30</w:t>
            </w:r>
          </w:p>
          <w:p>
            <w:pPr>
              <w:pStyle w:val="8"/>
              <w:bidi w:val="0"/>
            </w:pPr>
            <w:r>
              <w:rPr>
                <w:rFonts w:hint="eastAsia"/>
              </w:rPr>
              <w:t>(水田)</w:t>
            </w:r>
          </w:p>
          <w:p>
            <w:pPr>
              <w:pStyle w:val="8"/>
              <w:bidi w:val="0"/>
            </w:pPr>
            <w:r>
              <w:rPr>
                <w:rFonts w:hint="eastAsia"/>
              </w:rPr>
              <w:t>40(其他</w:t>
            </w:r>
          </w:p>
        </w:tc>
        <w:tc>
          <w:tcPr>
            <w:tcW w:w="1136" w:type="dxa"/>
            <w:vAlign w:val="center"/>
          </w:tcPr>
          <w:p>
            <w:pPr>
              <w:pStyle w:val="8"/>
              <w:bidi w:val="0"/>
            </w:pPr>
            <w:r>
              <w:rPr>
                <w:rFonts w:hint="eastAsia"/>
              </w:rPr>
              <w:t>150</w:t>
            </w:r>
          </w:p>
          <w:p>
            <w:pPr>
              <w:pStyle w:val="8"/>
              <w:bidi w:val="0"/>
            </w:pPr>
            <w:r>
              <w:rPr>
                <w:rFonts w:hint="eastAsia"/>
              </w:rPr>
              <w:t>(果园)</w:t>
            </w:r>
          </w:p>
          <w:p>
            <w:pPr>
              <w:pStyle w:val="8"/>
              <w:bidi w:val="0"/>
            </w:pPr>
            <w:r>
              <w:rPr>
                <w:rFonts w:hint="eastAsia"/>
              </w:rPr>
              <w:t>50(其他)</w:t>
            </w:r>
          </w:p>
        </w:tc>
        <w:tc>
          <w:tcPr>
            <w:tcW w:w="1132" w:type="dxa"/>
            <w:vAlign w:val="center"/>
          </w:tcPr>
          <w:p>
            <w:pPr>
              <w:pStyle w:val="8"/>
              <w:bidi w:val="0"/>
            </w:pPr>
            <w:r>
              <w:rPr>
                <w:rFonts w:hint="eastAsia"/>
              </w:rPr>
              <w:t>100</w:t>
            </w:r>
          </w:p>
          <w:p>
            <w:pPr>
              <w:pStyle w:val="8"/>
              <w:bidi w:val="0"/>
            </w:pPr>
            <w:r>
              <w:rPr>
                <w:rFonts w:hint="eastAsia"/>
              </w:rPr>
              <w:t>(水田)</w:t>
            </w:r>
          </w:p>
          <w:p>
            <w:pPr>
              <w:pStyle w:val="8"/>
              <w:bidi w:val="0"/>
            </w:pPr>
            <w:r>
              <w:rPr>
                <w:rFonts w:hint="eastAsia"/>
              </w:rPr>
              <w:t>90(其他)</w:t>
            </w:r>
          </w:p>
        </w:tc>
        <w:tc>
          <w:tcPr>
            <w:tcW w:w="1136" w:type="dxa"/>
            <w:vAlign w:val="center"/>
          </w:tcPr>
          <w:p>
            <w:pPr>
              <w:pStyle w:val="8"/>
              <w:bidi w:val="0"/>
            </w:pPr>
            <w:r>
              <w:rPr>
                <w:rFonts w:hint="eastAsia"/>
              </w:rPr>
              <w:t>250</w:t>
            </w:r>
          </w:p>
          <w:p>
            <w:pPr>
              <w:pStyle w:val="8"/>
              <w:bidi w:val="0"/>
            </w:pPr>
            <w:r>
              <w:rPr>
                <w:rFonts w:hint="eastAsia"/>
              </w:rPr>
              <w:t>(水田)</w:t>
            </w:r>
          </w:p>
          <w:p>
            <w:pPr>
              <w:pStyle w:val="8"/>
              <w:bidi w:val="0"/>
            </w:pPr>
            <w:r>
              <w:rPr>
                <w:rFonts w:hint="eastAsia"/>
              </w:rPr>
              <w:t>150</w:t>
            </w:r>
          </w:p>
          <w:p>
            <w:pPr>
              <w:pStyle w:val="8"/>
              <w:bidi w:val="0"/>
            </w:pPr>
            <w:r>
              <w:rPr>
                <w:rFonts w:hint="eastAsia"/>
              </w:rPr>
              <w:t>(其他)</w:t>
            </w:r>
          </w:p>
        </w:tc>
        <w:tc>
          <w:tcPr>
            <w:tcW w:w="566" w:type="dxa"/>
            <w:vAlign w:val="center"/>
          </w:tcPr>
          <w:p>
            <w:pPr>
              <w:pStyle w:val="8"/>
              <w:bidi w:val="0"/>
            </w:pPr>
            <w:r>
              <w:rPr>
                <w:rFonts w:hint="eastAsia"/>
              </w:rPr>
              <w:t>200</w:t>
            </w:r>
          </w:p>
        </w:tc>
        <w:tc>
          <w:tcPr>
            <w:tcW w:w="568" w:type="dxa"/>
            <w:vAlign w:val="center"/>
          </w:tcPr>
          <w:p>
            <w:pPr>
              <w:pStyle w:val="8"/>
              <w:bidi w:val="0"/>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746" w:type="dxa"/>
            <w:vMerge w:val="continue"/>
            <w:vAlign w:val="center"/>
          </w:tcPr>
          <w:p>
            <w:pPr>
              <w:pStyle w:val="8"/>
              <w:bidi w:val="0"/>
            </w:pPr>
          </w:p>
        </w:tc>
        <w:tc>
          <w:tcPr>
            <w:tcW w:w="907" w:type="dxa"/>
            <w:vAlign w:val="center"/>
          </w:tcPr>
          <w:p>
            <w:pPr>
              <w:pStyle w:val="8"/>
              <w:bidi w:val="0"/>
            </w:pPr>
            <w:r>
              <w:rPr>
                <w:rFonts w:hint="eastAsia"/>
              </w:rPr>
              <w:t>6.5＜pH≤7.5</w:t>
            </w:r>
          </w:p>
        </w:tc>
        <w:tc>
          <w:tcPr>
            <w:tcW w:w="1105" w:type="dxa"/>
            <w:vAlign w:val="center"/>
          </w:tcPr>
          <w:p>
            <w:pPr>
              <w:pStyle w:val="8"/>
              <w:bidi w:val="0"/>
            </w:pPr>
            <w:r>
              <w:rPr>
                <w:rFonts w:hint="eastAsia"/>
              </w:rPr>
              <w:t>0.6</w:t>
            </w:r>
          </w:p>
          <w:p>
            <w:pPr>
              <w:pStyle w:val="8"/>
              <w:bidi w:val="0"/>
            </w:pPr>
            <w:r>
              <w:rPr>
                <w:rFonts w:hint="eastAsia"/>
              </w:rPr>
              <w:t>(水田)</w:t>
            </w:r>
          </w:p>
          <w:p>
            <w:pPr>
              <w:pStyle w:val="8"/>
              <w:bidi w:val="0"/>
            </w:pPr>
            <w:r>
              <w:rPr>
                <w:rFonts w:hint="eastAsia"/>
              </w:rPr>
              <w:t>0.3</w:t>
            </w:r>
          </w:p>
          <w:p>
            <w:pPr>
              <w:pStyle w:val="8"/>
              <w:bidi w:val="0"/>
            </w:pPr>
            <w:r>
              <w:rPr>
                <w:rFonts w:hint="eastAsia"/>
              </w:rPr>
              <w:t>(其他)</w:t>
            </w:r>
          </w:p>
        </w:tc>
        <w:tc>
          <w:tcPr>
            <w:tcW w:w="1136" w:type="dxa"/>
            <w:vAlign w:val="center"/>
          </w:tcPr>
          <w:p>
            <w:pPr>
              <w:pStyle w:val="8"/>
              <w:bidi w:val="0"/>
            </w:pPr>
            <w:r>
              <w:rPr>
                <w:rFonts w:hint="eastAsia"/>
              </w:rPr>
              <w:t>0.6</w:t>
            </w:r>
          </w:p>
          <w:p>
            <w:pPr>
              <w:pStyle w:val="8"/>
              <w:bidi w:val="0"/>
            </w:pPr>
            <w:r>
              <w:rPr>
                <w:rFonts w:hint="eastAsia"/>
              </w:rPr>
              <w:t>(水田)</w:t>
            </w:r>
          </w:p>
          <w:p>
            <w:pPr>
              <w:pStyle w:val="8"/>
              <w:bidi w:val="0"/>
            </w:pPr>
            <w:r>
              <w:rPr>
                <w:rFonts w:hint="eastAsia"/>
              </w:rPr>
              <w:t>2.4</w:t>
            </w:r>
          </w:p>
          <w:p>
            <w:pPr>
              <w:pStyle w:val="8"/>
              <w:bidi w:val="0"/>
            </w:pPr>
            <w:r>
              <w:rPr>
                <w:rFonts w:hint="eastAsia"/>
              </w:rPr>
              <w:t>(其他)</w:t>
            </w:r>
          </w:p>
        </w:tc>
        <w:tc>
          <w:tcPr>
            <w:tcW w:w="996" w:type="dxa"/>
            <w:vAlign w:val="center"/>
          </w:tcPr>
          <w:p>
            <w:pPr>
              <w:pStyle w:val="8"/>
              <w:bidi w:val="0"/>
            </w:pPr>
            <w:r>
              <w:rPr>
                <w:rFonts w:hint="eastAsia"/>
              </w:rPr>
              <w:t>25(水田)</w:t>
            </w:r>
          </w:p>
          <w:p>
            <w:pPr>
              <w:pStyle w:val="8"/>
              <w:bidi w:val="0"/>
            </w:pPr>
            <w:r>
              <w:rPr>
                <w:rFonts w:hint="eastAsia"/>
              </w:rPr>
              <w:t>30(其他</w:t>
            </w:r>
          </w:p>
        </w:tc>
        <w:tc>
          <w:tcPr>
            <w:tcW w:w="1136" w:type="dxa"/>
            <w:vAlign w:val="center"/>
          </w:tcPr>
          <w:p>
            <w:pPr>
              <w:pStyle w:val="8"/>
              <w:bidi w:val="0"/>
            </w:pPr>
            <w:r>
              <w:rPr>
                <w:rFonts w:hint="eastAsia"/>
              </w:rPr>
              <w:t>200</w:t>
            </w:r>
          </w:p>
          <w:p>
            <w:pPr>
              <w:pStyle w:val="8"/>
              <w:bidi w:val="0"/>
            </w:pPr>
            <w:r>
              <w:rPr>
                <w:rFonts w:hint="eastAsia"/>
              </w:rPr>
              <w:t>(果园)</w:t>
            </w:r>
          </w:p>
          <w:p>
            <w:pPr>
              <w:pStyle w:val="8"/>
              <w:bidi w:val="0"/>
            </w:pPr>
            <w:r>
              <w:rPr>
                <w:rFonts w:hint="eastAsia"/>
              </w:rPr>
              <w:t>100</w:t>
            </w:r>
          </w:p>
          <w:p>
            <w:pPr>
              <w:pStyle w:val="8"/>
              <w:bidi w:val="0"/>
            </w:pPr>
            <w:r>
              <w:rPr>
                <w:rFonts w:hint="eastAsia"/>
              </w:rPr>
              <w:t>(其他)</w:t>
            </w:r>
          </w:p>
        </w:tc>
        <w:tc>
          <w:tcPr>
            <w:tcW w:w="1132" w:type="dxa"/>
            <w:vAlign w:val="center"/>
          </w:tcPr>
          <w:p>
            <w:pPr>
              <w:pStyle w:val="8"/>
              <w:bidi w:val="0"/>
            </w:pPr>
            <w:r>
              <w:rPr>
                <w:rFonts w:hint="eastAsia"/>
              </w:rPr>
              <w:t>140</w:t>
            </w:r>
          </w:p>
          <w:p>
            <w:pPr>
              <w:pStyle w:val="8"/>
              <w:bidi w:val="0"/>
            </w:pPr>
            <w:r>
              <w:rPr>
                <w:rFonts w:hint="eastAsia"/>
              </w:rPr>
              <w:t>(水田)</w:t>
            </w:r>
          </w:p>
          <w:p>
            <w:pPr>
              <w:pStyle w:val="8"/>
              <w:bidi w:val="0"/>
            </w:pPr>
            <w:r>
              <w:rPr>
                <w:rFonts w:hint="eastAsia"/>
              </w:rPr>
              <w:t>120</w:t>
            </w:r>
          </w:p>
          <w:p>
            <w:pPr>
              <w:pStyle w:val="8"/>
              <w:bidi w:val="0"/>
            </w:pPr>
            <w:r>
              <w:rPr>
                <w:rFonts w:hint="eastAsia"/>
              </w:rPr>
              <w:t>(其他)</w:t>
            </w:r>
          </w:p>
        </w:tc>
        <w:tc>
          <w:tcPr>
            <w:tcW w:w="1136" w:type="dxa"/>
            <w:vAlign w:val="center"/>
          </w:tcPr>
          <w:p>
            <w:pPr>
              <w:pStyle w:val="8"/>
              <w:bidi w:val="0"/>
            </w:pPr>
            <w:r>
              <w:rPr>
                <w:rFonts w:hint="eastAsia"/>
              </w:rPr>
              <w:t>300</w:t>
            </w:r>
          </w:p>
          <w:p>
            <w:pPr>
              <w:pStyle w:val="8"/>
              <w:bidi w:val="0"/>
            </w:pPr>
            <w:r>
              <w:rPr>
                <w:rFonts w:hint="eastAsia"/>
              </w:rPr>
              <w:t>(水田)</w:t>
            </w:r>
          </w:p>
          <w:p>
            <w:pPr>
              <w:pStyle w:val="8"/>
              <w:bidi w:val="0"/>
            </w:pPr>
            <w:r>
              <w:rPr>
                <w:rFonts w:hint="eastAsia"/>
              </w:rPr>
              <w:t>200</w:t>
            </w:r>
          </w:p>
          <w:p>
            <w:pPr>
              <w:pStyle w:val="8"/>
              <w:bidi w:val="0"/>
            </w:pPr>
            <w:r>
              <w:rPr>
                <w:rFonts w:hint="eastAsia"/>
              </w:rPr>
              <w:t>(其他)</w:t>
            </w:r>
          </w:p>
        </w:tc>
        <w:tc>
          <w:tcPr>
            <w:tcW w:w="566" w:type="dxa"/>
            <w:vAlign w:val="center"/>
          </w:tcPr>
          <w:p>
            <w:pPr>
              <w:pStyle w:val="8"/>
              <w:bidi w:val="0"/>
            </w:pPr>
            <w:r>
              <w:rPr>
                <w:rFonts w:hint="eastAsia"/>
              </w:rPr>
              <w:t>250</w:t>
            </w:r>
          </w:p>
        </w:tc>
        <w:tc>
          <w:tcPr>
            <w:tcW w:w="568" w:type="dxa"/>
            <w:vAlign w:val="center"/>
          </w:tcPr>
          <w:p>
            <w:pPr>
              <w:pStyle w:val="8"/>
              <w:bidi w:val="0"/>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746" w:type="dxa"/>
            <w:vMerge w:val="continue"/>
            <w:vAlign w:val="center"/>
          </w:tcPr>
          <w:p>
            <w:pPr>
              <w:pStyle w:val="8"/>
              <w:bidi w:val="0"/>
            </w:pPr>
          </w:p>
        </w:tc>
        <w:tc>
          <w:tcPr>
            <w:tcW w:w="907" w:type="dxa"/>
            <w:vAlign w:val="center"/>
          </w:tcPr>
          <w:p>
            <w:pPr>
              <w:pStyle w:val="8"/>
              <w:bidi w:val="0"/>
            </w:pPr>
            <w:r>
              <w:rPr>
                <w:rFonts w:hint="eastAsia"/>
              </w:rPr>
              <w:t>＞7.5</w:t>
            </w:r>
          </w:p>
        </w:tc>
        <w:tc>
          <w:tcPr>
            <w:tcW w:w="1105" w:type="dxa"/>
            <w:vAlign w:val="center"/>
          </w:tcPr>
          <w:p>
            <w:pPr>
              <w:pStyle w:val="8"/>
              <w:bidi w:val="0"/>
            </w:pPr>
            <w:r>
              <w:rPr>
                <w:rFonts w:hint="eastAsia"/>
              </w:rPr>
              <w:t>0.8</w:t>
            </w:r>
          </w:p>
          <w:p>
            <w:pPr>
              <w:pStyle w:val="8"/>
              <w:bidi w:val="0"/>
            </w:pPr>
            <w:r>
              <w:rPr>
                <w:rFonts w:hint="eastAsia"/>
              </w:rPr>
              <w:t>(水田)</w:t>
            </w:r>
          </w:p>
          <w:p>
            <w:pPr>
              <w:pStyle w:val="8"/>
              <w:bidi w:val="0"/>
            </w:pPr>
            <w:r>
              <w:rPr>
                <w:rFonts w:hint="eastAsia"/>
              </w:rPr>
              <w:t>0.6</w:t>
            </w:r>
          </w:p>
          <w:p>
            <w:pPr>
              <w:pStyle w:val="8"/>
              <w:bidi w:val="0"/>
            </w:pPr>
            <w:r>
              <w:rPr>
                <w:rFonts w:hint="eastAsia"/>
              </w:rPr>
              <w:t>(其他)</w:t>
            </w:r>
          </w:p>
        </w:tc>
        <w:tc>
          <w:tcPr>
            <w:tcW w:w="1136" w:type="dxa"/>
            <w:vAlign w:val="center"/>
          </w:tcPr>
          <w:p>
            <w:pPr>
              <w:pStyle w:val="8"/>
              <w:bidi w:val="0"/>
            </w:pPr>
            <w:r>
              <w:rPr>
                <w:rFonts w:hint="eastAsia"/>
              </w:rPr>
              <w:t>1.0</w:t>
            </w:r>
          </w:p>
          <w:p>
            <w:pPr>
              <w:pStyle w:val="8"/>
              <w:bidi w:val="0"/>
            </w:pPr>
            <w:r>
              <w:rPr>
                <w:rFonts w:hint="eastAsia"/>
              </w:rPr>
              <w:t>(水田)</w:t>
            </w:r>
          </w:p>
          <w:p>
            <w:pPr>
              <w:pStyle w:val="8"/>
              <w:bidi w:val="0"/>
            </w:pPr>
            <w:r>
              <w:rPr>
                <w:rFonts w:hint="eastAsia"/>
              </w:rPr>
              <w:t>3.4</w:t>
            </w:r>
          </w:p>
          <w:p>
            <w:pPr>
              <w:pStyle w:val="8"/>
              <w:bidi w:val="0"/>
            </w:pPr>
            <w:r>
              <w:rPr>
                <w:rFonts w:hint="eastAsia"/>
              </w:rPr>
              <w:t>(其他)</w:t>
            </w:r>
          </w:p>
        </w:tc>
        <w:tc>
          <w:tcPr>
            <w:tcW w:w="996" w:type="dxa"/>
            <w:vAlign w:val="center"/>
          </w:tcPr>
          <w:p>
            <w:pPr>
              <w:pStyle w:val="8"/>
              <w:bidi w:val="0"/>
            </w:pPr>
            <w:r>
              <w:rPr>
                <w:rFonts w:hint="eastAsia"/>
              </w:rPr>
              <w:t>20</w:t>
            </w:r>
          </w:p>
          <w:p>
            <w:pPr>
              <w:pStyle w:val="8"/>
              <w:bidi w:val="0"/>
            </w:pPr>
            <w:r>
              <w:rPr>
                <w:rFonts w:hint="eastAsia"/>
              </w:rPr>
              <w:t>(水田)</w:t>
            </w:r>
          </w:p>
          <w:p>
            <w:pPr>
              <w:pStyle w:val="8"/>
              <w:bidi w:val="0"/>
            </w:pPr>
            <w:r>
              <w:rPr>
                <w:rFonts w:hint="eastAsia"/>
              </w:rPr>
              <w:t>25(其他</w:t>
            </w:r>
          </w:p>
        </w:tc>
        <w:tc>
          <w:tcPr>
            <w:tcW w:w="1136" w:type="dxa"/>
            <w:vAlign w:val="center"/>
          </w:tcPr>
          <w:p>
            <w:pPr>
              <w:pStyle w:val="8"/>
              <w:bidi w:val="0"/>
            </w:pPr>
            <w:r>
              <w:rPr>
                <w:rFonts w:hint="eastAsia"/>
              </w:rPr>
              <w:t>200</w:t>
            </w:r>
          </w:p>
          <w:p>
            <w:pPr>
              <w:pStyle w:val="8"/>
              <w:bidi w:val="0"/>
            </w:pPr>
            <w:r>
              <w:rPr>
                <w:rFonts w:hint="eastAsia"/>
              </w:rPr>
              <w:t>(果园)</w:t>
            </w:r>
          </w:p>
          <w:p>
            <w:pPr>
              <w:pStyle w:val="8"/>
              <w:bidi w:val="0"/>
            </w:pPr>
            <w:r>
              <w:rPr>
                <w:rFonts w:hint="eastAsia"/>
              </w:rPr>
              <w:t>100</w:t>
            </w:r>
          </w:p>
          <w:p>
            <w:pPr>
              <w:pStyle w:val="8"/>
              <w:bidi w:val="0"/>
            </w:pPr>
            <w:r>
              <w:rPr>
                <w:rFonts w:hint="eastAsia"/>
              </w:rPr>
              <w:t>(其他)</w:t>
            </w:r>
          </w:p>
        </w:tc>
        <w:tc>
          <w:tcPr>
            <w:tcW w:w="1132" w:type="dxa"/>
            <w:vAlign w:val="center"/>
          </w:tcPr>
          <w:p>
            <w:pPr>
              <w:pStyle w:val="8"/>
              <w:bidi w:val="0"/>
            </w:pPr>
            <w:r>
              <w:rPr>
                <w:rFonts w:hint="eastAsia"/>
              </w:rPr>
              <w:t>240</w:t>
            </w:r>
          </w:p>
          <w:p>
            <w:pPr>
              <w:pStyle w:val="8"/>
              <w:bidi w:val="0"/>
            </w:pPr>
            <w:r>
              <w:rPr>
                <w:rFonts w:hint="eastAsia"/>
              </w:rPr>
              <w:t>(水田)</w:t>
            </w:r>
          </w:p>
          <w:p>
            <w:pPr>
              <w:pStyle w:val="8"/>
              <w:bidi w:val="0"/>
            </w:pPr>
            <w:r>
              <w:rPr>
                <w:rFonts w:hint="eastAsia"/>
              </w:rPr>
              <w:t>170</w:t>
            </w:r>
          </w:p>
          <w:p>
            <w:pPr>
              <w:pStyle w:val="8"/>
              <w:bidi w:val="0"/>
            </w:pPr>
            <w:r>
              <w:rPr>
                <w:rFonts w:hint="eastAsia"/>
              </w:rPr>
              <w:t>(其他)</w:t>
            </w:r>
          </w:p>
        </w:tc>
        <w:tc>
          <w:tcPr>
            <w:tcW w:w="1136" w:type="dxa"/>
            <w:vAlign w:val="center"/>
          </w:tcPr>
          <w:p>
            <w:pPr>
              <w:pStyle w:val="8"/>
              <w:bidi w:val="0"/>
            </w:pPr>
            <w:r>
              <w:rPr>
                <w:rFonts w:hint="eastAsia"/>
              </w:rPr>
              <w:t>350</w:t>
            </w:r>
          </w:p>
          <w:p>
            <w:pPr>
              <w:pStyle w:val="8"/>
              <w:bidi w:val="0"/>
            </w:pPr>
            <w:r>
              <w:rPr>
                <w:rFonts w:hint="eastAsia"/>
              </w:rPr>
              <w:t>(水田)</w:t>
            </w:r>
          </w:p>
          <w:p>
            <w:pPr>
              <w:pStyle w:val="8"/>
              <w:bidi w:val="0"/>
            </w:pPr>
            <w:r>
              <w:rPr>
                <w:rFonts w:hint="eastAsia"/>
              </w:rPr>
              <w:t>250</w:t>
            </w:r>
          </w:p>
          <w:p>
            <w:pPr>
              <w:pStyle w:val="8"/>
              <w:bidi w:val="0"/>
            </w:pPr>
            <w:r>
              <w:rPr>
                <w:rFonts w:hint="eastAsia"/>
              </w:rPr>
              <w:t>(其他)</w:t>
            </w:r>
          </w:p>
        </w:tc>
        <w:tc>
          <w:tcPr>
            <w:tcW w:w="566" w:type="dxa"/>
            <w:vAlign w:val="center"/>
          </w:tcPr>
          <w:p>
            <w:pPr>
              <w:pStyle w:val="8"/>
              <w:bidi w:val="0"/>
            </w:pPr>
            <w:r>
              <w:rPr>
                <w:rFonts w:hint="eastAsia"/>
              </w:rPr>
              <w:t>300</w:t>
            </w:r>
          </w:p>
        </w:tc>
        <w:tc>
          <w:tcPr>
            <w:tcW w:w="568" w:type="dxa"/>
            <w:vAlign w:val="center"/>
          </w:tcPr>
          <w:p>
            <w:pPr>
              <w:pStyle w:val="8"/>
              <w:bidi w:val="0"/>
            </w:pPr>
            <w:r>
              <w:rPr>
                <w:rFonts w:hint="eastAsia"/>
              </w:rPr>
              <w:t>190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lang w:val="en-US" w:eastAsia="zh-CN"/>
        </w:rPr>
        <w:t>1</w:t>
      </w:r>
      <w:r>
        <w:t>.3.2.2</w:t>
      </w:r>
      <w:r>
        <w:rPr>
          <w:rFonts w:hint="eastAsia"/>
        </w:rPr>
        <w:t>污染物排放标准</w:t>
      </w:r>
      <w:bookmarkEnd w:id="101"/>
    </w:p>
    <w:p>
      <w:r>
        <w:rPr>
          <w:rFonts w:hint="eastAsia"/>
        </w:rPr>
        <w:t>（</w:t>
      </w:r>
      <w:r>
        <w:t>1</w:t>
      </w:r>
      <w:r>
        <w:rPr>
          <w:rFonts w:hint="eastAsia"/>
        </w:rPr>
        <w:t>）废气</w:t>
      </w:r>
    </w:p>
    <w:p>
      <w:r>
        <w:rPr>
          <w:rFonts w:hint="eastAsia"/>
        </w:rPr>
        <w:t>项目无组织排放的臭气浓度执行《畜禽养殖业污染物排放标准》（</w:t>
      </w:r>
      <w:r>
        <w:t>GB18595-2001</w:t>
      </w:r>
      <w:r>
        <w:rPr>
          <w:rFonts w:hint="eastAsia"/>
        </w:rPr>
        <w:t>），</w:t>
      </w:r>
      <w:r>
        <w:t>H</w:t>
      </w:r>
      <w:r>
        <w:rPr>
          <w:vertAlign w:val="subscript"/>
        </w:rPr>
        <w:t>2</w:t>
      </w:r>
      <w:r>
        <w:t>S</w:t>
      </w:r>
      <w:r>
        <w:rPr>
          <w:rFonts w:hint="eastAsia"/>
        </w:rPr>
        <w:t>和</w:t>
      </w:r>
      <w:r>
        <w:t>NH</w:t>
      </w:r>
      <w:r>
        <w:rPr>
          <w:vertAlign w:val="subscript"/>
        </w:rPr>
        <w:t>3</w:t>
      </w:r>
      <w:r>
        <w:rPr>
          <w:rFonts w:hint="eastAsia"/>
        </w:rPr>
        <w:t>执行《恶臭污染物排放标准》（</w:t>
      </w:r>
      <w:r>
        <w:t>GB14554-93</w:t>
      </w:r>
      <w:r>
        <w:rPr>
          <w:rFonts w:hint="eastAsia"/>
        </w:rPr>
        <w:t>）中无组织排放场界标准限值二级新改扩建要求；食堂油烟废气排放执行《饮食业油烟排放标准</w:t>
      </w:r>
      <w:r>
        <w:t>(</w:t>
      </w:r>
      <w:r>
        <w:rPr>
          <w:rFonts w:hint="eastAsia"/>
        </w:rPr>
        <w:t>试行</w:t>
      </w:r>
      <w:r>
        <w:t>)</w:t>
      </w:r>
      <w:r>
        <w:rPr>
          <w:rFonts w:hint="eastAsia"/>
        </w:rPr>
        <w:t>》（</w:t>
      </w:r>
      <w:r>
        <w:t>GB18483-2001</w:t>
      </w:r>
      <w:r>
        <w:rPr>
          <w:rFonts w:hint="eastAsia"/>
        </w:rPr>
        <w:t>）；沼气燃烧尾气</w:t>
      </w:r>
      <w:r>
        <w:rPr>
          <w:rFonts w:hint="eastAsia"/>
          <w:lang w:eastAsia="zh-CN"/>
        </w:rPr>
        <w:t>等其他废气</w:t>
      </w:r>
      <w:r>
        <w:rPr>
          <w:rFonts w:hint="eastAsia"/>
        </w:rPr>
        <w:t>执行</w:t>
      </w:r>
      <w:r>
        <w:t>《大气污染物</w:t>
      </w:r>
      <w:r>
        <w:rPr>
          <w:rFonts w:hint="eastAsia"/>
          <w:lang w:eastAsia="zh-CN"/>
        </w:rPr>
        <w:t>综合</w:t>
      </w:r>
      <w:r>
        <w:t>排放标准》（GB</w:t>
      </w:r>
      <w:r>
        <w:rPr>
          <w:rFonts w:hint="eastAsia"/>
          <w:lang w:val="en-US" w:eastAsia="zh-CN"/>
        </w:rPr>
        <w:t>16297</w:t>
      </w:r>
      <w:r>
        <w:t>-</w:t>
      </w:r>
      <w:r>
        <w:rPr>
          <w:rFonts w:hint="eastAsia"/>
          <w:lang w:val="en-US" w:eastAsia="zh-CN"/>
        </w:rPr>
        <w:t>1996</w:t>
      </w:r>
      <w:r>
        <w:t>）</w:t>
      </w:r>
      <w:r>
        <w:rPr>
          <w:rFonts w:hint="eastAsia"/>
          <w:lang w:eastAsia="zh-CN"/>
        </w:rPr>
        <w:t>二级</w:t>
      </w:r>
      <w:r>
        <w:t>排放标准要求</w:t>
      </w:r>
      <w:r>
        <w:rPr>
          <w:rFonts w:hint="eastAsia"/>
        </w:rPr>
        <w:t>，具体见表</w:t>
      </w:r>
      <w:r>
        <w:rPr>
          <w:rFonts w:hint="eastAsia"/>
          <w:lang w:val="en-US" w:eastAsia="zh-CN"/>
        </w:rPr>
        <w:t>1.3</w:t>
      </w:r>
      <w:r>
        <w:t>-</w:t>
      </w:r>
      <w:r>
        <w:rPr>
          <w:rFonts w:hint="eastAsia"/>
          <w:lang w:val="en-US" w:eastAsia="zh-CN"/>
        </w:rPr>
        <w:t>7</w:t>
      </w:r>
      <w:r>
        <w:rPr>
          <w:rFonts w:hint="eastAsia"/>
        </w:rPr>
        <w:t>、表</w:t>
      </w:r>
      <w:r>
        <w:rPr>
          <w:rFonts w:hint="eastAsia"/>
          <w:lang w:val="en-US" w:eastAsia="zh-CN"/>
        </w:rPr>
        <w:t>1.3</w:t>
      </w:r>
      <w:r>
        <w:t>-</w:t>
      </w:r>
      <w:r>
        <w:rPr>
          <w:rFonts w:hint="eastAsia"/>
          <w:lang w:val="en-US" w:eastAsia="zh-CN"/>
        </w:rPr>
        <w:t>8</w:t>
      </w:r>
      <w:r>
        <w:rPr>
          <w:rFonts w:hint="eastAsia"/>
        </w:rPr>
        <w:t>、表</w:t>
      </w:r>
      <w:r>
        <w:rPr>
          <w:rFonts w:hint="eastAsia"/>
          <w:lang w:val="en-US" w:eastAsia="zh-CN"/>
        </w:rPr>
        <w:t>1.3</w:t>
      </w:r>
      <w:r>
        <w:rPr>
          <w:rFonts w:hint="eastAsia"/>
        </w:rPr>
        <w:t>-</w:t>
      </w:r>
      <w:r>
        <w:rPr>
          <w:rFonts w:hint="eastAsia"/>
          <w:lang w:val="en-US" w:eastAsia="zh-CN"/>
        </w:rPr>
        <w:t>9</w:t>
      </w:r>
      <w:r>
        <w:rPr>
          <w:rFonts w:hint="eastAsia"/>
        </w:rPr>
        <w:t>、表</w:t>
      </w:r>
      <w:r>
        <w:rPr>
          <w:rFonts w:hint="eastAsia"/>
          <w:lang w:val="en-US" w:eastAsia="zh-CN"/>
        </w:rPr>
        <w:t>1.3</w:t>
      </w:r>
      <w:r>
        <w:rPr>
          <w:rFonts w:hint="eastAsia"/>
        </w:rPr>
        <w:t>-</w:t>
      </w:r>
      <w:r>
        <w:rPr>
          <w:rFonts w:hint="eastAsia"/>
          <w:lang w:val="en-US" w:eastAsia="zh-CN"/>
        </w:rPr>
        <w:t>10</w:t>
      </w:r>
      <w:r>
        <w:rPr>
          <w:rFonts w:hint="eastAsia"/>
        </w:rPr>
        <w:t>：</w:t>
      </w:r>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7</w:t>
      </w:r>
      <w:r>
        <w:fldChar w:fldCharType="end"/>
      </w:r>
      <w:r>
        <w:rPr>
          <w:rFonts w:hint="eastAsia"/>
          <w:lang w:val="en-US" w:eastAsia="zh-CN"/>
        </w:rPr>
        <w:t xml:space="preserve">  </w:t>
      </w:r>
      <w:r>
        <w:rPr>
          <w:rFonts w:hint="eastAsia"/>
        </w:rPr>
        <w:t>集约化畜禽养殖业恶臭污染物场界排放标准</w:t>
      </w:r>
    </w:p>
    <w:tbl>
      <w:tblPr>
        <w:tblStyle w:val="1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360" w:type="dxa"/>
            <w:vAlign w:val="center"/>
          </w:tcPr>
          <w:p>
            <w:pPr>
              <w:pStyle w:val="8"/>
              <w:bidi w:val="0"/>
            </w:pPr>
            <w:r>
              <w:rPr>
                <w:rFonts w:hint="eastAsia"/>
              </w:rPr>
              <w:t>控制项目</w:t>
            </w:r>
          </w:p>
        </w:tc>
        <w:tc>
          <w:tcPr>
            <w:tcW w:w="4360" w:type="dxa"/>
            <w:vAlign w:val="center"/>
          </w:tcPr>
          <w:p>
            <w:pPr>
              <w:pStyle w:val="8"/>
              <w:bidi w:val="0"/>
            </w:pPr>
            <w:r>
              <w:rPr>
                <w:rFonts w:hint="eastAsia"/>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360" w:type="dxa"/>
            <w:vAlign w:val="center"/>
          </w:tcPr>
          <w:p>
            <w:pPr>
              <w:pStyle w:val="8"/>
              <w:bidi w:val="0"/>
            </w:pPr>
            <w:r>
              <w:rPr>
                <w:rFonts w:hint="eastAsia"/>
              </w:rPr>
              <w:t>臭气浓度（无量纲）</w:t>
            </w:r>
          </w:p>
        </w:tc>
        <w:tc>
          <w:tcPr>
            <w:tcW w:w="4360" w:type="dxa"/>
            <w:vAlign w:val="center"/>
          </w:tcPr>
          <w:p>
            <w:pPr>
              <w:pStyle w:val="8"/>
              <w:bidi w:val="0"/>
            </w:pPr>
            <w:r>
              <w:t>70</w:t>
            </w:r>
            <w:r>
              <w:rPr>
                <w:rFonts w:hint="eastAsia"/>
              </w:rPr>
              <w:t>（参照《畜禽养殖业污染物排放标准》）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60" w:type="dxa"/>
            <w:vAlign w:val="center"/>
          </w:tcPr>
          <w:p>
            <w:pPr>
              <w:pStyle w:val="8"/>
              <w:bidi w:val="0"/>
            </w:pPr>
            <w:r>
              <w:t>NH</w:t>
            </w:r>
            <w:r>
              <w:rPr>
                <w:vertAlign w:val="subscript"/>
              </w:rPr>
              <w:t>3</w:t>
            </w:r>
          </w:p>
        </w:tc>
        <w:tc>
          <w:tcPr>
            <w:tcW w:w="4360" w:type="dxa"/>
            <w:vAlign w:val="center"/>
          </w:tcPr>
          <w:p>
            <w:pPr>
              <w:pStyle w:val="8"/>
              <w:bidi w:val="0"/>
            </w:pPr>
            <w:r>
              <w:t>1.5 mg/m</w:t>
            </w:r>
            <w:r>
              <w:rPr>
                <w:vertAlign w:val="superscript"/>
              </w:rPr>
              <w:t>3</w:t>
            </w:r>
            <w:r>
              <w:rPr>
                <w:rFonts w:hint="eastAsia"/>
              </w:rPr>
              <w:t>（参照《恶臭污染物排放标准》）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360" w:type="dxa"/>
            <w:vAlign w:val="center"/>
          </w:tcPr>
          <w:p>
            <w:pPr>
              <w:pStyle w:val="8"/>
              <w:bidi w:val="0"/>
            </w:pPr>
            <w:r>
              <w:t>H</w:t>
            </w:r>
            <w:r>
              <w:rPr>
                <w:vertAlign w:val="subscript"/>
              </w:rPr>
              <w:t>2</w:t>
            </w:r>
            <w:r>
              <w:t>S</w:t>
            </w:r>
          </w:p>
        </w:tc>
        <w:tc>
          <w:tcPr>
            <w:tcW w:w="4360" w:type="dxa"/>
            <w:vAlign w:val="center"/>
          </w:tcPr>
          <w:p>
            <w:pPr>
              <w:pStyle w:val="8"/>
              <w:bidi w:val="0"/>
            </w:pPr>
            <w:r>
              <w:t>0.06 mg/m</w:t>
            </w:r>
            <w:r>
              <w:rPr>
                <w:vertAlign w:val="superscript"/>
              </w:rPr>
              <w:t>3</w:t>
            </w:r>
            <w:r>
              <w:rPr>
                <w:rFonts w:hint="eastAsia"/>
              </w:rPr>
              <w:t>（参照《恶臭污染物排放标准》）</w:t>
            </w:r>
          </w:p>
        </w:tc>
      </w:tr>
    </w:tbl>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8</w:t>
      </w:r>
      <w:r>
        <w:fldChar w:fldCharType="end"/>
      </w:r>
      <w:r>
        <w:rPr>
          <w:rFonts w:hint="eastAsia"/>
          <w:lang w:val="en-US" w:eastAsia="zh-CN"/>
        </w:rPr>
        <w:t xml:space="preserve">  </w:t>
      </w:r>
      <w:r>
        <w:rPr>
          <w:rFonts w:hint="eastAsia"/>
        </w:rPr>
        <w:t>饮食业油烟排放标准</w:t>
      </w:r>
    </w:p>
    <w:tbl>
      <w:tblPr>
        <w:tblStyle w:val="17"/>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3"/>
        <w:gridCol w:w="1910"/>
        <w:gridCol w:w="1798"/>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813" w:type="dxa"/>
            <w:vAlign w:val="center"/>
          </w:tcPr>
          <w:p>
            <w:pPr>
              <w:pStyle w:val="8"/>
              <w:bidi w:val="0"/>
            </w:pPr>
            <w:r>
              <w:rPr>
                <w:rFonts w:hint="eastAsia"/>
              </w:rPr>
              <w:t>规模</w:t>
            </w:r>
          </w:p>
        </w:tc>
        <w:tc>
          <w:tcPr>
            <w:tcW w:w="1910" w:type="dxa"/>
            <w:vAlign w:val="center"/>
          </w:tcPr>
          <w:p>
            <w:pPr>
              <w:pStyle w:val="8"/>
              <w:bidi w:val="0"/>
            </w:pPr>
            <w:r>
              <w:rPr>
                <w:rFonts w:hint="eastAsia"/>
              </w:rPr>
              <w:t>小型</w:t>
            </w:r>
          </w:p>
        </w:tc>
        <w:tc>
          <w:tcPr>
            <w:tcW w:w="1798" w:type="dxa"/>
            <w:vAlign w:val="center"/>
          </w:tcPr>
          <w:p>
            <w:pPr>
              <w:pStyle w:val="8"/>
              <w:bidi w:val="0"/>
            </w:pPr>
            <w:r>
              <w:rPr>
                <w:rFonts w:hint="eastAsia"/>
              </w:rPr>
              <w:t>中型</w:t>
            </w:r>
          </w:p>
        </w:tc>
        <w:tc>
          <w:tcPr>
            <w:tcW w:w="1211" w:type="dxa"/>
            <w:vAlign w:val="center"/>
          </w:tcPr>
          <w:p>
            <w:pPr>
              <w:pStyle w:val="8"/>
              <w:bidi w:val="0"/>
            </w:pPr>
            <w:r>
              <w:rPr>
                <w:rFonts w:hint="eastAsia"/>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13" w:type="dxa"/>
            <w:vAlign w:val="center"/>
          </w:tcPr>
          <w:p>
            <w:pPr>
              <w:pStyle w:val="8"/>
              <w:bidi w:val="0"/>
            </w:pPr>
            <w:r>
              <w:rPr>
                <w:rFonts w:hint="eastAsia"/>
              </w:rPr>
              <w:t>基准灶头数</w:t>
            </w:r>
          </w:p>
        </w:tc>
        <w:tc>
          <w:tcPr>
            <w:tcW w:w="1910" w:type="dxa"/>
            <w:vAlign w:val="center"/>
          </w:tcPr>
          <w:p>
            <w:pPr>
              <w:pStyle w:val="8"/>
              <w:bidi w:val="0"/>
            </w:pPr>
            <w:r>
              <w:t>≥1</w:t>
            </w:r>
            <w:r>
              <w:rPr>
                <w:rFonts w:hint="eastAsia"/>
              </w:rPr>
              <w:t>，</w:t>
            </w:r>
            <w:r>
              <w:t>&lt;3</w:t>
            </w:r>
          </w:p>
        </w:tc>
        <w:tc>
          <w:tcPr>
            <w:tcW w:w="1798" w:type="dxa"/>
            <w:vAlign w:val="center"/>
          </w:tcPr>
          <w:p>
            <w:pPr>
              <w:pStyle w:val="8"/>
              <w:bidi w:val="0"/>
            </w:pPr>
            <w:r>
              <w:t>≥3</w:t>
            </w:r>
            <w:r>
              <w:rPr>
                <w:rFonts w:hint="eastAsia"/>
              </w:rPr>
              <w:t>，</w:t>
            </w:r>
            <w:r>
              <w:t>&lt;6</w:t>
            </w:r>
          </w:p>
        </w:tc>
        <w:tc>
          <w:tcPr>
            <w:tcW w:w="1211" w:type="dxa"/>
            <w:vAlign w:val="center"/>
          </w:tcPr>
          <w:p>
            <w:pPr>
              <w:pStyle w:val="8"/>
              <w:bidi w:val="0"/>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813" w:type="dxa"/>
            <w:vAlign w:val="center"/>
          </w:tcPr>
          <w:p>
            <w:pPr>
              <w:pStyle w:val="8"/>
              <w:bidi w:val="0"/>
            </w:pPr>
            <w:r>
              <w:rPr>
                <w:rFonts w:hint="eastAsia"/>
              </w:rPr>
              <w:t>对应灶头总功率（</w:t>
            </w:r>
            <w:r>
              <w:t>108J/h</w:t>
            </w:r>
            <w:r>
              <w:rPr>
                <w:rFonts w:hint="eastAsia"/>
              </w:rPr>
              <w:t>）</w:t>
            </w:r>
          </w:p>
        </w:tc>
        <w:tc>
          <w:tcPr>
            <w:tcW w:w="1910" w:type="dxa"/>
            <w:vAlign w:val="center"/>
          </w:tcPr>
          <w:p>
            <w:pPr>
              <w:pStyle w:val="8"/>
              <w:bidi w:val="0"/>
            </w:pPr>
            <w:r>
              <w:t>≥1.67</w:t>
            </w:r>
            <w:r>
              <w:rPr>
                <w:rFonts w:hint="eastAsia"/>
              </w:rPr>
              <w:t>，</w:t>
            </w:r>
            <w:r>
              <w:t>&lt;5.00</w:t>
            </w:r>
          </w:p>
        </w:tc>
        <w:tc>
          <w:tcPr>
            <w:tcW w:w="1798" w:type="dxa"/>
            <w:vAlign w:val="center"/>
          </w:tcPr>
          <w:p>
            <w:pPr>
              <w:pStyle w:val="8"/>
              <w:bidi w:val="0"/>
            </w:pPr>
            <w:r>
              <w:t>≥5.00</w:t>
            </w:r>
            <w:r>
              <w:rPr>
                <w:rFonts w:hint="eastAsia"/>
              </w:rPr>
              <w:t>，</w:t>
            </w:r>
            <w:r>
              <w:t>&lt;10</w:t>
            </w:r>
          </w:p>
        </w:tc>
        <w:tc>
          <w:tcPr>
            <w:tcW w:w="1211" w:type="dxa"/>
            <w:vAlign w:val="center"/>
          </w:tcPr>
          <w:p>
            <w:pPr>
              <w:pStyle w:val="8"/>
              <w:bidi w:val="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813" w:type="dxa"/>
            <w:vAlign w:val="center"/>
          </w:tcPr>
          <w:p>
            <w:pPr>
              <w:pStyle w:val="8"/>
              <w:bidi w:val="0"/>
            </w:pPr>
            <w:r>
              <w:rPr>
                <w:rFonts w:hint="eastAsia"/>
              </w:rPr>
              <w:t>最高允许排放浓度（</w:t>
            </w:r>
            <w:r>
              <w:t>mg/m</w:t>
            </w:r>
            <w:r>
              <w:rPr>
                <w:vertAlign w:val="superscript"/>
              </w:rPr>
              <w:t>3</w:t>
            </w:r>
            <w:r>
              <w:rPr>
                <w:rFonts w:hint="eastAsia"/>
              </w:rPr>
              <w:t>）</w:t>
            </w:r>
          </w:p>
        </w:tc>
        <w:tc>
          <w:tcPr>
            <w:tcW w:w="4919" w:type="dxa"/>
            <w:gridSpan w:val="3"/>
            <w:vAlign w:val="center"/>
          </w:tcPr>
          <w:p>
            <w:pPr>
              <w:pStyle w:val="8"/>
              <w:bidi w:val="0"/>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813" w:type="dxa"/>
            <w:vAlign w:val="center"/>
          </w:tcPr>
          <w:p>
            <w:pPr>
              <w:pStyle w:val="8"/>
              <w:bidi w:val="0"/>
            </w:pPr>
            <w:r>
              <w:rPr>
                <w:rFonts w:hint="eastAsia"/>
              </w:rPr>
              <w:t>净化设备最低去除率（</w:t>
            </w:r>
            <w:r>
              <w:t>%</w:t>
            </w:r>
            <w:r>
              <w:rPr>
                <w:rFonts w:hint="eastAsia"/>
              </w:rPr>
              <w:t>）</w:t>
            </w:r>
          </w:p>
        </w:tc>
        <w:tc>
          <w:tcPr>
            <w:tcW w:w="1910" w:type="dxa"/>
            <w:vAlign w:val="center"/>
          </w:tcPr>
          <w:p>
            <w:pPr>
              <w:pStyle w:val="8"/>
              <w:bidi w:val="0"/>
            </w:pPr>
            <w:r>
              <w:t>60</w:t>
            </w:r>
          </w:p>
        </w:tc>
        <w:tc>
          <w:tcPr>
            <w:tcW w:w="1798" w:type="dxa"/>
            <w:vAlign w:val="center"/>
          </w:tcPr>
          <w:p>
            <w:pPr>
              <w:pStyle w:val="8"/>
              <w:bidi w:val="0"/>
            </w:pPr>
            <w:r>
              <w:t>75</w:t>
            </w:r>
          </w:p>
        </w:tc>
        <w:tc>
          <w:tcPr>
            <w:tcW w:w="1211" w:type="dxa"/>
            <w:vAlign w:val="center"/>
          </w:tcPr>
          <w:p>
            <w:pPr>
              <w:pStyle w:val="8"/>
              <w:bidi w:val="0"/>
            </w:pPr>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 w:hRule="atLeast"/>
          <w:jc w:val="center"/>
        </w:trPr>
        <w:tc>
          <w:tcPr>
            <w:tcW w:w="3813" w:type="dxa"/>
            <w:vAlign w:val="center"/>
          </w:tcPr>
          <w:p>
            <w:pPr>
              <w:pStyle w:val="8"/>
              <w:bidi w:val="0"/>
            </w:pPr>
            <w:r>
              <w:rPr>
                <w:rFonts w:hint="eastAsia"/>
              </w:rPr>
              <w:t>备注</w:t>
            </w:r>
          </w:p>
        </w:tc>
        <w:tc>
          <w:tcPr>
            <w:tcW w:w="4919" w:type="dxa"/>
            <w:gridSpan w:val="3"/>
            <w:vAlign w:val="center"/>
          </w:tcPr>
          <w:p>
            <w:pPr>
              <w:pStyle w:val="8"/>
              <w:bidi w:val="0"/>
            </w:pPr>
            <w:r>
              <w:rPr>
                <w:rFonts w:hint="eastAsia"/>
              </w:rPr>
              <w:t>单个灶头基准排风量：大、中、小型均为</w:t>
            </w:r>
            <w:r>
              <w:t>2000m</w:t>
            </w:r>
            <w:r>
              <w:rPr>
                <w:vertAlign w:val="superscript"/>
              </w:rPr>
              <w:t>3</w:t>
            </w:r>
            <w:r>
              <w:t>/h</w:t>
            </w:r>
            <w:r>
              <w:rPr>
                <w:rFonts w:hint="eastAsia"/>
              </w:rPr>
              <w:t>。</w:t>
            </w:r>
          </w:p>
        </w:tc>
      </w:tr>
    </w:tbl>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9</w:t>
      </w:r>
      <w:r>
        <w:fldChar w:fldCharType="end"/>
      </w:r>
      <w:r>
        <w:rPr>
          <w:rFonts w:hint="eastAsia"/>
          <w:lang w:val="en-US" w:eastAsia="zh-CN"/>
        </w:rPr>
        <w:t xml:space="preserve">  </w:t>
      </w:r>
      <w:r>
        <w:t>大气污染物</w:t>
      </w:r>
      <w:r>
        <w:rPr>
          <w:rFonts w:hint="eastAsia"/>
          <w:lang w:eastAsia="zh-CN"/>
        </w:rPr>
        <w:t>综合</w:t>
      </w:r>
      <w:r>
        <w:t>排放标准</w:t>
      </w:r>
    </w:p>
    <w:tbl>
      <w:tblPr>
        <w:tblStyle w:val="17"/>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7"/>
        <w:gridCol w:w="5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517" w:type="dxa"/>
            <w:vAlign w:val="center"/>
          </w:tcPr>
          <w:p>
            <w:pPr>
              <w:pStyle w:val="8"/>
              <w:bidi w:val="0"/>
            </w:pPr>
            <w:r>
              <w:rPr>
                <w:rFonts w:hint="eastAsia"/>
              </w:rPr>
              <w:t>污染物</w:t>
            </w:r>
          </w:p>
        </w:tc>
        <w:tc>
          <w:tcPr>
            <w:tcW w:w="5562" w:type="dxa"/>
            <w:vAlign w:val="center"/>
          </w:tcPr>
          <w:p>
            <w:pPr>
              <w:pStyle w:val="8"/>
              <w:bidi w:val="0"/>
            </w:pPr>
            <w:r>
              <w:rPr>
                <w:rFonts w:hint="eastAsia"/>
              </w:rPr>
              <w:t>排放标准（</w:t>
            </w:r>
            <w:r>
              <w:t>mg/m</w:t>
            </w:r>
            <w:r>
              <w:rPr>
                <w:vertAlign w:val="superscript"/>
              </w:rPr>
              <w:t>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517" w:type="dxa"/>
            <w:vAlign w:val="center"/>
          </w:tcPr>
          <w:p>
            <w:pPr>
              <w:pStyle w:val="8"/>
              <w:bidi w:val="0"/>
            </w:pPr>
            <w:r>
              <w:rPr>
                <w:rFonts w:hint="eastAsia"/>
              </w:rPr>
              <w:t>二氧化硫</w:t>
            </w:r>
          </w:p>
        </w:tc>
        <w:tc>
          <w:tcPr>
            <w:tcW w:w="5562" w:type="dxa"/>
            <w:vAlign w:val="center"/>
          </w:tcPr>
          <w:p>
            <w:pPr>
              <w:pStyle w:val="8"/>
              <w:bidi w:val="0"/>
              <w:rPr>
                <w:rFonts w:hint="default" w:eastAsiaTheme="minorEastAsia"/>
                <w:lang w:val="en-US" w:eastAsia="zh-CN"/>
              </w:rPr>
            </w:pPr>
            <w:r>
              <w:rPr>
                <w:rFonts w:hint="eastAsia"/>
                <w:lang w:val="en-US" w:eastAsia="zh-CN"/>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517" w:type="dxa"/>
            <w:vAlign w:val="center"/>
          </w:tcPr>
          <w:p>
            <w:pPr>
              <w:pStyle w:val="8"/>
              <w:bidi w:val="0"/>
            </w:pPr>
            <w:r>
              <w:rPr>
                <w:rFonts w:hint="eastAsia"/>
              </w:rPr>
              <w:t>氮氧化物</w:t>
            </w:r>
          </w:p>
        </w:tc>
        <w:tc>
          <w:tcPr>
            <w:tcW w:w="5562" w:type="dxa"/>
            <w:vAlign w:val="center"/>
          </w:tcPr>
          <w:p>
            <w:pPr>
              <w:pStyle w:val="8"/>
              <w:bidi w:val="0"/>
              <w:rPr>
                <w:rFonts w:hint="default" w:eastAsiaTheme="minorEastAsia"/>
                <w:lang w:val="en-US" w:eastAsia="zh-CN"/>
              </w:rPr>
            </w:pPr>
            <w:r>
              <w:rPr>
                <w:rFonts w:hint="eastAsia"/>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517" w:type="dxa"/>
            <w:vAlign w:val="center"/>
          </w:tcPr>
          <w:p>
            <w:pPr>
              <w:pStyle w:val="8"/>
              <w:bidi w:val="0"/>
              <w:rPr>
                <w:rFonts w:hint="eastAsia" w:eastAsiaTheme="minorEastAsia"/>
                <w:lang w:eastAsia="zh-CN"/>
              </w:rPr>
            </w:pPr>
            <w:r>
              <w:rPr>
                <w:rFonts w:hint="eastAsia"/>
              </w:rPr>
              <w:t>烟</w:t>
            </w:r>
            <w:r>
              <w:rPr>
                <w:rFonts w:hint="eastAsia"/>
                <w:lang w:eastAsia="zh-CN"/>
              </w:rPr>
              <w:t>尘</w:t>
            </w:r>
          </w:p>
        </w:tc>
        <w:tc>
          <w:tcPr>
            <w:tcW w:w="5562" w:type="dxa"/>
            <w:vAlign w:val="center"/>
          </w:tcPr>
          <w:p>
            <w:pPr>
              <w:pStyle w:val="8"/>
              <w:bidi w:val="0"/>
              <w:rPr>
                <w:rFonts w:hint="default" w:eastAsiaTheme="minorEastAsia"/>
                <w:lang w:val="en-US" w:eastAsia="zh-CN"/>
              </w:rPr>
            </w:pPr>
            <w:r>
              <w:rPr>
                <w:rFonts w:hint="eastAsia"/>
                <w:lang w:val="en-US" w:eastAsia="zh-CN"/>
              </w:rPr>
              <w:t>120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w:t>
      </w:r>
      <w:r>
        <w:t>2</w:t>
      </w:r>
      <w:r>
        <w:rPr>
          <w:rFonts w:hint="eastAsia"/>
        </w:rPr>
        <w:t>）废水</w:t>
      </w:r>
    </w:p>
    <w:p>
      <w:pPr>
        <w:rPr>
          <w:rFonts w:hint="eastAsia"/>
        </w:rPr>
      </w:pPr>
      <w:r>
        <w:rPr>
          <w:rFonts w:hint="eastAsia"/>
        </w:rPr>
        <w:t>项目设有</w:t>
      </w:r>
      <w:r>
        <w:rPr>
          <w:rFonts w:hint="eastAsia"/>
          <w:lang w:eastAsia="zh-CN"/>
        </w:rPr>
        <w:t>厌氧发酵</w:t>
      </w:r>
      <w:r>
        <w:rPr>
          <w:rFonts w:hint="eastAsia"/>
          <w:lang w:val="en-US" w:eastAsia="zh-CN"/>
        </w:rPr>
        <w:t>+AO组合池废水处理</w:t>
      </w:r>
      <w:r>
        <w:rPr>
          <w:rFonts w:hint="eastAsia"/>
        </w:rPr>
        <w:t>系统</w:t>
      </w:r>
      <w:r>
        <w:rPr>
          <w:rFonts w:hint="eastAsia"/>
          <w:lang w:eastAsia="zh-CN"/>
        </w:rPr>
        <w:t>，</w:t>
      </w:r>
      <w:r>
        <w:rPr>
          <w:rFonts w:hint="eastAsia"/>
        </w:rPr>
        <w:t>生产、生活废水经</w:t>
      </w:r>
      <w:r>
        <w:rPr>
          <w:rFonts w:hint="eastAsia"/>
          <w:lang w:val="en-US" w:eastAsia="zh-CN"/>
        </w:rPr>
        <w:t>处理后</w:t>
      </w:r>
      <w:r>
        <w:rPr>
          <w:rFonts w:hint="eastAsia"/>
        </w:rPr>
        <w:t>后，沼液</w:t>
      </w:r>
      <w:r>
        <w:rPr>
          <w:rFonts w:hint="eastAsia"/>
          <w:lang w:eastAsia="zh-CN"/>
        </w:rPr>
        <w:t>罐车</w:t>
      </w:r>
      <w:r>
        <w:rPr>
          <w:rFonts w:hint="eastAsia"/>
        </w:rPr>
        <w:t>输送用于农肥，项目废水不外排地表水体。</w:t>
      </w:r>
    </w:p>
    <w:p>
      <w:r>
        <w:rPr>
          <w:rFonts w:hint="eastAsia"/>
        </w:rPr>
        <w:t>（</w:t>
      </w:r>
      <w:r>
        <w:t>3</w:t>
      </w:r>
      <w:r>
        <w:rPr>
          <w:rFonts w:hint="eastAsia"/>
        </w:rPr>
        <w:t>）噪声</w:t>
      </w:r>
    </w:p>
    <w:p>
      <w:r>
        <w:rPr>
          <w:rFonts w:hint="eastAsia"/>
          <w:lang w:eastAsia="zh-CN"/>
        </w:rPr>
        <w:t>项目</w:t>
      </w:r>
      <w:r>
        <w:rPr>
          <w:rFonts w:hint="eastAsia"/>
        </w:rPr>
        <w:t>施工期噪声执行《建筑施工场界环境噪声排放标准》（</w:t>
      </w:r>
      <w:r>
        <w:t>GB12523-2011</w:t>
      </w:r>
      <w:r>
        <w:rPr>
          <w:rFonts w:hint="eastAsia"/>
        </w:rPr>
        <w:t>）中标准，运期场界噪声执行《工业企业厂界环境噪声排放标准》</w:t>
      </w:r>
      <w:r>
        <w:t>(GB12348-2008)</w:t>
      </w:r>
      <w:r>
        <w:rPr>
          <w:rFonts w:hint="eastAsia"/>
        </w:rPr>
        <w:t>中</w:t>
      </w:r>
      <w:r>
        <w:t>2</w:t>
      </w:r>
      <w:r>
        <w:rPr>
          <w:rFonts w:hint="eastAsia"/>
        </w:rPr>
        <w:t>类标准，具体见下表。</w:t>
      </w:r>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10</w:t>
      </w:r>
      <w:r>
        <w:fldChar w:fldCharType="end"/>
      </w:r>
      <w:r>
        <w:rPr>
          <w:rFonts w:hint="eastAsia"/>
          <w:lang w:val="en-US" w:eastAsia="zh-CN"/>
        </w:rPr>
        <w:t xml:space="preserve">  </w:t>
      </w:r>
      <w:r>
        <w:rPr>
          <w:rFonts w:hint="eastAsia"/>
        </w:rPr>
        <w:t>建筑施工场界环境噪声排放限值单位：</w:t>
      </w:r>
      <w:r>
        <w:t>dB</w:t>
      </w:r>
      <w:r>
        <w:rPr>
          <w:rFonts w:hint="eastAsia"/>
        </w:rPr>
        <w:t>（</w:t>
      </w:r>
      <w:r>
        <w:t>A</w:t>
      </w:r>
      <w:r>
        <w:rPr>
          <w:rFonts w:hint="eastAsia"/>
        </w:rPr>
        <w:t>）</w:t>
      </w:r>
    </w:p>
    <w:tbl>
      <w:tblPr>
        <w:tblStyle w:val="17"/>
        <w:tblW w:w="8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6"/>
        <w:gridCol w:w="4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426" w:type="dxa"/>
            <w:vAlign w:val="center"/>
          </w:tcPr>
          <w:p>
            <w:pPr>
              <w:pStyle w:val="8"/>
              <w:bidi w:val="0"/>
            </w:pPr>
            <w:r>
              <w:rPr>
                <w:rFonts w:hint="eastAsia"/>
              </w:rPr>
              <w:t>昼间</w:t>
            </w:r>
          </w:p>
        </w:tc>
        <w:tc>
          <w:tcPr>
            <w:tcW w:w="4302" w:type="dxa"/>
            <w:vAlign w:val="center"/>
          </w:tcPr>
          <w:p>
            <w:pPr>
              <w:pStyle w:val="8"/>
              <w:bidi w:val="0"/>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426" w:type="dxa"/>
            <w:vAlign w:val="center"/>
          </w:tcPr>
          <w:p>
            <w:pPr>
              <w:pStyle w:val="8"/>
              <w:bidi w:val="0"/>
            </w:pPr>
            <w:r>
              <w:t>70</w:t>
            </w:r>
          </w:p>
        </w:tc>
        <w:tc>
          <w:tcPr>
            <w:tcW w:w="4302" w:type="dxa"/>
            <w:vAlign w:val="center"/>
          </w:tcPr>
          <w:p>
            <w:pPr>
              <w:pStyle w:val="8"/>
              <w:bidi w:val="0"/>
            </w:pPr>
            <w:r>
              <w:t>55</w:t>
            </w:r>
          </w:p>
        </w:tc>
      </w:tr>
    </w:tbl>
    <w:p>
      <w:pPr>
        <w:pStyle w:val="11"/>
      </w:pPr>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11</w:t>
      </w:r>
      <w:r>
        <w:fldChar w:fldCharType="end"/>
      </w:r>
      <w:r>
        <w:rPr>
          <w:rFonts w:hint="eastAsia"/>
          <w:lang w:val="en-US" w:eastAsia="zh-CN"/>
        </w:rPr>
        <w:t xml:space="preserve">  </w:t>
      </w:r>
      <w:r>
        <w:rPr>
          <w:rFonts w:hint="eastAsia"/>
        </w:rPr>
        <w:t>工业企业场界环境噪声排放标准单位：</w:t>
      </w:r>
      <w:r>
        <w:t>dB</w:t>
      </w:r>
      <w:r>
        <w:rPr>
          <w:rFonts w:hint="eastAsia"/>
        </w:rPr>
        <w:t>（</w:t>
      </w:r>
      <w:r>
        <w:t>A</w:t>
      </w:r>
      <w:r>
        <w:rPr>
          <w:rFonts w:hint="eastAsia"/>
        </w:rPr>
        <w:t>）</w:t>
      </w:r>
    </w:p>
    <w:tbl>
      <w:tblPr>
        <w:tblStyle w:val="17"/>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1"/>
        <w:gridCol w:w="2911"/>
        <w:gridCol w:w="2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911" w:type="dxa"/>
            <w:vAlign w:val="center"/>
          </w:tcPr>
          <w:p>
            <w:pPr>
              <w:pStyle w:val="8"/>
              <w:bidi w:val="0"/>
            </w:pPr>
            <w:r>
              <w:rPr>
                <w:rFonts w:hint="eastAsia"/>
              </w:rPr>
              <w:t>类别</w:t>
            </w:r>
          </w:p>
        </w:tc>
        <w:tc>
          <w:tcPr>
            <w:tcW w:w="2911" w:type="dxa"/>
            <w:vAlign w:val="center"/>
          </w:tcPr>
          <w:p>
            <w:pPr>
              <w:pStyle w:val="8"/>
              <w:bidi w:val="0"/>
            </w:pPr>
            <w:r>
              <w:rPr>
                <w:rFonts w:hint="eastAsia"/>
              </w:rPr>
              <w:t>昼间</w:t>
            </w:r>
          </w:p>
        </w:tc>
        <w:tc>
          <w:tcPr>
            <w:tcW w:w="2909" w:type="dxa"/>
            <w:vAlign w:val="center"/>
          </w:tcPr>
          <w:p>
            <w:pPr>
              <w:pStyle w:val="8"/>
              <w:bidi w:val="0"/>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2911" w:type="dxa"/>
            <w:vAlign w:val="center"/>
          </w:tcPr>
          <w:p>
            <w:pPr>
              <w:pStyle w:val="8"/>
              <w:bidi w:val="0"/>
            </w:pPr>
            <w:r>
              <w:t>2</w:t>
            </w:r>
            <w:r>
              <w:rPr>
                <w:rFonts w:hint="eastAsia"/>
              </w:rPr>
              <w:t>类</w:t>
            </w:r>
          </w:p>
        </w:tc>
        <w:tc>
          <w:tcPr>
            <w:tcW w:w="2911" w:type="dxa"/>
            <w:vAlign w:val="center"/>
          </w:tcPr>
          <w:p>
            <w:pPr>
              <w:pStyle w:val="8"/>
              <w:bidi w:val="0"/>
            </w:pPr>
            <w:r>
              <w:t>60</w:t>
            </w:r>
          </w:p>
        </w:tc>
        <w:tc>
          <w:tcPr>
            <w:tcW w:w="2909" w:type="dxa"/>
            <w:vAlign w:val="center"/>
          </w:tcPr>
          <w:p>
            <w:pPr>
              <w:pStyle w:val="8"/>
              <w:bidi w:val="0"/>
            </w:pPr>
            <w:r>
              <w:t>50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w:t>
      </w:r>
      <w:r>
        <w:t>4</w:t>
      </w:r>
      <w:r>
        <w:rPr>
          <w:rFonts w:hint="eastAsia"/>
        </w:rPr>
        <w:t>）固体废物</w:t>
      </w:r>
    </w:p>
    <w:p>
      <w:r>
        <w:rPr>
          <w:rFonts w:hint="eastAsia"/>
          <w:lang w:eastAsia="zh-CN"/>
        </w:rPr>
        <w:t>项目</w:t>
      </w:r>
      <w:r>
        <w:rPr>
          <w:rFonts w:hint="eastAsia"/>
        </w:rPr>
        <w:t>必须设置废渣的固定储存设施和场所，储存场所要有防止粪便渗漏、溢流措施，其废渣执行《畜禽养殖业污染物排放标准》</w:t>
      </w:r>
      <w:r>
        <w:t>(GB18595-2001)</w:t>
      </w:r>
      <w:r>
        <w:rPr>
          <w:rFonts w:hint="eastAsia"/>
        </w:rPr>
        <w:t>中的废渣无害化标准，具体指标见表</w:t>
      </w:r>
      <w:r>
        <w:rPr>
          <w:rFonts w:hint="eastAsia"/>
          <w:lang w:val="en-US" w:eastAsia="zh-CN"/>
        </w:rPr>
        <w:t>1.3</w:t>
      </w:r>
      <w:r>
        <w:t>-1</w:t>
      </w:r>
      <w:r>
        <w:rPr>
          <w:rFonts w:hint="eastAsia"/>
          <w:lang w:val="en-US" w:eastAsia="zh-CN"/>
        </w:rPr>
        <w:t>2</w:t>
      </w:r>
      <w:r>
        <w:t>。</w:t>
      </w:r>
    </w:p>
    <w:p>
      <w:pPr>
        <w:pStyle w:val="11"/>
        <w:rPr>
          <w:rFonts w:hint="default" w:eastAsiaTheme="minorEastAsia"/>
          <w:lang w:val="en-US" w:eastAsia="zh-CN"/>
        </w:rPr>
      </w:pPr>
      <w:r>
        <w:t xml:space="preserve">表1.3- </w:t>
      </w:r>
      <w:r>
        <w:fldChar w:fldCharType="begin"/>
      </w:r>
      <w:r>
        <w:instrText xml:space="preserve"> SEQ 表1.3- \* ARABIC </w:instrText>
      </w:r>
      <w:r>
        <w:fldChar w:fldCharType="separate"/>
      </w:r>
      <w:r>
        <w:t>12</w:t>
      </w:r>
      <w:r>
        <w:fldChar w:fldCharType="end"/>
      </w:r>
      <w:r>
        <w:rPr>
          <w:rFonts w:hint="eastAsia"/>
          <w:lang w:val="en-US" w:eastAsia="zh-CN"/>
        </w:rPr>
        <w:t xml:space="preserve">   </w:t>
      </w:r>
      <w:r>
        <w:rPr>
          <w:rFonts w:hint="eastAsia"/>
        </w:rPr>
        <w:t>畜禽养殖业废渣无害化环境标准</w:t>
      </w:r>
    </w:p>
    <w:tbl>
      <w:tblPr>
        <w:tblStyle w:val="17"/>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3"/>
        <w:gridCol w:w="4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303" w:type="dxa"/>
            <w:vAlign w:val="center"/>
          </w:tcPr>
          <w:p>
            <w:pPr>
              <w:pStyle w:val="8"/>
              <w:bidi w:val="0"/>
            </w:pPr>
            <w:r>
              <w:rPr>
                <w:rFonts w:hint="eastAsia"/>
              </w:rPr>
              <w:t>控制项目</w:t>
            </w:r>
          </w:p>
        </w:tc>
        <w:tc>
          <w:tcPr>
            <w:tcW w:w="4476" w:type="dxa"/>
            <w:vAlign w:val="center"/>
          </w:tcPr>
          <w:p>
            <w:pPr>
              <w:pStyle w:val="8"/>
              <w:bidi w:val="0"/>
            </w:pPr>
            <w:r>
              <w:rPr>
                <w:rFonts w:hint="eastAsia"/>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303" w:type="dxa"/>
            <w:vAlign w:val="center"/>
          </w:tcPr>
          <w:p>
            <w:pPr>
              <w:pStyle w:val="8"/>
              <w:bidi w:val="0"/>
            </w:pPr>
            <w:r>
              <w:rPr>
                <w:rFonts w:hint="eastAsia"/>
              </w:rPr>
              <w:t>粪大肠菌群数</w:t>
            </w:r>
          </w:p>
        </w:tc>
        <w:tc>
          <w:tcPr>
            <w:tcW w:w="4476" w:type="dxa"/>
            <w:vAlign w:val="center"/>
          </w:tcPr>
          <w:p>
            <w:pPr>
              <w:pStyle w:val="8"/>
              <w:bidi w:val="0"/>
            </w:pPr>
            <w:r>
              <w:t>≤105</w:t>
            </w:r>
            <w:r>
              <w:rPr>
                <w:rFonts w:hint="eastAsia"/>
              </w:rPr>
              <w:t>个</w:t>
            </w:r>
            <w:r>
              <w:t>/</w:t>
            </w:r>
            <w:r>
              <w:rPr>
                <w:rFonts w:hint="eastAsia"/>
              </w:rPr>
              <w:t>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303" w:type="dxa"/>
            <w:vAlign w:val="center"/>
          </w:tcPr>
          <w:p>
            <w:pPr>
              <w:pStyle w:val="8"/>
              <w:bidi w:val="0"/>
            </w:pPr>
            <w:r>
              <w:rPr>
                <w:rFonts w:hint="eastAsia"/>
              </w:rPr>
              <w:t>蛔虫卵</w:t>
            </w:r>
          </w:p>
        </w:tc>
        <w:tc>
          <w:tcPr>
            <w:tcW w:w="4476" w:type="dxa"/>
            <w:vAlign w:val="center"/>
          </w:tcPr>
          <w:p>
            <w:pPr>
              <w:pStyle w:val="8"/>
              <w:bidi w:val="0"/>
            </w:pPr>
            <w:r>
              <w:rPr>
                <w:rFonts w:hint="eastAsia"/>
              </w:rPr>
              <w:t>死亡率</w:t>
            </w:r>
            <w:r>
              <w:t>≥95%</w:t>
            </w:r>
          </w:p>
        </w:tc>
      </w:tr>
    </w:tbl>
    <w:p>
      <w:r>
        <w:rPr>
          <w:rFonts w:hint="eastAsia"/>
        </w:rPr>
        <w:t xml:space="preserve"> 病死猪处理执行《病害动物和病害动物产品生物安全处理规程》（</w:t>
      </w:r>
      <w:r>
        <w:t>GB16548-2006</w:t>
      </w:r>
      <w:r>
        <w:rPr>
          <w:rFonts w:hint="eastAsia"/>
        </w:rPr>
        <w:t>），同理满足《畜禽养殖业污染防治技术规范》（</w:t>
      </w:r>
      <w:r>
        <w:t>HJ/T8-2001</w:t>
      </w:r>
      <w:r>
        <w:rPr>
          <w:rFonts w:hint="eastAsia"/>
        </w:rPr>
        <w:t>）中的相关要求；粪便处理执行</w:t>
      </w:r>
      <w:r>
        <w:rPr>
          <w:rFonts w:hint="default" w:ascii="Times New Roman" w:hAnsi="Times New Roman" w:eastAsia="宋体" w:cs="Times New Roman"/>
          <w:sz w:val="24"/>
          <w:szCs w:val="32"/>
          <w:lang w:val="en-US" w:eastAsia="zh-CN"/>
        </w:rPr>
        <w:t>《</w:t>
      </w:r>
      <w:r>
        <w:rPr>
          <w:rFonts w:hint="eastAsia" w:ascii="Times New Roman" w:hAnsi="Times New Roman" w:eastAsia="宋体" w:cs="Times New Roman"/>
          <w:sz w:val="24"/>
          <w:szCs w:val="32"/>
          <w:lang w:val="en-US" w:eastAsia="zh-CN"/>
        </w:rPr>
        <w:t>畜禽养殖业污染物排放标准</w:t>
      </w:r>
      <w:r>
        <w:rPr>
          <w:rFonts w:hint="default" w:ascii="Times New Roman" w:hAnsi="Times New Roman" w:eastAsia="宋体" w:cs="Times New Roman"/>
          <w:sz w:val="24"/>
          <w:szCs w:val="32"/>
          <w:lang w:val="en-US" w:eastAsia="zh-CN"/>
        </w:rPr>
        <w:t>》（GB</w:t>
      </w:r>
      <w:r>
        <w:rPr>
          <w:rFonts w:hint="eastAsia" w:ascii="Times New Roman" w:hAnsi="Times New Roman" w:eastAsia="宋体" w:cs="Times New Roman"/>
          <w:sz w:val="24"/>
          <w:szCs w:val="32"/>
          <w:lang w:val="en-US" w:eastAsia="zh-CN"/>
        </w:rPr>
        <w:t>18596</w:t>
      </w:r>
      <w:r>
        <w:rPr>
          <w:rFonts w:hint="default" w:ascii="Times New Roman" w:hAnsi="Times New Roman" w:eastAsia="宋体" w:cs="Times New Roman"/>
          <w:sz w:val="24"/>
          <w:szCs w:val="32"/>
          <w:lang w:val="en-US" w:eastAsia="zh-CN"/>
        </w:rPr>
        <w:t>-</w:t>
      </w:r>
      <w:r>
        <w:rPr>
          <w:rFonts w:hint="eastAsia" w:ascii="Times New Roman" w:hAnsi="Times New Roman" w:eastAsia="宋体" w:cs="Times New Roman"/>
          <w:sz w:val="24"/>
          <w:szCs w:val="32"/>
          <w:lang w:val="en-US" w:eastAsia="zh-CN"/>
        </w:rPr>
        <w:t>2001</w:t>
      </w:r>
      <w:r>
        <w:rPr>
          <w:rFonts w:hint="default" w:ascii="Times New Roman" w:hAnsi="Times New Roman" w:eastAsia="宋体" w:cs="Times New Roman"/>
          <w:sz w:val="24"/>
          <w:szCs w:val="32"/>
          <w:lang w:val="en-US" w:eastAsia="zh-CN"/>
        </w:rPr>
        <w:t>）</w:t>
      </w:r>
      <w:r>
        <w:rPr>
          <w:rFonts w:hint="eastAsia"/>
        </w:rPr>
        <w:t>；</w:t>
      </w:r>
      <w:bookmarkStart w:id="102" w:name="_Toc289344518"/>
      <w:bookmarkStart w:id="103" w:name="_Toc287083441"/>
      <w:bookmarkStart w:id="104" w:name="_Toc266887655"/>
      <w:bookmarkStart w:id="105" w:name="_Toc219258499"/>
      <w:bookmarkStart w:id="106" w:name="_Toc249433216"/>
      <w:bookmarkStart w:id="107" w:name="_Toc220122773"/>
      <w:r>
        <w:rPr>
          <w:rFonts w:hint="eastAsia"/>
        </w:rPr>
        <w:t>生活垃圾执行《生活垃圾</w:t>
      </w:r>
      <w:r>
        <w:rPr>
          <w:rFonts w:hint="eastAsia"/>
          <w:lang w:eastAsia="zh-CN"/>
        </w:rPr>
        <w:t>焚烧</w:t>
      </w:r>
      <w:r>
        <w:rPr>
          <w:rFonts w:hint="eastAsia"/>
        </w:rPr>
        <w:t>污染物控制标准》（GB</w:t>
      </w:r>
      <w:r>
        <w:rPr>
          <w:rFonts w:hint="eastAsia"/>
          <w:lang w:val="en-US" w:eastAsia="zh-CN"/>
        </w:rPr>
        <w:t>18485</w:t>
      </w:r>
      <w:r>
        <w:rPr>
          <w:rFonts w:hint="eastAsia"/>
        </w:rPr>
        <w:t>-20</w:t>
      </w:r>
      <w:r>
        <w:rPr>
          <w:rFonts w:hint="eastAsia"/>
          <w:lang w:val="en-US" w:eastAsia="zh-CN"/>
        </w:rPr>
        <w:t>14</w:t>
      </w:r>
      <w:r>
        <w:rPr>
          <w:rFonts w:hint="eastAsia"/>
        </w:rPr>
        <w:t>）；其它固体废物处置执行《一般工业固体废物贮存、处置场污染控制标准》</w:t>
      </w:r>
      <w:r>
        <w:t>GB18599-2001</w:t>
      </w:r>
      <w:r>
        <w:rPr>
          <w:rFonts w:hint="eastAsia"/>
        </w:rPr>
        <w:t>及</w:t>
      </w:r>
      <w:r>
        <w:t>2013</w:t>
      </w:r>
      <w:r>
        <w:rPr>
          <w:rFonts w:hint="eastAsia"/>
        </w:rPr>
        <w:t>年修改单。医疗废物执行《危险废物贮存污染控制标准》（</w:t>
      </w:r>
      <w:r>
        <w:t>GB18597-2001</w:t>
      </w:r>
      <w:r>
        <w:rPr>
          <w:rFonts w:hint="eastAsia"/>
        </w:rPr>
        <w:t>）及</w:t>
      </w:r>
      <w:r>
        <w:t>2013</w:t>
      </w:r>
      <w:r>
        <w:rPr>
          <w:rFonts w:hint="eastAsia"/>
        </w:rPr>
        <w:t>年修改单。</w:t>
      </w:r>
    </w:p>
    <w:bookmarkEnd w:id="102"/>
    <w:bookmarkEnd w:id="103"/>
    <w:bookmarkEnd w:id="104"/>
    <w:p>
      <w:pPr>
        <w:pStyle w:val="4"/>
        <w:bidi w:val="0"/>
      </w:pPr>
      <w:bookmarkStart w:id="108" w:name="_Toc468689110"/>
      <w:bookmarkStart w:id="109" w:name="_Toc24891"/>
      <w:bookmarkStart w:id="110" w:name="_Toc289344519"/>
      <w:r>
        <w:rPr>
          <w:rFonts w:hint="eastAsia"/>
        </w:rPr>
        <w:t>评价工作等级</w:t>
      </w:r>
      <w:bookmarkEnd w:id="105"/>
      <w:r>
        <w:rPr>
          <w:rFonts w:hint="eastAsia"/>
        </w:rPr>
        <w:t>及评价范围</w:t>
      </w:r>
      <w:bookmarkEnd w:id="106"/>
      <w:bookmarkEnd w:id="107"/>
      <w:bookmarkEnd w:id="108"/>
      <w:bookmarkEnd w:id="109"/>
      <w:bookmarkEnd w:id="110"/>
    </w:p>
    <w:p>
      <w:pPr>
        <w:pStyle w:val="5"/>
        <w:bidi w:val="0"/>
      </w:pPr>
      <w:bookmarkStart w:id="111" w:name="_Toc207600090"/>
      <w:bookmarkStart w:id="112" w:name="_Toc468689111"/>
      <w:bookmarkStart w:id="113" w:name="_Toc197181325"/>
      <w:r>
        <w:rPr>
          <w:rFonts w:hint="eastAsia"/>
        </w:rPr>
        <w:t>大气环境评价工作等级和评价范围</w:t>
      </w:r>
      <w:bookmarkEnd w:id="111"/>
      <w:bookmarkEnd w:id="112"/>
      <w:bookmarkEnd w:id="113"/>
    </w:p>
    <w:p>
      <w:r>
        <w:rPr>
          <w:rFonts w:hint="eastAsia"/>
        </w:rPr>
        <w:t>本项目无组织排放的废气主要为猪舍、集污池、</w:t>
      </w:r>
      <w:r>
        <w:rPr>
          <w:rFonts w:hint="eastAsia"/>
          <w:lang w:eastAsia="zh-CN"/>
        </w:rPr>
        <w:t>堆肥</w:t>
      </w:r>
      <w:r>
        <w:rPr>
          <w:rFonts w:hint="eastAsia"/>
        </w:rPr>
        <w:t>车间等排放的恶臭气体（</w:t>
      </w:r>
      <w:r>
        <w:t>H</w:t>
      </w:r>
      <w:r>
        <w:rPr>
          <w:vertAlign w:val="subscript"/>
        </w:rPr>
        <w:t>2</w:t>
      </w:r>
      <w:r>
        <w:t>S</w:t>
      </w:r>
      <w:r>
        <w:rPr>
          <w:rFonts w:hint="eastAsia"/>
        </w:rPr>
        <w:t>和</w:t>
      </w:r>
      <w:r>
        <w:t>NH</w:t>
      </w:r>
      <w:r>
        <w:rPr>
          <w:vertAlign w:val="subscript"/>
        </w:rPr>
        <w:t>3</w:t>
      </w:r>
      <w:r>
        <w:rPr>
          <w:rFonts w:hint="eastAsia"/>
        </w:rPr>
        <w:t>）。</w:t>
      </w:r>
    </w:p>
    <w:p>
      <w:r>
        <w:rPr>
          <w:rFonts w:hint="eastAsia"/>
        </w:rPr>
        <w:t>按照《环境影响评价技术导则大气环境》（HJ2.2-2018）的规定，大气环境评价工作的分级是根据项目污染源调查结果，分别计算项目排放主要污染物的最</w:t>
      </w:r>
    </w:p>
    <w:p>
      <w:r>
        <w:rPr>
          <w:rFonts w:hint="eastAsia"/>
        </w:rPr>
        <w:t>大地面空气质量浓度占标率 Pi（第 i 个污染物），及第 i 个污染物的地面浓度达标准限值 10%时所对应的最远距离 D10%。其中 Pi 定义为：</w:t>
      </w:r>
    </w:p>
    <w:p>
      <w:r>
        <w:pict>
          <v:shape id="对象 3" o:spid="_x0000_s2058" o:spt="75" type="#_x0000_t75" style="position:absolute;left:0pt;margin-left:121.05pt;margin-top:2.2pt;height:37pt;width:85.55pt;mso-wrap-distance-bottom:0pt;mso-wrap-distance-left:0pt;mso-wrap-distance-right:0pt;mso-wrap-distance-top:0pt;z-index:251665408;mso-width-relative:page;mso-height-relative:page;" o:ole="t" fillcolor="#FFFFFF" filled="t" o:preferrelative="t" stroked="f" coordsize="21600,21600">
            <v:path/>
            <v:fill on="t" color2="#000000" focussize="0,0"/>
            <v:stroke on="f"/>
            <v:imagedata r:id="rId22" o:title=""/>
            <o:lock v:ext="edit" aspectratio="t"/>
            <w10:wrap type="square" side="largest"/>
          </v:shape>
          <o:OLEObject Type="Embed" ProgID="Equation.3" ShapeID="对象 3" DrawAspect="Content" ObjectID="_1468075725" r:id="rId21">
            <o:LockedField>false</o:LockedField>
          </o:OLEObject>
        </w:pict>
      </w:r>
    </w:p>
    <w:p/>
    <w:p>
      <w:r>
        <w:rPr>
          <w:rFonts w:hint="eastAsia"/>
        </w:rPr>
        <w:t>式中：</w:t>
      </w:r>
    </w:p>
    <w:p>
      <w:r>
        <w:t>P</w:t>
      </w:r>
      <w:r>
        <w:rPr>
          <w:vertAlign w:val="subscript"/>
        </w:rPr>
        <w:t>i</w:t>
      </w:r>
      <w:r>
        <w:t>—第i个污染物的最大地面浓度占标率，%；</w:t>
      </w:r>
    </w:p>
    <w:p>
      <w:r>
        <w:t>C</w:t>
      </w:r>
      <w:r>
        <w:rPr>
          <w:vertAlign w:val="subscript"/>
        </w:rPr>
        <w:t>i</w:t>
      </w:r>
      <w:r>
        <w:t>—采用估算模式计算出的第i个污染物的最大地面浓度，mg/m</w:t>
      </w:r>
      <w:r>
        <w:rPr>
          <w:vertAlign w:val="superscript"/>
        </w:rPr>
        <w:t>3</w:t>
      </w:r>
      <w:r>
        <w:t>；</w:t>
      </w:r>
    </w:p>
    <w:p>
      <w:r>
        <w:t>C</w:t>
      </w:r>
      <w:r>
        <w:rPr>
          <w:vertAlign w:val="subscript"/>
        </w:rPr>
        <w:t>0i</w:t>
      </w:r>
      <w:r>
        <w:t>—第i个污染物的环境空气质量标准，mg/m</w:t>
      </w:r>
      <w:r>
        <w:rPr>
          <w:vertAlign w:val="superscript"/>
        </w:rPr>
        <w:t>3</w:t>
      </w:r>
      <w:r>
        <w:t>。</w:t>
      </w:r>
    </w:p>
    <w:p>
      <w:r>
        <w:rPr>
          <w:rFonts w:hint="eastAsia"/>
        </w:rPr>
        <w:t>C</w:t>
      </w:r>
      <w:r>
        <w:rPr>
          <w:rFonts w:hint="eastAsia"/>
          <w:vertAlign w:val="subscript"/>
        </w:rPr>
        <w:t>0i</w:t>
      </w:r>
      <w:r>
        <w:rPr>
          <w:rFonts w:hint="eastAsia"/>
        </w:rPr>
        <w:t xml:space="preserve"> 一般选用 GB3095 中1小时平均质量浓度的二级浓度限值；如项目位于一类环境功能区，应选择相应的一级浓度限值；该标准中未包含的污染物，参照《环境影响评价技术导则 大气环境》（HJ2.2-2018）中 5.2 确定的各评价因子1h 平均质量浓度限值。对于仅有 8h 平均质量浓度限值、日平均质量浓度限值、年平均质量浓度限值的，可分别按2倍、3倍、6倍折算为1h平均质量浓度限值。</w:t>
      </w:r>
    </w:p>
    <w:p>
      <w:r>
        <w:rPr>
          <w:rFonts w:hint="eastAsia"/>
        </w:rPr>
        <w:t>评价等级划分表见下表：</w:t>
      </w:r>
    </w:p>
    <w:p>
      <w:pPr>
        <w:pStyle w:val="11"/>
        <w:rPr>
          <w:rFonts w:hint="default" w:eastAsiaTheme="minorEastAsia"/>
          <w:lang w:val="en-US" w:eastAsia="zh-CN"/>
        </w:rPr>
      </w:pPr>
      <w:r>
        <w:t xml:space="preserve">1.4- </w:t>
      </w:r>
      <w:r>
        <w:fldChar w:fldCharType="begin"/>
      </w:r>
      <w:r>
        <w:instrText xml:space="preserve"> SEQ 1.4- \* ARABIC </w:instrText>
      </w:r>
      <w:r>
        <w:fldChar w:fldCharType="separate"/>
      </w:r>
      <w:r>
        <w:t>1</w:t>
      </w:r>
      <w:r>
        <w:fldChar w:fldCharType="end"/>
      </w:r>
      <w:r>
        <w:rPr>
          <w:rFonts w:hint="eastAsia"/>
          <w:lang w:val="en-US" w:eastAsia="zh-CN"/>
        </w:rPr>
        <w:t xml:space="preserve">  </w:t>
      </w:r>
      <w:r>
        <w:rPr>
          <w:rFonts w:hint="eastAsia"/>
        </w:rPr>
        <w:t>评价等级划分表</w:t>
      </w:r>
    </w:p>
    <w:tbl>
      <w:tblPr>
        <w:tblStyle w:val="17"/>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3"/>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703" w:type="dxa"/>
            <w:vAlign w:val="center"/>
          </w:tcPr>
          <w:p>
            <w:pPr>
              <w:widowControl w:val="0"/>
              <w:snapToGrid w:val="0"/>
              <w:spacing w:line="240" w:lineRule="atLeast"/>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评价工作等级</w:t>
            </w:r>
          </w:p>
        </w:tc>
        <w:tc>
          <w:tcPr>
            <w:tcW w:w="4836" w:type="dxa"/>
            <w:vAlign w:val="center"/>
          </w:tcPr>
          <w:p>
            <w:pPr>
              <w:widowControl w:val="0"/>
              <w:snapToGrid w:val="0"/>
              <w:spacing w:line="240" w:lineRule="atLeast"/>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703" w:type="dxa"/>
            <w:vAlign w:val="center"/>
          </w:tcPr>
          <w:p>
            <w:pPr>
              <w:widowControl w:val="0"/>
              <w:snapToGrid w:val="0"/>
              <w:spacing w:line="240" w:lineRule="atLeast"/>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一级评价</w:t>
            </w:r>
          </w:p>
        </w:tc>
        <w:tc>
          <w:tcPr>
            <w:tcW w:w="4836" w:type="dxa"/>
            <w:vAlign w:val="center"/>
          </w:tcPr>
          <w:p>
            <w:pPr>
              <w:widowControl w:val="0"/>
              <w:snapToGrid w:val="0"/>
              <w:spacing w:line="240" w:lineRule="atLeast"/>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703" w:type="dxa"/>
            <w:vAlign w:val="center"/>
          </w:tcPr>
          <w:p>
            <w:pPr>
              <w:widowControl w:val="0"/>
              <w:snapToGrid w:val="0"/>
              <w:spacing w:line="240" w:lineRule="atLeast"/>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二级评价</w:t>
            </w:r>
          </w:p>
        </w:tc>
        <w:tc>
          <w:tcPr>
            <w:tcW w:w="4836" w:type="dxa"/>
            <w:vAlign w:val="center"/>
          </w:tcPr>
          <w:p>
            <w:pPr>
              <w:widowControl w:val="0"/>
              <w:snapToGrid w:val="0"/>
              <w:spacing w:line="240" w:lineRule="atLeast"/>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703" w:type="dxa"/>
            <w:vAlign w:val="center"/>
          </w:tcPr>
          <w:p>
            <w:pPr>
              <w:widowControl w:val="0"/>
              <w:snapToGrid w:val="0"/>
              <w:spacing w:line="240" w:lineRule="atLeast"/>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三级评价</w:t>
            </w:r>
          </w:p>
        </w:tc>
        <w:tc>
          <w:tcPr>
            <w:tcW w:w="4836" w:type="dxa"/>
            <w:vAlign w:val="center"/>
          </w:tcPr>
          <w:p>
            <w:pPr>
              <w:widowControl w:val="0"/>
              <w:snapToGrid w:val="0"/>
              <w:spacing w:line="240" w:lineRule="atLeast"/>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Pmax＜1%</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本次评价采用 AERSCREEN 估算模式进行估算，其污染物排放源强见表</w:t>
      </w:r>
      <w:r>
        <w:rPr>
          <w:rFonts w:hint="eastAsia"/>
          <w:lang w:val="en-US" w:eastAsia="zh-CN"/>
        </w:rPr>
        <w:t>4.2-5</w:t>
      </w:r>
      <w:r>
        <w:rPr>
          <w:rFonts w:hint="eastAsia"/>
        </w:rPr>
        <w:t>。根据计算结果，项目养殖区无组织排放的</w:t>
      </w:r>
      <w:r>
        <w:t>NH</w:t>
      </w:r>
      <w:r>
        <w:rPr>
          <w:vertAlign w:val="subscript"/>
        </w:rPr>
        <w:t>3</w:t>
      </w:r>
      <w:r>
        <w:rPr>
          <w:rFonts w:hint="eastAsia"/>
        </w:rPr>
        <w:t>、</w:t>
      </w:r>
      <w:r>
        <w:t>H</w:t>
      </w:r>
      <w:r>
        <w:rPr>
          <w:vertAlign w:val="subscript"/>
        </w:rPr>
        <w:t>2</w:t>
      </w:r>
      <w:r>
        <w:t>S</w:t>
      </w:r>
      <w:r>
        <w:rPr>
          <w:rFonts w:hint="eastAsia"/>
        </w:rPr>
        <w:t>，其最大落地浓度占标率最大值为</w:t>
      </w:r>
      <w:r>
        <w:rPr>
          <w:rFonts w:hint="eastAsia"/>
          <w:highlight w:val="none"/>
          <w:lang w:val="en-US" w:eastAsia="zh-CN"/>
        </w:rPr>
        <w:t>9.56</w:t>
      </w:r>
      <w:r>
        <w:rPr>
          <w:rFonts w:hint="eastAsia"/>
          <w:highlight w:val="none"/>
        </w:rPr>
        <w:t>%</w:t>
      </w:r>
      <w:r>
        <w:rPr>
          <w:rFonts w:hint="eastAsia"/>
        </w:rPr>
        <w:t>，低于</w:t>
      </w:r>
      <w:r>
        <w:t>10%</w:t>
      </w:r>
      <w:r>
        <w:rPr>
          <w:rFonts w:hint="eastAsia"/>
        </w:rPr>
        <w:t>，根据《环境影响评价技术导则大气环境》（</w:t>
      </w:r>
      <w:r>
        <w:t>HJ2.2-20</w:t>
      </w:r>
      <w:r>
        <w:rPr>
          <w:rFonts w:hint="eastAsia"/>
        </w:rPr>
        <w:t>1</w:t>
      </w:r>
      <w:r>
        <w:t>8</w:t>
      </w:r>
      <w:r>
        <w:rPr>
          <w:rFonts w:hint="eastAsia"/>
        </w:rPr>
        <w:t>）中的判定依据，本项目大气环境影响评价等级确定为二级。评价范围是为以养殖区为中心，边长为</w:t>
      </w:r>
      <w:r>
        <w:t>5km</w:t>
      </w:r>
      <w:r>
        <w:rPr>
          <w:rFonts w:hint="eastAsia"/>
        </w:rPr>
        <w:t>的矩形区域。</w:t>
      </w:r>
    </w:p>
    <w:p>
      <w:pPr>
        <w:pStyle w:val="5"/>
        <w:bidi w:val="0"/>
      </w:pPr>
      <w:bookmarkStart w:id="114" w:name="_Toc468689113"/>
      <w:r>
        <w:rPr>
          <w:rFonts w:hint="eastAsia"/>
        </w:rPr>
        <w:t>水环境评价工作等级和评价范围</w:t>
      </w:r>
      <w:bookmarkEnd w:id="114"/>
    </w:p>
    <w:p>
      <w:r>
        <w:rPr>
          <w:rFonts w:hint="eastAsia"/>
        </w:rPr>
        <w:t>（</w:t>
      </w:r>
      <w:r>
        <w:t>1</w:t>
      </w:r>
      <w:r>
        <w:rPr>
          <w:rFonts w:hint="eastAsia"/>
        </w:rPr>
        <w:t>）地表水</w:t>
      </w:r>
    </w:p>
    <w:p>
      <w:r>
        <w:rPr>
          <w:rFonts w:hint="eastAsia"/>
        </w:rPr>
        <w:t>本项目废水主要来源养殖废水和场区员工生活污水</w:t>
      </w:r>
      <w:r>
        <w:rPr>
          <w:rFonts w:hint="eastAsia"/>
          <w:lang w:eastAsia="zh-CN"/>
        </w:rPr>
        <w:t>，</w:t>
      </w:r>
      <w:r>
        <w:rPr>
          <w:rFonts w:hint="eastAsia"/>
        </w:rPr>
        <w:t>本项目生活污水与养殖废水</w:t>
      </w:r>
      <w:r>
        <w:rPr>
          <w:rFonts w:hint="eastAsia"/>
          <w:lang w:eastAsia="zh-CN"/>
        </w:rPr>
        <w:t>进入厌氧发酵</w:t>
      </w:r>
      <w:r>
        <w:rPr>
          <w:rFonts w:hint="eastAsia"/>
          <w:lang w:val="en-US" w:eastAsia="zh-CN"/>
        </w:rPr>
        <w:t>+AO组合池废水处理</w:t>
      </w:r>
      <w:r>
        <w:rPr>
          <w:rFonts w:hint="eastAsia"/>
          <w:lang w:eastAsia="zh-CN"/>
        </w:rPr>
        <w:t>系统</w:t>
      </w:r>
      <w:r>
        <w:rPr>
          <w:rFonts w:hint="eastAsia"/>
        </w:rPr>
        <w:t>处理后</w:t>
      </w:r>
      <w:r>
        <w:rPr>
          <w:rFonts w:hint="eastAsia"/>
          <w:lang w:eastAsia="zh-CN"/>
        </w:rPr>
        <w:t>外供给常德华诚现代农业开发有限公司施肥</w:t>
      </w:r>
      <w:r>
        <w:rPr>
          <w:rFonts w:hint="eastAsia"/>
        </w:rPr>
        <w:t>，本项目无废水不外排地表水环境。根据《环境影响评价技术导则地面水环境》（</w:t>
      </w:r>
      <w:r>
        <w:t>HJ2.3-</w:t>
      </w:r>
      <w:r>
        <w:rPr>
          <w:rFonts w:hint="eastAsia"/>
        </w:rPr>
        <w:t>2018）的规定，本项目地表水环境影响评价等级为三级</w:t>
      </w:r>
      <w:r>
        <w:rPr>
          <w:rFonts w:hint="eastAsia"/>
          <w:lang w:val="en-US" w:eastAsia="zh-CN"/>
        </w:rPr>
        <w:t>B</w:t>
      </w:r>
      <w:r>
        <w:rPr>
          <w:rFonts w:hint="eastAsia"/>
        </w:rPr>
        <w:t>。评价范围</w:t>
      </w:r>
      <w:r>
        <w:rPr>
          <w:rFonts w:hint="eastAsia"/>
          <w:lang w:eastAsia="zh-CN"/>
        </w:rPr>
        <w:t>为东侧道水上游</w:t>
      </w:r>
      <w:r>
        <w:rPr>
          <w:rFonts w:hint="eastAsia"/>
          <w:lang w:val="en-US" w:eastAsia="zh-CN"/>
        </w:rPr>
        <w:t>500m、下游1000m</w:t>
      </w:r>
      <w:r>
        <w:rPr>
          <w:rFonts w:hint="eastAsia"/>
        </w:rPr>
        <w:t>。</w:t>
      </w:r>
    </w:p>
    <w:p>
      <w:bookmarkStart w:id="115" w:name="_Toc468689114"/>
      <w:r>
        <w:rPr>
          <w:rFonts w:hint="eastAsia"/>
        </w:rPr>
        <w:t>（</w:t>
      </w:r>
      <w:r>
        <w:t>2</w:t>
      </w:r>
      <w:r>
        <w:rPr>
          <w:rFonts w:hint="eastAsia"/>
        </w:rPr>
        <w:t>）地下水</w:t>
      </w:r>
      <w:bookmarkEnd w:id="115"/>
    </w:p>
    <w:p>
      <w:r>
        <w:rPr>
          <w:rFonts w:hint="eastAsia"/>
        </w:rPr>
        <w:t>根据《环境影响评价技术导则地下水环境》（</w:t>
      </w:r>
      <w:r>
        <w:t>HJ610-2016</w:t>
      </w:r>
      <w:r>
        <w:rPr>
          <w:rFonts w:hint="eastAsia"/>
        </w:rPr>
        <w:t>）中，拟建项目不处于集中式饮水水源准保护区、不属于热水、矿泉水、温泉等特殊地下水源保护区、也不属于补给径流区，属于一般地区，地下水环境不敏感。</w:t>
      </w:r>
    </w:p>
    <w:p>
      <w:r>
        <w:t>建设项目地下水环境影响评价工作等级划分见</w:t>
      </w:r>
      <w:r>
        <w:rPr>
          <w:rFonts w:hint="eastAsia"/>
        </w:rPr>
        <w:t>下</w:t>
      </w:r>
      <w:r>
        <w:t>表。</w:t>
      </w:r>
    </w:p>
    <w:p>
      <w:pPr>
        <w:pStyle w:val="11"/>
        <w:bidi w:val="0"/>
      </w:pPr>
      <w:r>
        <w:t xml:space="preserve">1.4- </w:t>
      </w:r>
      <w:r>
        <w:fldChar w:fldCharType="begin"/>
      </w:r>
      <w:r>
        <w:instrText xml:space="preserve"> SEQ 1.4- \* ARABIC </w:instrText>
      </w:r>
      <w:r>
        <w:fldChar w:fldCharType="separate"/>
      </w:r>
      <w:r>
        <w:t>2</w:t>
      </w:r>
      <w:r>
        <w:fldChar w:fldCharType="end"/>
      </w:r>
      <w:r>
        <w:rPr>
          <w:rFonts w:hint="eastAsia"/>
          <w:lang w:val="en-US" w:eastAsia="zh-CN"/>
        </w:rPr>
        <w:t xml:space="preserve">  </w:t>
      </w:r>
      <w:r>
        <w:t>地下水评价工作等级分级表</w:t>
      </w:r>
    </w:p>
    <w:tbl>
      <w:tblPr>
        <w:tblStyle w:val="17"/>
        <w:tblW w:w="84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8"/>
        <w:gridCol w:w="1621"/>
        <w:gridCol w:w="2114"/>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608" w:type="dxa"/>
            <w:vAlign w:val="center"/>
          </w:tcPr>
          <w:p>
            <w:pPr>
              <w:pStyle w:val="8"/>
              <w:bidi w:val="0"/>
            </w:pPr>
            <w:r>
              <w:t>项目类别</w:t>
            </w:r>
          </w:p>
          <w:p>
            <w:pPr>
              <w:pStyle w:val="8"/>
              <w:bidi w:val="0"/>
            </w:pPr>
            <w:r>
              <w:t>环境敏感程度</w:t>
            </w:r>
          </w:p>
        </w:tc>
        <w:tc>
          <w:tcPr>
            <w:tcW w:w="1621" w:type="dxa"/>
            <w:vAlign w:val="center"/>
          </w:tcPr>
          <w:p>
            <w:pPr>
              <w:pStyle w:val="8"/>
              <w:bidi w:val="0"/>
            </w:pPr>
            <w:r>
              <w:fldChar w:fldCharType="begin"/>
            </w:r>
            <w:r>
              <w:instrText xml:space="preserve"> = 1 \* ROMAN </w:instrText>
            </w:r>
            <w:r>
              <w:fldChar w:fldCharType="separate"/>
            </w:r>
            <w:r>
              <w:t>I</w:t>
            </w:r>
            <w:r>
              <w:fldChar w:fldCharType="end"/>
            </w:r>
          </w:p>
        </w:tc>
        <w:tc>
          <w:tcPr>
            <w:tcW w:w="2114" w:type="dxa"/>
            <w:vAlign w:val="center"/>
          </w:tcPr>
          <w:p>
            <w:pPr>
              <w:pStyle w:val="8"/>
              <w:bidi w:val="0"/>
            </w:pPr>
            <w:r>
              <w:fldChar w:fldCharType="begin"/>
            </w:r>
            <w:r>
              <w:instrText xml:space="preserve"> = 2 \* ROMAN </w:instrText>
            </w:r>
            <w:r>
              <w:fldChar w:fldCharType="separate"/>
            </w:r>
            <w:r>
              <w:t>II</w:t>
            </w:r>
            <w:r>
              <w:fldChar w:fldCharType="end"/>
            </w:r>
          </w:p>
        </w:tc>
        <w:tc>
          <w:tcPr>
            <w:tcW w:w="2116" w:type="dxa"/>
            <w:vAlign w:val="center"/>
          </w:tcPr>
          <w:p>
            <w:pPr>
              <w:pStyle w:val="8"/>
              <w:bidi w:val="0"/>
            </w:pPr>
            <w:r>
              <w:fldChar w:fldCharType="begin"/>
            </w:r>
            <w:r>
              <w:instrText xml:space="preserve"> = 3 \* ROMAN </w:instrText>
            </w:r>
            <w:r>
              <w:fldChar w:fldCharType="separate"/>
            </w:r>
            <w:r>
              <w:t>III</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608" w:type="dxa"/>
            <w:vAlign w:val="center"/>
          </w:tcPr>
          <w:p>
            <w:pPr>
              <w:pStyle w:val="8"/>
              <w:bidi w:val="0"/>
            </w:pPr>
            <w:r>
              <w:t>敏感</w:t>
            </w:r>
          </w:p>
        </w:tc>
        <w:tc>
          <w:tcPr>
            <w:tcW w:w="1621" w:type="dxa"/>
            <w:vAlign w:val="center"/>
          </w:tcPr>
          <w:p>
            <w:pPr>
              <w:pStyle w:val="8"/>
              <w:bidi w:val="0"/>
            </w:pPr>
            <w:r>
              <w:t>一</w:t>
            </w:r>
          </w:p>
        </w:tc>
        <w:tc>
          <w:tcPr>
            <w:tcW w:w="2114" w:type="dxa"/>
            <w:vAlign w:val="center"/>
          </w:tcPr>
          <w:p>
            <w:pPr>
              <w:pStyle w:val="8"/>
              <w:bidi w:val="0"/>
            </w:pPr>
            <w:r>
              <w:t>一</w:t>
            </w:r>
          </w:p>
        </w:tc>
        <w:tc>
          <w:tcPr>
            <w:tcW w:w="2116" w:type="dxa"/>
            <w:vAlign w:val="center"/>
          </w:tcPr>
          <w:p>
            <w:pPr>
              <w:pStyle w:val="8"/>
              <w:bidi w:val="0"/>
            </w:pPr>
            <w: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608" w:type="dxa"/>
            <w:vAlign w:val="center"/>
          </w:tcPr>
          <w:p>
            <w:pPr>
              <w:pStyle w:val="8"/>
              <w:bidi w:val="0"/>
            </w:pPr>
            <w:r>
              <w:t>较敏感</w:t>
            </w:r>
          </w:p>
        </w:tc>
        <w:tc>
          <w:tcPr>
            <w:tcW w:w="1621" w:type="dxa"/>
            <w:vAlign w:val="center"/>
          </w:tcPr>
          <w:p>
            <w:pPr>
              <w:pStyle w:val="8"/>
              <w:bidi w:val="0"/>
            </w:pPr>
            <w:r>
              <w:t>一</w:t>
            </w:r>
          </w:p>
        </w:tc>
        <w:tc>
          <w:tcPr>
            <w:tcW w:w="2114" w:type="dxa"/>
            <w:vAlign w:val="center"/>
          </w:tcPr>
          <w:p>
            <w:pPr>
              <w:pStyle w:val="8"/>
              <w:bidi w:val="0"/>
            </w:pPr>
            <w:r>
              <w:t>二</w:t>
            </w:r>
          </w:p>
        </w:tc>
        <w:tc>
          <w:tcPr>
            <w:tcW w:w="2116" w:type="dxa"/>
            <w:vAlign w:val="center"/>
          </w:tcPr>
          <w:p>
            <w:pPr>
              <w:pStyle w:val="8"/>
              <w:bidi w:val="0"/>
            </w:pPr>
            <w: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608" w:type="dxa"/>
            <w:vAlign w:val="center"/>
          </w:tcPr>
          <w:p>
            <w:pPr>
              <w:pStyle w:val="8"/>
              <w:bidi w:val="0"/>
            </w:pPr>
            <w:r>
              <w:t>不敏感</w:t>
            </w:r>
          </w:p>
        </w:tc>
        <w:tc>
          <w:tcPr>
            <w:tcW w:w="1621" w:type="dxa"/>
            <w:vAlign w:val="center"/>
          </w:tcPr>
          <w:p>
            <w:pPr>
              <w:pStyle w:val="8"/>
              <w:bidi w:val="0"/>
            </w:pPr>
            <w:r>
              <w:t>二</w:t>
            </w:r>
          </w:p>
        </w:tc>
        <w:tc>
          <w:tcPr>
            <w:tcW w:w="2114" w:type="dxa"/>
            <w:vAlign w:val="center"/>
          </w:tcPr>
          <w:p>
            <w:pPr>
              <w:pStyle w:val="8"/>
              <w:bidi w:val="0"/>
            </w:pPr>
            <w:r>
              <w:t>三</w:t>
            </w:r>
          </w:p>
        </w:tc>
        <w:tc>
          <w:tcPr>
            <w:tcW w:w="2116" w:type="dxa"/>
            <w:vAlign w:val="center"/>
          </w:tcPr>
          <w:p>
            <w:pPr>
              <w:pStyle w:val="8"/>
              <w:bidi w:val="0"/>
            </w:pPr>
            <w:r>
              <w:t>三</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根据附录A，本项目的地下水环境影响评价项目类别为Ⅲ类项目，对照《环境影响评价技术导则地下水环境》（</w:t>
      </w:r>
      <w:r>
        <w:t>HJ610-2016</w:t>
      </w:r>
      <w:r>
        <w:rPr>
          <w:rFonts w:hint="eastAsia"/>
        </w:rPr>
        <w:t>）中的评价等级分级表，确定本项目地下水环境影响评价等级为三级，评价范围为项目建设地周边</w:t>
      </w:r>
      <w:r>
        <w:t>6km</w:t>
      </w:r>
      <w:r>
        <w:rPr>
          <w:rFonts w:hint="eastAsia"/>
          <w:vertAlign w:val="superscript"/>
        </w:rPr>
        <w:t>2</w:t>
      </w:r>
      <w:r>
        <w:rPr>
          <w:rFonts w:hint="eastAsia"/>
        </w:rPr>
        <w:t>范围内。</w:t>
      </w:r>
    </w:p>
    <w:p>
      <w:pPr>
        <w:pStyle w:val="5"/>
        <w:bidi w:val="0"/>
      </w:pPr>
      <w:bookmarkStart w:id="116" w:name="_Toc468689115"/>
      <w:r>
        <w:rPr>
          <w:rFonts w:hint="eastAsia"/>
        </w:rPr>
        <w:t>声环境评价工作等级和评价范围</w:t>
      </w:r>
      <w:bookmarkEnd w:id="116"/>
    </w:p>
    <w:p>
      <w:r>
        <w:rPr>
          <w:rFonts w:hint="eastAsia"/>
        </w:rPr>
        <w:t>项目所在地声环境功能区属于《声环境质量标准》</w:t>
      </w:r>
      <w:r>
        <w:t>(GB3096-2008)</w:t>
      </w:r>
      <w:r>
        <w:rPr>
          <w:rFonts w:hint="eastAsia"/>
        </w:rPr>
        <w:t>规定的</w:t>
      </w:r>
      <w:r>
        <w:t>2</w:t>
      </w:r>
      <w:r>
        <w:rPr>
          <w:rFonts w:hint="eastAsia"/>
        </w:rPr>
        <w:t>类，建设前后敏感目标噪声级增高量在</w:t>
      </w:r>
      <w:r>
        <w:t>3dB（A）以下，</w:t>
      </w:r>
      <w:r>
        <w:rPr>
          <w:rFonts w:hint="eastAsia"/>
        </w:rPr>
        <w:t>场界</w:t>
      </w:r>
      <w:r>
        <w:t>200m内周围基本无居民分布，评价范围内受影响的人数无显著变化。</w:t>
      </w:r>
      <w:r>
        <w:rPr>
          <w:rFonts w:hint="eastAsia"/>
        </w:rPr>
        <w:t>按《环境影响评价技术导则声环境》（</w:t>
      </w:r>
      <w:r>
        <w:t>HJ/T2.4-2009</w:t>
      </w:r>
      <w:r>
        <w:rPr>
          <w:rFonts w:hint="eastAsia"/>
        </w:rPr>
        <w:t>）中规定要求声环境影响评价工作等级定应为二级，评价范围为场界外</w:t>
      </w:r>
      <w:r>
        <w:t>200m</w:t>
      </w:r>
      <w:r>
        <w:rPr>
          <w:rFonts w:hint="eastAsia"/>
        </w:rPr>
        <w:t>范围内。</w:t>
      </w:r>
    </w:p>
    <w:p>
      <w:pPr>
        <w:pStyle w:val="5"/>
        <w:bidi w:val="0"/>
      </w:pPr>
      <w:bookmarkStart w:id="117" w:name="_Toc468689116"/>
      <w:r>
        <w:rPr>
          <w:rFonts w:hint="eastAsia"/>
        </w:rPr>
        <w:t>生态环境评价工作等级和评价范围</w:t>
      </w:r>
      <w:bookmarkEnd w:id="117"/>
    </w:p>
    <w:p>
      <w:r>
        <w:rPr>
          <w:rFonts w:hint="eastAsia"/>
        </w:rPr>
        <w:t>本项目占地面积约为</w:t>
      </w:r>
      <w:r>
        <w:rPr>
          <w:rFonts w:hint="eastAsia"/>
          <w:lang w:val="en-US" w:eastAsia="zh-CN"/>
        </w:rPr>
        <w:t>9.62</w:t>
      </w:r>
      <w:r>
        <w:t>hm</w:t>
      </w:r>
      <w:r>
        <w:rPr>
          <w:vertAlign w:val="superscript"/>
        </w:rPr>
        <w:t>2</w:t>
      </w:r>
      <w:r>
        <w:rPr>
          <w:rFonts w:hint="eastAsia"/>
        </w:rPr>
        <w:t>＜</w:t>
      </w:r>
      <w:r>
        <w:t>2km</w:t>
      </w:r>
      <w:r>
        <w:rPr>
          <w:vertAlign w:val="superscript"/>
        </w:rPr>
        <w:t>2</w:t>
      </w:r>
      <w:r>
        <w:rPr>
          <w:rFonts w:hint="eastAsia"/>
        </w:rPr>
        <w:t>，项目所在地为一般区域，确定本次生态环境影响评价为三级，评价范围项目所在地范围内及周边</w:t>
      </w:r>
      <w:r>
        <w:t>200m</w:t>
      </w:r>
      <w:r>
        <w:rPr>
          <w:rFonts w:hint="eastAsia"/>
        </w:rPr>
        <w:t>区域的生态环境调查及评价。</w:t>
      </w:r>
    </w:p>
    <w:p>
      <w:pPr>
        <w:pStyle w:val="11"/>
        <w:rPr>
          <w:rFonts w:hint="default" w:eastAsiaTheme="minorEastAsia"/>
          <w:lang w:val="en-US" w:eastAsia="zh-CN"/>
        </w:rPr>
      </w:pPr>
      <w:r>
        <w:t xml:space="preserve">1.4- </w:t>
      </w:r>
      <w:r>
        <w:fldChar w:fldCharType="begin"/>
      </w:r>
      <w:r>
        <w:instrText xml:space="preserve"> SEQ 1.4- \* ARABIC </w:instrText>
      </w:r>
      <w:r>
        <w:fldChar w:fldCharType="separate"/>
      </w:r>
      <w:r>
        <w:t>3</w:t>
      </w:r>
      <w:r>
        <w:fldChar w:fldCharType="end"/>
      </w:r>
      <w:r>
        <w:rPr>
          <w:rFonts w:hint="eastAsia"/>
          <w:lang w:val="en-US" w:eastAsia="zh-CN"/>
        </w:rPr>
        <w:t xml:space="preserve">  </w:t>
      </w:r>
      <w:r>
        <w:rPr>
          <w:rFonts w:hint="eastAsia"/>
        </w:rPr>
        <w:t>生态影响评价工作等级划分表</w:t>
      </w:r>
    </w:p>
    <w:tbl>
      <w:tblPr>
        <w:tblStyle w:val="17"/>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2008"/>
        <w:gridCol w:w="2968"/>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738" w:type="dxa"/>
            <w:vMerge w:val="restart"/>
            <w:vAlign w:val="center"/>
          </w:tcPr>
          <w:p>
            <w:pPr>
              <w:pStyle w:val="8"/>
              <w:bidi w:val="0"/>
            </w:pPr>
            <w:r>
              <w:rPr>
                <w:rFonts w:hint="eastAsia"/>
              </w:rPr>
              <w:t>影响区域生态</w:t>
            </w:r>
          </w:p>
          <w:p>
            <w:pPr>
              <w:pStyle w:val="8"/>
              <w:bidi w:val="0"/>
            </w:pPr>
            <w:r>
              <w:rPr>
                <w:rFonts w:hint="eastAsia"/>
              </w:rPr>
              <w:t>敏感性</w:t>
            </w:r>
          </w:p>
        </w:tc>
        <w:tc>
          <w:tcPr>
            <w:tcW w:w="7001" w:type="dxa"/>
            <w:gridSpan w:val="3"/>
            <w:vAlign w:val="center"/>
          </w:tcPr>
          <w:p>
            <w:pPr>
              <w:pStyle w:val="8"/>
              <w:bidi w:val="0"/>
            </w:pPr>
            <w:r>
              <w:rPr>
                <w:rFonts w:hint="eastAsia"/>
              </w:rPr>
              <w:t>工程占地（水域）范围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38" w:type="dxa"/>
            <w:vMerge w:val="continue"/>
            <w:vAlign w:val="center"/>
          </w:tcPr>
          <w:p>
            <w:pPr>
              <w:pStyle w:val="8"/>
              <w:bidi w:val="0"/>
            </w:pPr>
          </w:p>
        </w:tc>
        <w:tc>
          <w:tcPr>
            <w:tcW w:w="2008" w:type="dxa"/>
            <w:vAlign w:val="center"/>
          </w:tcPr>
          <w:p>
            <w:pPr>
              <w:pStyle w:val="8"/>
              <w:bidi w:val="0"/>
            </w:pPr>
            <w:r>
              <w:rPr>
                <w:rFonts w:hint="eastAsia"/>
              </w:rPr>
              <w:t>面积</w:t>
            </w:r>
            <w:r>
              <w:t>≥20km</w:t>
            </w:r>
            <w:r>
              <w:rPr>
                <w:vertAlign w:val="superscript"/>
              </w:rPr>
              <w:t>2</w:t>
            </w:r>
            <w:r>
              <w:rPr>
                <w:rFonts w:hint="eastAsia"/>
              </w:rPr>
              <w:t>或长度</w:t>
            </w:r>
            <w:r>
              <w:t>≥100km</w:t>
            </w:r>
          </w:p>
        </w:tc>
        <w:tc>
          <w:tcPr>
            <w:tcW w:w="2968" w:type="dxa"/>
            <w:vAlign w:val="center"/>
          </w:tcPr>
          <w:p>
            <w:pPr>
              <w:pStyle w:val="8"/>
              <w:bidi w:val="0"/>
            </w:pPr>
            <w:r>
              <w:rPr>
                <w:rFonts w:hint="eastAsia"/>
              </w:rPr>
              <w:t>面积</w:t>
            </w:r>
            <w:r>
              <w:t>2km</w:t>
            </w:r>
            <w:r>
              <w:rPr>
                <w:vertAlign w:val="superscript"/>
              </w:rPr>
              <w:t>2</w:t>
            </w:r>
            <w:r>
              <w:t>~20km</w:t>
            </w:r>
            <w:r>
              <w:rPr>
                <w:vertAlign w:val="superscript"/>
              </w:rPr>
              <w:t>2</w:t>
            </w:r>
            <w:r>
              <w:rPr>
                <w:rFonts w:hint="eastAsia"/>
              </w:rPr>
              <w:t>或长度</w:t>
            </w:r>
            <w:r>
              <w:t>50km~100km</w:t>
            </w:r>
          </w:p>
        </w:tc>
        <w:tc>
          <w:tcPr>
            <w:tcW w:w="2025" w:type="dxa"/>
            <w:vAlign w:val="center"/>
          </w:tcPr>
          <w:p>
            <w:pPr>
              <w:pStyle w:val="8"/>
              <w:bidi w:val="0"/>
            </w:pPr>
            <w:r>
              <w:rPr>
                <w:rFonts w:hint="eastAsia"/>
              </w:rPr>
              <w:t>面积</w:t>
            </w:r>
            <w:r>
              <w:t>≤2km</w:t>
            </w:r>
            <w:r>
              <w:rPr>
                <w:vertAlign w:val="superscript"/>
              </w:rPr>
              <w:t>2</w:t>
            </w:r>
            <w:r>
              <w:rPr>
                <w:rFonts w:hint="eastAsia"/>
              </w:rPr>
              <w:t>或长度</w:t>
            </w:r>
            <w:r>
              <w:t>≤50km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738" w:type="dxa"/>
            <w:vAlign w:val="center"/>
          </w:tcPr>
          <w:p>
            <w:pPr>
              <w:pStyle w:val="8"/>
              <w:bidi w:val="0"/>
            </w:pPr>
            <w:r>
              <w:rPr>
                <w:rFonts w:hint="eastAsia"/>
              </w:rPr>
              <w:t>特殊生态敏感区</w:t>
            </w:r>
          </w:p>
        </w:tc>
        <w:tc>
          <w:tcPr>
            <w:tcW w:w="2008" w:type="dxa"/>
            <w:vAlign w:val="center"/>
          </w:tcPr>
          <w:p>
            <w:pPr>
              <w:pStyle w:val="8"/>
              <w:bidi w:val="0"/>
            </w:pPr>
            <w:r>
              <w:rPr>
                <w:rFonts w:hint="eastAsia"/>
              </w:rPr>
              <w:t>一级</w:t>
            </w:r>
          </w:p>
        </w:tc>
        <w:tc>
          <w:tcPr>
            <w:tcW w:w="2968" w:type="dxa"/>
            <w:vAlign w:val="center"/>
          </w:tcPr>
          <w:p>
            <w:pPr>
              <w:pStyle w:val="8"/>
              <w:bidi w:val="0"/>
            </w:pPr>
            <w:r>
              <w:rPr>
                <w:rFonts w:hint="eastAsia"/>
              </w:rPr>
              <w:t>一级</w:t>
            </w:r>
          </w:p>
        </w:tc>
        <w:tc>
          <w:tcPr>
            <w:tcW w:w="2025" w:type="dxa"/>
            <w:vAlign w:val="center"/>
          </w:tcPr>
          <w:p>
            <w:pPr>
              <w:pStyle w:val="8"/>
              <w:bidi w:val="0"/>
            </w:pPr>
            <w:r>
              <w:rPr>
                <w:rFonts w:hint="eastAsia"/>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738" w:type="dxa"/>
            <w:vAlign w:val="center"/>
          </w:tcPr>
          <w:p>
            <w:pPr>
              <w:pStyle w:val="8"/>
              <w:bidi w:val="0"/>
            </w:pPr>
            <w:r>
              <w:rPr>
                <w:rFonts w:hint="eastAsia"/>
              </w:rPr>
              <w:t>重要生态敏感区</w:t>
            </w:r>
          </w:p>
        </w:tc>
        <w:tc>
          <w:tcPr>
            <w:tcW w:w="2008" w:type="dxa"/>
            <w:vAlign w:val="center"/>
          </w:tcPr>
          <w:p>
            <w:pPr>
              <w:pStyle w:val="8"/>
              <w:bidi w:val="0"/>
            </w:pPr>
            <w:r>
              <w:rPr>
                <w:rFonts w:hint="eastAsia"/>
              </w:rPr>
              <w:t>一级</w:t>
            </w:r>
          </w:p>
        </w:tc>
        <w:tc>
          <w:tcPr>
            <w:tcW w:w="2968" w:type="dxa"/>
            <w:vAlign w:val="center"/>
          </w:tcPr>
          <w:p>
            <w:pPr>
              <w:pStyle w:val="8"/>
              <w:bidi w:val="0"/>
            </w:pPr>
            <w:r>
              <w:rPr>
                <w:rFonts w:hint="eastAsia"/>
              </w:rPr>
              <w:t>二级</w:t>
            </w:r>
          </w:p>
        </w:tc>
        <w:tc>
          <w:tcPr>
            <w:tcW w:w="2025" w:type="dxa"/>
            <w:vAlign w:val="center"/>
          </w:tcPr>
          <w:p>
            <w:pPr>
              <w:pStyle w:val="8"/>
              <w:bidi w:val="0"/>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738" w:type="dxa"/>
            <w:vAlign w:val="center"/>
          </w:tcPr>
          <w:p>
            <w:pPr>
              <w:pStyle w:val="8"/>
              <w:bidi w:val="0"/>
            </w:pPr>
            <w:r>
              <w:rPr>
                <w:rFonts w:hint="eastAsia"/>
              </w:rPr>
              <w:t>一般区域</w:t>
            </w:r>
          </w:p>
        </w:tc>
        <w:tc>
          <w:tcPr>
            <w:tcW w:w="2008" w:type="dxa"/>
            <w:vAlign w:val="center"/>
          </w:tcPr>
          <w:p>
            <w:pPr>
              <w:pStyle w:val="8"/>
              <w:bidi w:val="0"/>
            </w:pPr>
            <w:r>
              <w:rPr>
                <w:rFonts w:hint="eastAsia"/>
              </w:rPr>
              <w:t>二级</w:t>
            </w:r>
          </w:p>
        </w:tc>
        <w:tc>
          <w:tcPr>
            <w:tcW w:w="2968" w:type="dxa"/>
            <w:vAlign w:val="center"/>
          </w:tcPr>
          <w:p>
            <w:pPr>
              <w:pStyle w:val="8"/>
              <w:bidi w:val="0"/>
            </w:pPr>
            <w:r>
              <w:rPr>
                <w:rFonts w:hint="eastAsia"/>
              </w:rPr>
              <w:t>三级</w:t>
            </w:r>
          </w:p>
        </w:tc>
        <w:tc>
          <w:tcPr>
            <w:tcW w:w="2025" w:type="dxa"/>
            <w:vAlign w:val="center"/>
          </w:tcPr>
          <w:p>
            <w:pPr>
              <w:pStyle w:val="8"/>
              <w:bidi w:val="0"/>
            </w:pPr>
            <w:r>
              <w:rPr>
                <w:rFonts w:hint="eastAsia"/>
              </w:rPr>
              <w:t>三级</w:t>
            </w:r>
          </w:p>
        </w:tc>
      </w:tr>
    </w:tbl>
    <w:p>
      <w:pPr>
        <w:pStyle w:val="5"/>
        <w:bidi w:val="0"/>
      </w:pPr>
      <w:bookmarkStart w:id="118" w:name="_Toc220122772"/>
      <w:bookmarkStart w:id="119" w:name="_Toc289344520"/>
      <w:bookmarkStart w:id="120" w:name="_Toc249433215"/>
      <w:bookmarkStart w:id="121" w:name="_Toc468689118"/>
      <w:bookmarkStart w:id="122" w:name="_Toc219258498"/>
      <w:r>
        <w:rPr>
          <w:rFonts w:hint="eastAsia"/>
        </w:rPr>
        <w:t>环境风险评价工作等级及评价范围</w:t>
      </w:r>
    </w:p>
    <w:p>
      <w:r>
        <w:rPr>
          <w:rFonts w:hint="eastAsia"/>
        </w:rPr>
        <w:t xml:space="preserve">根据项目实际情况，按照《建设项目环境风险评价技术导则》（HJ/T169-2004） 规定，本项目环境风险物质最大存在总量与临界量比值Q=q1/Q1＜1，根据《建设项目环境风险评价技术导则》（HJ/T169-2018）的相关要求，判定本项目环境风险潜势均为Ⅰ，即本项目环境风险可开展简要分析。见表 </w:t>
      </w:r>
      <w:r>
        <w:rPr>
          <w:rFonts w:hint="eastAsia"/>
          <w:lang w:val="en-US" w:eastAsia="zh-CN"/>
        </w:rPr>
        <w:t>1.4</w:t>
      </w:r>
      <w:r>
        <w:rPr>
          <w:rFonts w:hint="eastAsia"/>
        </w:rPr>
        <w:t>-</w:t>
      </w:r>
      <w:r>
        <w:rPr>
          <w:rFonts w:hint="eastAsia"/>
          <w:lang w:val="en-US" w:eastAsia="zh-CN"/>
        </w:rPr>
        <w:t>4</w:t>
      </w:r>
      <w:r>
        <w:rPr>
          <w:rFonts w:hint="eastAsia"/>
        </w:rPr>
        <w:t>。本项目通过对风险评价因子的定性分析，确定</w:t>
      </w:r>
      <w:r>
        <w:t>生产过程排放的“三废”污染物等进行分析</w:t>
      </w:r>
      <w:r>
        <w:rPr>
          <w:rFonts w:hint="eastAsia"/>
        </w:rPr>
        <w:t>，从而提出合理可行的措施。</w:t>
      </w:r>
    </w:p>
    <w:p>
      <w:pPr>
        <w:pStyle w:val="11"/>
        <w:rPr>
          <w:rFonts w:hint="default" w:eastAsiaTheme="minorEastAsia"/>
          <w:lang w:val="en-US" w:eastAsia="zh-CN"/>
        </w:rPr>
      </w:pPr>
      <w:r>
        <w:t xml:space="preserve">1.4- </w:t>
      </w:r>
      <w:r>
        <w:fldChar w:fldCharType="begin"/>
      </w:r>
      <w:r>
        <w:instrText xml:space="preserve"> SEQ 1.4- \* ARABIC </w:instrText>
      </w:r>
      <w:r>
        <w:fldChar w:fldCharType="separate"/>
      </w:r>
      <w:r>
        <w:t>4</w:t>
      </w:r>
      <w:r>
        <w:fldChar w:fldCharType="end"/>
      </w:r>
      <w:r>
        <w:rPr>
          <w:rFonts w:hint="eastAsia"/>
          <w:lang w:val="en-US" w:eastAsia="zh-CN"/>
        </w:rPr>
        <w:t xml:space="preserve">  </w:t>
      </w:r>
      <w:r>
        <w:t>风险评价等级判据表</w:t>
      </w:r>
    </w:p>
    <w:tbl>
      <w:tblPr>
        <w:tblStyle w:val="17"/>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395"/>
        <w:gridCol w:w="1726"/>
        <w:gridCol w:w="1724"/>
        <w:gridCol w:w="2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58" w:type="dxa"/>
            <w:vAlign w:val="center"/>
          </w:tcPr>
          <w:p>
            <w:pPr>
              <w:pStyle w:val="8"/>
              <w:bidi w:val="0"/>
            </w:pPr>
            <w:r>
              <w:t>环境风险潜势</w:t>
            </w:r>
          </w:p>
        </w:tc>
        <w:tc>
          <w:tcPr>
            <w:tcW w:w="1395" w:type="dxa"/>
            <w:vAlign w:val="center"/>
          </w:tcPr>
          <w:p>
            <w:pPr>
              <w:pStyle w:val="8"/>
              <w:bidi w:val="0"/>
            </w:pPr>
            <w:r>
              <w:t xml:space="preserve">Ⅳ、Ⅳ+ </w:t>
            </w:r>
          </w:p>
        </w:tc>
        <w:tc>
          <w:tcPr>
            <w:tcW w:w="1726" w:type="dxa"/>
            <w:vAlign w:val="center"/>
          </w:tcPr>
          <w:p>
            <w:pPr>
              <w:pStyle w:val="8"/>
              <w:bidi w:val="0"/>
            </w:pPr>
            <w:r>
              <w:t>Ⅲ</w:t>
            </w:r>
          </w:p>
        </w:tc>
        <w:tc>
          <w:tcPr>
            <w:tcW w:w="1724" w:type="dxa"/>
            <w:vAlign w:val="center"/>
          </w:tcPr>
          <w:p>
            <w:pPr>
              <w:pStyle w:val="8"/>
              <w:bidi w:val="0"/>
            </w:pPr>
            <w:r>
              <w:t>Ⅱ</w:t>
            </w:r>
          </w:p>
        </w:tc>
        <w:tc>
          <w:tcPr>
            <w:tcW w:w="2397" w:type="dxa"/>
            <w:vAlign w:val="center"/>
          </w:tcPr>
          <w:p>
            <w:pPr>
              <w:pStyle w:val="8"/>
              <w:bidi w:val="0"/>
            </w:pPr>
            <w: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58" w:type="dxa"/>
            <w:vAlign w:val="center"/>
          </w:tcPr>
          <w:p>
            <w:pPr>
              <w:pStyle w:val="8"/>
              <w:bidi w:val="0"/>
            </w:pPr>
            <w:r>
              <w:t>评价工作等级</w:t>
            </w:r>
          </w:p>
        </w:tc>
        <w:tc>
          <w:tcPr>
            <w:tcW w:w="1395" w:type="dxa"/>
            <w:vAlign w:val="center"/>
          </w:tcPr>
          <w:p>
            <w:pPr>
              <w:pStyle w:val="8"/>
              <w:bidi w:val="0"/>
            </w:pPr>
            <w:r>
              <w:t>一</w:t>
            </w:r>
          </w:p>
        </w:tc>
        <w:tc>
          <w:tcPr>
            <w:tcW w:w="1726" w:type="dxa"/>
            <w:vAlign w:val="center"/>
          </w:tcPr>
          <w:p>
            <w:pPr>
              <w:pStyle w:val="8"/>
              <w:bidi w:val="0"/>
            </w:pPr>
            <w:r>
              <w:t>二</w:t>
            </w:r>
          </w:p>
        </w:tc>
        <w:tc>
          <w:tcPr>
            <w:tcW w:w="1724" w:type="dxa"/>
            <w:vAlign w:val="center"/>
          </w:tcPr>
          <w:p>
            <w:pPr>
              <w:pStyle w:val="8"/>
              <w:bidi w:val="0"/>
            </w:pPr>
            <w:r>
              <w:t>三</w:t>
            </w:r>
          </w:p>
        </w:tc>
        <w:tc>
          <w:tcPr>
            <w:tcW w:w="2397" w:type="dxa"/>
            <w:vAlign w:val="center"/>
          </w:tcPr>
          <w:p>
            <w:pPr>
              <w:pStyle w:val="8"/>
              <w:bidi w:val="0"/>
            </w:pPr>
            <w: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400" w:type="dxa"/>
            <w:gridSpan w:val="5"/>
            <w:vAlign w:val="center"/>
          </w:tcPr>
          <w:p>
            <w:pPr>
              <w:pStyle w:val="8"/>
              <w:bidi w:val="0"/>
            </w:pPr>
            <w:r>
              <w:t>a 是相对于详细评价工作内容而言，在描述危险物质、环境影响途径、环境危害后果、风险防范措施等方面给出定性的说明</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评价范围：以项目所在地为中心</w:t>
      </w:r>
      <w:r>
        <w:t>，3km</w:t>
      </w:r>
      <w:r>
        <w:rPr>
          <w:rFonts w:hint="eastAsia"/>
        </w:rPr>
        <w:t>范围内区域。</w:t>
      </w:r>
    </w:p>
    <w:p>
      <w:pPr>
        <w:pStyle w:val="5"/>
        <w:bidi w:val="0"/>
      </w:pPr>
      <w:r>
        <w:rPr>
          <w:rFonts w:hint="eastAsia"/>
        </w:rPr>
        <w:t>土壤环境评价及评价范围</w:t>
      </w:r>
    </w:p>
    <w:p>
      <w:r>
        <w:rPr>
          <w:rFonts w:hint="eastAsia"/>
        </w:rPr>
        <w:t>本项目为牲猪养殖，属于农林牧渔业，年出栏头数大于5000头，小于10万头。根据</w:t>
      </w:r>
      <w:r>
        <w:t xml:space="preserve">《环境影响评价技术导则 </w:t>
      </w:r>
      <w:r>
        <w:rPr>
          <w:rFonts w:hint="eastAsia"/>
        </w:rPr>
        <w:t>土壤环境（试行）</w:t>
      </w:r>
      <w:r>
        <w:t>》（HJ</w:t>
      </w:r>
      <w:r>
        <w:rPr>
          <w:rFonts w:hint="eastAsia"/>
        </w:rPr>
        <w:t>964-2018</w:t>
      </w:r>
      <w:r>
        <w:t>）</w:t>
      </w:r>
      <w:r>
        <w:rPr>
          <w:rFonts w:hint="eastAsia"/>
        </w:rPr>
        <w:t>附录A，土壤环境影响评价类别为III类。</w:t>
      </w:r>
    </w:p>
    <w:p>
      <w:r>
        <w:rPr>
          <w:rFonts w:hint="eastAsia"/>
        </w:rPr>
        <w:t>本项目为污染影响型，项目永久占地规模为</w:t>
      </w:r>
      <w:r>
        <w:rPr>
          <w:rFonts w:hint="eastAsia"/>
          <w:lang w:val="en-US" w:eastAsia="zh-CN"/>
        </w:rPr>
        <w:t>9.62</w:t>
      </w:r>
      <w:r>
        <w:rPr>
          <w:rFonts w:hint="eastAsia"/>
        </w:rPr>
        <w:t>hm</w:t>
      </w:r>
      <w:r>
        <w:rPr>
          <w:rFonts w:hint="eastAsia"/>
          <w:vertAlign w:val="superscript"/>
        </w:rPr>
        <w:t>2</w:t>
      </w:r>
      <w:r>
        <w:rPr>
          <w:rFonts w:hint="eastAsia"/>
          <w:lang w:eastAsia="zh-CN"/>
        </w:rPr>
        <w:t>，大</w:t>
      </w:r>
      <w:r>
        <w:rPr>
          <w:rFonts w:hint="eastAsia"/>
        </w:rPr>
        <w:t>于5hm</w:t>
      </w:r>
      <w:r>
        <w:rPr>
          <w:rFonts w:hint="eastAsia"/>
          <w:vertAlign w:val="superscript"/>
        </w:rPr>
        <w:t>2</w:t>
      </w:r>
      <w:r>
        <w:rPr>
          <w:rFonts w:hint="eastAsia"/>
          <w:vertAlign w:val="baseline"/>
          <w:lang w:eastAsia="zh-CN"/>
        </w:rPr>
        <w:t>小于</w:t>
      </w:r>
      <w:r>
        <w:rPr>
          <w:rFonts w:hint="eastAsia"/>
          <w:vertAlign w:val="baseline"/>
          <w:lang w:val="en-US" w:eastAsia="zh-CN"/>
        </w:rPr>
        <w:t>50</w:t>
      </w:r>
      <w:r>
        <w:rPr>
          <w:rFonts w:hint="eastAsia"/>
        </w:rPr>
        <w:t>hm</w:t>
      </w:r>
      <w:r>
        <w:rPr>
          <w:rFonts w:hint="eastAsia"/>
          <w:vertAlign w:val="superscript"/>
        </w:rPr>
        <w:t>2</w:t>
      </w:r>
      <w:r>
        <w:rPr>
          <w:rFonts w:hint="eastAsia"/>
        </w:rPr>
        <w:t>，根据</w:t>
      </w:r>
      <w:r>
        <w:t xml:space="preserve">《环境影响评价技术导则 </w:t>
      </w:r>
      <w:r>
        <w:rPr>
          <w:rFonts w:hint="eastAsia"/>
        </w:rPr>
        <w:t>土壤环境（试行）</w:t>
      </w:r>
      <w:r>
        <w:t>》（HJ</w:t>
      </w:r>
      <w:r>
        <w:rPr>
          <w:rFonts w:hint="eastAsia"/>
        </w:rPr>
        <w:t>964-2018</w:t>
      </w:r>
      <w:r>
        <w:t>）</w:t>
      </w:r>
      <w:r>
        <w:rPr>
          <w:rFonts w:hint="eastAsia"/>
        </w:rPr>
        <w:t>，占地规模为</w:t>
      </w:r>
      <w:r>
        <w:rPr>
          <w:rFonts w:hint="eastAsia"/>
          <w:lang w:eastAsia="zh-CN"/>
        </w:rPr>
        <w:t>中</w:t>
      </w:r>
      <w:r>
        <w:rPr>
          <w:rFonts w:hint="eastAsia"/>
        </w:rPr>
        <w:t>型。</w:t>
      </w:r>
    </w:p>
    <w:p>
      <w:r>
        <w:rPr>
          <w:rFonts w:hint="eastAsia"/>
        </w:rPr>
        <w:t>项目所在地周边土壤环境敏感程度判定依据如表</w:t>
      </w:r>
      <w:r>
        <w:rPr>
          <w:rFonts w:hint="eastAsia"/>
          <w:lang w:val="en-US" w:eastAsia="zh-CN"/>
        </w:rPr>
        <w:t>1.4-5</w:t>
      </w:r>
      <w:r>
        <w:rPr>
          <w:rFonts w:hint="eastAsia"/>
        </w:rPr>
        <w:t xml:space="preserve">所示。本项目所在地经周边存在耕地，故土壤环境敏感程度判定为敏感。     </w:t>
      </w:r>
    </w:p>
    <w:p>
      <w:pPr>
        <w:pStyle w:val="11"/>
        <w:rPr>
          <w:rFonts w:hint="default" w:eastAsiaTheme="minorEastAsia"/>
          <w:lang w:val="en-US" w:eastAsia="zh-CN"/>
        </w:rPr>
      </w:pPr>
      <w:r>
        <w:t xml:space="preserve">1.4- </w:t>
      </w:r>
      <w:r>
        <w:fldChar w:fldCharType="begin"/>
      </w:r>
      <w:r>
        <w:instrText xml:space="preserve"> SEQ 1.4- \* ARABIC </w:instrText>
      </w:r>
      <w:r>
        <w:fldChar w:fldCharType="separate"/>
      </w:r>
      <w:r>
        <w:t>5</w:t>
      </w:r>
      <w:r>
        <w:fldChar w:fldCharType="end"/>
      </w:r>
      <w:r>
        <w:rPr>
          <w:rFonts w:hint="eastAsia"/>
          <w:lang w:val="en-US" w:eastAsia="zh-CN"/>
        </w:rPr>
        <w:t xml:space="preserve">  </w:t>
      </w:r>
      <w:r>
        <w:rPr>
          <w:rFonts w:hint="eastAsia"/>
        </w:rPr>
        <w:t>污染影响型敏感程度分级表</w:t>
      </w:r>
    </w:p>
    <w:tbl>
      <w:tblPr>
        <w:tblStyle w:val="17"/>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452" w:type="dxa"/>
            <w:shd w:val="clear" w:color="auto" w:fill="auto"/>
            <w:vAlign w:val="center"/>
          </w:tcPr>
          <w:p>
            <w:pPr>
              <w:pStyle w:val="8"/>
              <w:bidi w:val="0"/>
            </w:pPr>
            <w:r>
              <w:rPr>
                <w:rFonts w:hint="eastAsia"/>
              </w:rPr>
              <w:t>敏感程度</w:t>
            </w:r>
          </w:p>
        </w:tc>
        <w:tc>
          <w:tcPr>
            <w:tcW w:w="7147" w:type="dxa"/>
            <w:shd w:val="clear" w:color="auto" w:fill="auto"/>
          </w:tcPr>
          <w:p>
            <w:pPr>
              <w:pStyle w:val="8"/>
              <w:bidi w:val="0"/>
            </w:pPr>
            <w:r>
              <w:rPr>
                <w:rFonts w:hint="eastAsia"/>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452" w:type="dxa"/>
            <w:shd w:val="clear" w:color="auto" w:fill="auto"/>
            <w:vAlign w:val="center"/>
          </w:tcPr>
          <w:p>
            <w:pPr>
              <w:pStyle w:val="8"/>
              <w:bidi w:val="0"/>
            </w:pPr>
            <w:r>
              <w:rPr>
                <w:rFonts w:hint="eastAsia"/>
              </w:rPr>
              <w:t>敏感</w:t>
            </w:r>
          </w:p>
        </w:tc>
        <w:tc>
          <w:tcPr>
            <w:tcW w:w="7147" w:type="dxa"/>
            <w:shd w:val="clear" w:color="auto" w:fill="auto"/>
          </w:tcPr>
          <w:p>
            <w:pPr>
              <w:pStyle w:val="8"/>
              <w:bidi w:val="0"/>
            </w:pPr>
            <w:r>
              <w:rPr>
                <w:rFonts w:hint="eastAsia"/>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452" w:type="dxa"/>
            <w:shd w:val="clear" w:color="auto" w:fill="auto"/>
            <w:vAlign w:val="center"/>
          </w:tcPr>
          <w:p>
            <w:pPr>
              <w:pStyle w:val="8"/>
              <w:bidi w:val="0"/>
            </w:pPr>
            <w:r>
              <w:rPr>
                <w:rFonts w:hint="eastAsia"/>
              </w:rPr>
              <w:t>较敏感</w:t>
            </w:r>
          </w:p>
        </w:tc>
        <w:tc>
          <w:tcPr>
            <w:tcW w:w="7147" w:type="dxa"/>
            <w:shd w:val="clear" w:color="auto" w:fill="auto"/>
          </w:tcPr>
          <w:p>
            <w:pPr>
              <w:pStyle w:val="8"/>
              <w:bidi w:val="0"/>
            </w:pPr>
            <w:r>
              <w:rPr>
                <w:rFonts w:hint="eastAsia"/>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452" w:type="dxa"/>
            <w:shd w:val="clear" w:color="auto" w:fill="auto"/>
            <w:vAlign w:val="center"/>
          </w:tcPr>
          <w:p>
            <w:pPr>
              <w:pStyle w:val="8"/>
              <w:bidi w:val="0"/>
            </w:pPr>
            <w:r>
              <w:t>不敏感</w:t>
            </w:r>
          </w:p>
        </w:tc>
        <w:tc>
          <w:tcPr>
            <w:tcW w:w="7147" w:type="dxa"/>
            <w:shd w:val="clear" w:color="auto" w:fill="auto"/>
          </w:tcPr>
          <w:p>
            <w:pPr>
              <w:pStyle w:val="8"/>
              <w:bidi w:val="0"/>
            </w:pPr>
            <w:r>
              <w:t>其他情况</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t>根据土壤环境影响评价项目类别、占地规模与敏感程度划分评价工作等级，详见表</w:t>
      </w:r>
      <w:r>
        <w:rPr>
          <w:rFonts w:hint="eastAsia"/>
          <w:lang w:val="en-US" w:eastAsia="zh-CN"/>
        </w:rPr>
        <w:t>1.4-6</w:t>
      </w:r>
      <w:r>
        <w:t xml:space="preserve">。     </w:t>
      </w:r>
    </w:p>
    <w:p>
      <w:pPr>
        <w:pStyle w:val="11"/>
        <w:rPr>
          <w:rFonts w:hint="default" w:eastAsiaTheme="minorEastAsia"/>
          <w:lang w:val="en-US" w:eastAsia="zh-CN"/>
        </w:rPr>
      </w:pPr>
      <w:r>
        <w:t xml:space="preserve">1.4- </w:t>
      </w:r>
      <w:r>
        <w:fldChar w:fldCharType="begin"/>
      </w:r>
      <w:r>
        <w:instrText xml:space="preserve"> SEQ 1.4- \* ARABIC </w:instrText>
      </w:r>
      <w:r>
        <w:fldChar w:fldCharType="separate"/>
      </w:r>
      <w:r>
        <w:t>6</w:t>
      </w:r>
      <w:r>
        <w:fldChar w:fldCharType="end"/>
      </w:r>
      <w:r>
        <w:rPr>
          <w:rFonts w:hint="eastAsia"/>
          <w:lang w:val="en-US" w:eastAsia="zh-CN"/>
        </w:rPr>
        <w:t xml:space="preserve">  </w:t>
      </w:r>
      <w:r>
        <w:t>污染影响型评价工作等级划分表</w:t>
      </w:r>
    </w:p>
    <w:tbl>
      <w:tblPr>
        <w:tblStyle w:val="17"/>
        <w:tblW w:w="9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872"/>
        <w:gridCol w:w="872"/>
        <w:gridCol w:w="873"/>
        <w:gridCol w:w="872"/>
        <w:gridCol w:w="873"/>
        <w:gridCol w:w="873"/>
        <w:gridCol w:w="872"/>
        <w:gridCol w:w="872"/>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44" w:type="dxa"/>
            <w:vMerge w:val="restart"/>
            <w:tcBorders>
              <w:tl2br w:val="single" w:color="auto" w:sz="4" w:space="0"/>
            </w:tcBorders>
            <w:shd w:val="clear" w:color="auto" w:fill="auto"/>
          </w:tcPr>
          <w:p>
            <w:pPr>
              <w:pStyle w:val="8"/>
              <w:bidi w:val="0"/>
            </w:pPr>
            <w:r>
              <w:t>占地规模</w:t>
            </w:r>
          </w:p>
          <w:p>
            <w:pPr>
              <w:pStyle w:val="8"/>
              <w:bidi w:val="0"/>
            </w:pPr>
            <w:r>
              <w:t>敏感程度</w:t>
            </w:r>
          </w:p>
        </w:tc>
        <w:tc>
          <w:tcPr>
            <w:tcW w:w="2617" w:type="dxa"/>
            <w:gridSpan w:val="3"/>
            <w:shd w:val="clear" w:color="auto" w:fill="auto"/>
          </w:tcPr>
          <w:p>
            <w:pPr>
              <w:pStyle w:val="8"/>
              <w:bidi w:val="0"/>
            </w:pPr>
            <w:r>
              <w:t>I类</w:t>
            </w:r>
          </w:p>
        </w:tc>
        <w:tc>
          <w:tcPr>
            <w:tcW w:w="2618" w:type="dxa"/>
            <w:gridSpan w:val="3"/>
            <w:shd w:val="clear" w:color="auto" w:fill="auto"/>
          </w:tcPr>
          <w:p>
            <w:pPr>
              <w:pStyle w:val="8"/>
              <w:bidi w:val="0"/>
            </w:pPr>
            <w:r>
              <w:t>II类</w:t>
            </w:r>
          </w:p>
        </w:tc>
        <w:tc>
          <w:tcPr>
            <w:tcW w:w="2618" w:type="dxa"/>
            <w:gridSpan w:val="3"/>
            <w:shd w:val="clear" w:color="auto" w:fill="auto"/>
          </w:tcPr>
          <w:p>
            <w:pPr>
              <w:pStyle w:val="8"/>
              <w:bidi w:val="0"/>
            </w:pPr>
            <w: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44" w:type="dxa"/>
            <w:vMerge w:val="continue"/>
            <w:shd w:val="clear" w:color="auto" w:fill="auto"/>
          </w:tcPr>
          <w:p>
            <w:pPr>
              <w:pStyle w:val="8"/>
              <w:bidi w:val="0"/>
            </w:pPr>
          </w:p>
        </w:tc>
        <w:tc>
          <w:tcPr>
            <w:tcW w:w="872" w:type="dxa"/>
            <w:shd w:val="clear" w:color="auto" w:fill="auto"/>
          </w:tcPr>
          <w:p>
            <w:pPr>
              <w:pStyle w:val="8"/>
              <w:bidi w:val="0"/>
            </w:pPr>
            <w:r>
              <w:t>大</w:t>
            </w:r>
          </w:p>
        </w:tc>
        <w:tc>
          <w:tcPr>
            <w:tcW w:w="872" w:type="dxa"/>
            <w:shd w:val="clear" w:color="auto" w:fill="auto"/>
          </w:tcPr>
          <w:p>
            <w:pPr>
              <w:pStyle w:val="8"/>
              <w:bidi w:val="0"/>
            </w:pPr>
            <w:r>
              <w:t>中</w:t>
            </w:r>
          </w:p>
        </w:tc>
        <w:tc>
          <w:tcPr>
            <w:tcW w:w="873" w:type="dxa"/>
            <w:shd w:val="clear" w:color="auto" w:fill="auto"/>
          </w:tcPr>
          <w:p>
            <w:pPr>
              <w:pStyle w:val="8"/>
              <w:bidi w:val="0"/>
            </w:pPr>
            <w:r>
              <w:t>小</w:t>
            </w:r>
          </w:p>
        </w:tc>
        <w:tc>
          <w:tcPr>
            <w:tcW w:w="872" w:type="dxa"/>
            <w:shd w:val="clear" w:color="auto" w:fill="auto"/>
          </w:tcPr>
          <w:p>
            <w:pPr>
              <w:pStyle w:val="8"/>
              <w:bidi w:val="0"/>
            </w:pPr>
            <w:r>
              <w:t>大</w:t>
            </w:r>
          </w:p>
        </w:tc>
        <w:tc>
          <w:tcPr>
            <w:tcW w:w="873" w:type="dxa"/>
            <w:shd w:val="clear" w:color="auto" w:fill="auto"/>
          </w:tcPr>
          <w:p>
            <w:pPr>
              <w:pStyle w:val="8"/>
              <w:bidi w:val="0"/>
            </w:pPr>
            <w:r>
              <w:t>中</w:t>
            </w:r>
          </w:p>
        </w:tc>
        <w:tc>
          <w:tcPr>
            <w:tcW w:w="873" w:type="dxa"/>
            <w:shd w:val="clear" w:color="auto" w:fill="auto"/>
          </w:tcPr>
          <w:p>
            <w:pPr>
              <w:pStyle w:val="8"/>
              <w:bidi w:val="0"/>
            </w:pPr>
            <w:r>
              <w:t>小</w:t>
            </w:r>
          </w:p>
        </w:tc>
        <w:tc>
          <w:tcPr>
            <w:tcW w:w="872" w:type="dxa"/>
            <w:shd w:val="clear" w:color="auto" w:fill="auto"/>
          </w:tcPr>
          <w:p>
            <w:pPr>
              <w:pStyle w:val="8"/>
              <w:bidi w:val="0"/>
            </w:pPr>
            <w:r>
              <w:t>大</w:t>
            </w:r>
          </w:p>
        </w:tc>
        <w:tc>
          <w:tcPr>
            <w:tcW w:w="872" w:type="dxa"/>
            <w:shd w:val="clear" w:color="auto" w:fill="auto"/>
          </w:tcPr>
          <w:p>
            <w:pPr>
              <w:pStyle w:val="8"/>
              <w:bidi w:val="0"/>
            </w:pPr>
            <w:r>
              <w:t>中</w:t>
            </w:r>
          </w:p>
        </w:tc>
        <w:tc>
          <w:tcPr>
            <w:tcW w:w="874" w:type="dxa"/>
            <w:shd w:val="clear" w:color="auto" w:fill="auto"/>
          </w:tcPr>
          <w:p>
            <w:pPr>
              <w:pStyle w:val="8"/>
              <w:bidi w:val="0"/>
            </w:pPr>
            <w: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44" w:type="dxa"/>
            <w:shd w:val="clear" w:color="auto" w:fill="auto"/>
          </w:tcPr>
          <w:p>
            <w:pPr>
              <w:pStyle w:val="8"/>
              <w:bidi w:val="0"/>
            </w:pPr>
            <w:r>
              <w:t>敏感</w:t>
            </w:r>
          </w:p>
        </w:tc>
        <w:tc>
          <w:tcPr>
            <w:tcW w:w="872" w:type="dxa"/>
            <w:shd w:val="clear" w:color="auto" w:fill="auto"/>
          </w:tcPr>
          <w:p>
            <w:pPr>
              <w:pStyle w:val="8"/>
              <w:bidi w:val="0"/>
            </w:pPr>
            <w:r>
              <w:t>一级</w:t>
            </w:r>
          </w:p>
        </w:tc>
        <w:tc>
          <w:tcPr>
            <w:tcW w:w="872" w:type="dxa"/>
            <w:shd w:val="clear" w:color="auto" w:fill="auto"/>
          </w:tcPr>
          <w:p>
            <w:pPr>
              <w:pStyle w:val="8"/>
              <w:bidi w:val="0"/>
            </w:pPr>
            <w:r>
              <w:t>一级</w:t>
            </w:r>
          </w:p>
        </w:tc>
        <w:tc>
          <w:tcPr>
            <w:tcW w:w="873" w:type="dxa"/>
            <w:shd w:val="clear" w:color="auto" w:fill="auto"/>
          </w:tcPr>
          <w:p>
            <w:pPr>
              <w:pStyle w:val="8"/>
              <w:bidi w:val="0"/>
            </w:pPr>
            <w:r>
              <w:t>一级</w:t>
            </w:r>
          </w:p>
        </w:tc>
        <w:tc>
          <w:tcPr>
            <w:tcW w:w="872" w:type="dxa"/>
            <w:shd w:val="clear" w:color="auto" w:fill="auto"/>
          </w:tcPr>
          <w:p>
            <w:pPr>
              <w:pStyle w:val="8"/>
              <w:bidi w:val="0"/>
            </w:pPr>
            <w:r>
              <w:t>二级</w:t>
            </w:r>
          </w:p>
        </w:tc>
        <w:tc>
          <w:tcPr>
            <w:tcW w:w="873" w:type="dxa"/>
            <w:shd w:val="clear" w:color="auto" w:fill="auto"/>
          </w:tcPr>
          <w:p>
            <w:pPr>
              <w:pStyle w:val="8"/>
              <w:bidi w:val="0"/>
            </w:pPr>
            <w:r>
              <w:t>二级</w:t>
            </w:r>
          </w:p>
        </w:tc>
        <w:tc>
          <w:tcPr>
            <w:tcW w:w="873" w:type="dxa"/>
            <w:shd w:val="clear" w:color="auto" w:fill="auto"/>
          </w:tcPr>
          <w:p>
            <w:pPr>
              <w:pStyle w:val="8"/>
              <w:bidi w:val="0"/>
            </w:pPr>
            <w:r>
              <w:t>二级</w:t>
            </w:r>
          </w:p>
        </w:tc>
        <w:tc>
          <w:tcPr>
            <w:tcW w:w="872" w:type="dxa"/>
            <w:shd w:val="clear" w:color="auto" w:fill="auto"/>
          </w:tcPr>
          <w:p>
            <w:pPr>
              <w:pStyle w:val="8"/>
              <w:bidi w:val="0"/>
            </w:pPr>
            <w:r>
              <w:t>三级</w:t>
            </w:r>
          </w:p>
        </w:tc>
        <w:tc>
          <w:tcPr>
            <w:tcW w:w="872" w:type="dxa"/>
            <w:shd w:val="clear" w:color="auto" w:fill="auto"/>
          </w:tcPr>
          <w:p>
            <w:pPr>
              <w:pStyle w:val="8"/>
              <w:bidi w:val="0"/>
            </w:pPr>
            <w:r>
              <w:t>三级</w:t>
            </w:r>
          </w:p>
        </w:tc>
        <w:tc>
          <w:tcPr>
            <w:tcW w:w="874" w:type="dxa"/>
            <w:shd w:val="clear" w:color="auto" w:fill="auto"/>
          </w:tcPr>
          <w:p>
            <w:pPr>
              <w:pStyle w:val="8"/>
              <w:bidi w:val="0"/>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44" w:type="dxa"/>
            <w:shd w:val="clear" w:color="auto" w:fill="auto"/>
          </w:tcPr>
          <w:p>
            <w:pPr>
              <w:pStyle w:val="8"/>
              <w:bidi w:val="0"/>
            </w:pPr>
            <w:r>
              <w:t>较敏感</w:t>
            </w:r>
          </w:p>
        </w:tc>
        <w:tc>
          <w:tcPr>
            <w:tcW w:w="872" w:type="dxa"/>
            <w:shd w:val="clear" w:color="auto" w:fill="auto"/>
          </w:tcPr>
          <w:p>
            <w:pPr>
              <w:pStyle w:val="8"/>
              <w:bidi w:val="0"/>
            </w:pPr>
            <w:r>
              <w:t>一级</w:t>
            </w:r>
          </w:p>
        </w:tc>
        <w:tc>
          <w:tcPr>
            <w:tcW w:w="872" w:type="dxa"/>
            <w:shd w:val="clear" w:color="auto" w:fill="auto"/>
          </w:tcPr>
          <w:p>
            <w:pPr>
              <w:pStyle w:val="8"/>
              <w:bidi w:val="0"/>
            </w:pPr>
            <w:r>
              <w:t>一级</w:t>
            </w:r>
          </w:p>
        </w:tc>
        <w:tc>
          <w:tcPr>
            <w:tcW w:w="873" w:type="dxa"/>
            <w:shd w:val="clear" w:color="auto" w:fill="auto"/>
          </w:tcPr>
          <w:p>
            <w:pPr>
              <w:pStyle w:val="8"/>
              <w:bidi w:val="0"/>
            </w:pPr>
            <w:r>
              <w:t>二级</w:t>
            </w:r>
          </w:p>
        </w:tc>
        <w:tc>
          <w:tcPr>
            <w:tcW w:w="872" w:type="dxa"/>
            <w:shd w:val="clear" w:color="auto" w:fill="auto"/>
          </w:tcPr>
          <w:p>
            <w:pPr>
              <w:pStyle w:val="8"/>
              <w:bidi w:val="0"/>
            </w:pPr>
            <w:r>
              <w:t>二级</w:t>
            </w:r>
          </w:p>
        </w:tc>
        <w:tc>
          <w:tcPr>
            <w:tcW w:w="873" w:type="dxa"/>
            <w:shd w:val="clear" w:color="auto" w:fill="auto"/>
          </w:tcPr>
          <w:p>
            <w:pPr>
              <w:pStyle w:val="8"/>
              <w:bidi w:val="0"/>
            </w:pPr>
            <w:r>
              <w:t>二级</w:t>
            </w:r>
          </w:p>
        </w:tc>
        <w:tc>
          <w:tcPr>
            <w:tcW w:w="873" w:type="dxa"/>
            <w:shd w:val="clear" w:color="auto" w:fill="auto"/>
          </w:tcPr>
          <w:p>
            <w:pPr>
              <w:pStyle w:val="8"/>
              <w:bidi w:val="0"/>
            </w:pPr>
            <w:r>
              <w:t>三级</w:t>
            </w:r>
          </w:p>
        </w:tc>
        <w:tc>
          <w:tcPr>
            <w:tcW w:w="872" w:type="dxa"/>
            <w:shd w:val="clear" w:color="auto" w:fill="auto"/>
          </w:tcPr>
          <w:p>
            <w:pPr>
              <w:pStyle w:val="8"/>
              <w:bidi w:val="0"/>
            </w:pPr>
            <w:r>
              <w:t>三级</w:t>
            </w:r>
          </w:p>
        </w:tc>
        <w:tc>
          <w:tcPr>
            <w:tcW w:w="872" w:type="dxa"/>
            <w:shd w:val="clear" w:color="auto" w:fill="auto"/>
          </w:tcPr>
          <w:p>
            <w:pPr>
              <w:pStyle w:val="8"/>
              <w:bidi w:val="0"/>
            </w:pPr>
            <w:r>
              <w:t>三级</w:t>
            </w:r>
          </w:p>
        </w:tc>
        <w:tc>
          <w:tcPr>
            <w:tcW w:w="874" w:type="dxa"/>
            <w:shd w:val="clear" w:color="auto" w:fill="auto"/>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44" w:type="dxa"/>
            <w:shd w:val="clear" w:color="auto" w:fill="auto"/>
          </w:tcPr>
          <w:p>
            <w:pPr>
              <w:pStyle w:val="8"/>
              <w:bidi w:val="0"/>
            </w:pPr>
            <w:r>
              <w:t>不敏感</w:t>
            </w:r>
          </w:p>
        </w:tc>
        <w:tc>
          <w:tcPr>
            <w:tcW w:w="872" w:type="dxa"/>
            <w:shd w:val="clear" w:color="auto" w:fill="auto"/>
          </w:tcPr>
          <w:p>
            <w:pPr>
              <w:pStyle w:val="8"/>
              <w:bidi w:val="0"/>
            </w:pPr>
            <w:r>
              <w:t>一级</w:t>
            </w:r>
          </w:p>
        </w:tc>
        <w:tc>
          <w:tcPr>
            <w:tcW w:w="872" w:type="dxa"/>
            <w:shd w:val="clear" w:color="auto" w:fill="auto"/>
          </w:tcPr>
          <w:p>
            <w:pPr>
              <w:pStyle w:val="8"/>
              <w:bidi w:val="0"/>
            </w:pPr>
            <w:r>
              <w:t>二级</w:t>
            </w:r>
          </w:p>
        </w:tc>
        <w:tc>
          <w:tcPr>
            <w:tcW w:w="873" w:type="dxa"/>
            <w:shd w:val="clear" w:color="auto" w:fill="auto"/>
          </w:tcPr>
          <w:p>
            <w:pPr>
              <w:pStyle w:val="8"/>
              <w:bidi w:val="0"/>
            </w:pPr>
            <w:r>
              <w:t>二级</w:t>
            </w:r>
          </w:p>
        </w:tc>
        <w:tc>
          <w:tcPr>
            <w:tcW w:w="872" w:type="dxa"/>
            <w:shd w:val="clear" w:color="auto" w:fill="auto"/>
          </w:tcPr>
          <w:p>
            <w:pPr>
              <w:pStyle w:val="8"/>
              <w:bidi w:val="0"/>
            </w:pPr>
            <w:r>
              <w:t>二级</w:t>
            </w:r>
          </w:p>
        </w:tc>
        <w:tc>
          <w:tcPr>
            <w:tcW w:w="873" w:type="dxa"/>
            <w:shd w:val="clear" w:color="auto" w:fill="auto"/>
          </w:tcPr>
          <w:p>
            <w:pPr>
              <w:pStyle w:val="8"/>
              <w:bidi w:val="0"/>
            </w:pPr>
            <w:r>
              <w:t>三级</w:t>
            </w:r>
          </w:p>
        </w:tc>
        <w:tc>
          <w:tcPr>
            <w:tcW w:w="873" w:type="dxa"/>
            <w:shd w:val="clear" w:color="auto" w:fill="auto"/>
          </w:tcPr>
          <w:p>
            <w:pPr>
              <w:pStyle w:val="8"/>
              <w:bidi w:val="0"/>
            </w:pPr>
            <w:r>
              <w:t>三级</w:t>
            </w:r>
          </w:p>
        </w:tc>
        <w:tc>
          <w:tcPr>
            <w:tcW w:w="872" w:type="dxa"/>
            <w:shd w:val="clear" w:color="auto" w:fill="auto"/>
          </w:tcPr>
          <w:p>
            <w:pPr>
              <w:pStyle w:val="8"/>
              <w:bidi w:val="0"/>
            </w:pPr>
            <w:r>
              <w:t>三级</w:t>
            </w:r>
          </w:p>
        </w:tc>
        <w:tc>
          <w:tcPr>
            <w:tcW w:w="872" w:type="dxa"/>
            <w:shd w:val="clear" w:color="auto" w:fill="auto"/>
          </w:tcPr>
          <w:p>
            <w:pPr>
              <w:pStyle w:val="8"/>
              <w:bidi w:val="0"/>
            </w:pPr>
            <w:r>
              <w:t>-</w:t>
            </w:r>
          </w:p>
        </w:tc>
        <w:tc>
          <w:tcPr>
            <w:tcW w:w="874" w:type="dxa"/>
            <w:shd w:val="clear" w:color="auto" w:fill="auto"/>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9397" w:type="dxa"/>
            <w:gridSpan w:val="10"/>
            <w:shd w:val="clear" w:color="auto" w:fill="auto"/>
          </w:tcPr>
          <w:p>
            <w:pPr>
              <w:pStyle w:val="8"/>
              <w:bidi w:val="0"/>
            </w:pPr>
            <w:r>
              <w:t>注：“-”表示可不开展土壤环境影响评价工作</w:t>
            </w:r>
          </w:p>
        </w:tc>
      </w:tr>
    </w:tbl>
    <w:p>
      <w:r>
        <w:t>根据《环境影响评价技术导则 土壤环境（试行）》（HJ964-2018）判定，本项目土壤环境影响评价工作等级为三级。评价范围为项目厂界周边50m范围内。</w:t>
      </w:r>
    </w:p>
    <w:p>
      <w:pPr>
        <w:pStyle w:val="4"/>
        <w:bidi w:val="0"/>
        <w:rPr>
          <w:highlight w:val="none"/>
        </w:rPr>
      </w:pPr>
      <w:bookmarkStart w:id="123" w:name="_Toc21149"/>
      <w:r>
        <w:rPr>
          <w:rFonts w:hint="eastAsia"/>
          <w:highlight w:val="none"/>
        </w:rPr>
        <w:t>环境保护目标</w:t>
      </w:r>
      <w:bookmarkEnd w:id="118"/>
      <w:bookmarkEnd w:id="119"/>
      <w:bookmarkEnd w:id="120"/>
      <w:bookmarkEnd w:id="121"/>
      <w:bookmarkEnd w:id="122"/>
      <w:bookmarkEnd w:id="123"/>
    </w:p>
    <w:p>
      <w:r>
        <w:rPr>
          <w:rFonts w:hint="eastAsia"/>
        </w:rPr>
        <w:t>根据现场初步调查，区域为农村，无重点保护文物和珍稀动植物。本次评价根据周围居民分布、污染特征等确定环境保护目标，详见表</w:t>
      </w:r>
      <w:r>
        <w:rPr>
          <w:rFonts w:hint="eastAsia"/>
          <w:lang w:val="en-US" w:eastAsia="zh-CN"/>
        </w:rPr>
        <w:t>1.5</w:t>
      </w:r>
      <w:r>
        <w:t>-</w:t>
      </w:r>
      <w:r>
        <w:rPr>
          <w:rFonts w:hint="eastAsia"/>
          <w:lang w:val="en-US" w:eastAsia="zh-CN"/>
        </w:rPr>
        <w:t>1</w:t>
      </w:r>
      <w:r>
        <w:rPr>
          <w:rFonts w:hint="eastAsia"/>
        </w:rPr>
        <w:t>和附图4。</w:t>
      </w:r>
    </w:p>
    <w:p>
      <w:pPr>
        <w:pStyle w:val="11"/>
        <w:rPr>
          <w:rFonts w:hint="default" w:eastAsiaTheme="minorEastAsia"/>
          <w:lang w:val="en-US" w:eastAsia="zh-CN"/>
        </w:rPr>
      </w:pPr>
      <w:r>
        <w:t xml:space="preserve">表1.5- </w:t>
      </w:r>
      <w:r>
        <w:fldChar w:fldCharType="begin"/>
      </w:r>
      <w:r>
        <w:instrText xml:space="preserve"> SEQ 表1.5- \* ARABIC </w:instrText>
      </w:r>
      <w:r>
        <w:fldChar w:fldCharType="separate"/>
      </w:r>
      <w:r>
        <w:t>1</w:t>
      </w:r>
      <w:r>
        <w:fldChar w:fldCharType="end"/>
      </w:r>
      <w:r>
        <w:rPr>
          <w:rFonts w:hint="eastAsia"/>
          <w:lang w:val="en-US" w:eastAsia="zh-CN"/>
        </w:rPr>
        <w:t xml:space="preserve">  </w:t>
      </w:r>
      <w:r>
        <w:rPr>
          <w:rFonts w:hint="eastAsia"/>
        </w:rPr>
        <w:t>环境保护目标一览表</w:t>
      </w:r>
    </w:p>
    <w:tbl>
      <w:tblPr>
        <w:tblStyle w:val="17"/>
        <w:tblW w:w="9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4"/>
        <w:gridCol w:w="1288"/>
        <w:gridCol w:w="1525"/>
        <w:gridCol w:w="1438"/>
        <w:gridCol w:w="912"/>
        <w:gridCol w:w="1775"/>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1124" w:type="dxa"/>
            <w:vAlign w:val="center"/>
          </w:tcPr>
          <w:p>
            <w:pPr>
              <w:pStyle w:val="8"/>
              <w:bidi w:val="0"/>
            </w:pPr>
            <w:r>
              <w:rPr>
                <w:rFonts w:hint="eastAsia"/>
              </w:rPr>
              <w:t>环境要素</w:t>
            </w:r>
          </w:p>
        </w:tc>
        <w:tc>
          <w:tcPr>
            <w:tcW w:w="1288" w:type="dxa"/>
            <w:vAlign w:val="center"/>
          </w:tcPr>
          <w:p>
            <w:pPr>
              <w:pStyle w:val="8"/>
              <w:bidi w:val="0"/>
            </w:pPr>
            <w:r>
              <w:rPr>
                <w:rFonts w:hint="eastAsia"/>
              </w:rPr>
              <w:t>保护目标</w:t>
            </w:r>
          </w:p>
        </w:tc>
        <w:tc>
          <w:tcPr>
            <w:tcW w:w="1525" w:type="dxa"/>
            <w:vAlign w:val="center"/>
          </w:tcPr>
          <w:p>
            <w:pPr>
              <w:pStyle w:val="8"/>
              <w:bidi w:val="0"/>
            </w:pPr>
            <w:r>
              <w:rPr>
                <w:rFonts w:hint="eastAsia"/>
              </w:rPr>
              <w:t>功能与规模</w:t>
            </w:r>
          </w:p>
        </w:tc>
        <w:tc>
          <w:tcPr>
            <w:tcW w:w="1438" w:type="dxa"/>
            <w:vAlign w:val="center"/>
          </w:tcPr>
          <w:p>
            <w:pPr>
              <w:pStyle w:val="8"/>
              <w:bidi w:val="0"/>
            </w:pPr>
            <w:r>
              <w:rPr>
                <w:rFonts w:hint="eastAsia"/>
              </w:rPr>
              <w:t>与工程相对位置关系及</w:t>
            </w:r>
            <w:r>
              <w:rPr>
                <w:rFonts w:hint="eastAsia"/>
                <w:lang w:eastAsia="zh-CN"/>
              </w:rPr>
              <w:t>最近</w:t>
            </w:r>
            <w:r>
              <w:rPr>
                <w:rFonts w:hint="eastAsia"/>
              </w:rPr>
              <w:t>距离</w:t>
            </w:r>
          </w:p>
        </w:tc>
        <w:tc>
          <w:tcPr>
            <w:tcW w:w="912" w:type="dxa"/>
            <w:vAlign w:val="center"/>
          </w:tcPr>
          <w:p>
            <w:pPr>
              <w:pStyle w:val="8"/>
              <w:bidi w:val="0"/>
            </w:pPr>
            <w:r>
              <w:t>是否有山体阻隔</w:t>
            </w:r>
          </w:p>
        </w:tc>
        <w:tc>
          <w:tcPr>
            <w:tcW w:w="1775" w:type="dxa"/>
            <w:vAlign w:val="center"/>
          </w:tcPr>
          <w:p>
            <w:pPr>
              <w:pStyle w:val="8"/>
              <w:bidi w:val="0"/>
            </w:pPr>
            <w:r>
              <w:rPr>
                <w:rFonts w:hint="eastAsia"/>
              </w:rPr>
              <w:t>中心坐标</w:t>
            </w:r>
          </w:p>
        </w:tc>
        <w:tc>
          <w:tcPr>
            <w:tcW w:w="1175" w:type="dxa"/>
            <w:vAlign w:val="center"/>
          </w:tcPr>
          <w:p>
            <w:pPr>
              <w:pStyle w:val="8"/>
              <w:bidi w:val="0"/>
            </w:pPr>
            <w:r>
              <w:rPr>
                <w:rFonts w:hint="eastAsia"/>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1124" w:type="dxa"/>
            <w:vMerge w:val="restart"/>
            <w:vAlign w:val="center"/>
          </w:tcPr>
          <w:p>
            <w:pPr>
              <w:pStyle w:val="8"/>
              <w:bidi w:val="0"/>
            </w:pPr>
            <w:r>
              <w:rPr>
                <w:rFonts w:hint="eastAsia"/>
              </w:rPr>
              <w:t>环境空气</w:t>
            </w:r>
          </w:p>
        </w:tc>
        <w:tc>
          <w:tcPr>
            <w:tcW w:w="1288" w:type="dxa"/>
            <w:vAlign w:val="center"/>
          </w:tcPr>
          <w:p>
            <w:pPr>
              <w:pStyle w:val="8"/>
              <w:bidi w:val="0"/>
              <w:rPr>
                <w:rFonts w:hint="eastAsia" w:eastAsiaTheme="minorEastAsia"/>
                <w:lang w:eastAsia="zh-CN"/>
              </w:rPr>
            </w:pPr>
            <w:r>
              <w:rPr>
                <w:rFonts w:hint="eastAsia"/>
                <w:lang w:eastAsia="zh-CN"/>
              </w:rPr>
              <w:t>段家屋场居民</w:t>
            </w:r>
          </w:p>
        </w:tc>
        <w:tc>
          <w:tcPr>
            <w:tcW w:w="1525" w:type="dxa"/>
            <w:vAlign w:val="center"/>
          </w:tcPr>
          <w:p>
            <w:pPr>
              <w:pStyle w:val="8"/>
              <w:bidi w:val="0"/>
            </w:pPr>
            <w:r>
              <w:rPr>
                <w:rFonts w:hint="eastAsia"/>
              </w:rPr>
              <w:t>约</w:t>
            </w:r>
            <w:r>
              <w:rPr>
                <w:rFonts w:hint="eastAsia"/>
                <w:lang w:val="en-US" w:eastAsia="zh-CN"/>
              </w:rPr>
              <w:t>22</w:t>
            </w:r>
            <w:r>
              <w:rPr>
                <w:rFonts w:hint="eastAsia"/>
              </w:rPr>
              <w:t>户</w:t>
            </w:r>
          </w:p>
        </w:tc>
        <w:tc>
          <w:tcPr>
            <w:tcW w:w="1438" w:type="dxa"/>
            <w:vAlign w:val="center"/>
          </w:tcPr>
          <w:p>
            <w:pPr>
              <w:pStyle w:val="8"/>
              <w:bidi w:val="0"/>
            </w:pPr>
            <w:r>
              <w:rPr>
                <w:rFonts w:hint="eastAsia"/>
              </w:rPr>
              <w:t>N</w:t>
            </w:r>
            <w:r>
              <w:rPr>
                <w:rFonts w:hint="eastAsia"/>
                <w:lang w:eastAsia="zh-CN"/>
              </w:rPr>
              <w:t>、</w:t>
            </w:r>
            <w:r>
              <w:rPr>
                <w:rFonts w:hint="eastAsia"/>
                <w:lang w:val="en-US" w:eastAsia="zh-CN"/>
              </w:rPr>
              <w:t>205</w:t>
            </w:r>
            <w:r>
              <w:t>m</w:t>
            </w:r>
          </w:p>
        </w:tc>
        <w:tc>
          <w:tcPr>
            <w:tcW w:w="912" w:type="dxa"/>
            <w:vAlign w:val="center"/>
          </w:tcPr>
          <w:p>
            <w:pPr>
              <w:pStyle w:val="8"/>
              <w:bidi w:val="0"/>
              <w:rPr>
                <w:rFonts w:hint="default" w:eastAsiaTheme="minorEastAsia"/>
                <w:lang w:val="en-US" w:eastAsia="zh-CN"/>
              </w:rPr>
            </w:pPr>
            <w:r>
              <w:rPr>
                <w:rFonts w:hint="eastAsia"/>
                <w:lang w:val="en-US" w:eastAsia="zh-CN"/>
              </w:rPr>
              <w:t>有</w:t>
            </w:r>
          </w:p>
        </w:tc>
        <w:tc>
          <w:tcPr>
            <w:tcW w:w="1775" w:type="dxa"/>
            <w:vAlign w:val="center"/>
          </w:tcPr>
          <w:p>
            <w:pPr>
              <w:pStyle w:val="8"/>
              <w:bidi w:val="0"/>
            </w:pPr>
            <w:r>
              <w:rPr>
                <w:rFonts w:hint="eastAsia"/>
              </w:rPr>
              <w:t>29.533982588°</w:t>
            </w:r>
            <w:r>
              <w:t>北</w:t>
            </w:r>
            <w:r>
              <w:rPr>
                <w:rFonts w:hint="eastAsia"/>
              </w:rPr>
              <w:t>111.709277751°</w:t>
            </w:r>
            <w:r>
              <w:t>东</w:t>
            </w:r>
          </w:p>
        </w:tc>
        <w:tc>
          <w:tcPr>
            <w:tcW w:w="1175" w:type="dxa"/>
            <w:vMerge w:val="restart"/>
            <w:vAlign w:val="center"/>
          </w:tcPr>
          <w:p>
            <w:pPr>
              <w:pStyle w:val="8"/>
              <w:bidi w:val="0"/>
              <w:rPr>
                <w:rFonts w:hint="default" w:eastAsiaTheme="minorEastAsia"/>
                <w:lang w:val="en-US" w:eastAsia="zh-CN"/>
              </w:rPr>
            </w:pPr>
            <w:r>
              <w:rPr>
                <w:rFonts w:hint="eastAsia"/>
              </w:rPr>
              <w:t>《环境空气质量标准》（</w:t>
            </w:r>
            <w:r>
              <w:t>GB3095-2012</w:t>
            </w:r>
            <w:r>
              <w:rPr>
                <w:rFonts w:hint="eastAsia"/>
              </w:rPr>
              <w:t>）二级</w:t>
            </w:r>
            <w:r>
              <w:rPr>
                <w:rFonts w:hint="eastAsia"/>
                <w:lang w:val="en-US" w:eastAsia="zh-CN"/>
              </w:rPr>
              <w:t>以及</w:t>
            </w:r>
            <w:r>
              <w:rPr>
                <w:rFonts w:hint="eastAsia"/>
              </w:rPr>
              <w:t>《环境影响评价技术导则 大气环境》（HJ2.2-2018）附录</w:t>
            </w:r>
            <w:r>
              <w:rPr>
                <w:rFonts w:hint="eastAsia"/>
                <w:lang w:val="en-US" w:eastAsia="zh-CN"/>
              </w:rPr>
              <w:t>D中的标准值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jc w:val="center"/>
        </w:trPr>
        <w:tc>
          <w:tcPr>
            <w:tcW w:w="1124" w:type="dxa"/>
            <w:vMerge w:val="continue"/>
            <w:vAlign w:val="center"/>
          </w:tcPr>
          <w:p>
            <w:pPr>
              <w:pStyle w:val="8"/>
              <w:bidi w:val="0"/>
            </w:pPr>
          </w:p>
        </w:tc>
        <w:tc>
          <w:tcPr>
            <w:tcW w:w="1288" w:type="dxa"/>
            <w:vAlign w:val="center"/>
          </w:tcPr>
          <w:p>
            <w:pPr>
              <w:pStyle w:val="8"/>
              <w:bidi w:val="0"/>
              <w:rPr>
                <w:rFonts w:hint="eastAsia" w:eastAsiaTheme="minorEastAsia"/>
                <w:lang w:eastAsia="zh-CN"/>
              </w:rPr>
            </w:pPr>
            <w:r>
              <w:rPr>
                <w:rFonts w:hint="eastAsia"/>
                <w:lang w:eastAsia="zh-CN"/>
              </w:rPr>
              <w:t>天子山居民</w:t>
            </w:r>
          </w:p>
        </w:tc>
        <w:tc>
          <w:tcPr>
            <w:tcW w:w="1525" w:type="dxa"/>
            <w:vAlign w:val="center"/>
          </w:tcPr>
          <w:p>
            <w:pPr>
              <w:pStyle w:val="8"/>
              <w:bidi w:val="0"/>
            </w:pPr>
            <w:r>
              <w:rPr>
                <w:rFonts w:hint="eastAsia"/>
                <w:lang w:eastAsia="zh-CN"/>
              </w:rPr>
              <w:t>约</w:t>
            </w:r>
            <w:r>
              <w:rPr>
                <w:rFonts w:hint="eastAsia"/>
                <w:lang w:val="en-US" w:eastAsia="zh-CN"/>
              </w:rPr>
              <w:t>50</w:t>
            </w:r>
            <w:r>
              <w:rPr>
                <w:rFonts w:hint="eastAsia"/>
              </w:rPr>
              <w:t>户</w:t>
            </w:r>
          </w:p>
        </w:tc>
        <w:tc>
          <w:tcPr>
            <w:tcW w:w="1438" w:type="dxa"/>
            <w:vAlign w:val="center"/>
          </w:tcPr>
          <w:p>
            <w:pPr>
              <w:pStyle w:val="8"/>
              <w:bidi w:val="0"/>
            </w:pPr>
            <w:r>
              <w:rPr>
                <w:rFonts w:hint="eastAsia"/>
                <w:lang w:val="en-US" w:eastAsia="zh-CN"/>
              </w:rPr>
              <w:t>E</w:t>
            </w:r>
            <w:r>
              <w:rPr>
                <w:rFonts w:hint="eastAsia"/>
                <w:lang w:eastAsia="zh-CN"/>
              </w:rPr>
              <w:t>、</w:t>
            </w:r>
            <w:r>
              <w:rPr>
                <w:rFonts w:hint="eastAsia"/>
                <w:lang w:val="en-US" w:eastAsia="zh-CN"/>
              </w:rPr>
              <w:t>220</w:t>
            </w:r>
            <w:r>
              <w:t>m</w:t>
            </w:r>
          </w:p>
        </w:tc>
        <w:tc>
          <w:tcPr>
            <w:tcW w:w="912" w:type="dxa"/>
            <w:vAlign w:val="center"/>
          </w:tcPr>
          <w:p>
            <w:pPr>
              <w:pStyle w:val="8"/>
              <w:bidi w:val="0"/>
            </w:pPr>
            <w:r>
              <w:rPr>
                <w:rFonts w:hint="eastAsia"/>
                <w:lang w:val="en-US" w:eastAsia="zh-CN"/>
              </w:rPr>
              <w:t>有</w:t>
            </w:r>
          </w:p>
        </w:tc>
        <w:tc>
          <w:tcPr>
            <w:tcW w:w="1775" w:type="dxa"/>
            <w:vAlign w:val="center"/>
          </w:tcPr>
          <w:p>
            <w:pPr>
              <w:pStyle w:val="8"/>
              <w:bidi w:val="0"/>
            </w:pPr>
            <w:r>
              <w:rPr>
                <w:rFonts w:hint="eastAsia"/>
              </w:rPr>
              <w:t>29.528972221°</w:t>
            </w:r>
            <w:r>
              <w:t>北</w:t>
            </w:r>
            <w:r>
              <w:rPr>
                <w:rFonts w:hint="eastAsia"/>
              </w:rPr>
              <w:t>111.715403916°</w:t>
            </w:r>
            <w:r>
              <w:t>东</w:t>
            </w:r>
          </w:p>
        </w:tc>
        <w:tc>
          <w:tcPr>
            <w:tcW w:w="1175"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1124" w:type="dxa"/>
            <w:vMerge w:val="continue"/>
            <w:vAlign w:val="center"/>
          </w:tcPr>
          <w:p>
            <w:pPr>
              <w:pStyle w:val="8"/>
              <w:bidi w:val="0"/>
            </w:pPr>
          </w:p>
        </w:tc>
        <w:tc>
          <w:tcPr>
            <w:tcW w:w="1288" w:type="dxa"/>
            <w:vAlign w:val="center"/>
          </w:tcPr>
          <w:p>
            <w:pPr>
              <w:pStyle w:val="8"/>
              <w:bidi w:val="0"/>
              <w:rPr>
                <w:rFonts w:hint="eastAsia" w:eastAsiaTheme="minorEastAsia"/>
                <w:lang w:eastAsia="zh-CN"/>
              </w:rPr>
            </w:pPr>
            <w:r>
              <w:rPr>
                <w:rFonts w:hint="eastAsia"/>
                <w:lang w:eastAsia="zh-CN"/>
              </w:rPr>
              <w:t>英溪桥居民</w:t>
            </w:r>
          </w:p>
        </w:tc>
        <w:tc>
          <w:tcPr>
            <w:tcW w:w="1525" w:type="dxa"/>
            <w:vAlign w:val="center"/>
          </w:tcPr>
          <w:p>
            <w:pPr>
              <w:pStyle w:val="8"/>
              <w:bidi w:val="0"/>
            </w:pPr>
            <w:r>
              <w:rPr>
                <w:rFonts w:hint="eastAsia"/>
                <w:lang w:eastAsia="zh-CN"/>
              </w:rPr>
              <w:t>约</w:t>
            </w:r>
            <w:r>
              <w:rPr>
                <w:rFonts w:hint="eastAsia"/>
                <w:lang w:val="en-US" w:eastAsia="zh-CN"/>
              </w:rPr>
              <w:t>52</w:t>
            </w:r>
            <w:r>
              <w:rPr>
                <w:rFonts w:hint="eastAsia"/>
              </w:rPr>
              <w:t>户</w:t>
            </w:r>
          </w:p>
        </w:tc>
        <w:tc>
          <w:tcPr>
            <w:tcW w:w="1438" w:type="dxa"/>
            <w:vAlign w:val="center"/>
          </w:tcPr>
          <w:p>
            <w:pPr>
              <w:pStyle w:val="8"/>
              <w:bidi w:val="0"/>
            </w:pPr>
            <w:r>
              <w:rPr>
                <w:rFonts w:hint="eastAsia"/>
                <w:lang w:val="en-US" w:eastAsia="zh-CN"/>
              </w:rPr>
              <w:t>E</w:t>
            </w:r>
            <w:r>
              <w:rPr>
                <w:rFonts w:hint="eastAsia"/>
                <w:lang w:eastAsia="zh-CN"/>
              </w:rPr>
              <w:t>、</w:t>
            </w:r>
            <w:r>
              <w:rPr>
                <w:rFonts w:hint="eastAsia"/>
                <w:lang w:val="en-US" w:eastAsia="zh-CN"/>
              </w:rPr>
              <w:t>755</w:t>
            </w:r>
            <w:r>
              <w:t>m</w:t>
            </w:r>
          </w:p>
        </w:tc>
        <w:tc>
          <w:tcPr>
            <w:tcW w:w="912" w:type="dxa"/>
            <w:vAlign w:val="center"/>
          </w:tcPr>
          <w:p>
            <w:pPr>
              <w:pStyle w:val="8"/>
              <w:bidi w:val="0"/>
            </w:pPr>
            <w:r>
              <w:rPr>
                <w:rFonts w:hint="eastAsia"/>
                <w:lang w:val="en-US" w:eastAsia="zh-CN"/>
              </w:rPr>
              <w:t>有</w:t>
            </w:r>
          </w:p>
        </w:tc>
        <w:tc>
          <w:tcPr>
            <w:tcW w:w="1775" w:type="dxa"/>
            <w:vAlign w:val="center"/>
          </w:tcPr>
          <w:p>
            <w:pPr>
              <w:pStyle w:val="8"/>
              <w:bidi w:val="0"/>
            </w:pPr>
            <w:r>
              <w:rPr>
                <w:rFonts w:hint="eastAsia"/>
              </w:rPr>
              <w:t>29.528124643°</w:t>
            </w:r>
            <w:r>
              <w:t>北</w:t>
            </w:r>
            <w:r>
              <w:rPr>
                <w:rFonts w:hint="eastAsia"/>
              </w:rPr>
              <w:t>111.724362495°</w:t>
            </w:r>
            <w:r>
              <w:t>东</w:t>
            </w:r>
          </w:p>
        </w:tc>
        <w:tc>
          <w:tcPr>
            <w:tcW w:w="1175"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jc w:val="center"/>
        </w:trPr>
        <w:tc>
          <w:tcPr>
            <w:tcW w:w="1124" w:type="dxa"/>
            <w:vMerge w:val="continue"/>
            <w:vAlign w:val="center"/>
          </w:tcPr>
          <w:p>
            <w:pPr>
              <w:pStyle w:val="8"/>
              <w:bidi w:val="0"/>
            </w:pPr>
          </w:p>
        </w:tc>
        <w:tc>
          <w:tcPr>
            <w:tcW w:w="1288" w:type="dxa"/>
            <w:vAlign w:val="center"/>
          </w:tcPr>
          <w:p>
            <w:pPr>
              <w:pStyle w:val="8"/>
              <w:bidi w:val="0"/>
              <w:rPr>
                <w:rFonts w:hint="eastAsia" w:eastAsiaTheme="minorEastAsia"/>
                <w:lang w:eastAsia="zh-CN"/>
              </w:rPr>
            </w:pPr>
            <w:r>
              <w:rPr>
                <w:rFonts w:hint="eastAsia"/>
                <w:lang w:eastAsia="zh-CN"/>
              </w:rPr>
              <w:t>杨家湾居民</w:t>
            </w:r>
          </w:p>
        </w:tc>
        <w:tc>
          <w:tcPr>
            <w:tcW w:w="1525" w:type="dxa"/>
            <w:vAlign w:val="center"/>
          </w:tcPr>
          <w:p>
            <w:pPr>
              <w:pStyle w:val="8"/>
              <w:bidi w:val="0"/>
            </w:pPr>
            <w:r>
              <w:rPr>
                <w:rFonts w:hint="eastAsia"/>
                <w:lang w:eastAsia="zh-CN"/>
              </w:rPr>
              <w:t>约</w:t>
            </w:r>
            <w:r>
              <w:rPr>
                <w:rFonts w:hint="eastAsia"/>
                <w:lang w:val="en-US" w:eastAsia="zh-CN"/>
              </w:rPr>
              <w:t>4</w:t>
            </w:r>
            <w:r>
              <w:rPr>
                <w:rFonts w:hint="eastAsia"/>
              </w:rPr>
              <w:t>户</w:t>
            </w:r>
          </w:p>
        </w:tc>
        <w:tc>
          <w:tcPr>
            <w:tcW w:w="1438" w:type="dxa"/>
            <w:vAlign w:val="center"/>
          </w:tcPr>
          <w:p>
            <w:pPr>
              <w:pStyle w:val="8"/>
              <w:bidi w:val="0"/>
            </w:pPr>
            <w:r>
              <w:rPr>
                <w:rFonts w:hint="eastAsia"/>
                <w:lang w:val="en-US" w:eastAsia="zh-CN"/>
              </w:rPr>
              <w:t>SE</w:t>
            </w:r>
            <w:r>
              <w:rPr>
                <w:rFonts w:hint="eastAsia"/>
                <w:lang w:eastAsia="zh-CN"/>
              </w:rPr>
              <w:t>、</w:t>
            </w:r>
            <w:r>
              <w:rPr>
                <w:rFonts w:hint="eastAsia"/>
                <w:lang w:val="en-US" w:eastAsia="zh-CN"/>
              </w:rPr>
              <w:t>420</w:t>
            </w:r>
            <w:r>
              <w:t>m</w:t>
            </w:r>
          </w:p>
        </w:tc>
        <w:tc>
          <w:tcPr>
            <w:tcW w:w="912" w:type="dxa"/>
            <w:vAlign w:val="center"/>
          </w:tcPr>
          <w:p>
            <w:pPr>
              <w:pStyle w:val="8"/>
              <w:bidi w:val="0"/>
            </w:pPr>
            <w:r>
              <w:rPr>
                <w:rFonts w:hint="eastAsia"/>
                <w:lang w:val="en-US" w:eastAsia="zh-CN"/>
              </w:rPr>
              <w:t>有</w:t>
            </w:r>
          </w:p>
        </w:tc>
        <w:tc>
          <w:tcPr>
            <w:tcW w:w="1775" w:type="dxa"/>
            <w:vAlign w:val="center"/>
          </w:tcPr>
          <w:p>
            <w:pPr>
              <w:pStyle w:val="8"/>
              <w:bidi w:val="0"/>
            </w:pPr>
            <w:r>
              <w:rPr>
                <w:rFonts w:hint="eastAsia"/>
              </w:rPr>
              <w:t>29.523232294°</w:t>
            </w:r>
            <w:r>
              <w:t>北</w:t>
            </w:r>
            <w:r>
              <w:rPr>
                <w:rFonts w:hint="eastAsia"/>
              </w:rPr>
              <w:t>112.023460135°</w:t>
            </w:r>
            <w:r>
              <w:t>东</w:t>
            </w:r>
          </w:p>
        </w:tc>
        <w:tc>
          <w:tcPr>
            <w:tcW w:w="1175"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jc w:val="center"/>
        </w:trPr>
        <w:tc>
          <w:tcPr>
            <w:tcW w:w="1124" w:type="dxa"/>
            <w:vMerge w:val="continue"/>
            <w:vAlign w:val="center"/>
          </w:tcPr>
          <w:p>
            <w:pPr>
              <w:pStyle w:val="8"/>
              <w:bidi w:val="0"/>
            </w:pPr>
          </w:p>
        </w:tc>
        <w:tc>
          <w:tcPr>
            <w:tcW w:w="1288" w:type="dxa"/>
            <w:vAlign w:val="center"/>
          </w:tcPr>
          <w:p>
            <w:pPr>
              <w:pStyle w:val="8"/>
              <w:bidi w:val="0"/>
              <w:rPr>
                <w:rFonts w:hint="eastAsia"/>
                <w:lang w:eastAsia="zh-CN"/>
              </w:rPr>
            </w:pPr>
            <w:r>
              <w:rPr>
                <w:rFonts w:hint="eastAsia"/>
                <w:lang w:eastAsia="zh-CN"/>
              </w:rPr>
              <w:t>肖家湾居民</w:t>
            </w:r>
          </w:p>
        </w:tc>
        <w:tc>
          <w:tcPr>
            <w:tcW w:w="1525" w:type="dxa"/>
            <w:vAlign w:val="center"/>
          </w:tcPr>
          <w:p>
            <w:pPr>
              <w:pStyle w:val="8"/>
              <w:bidi w:val="0"/>
              <w:rPr>
                <w:rFonts w:hint="default"/>
                <w:lang w:val="en-US" w:eastAsia="zh-CN"/>
              </w:rPr>
            </w:pPr>
            <w:r>
              <w:rPr>
                <w:rFonts w:hint="eastAsia"/>
                <w:lang w:eastAsia="zh-CN"/>
              </w:rPr>
              <w:t>约</w:t>
            </w:r>
            <w:r>
              <w:rPr>
                <w:rFonts w:hint="eastAsia"/>
                <w:lang w:val="en-US" w:eastAsia="zh-CN"/>
              </w:rPr>
              <w:t>12户</w:t>
            </w:r>
          </w:p>
        </w:tc>
        <w:tc>
          <w:tcPr>
            <w:tcW w:w="1438" w:type="dxa"/>
            <w:vAlign w:val="center"/>
          </w:tcPr>
          <w:p>
            <w:pPr>
              <w:pStyle w:val="8"/>
              <w:bidi w:val="0"/>
              <w:rPr>
                <w:rFonts w:hint="default"/>
                <w:lang w:val="en-US" w:eastAsia="zh-CN"/>
              </w:rPr>
            </w:pPr>
            <w:r>
              <w:rPr>
                <w:rFonts w:hint="eastAsia"/>
                <w:lang w:val="en-US" w:eastAsia="zh-CN"/>
              </w:rPr>
              <w:t>S</w:t>
            </w:r>
            <w:r>
              <w:rPr>
                <w:rFonts w:hint="eastAsia"/>
                <w:lang w:eastAsia="zh-CN"/>
              </w:rPr>
              <w:t>、</w:t>
            </w:r>
            <w:r>
              <w:rPr>
                <w:rFonts w:hint="eastAsia"/>
                <w:lang w:val="en-US" w:eastAsia="zh-CN"/>
              </w:rPr>
              <w:t>1070m</w:t>
            </w:r>
          </w:p>
        </w:tc>
        <w:tc>
          <w:tcPr>
            <w:tcW w:w="912" w:type="dxa"/>
            <w:vAlign w:val="center"/>
          </w:tcPr>
          <w:p>
            <w:pPr>
              <w:pStyle w:val="8"/>
              <w:bidi w:val="0"/>
              <w:rPr>
                <w:rFonts w:hint="eastAsia"/>
                <w:lang w:val="en-US" w:eastAsia="zh-CN"/>
              </w:rPr>
            </w:pPr>
            <w:r>
              <w:rPr>
                <w:rFonts w:hint="eastAsia"/>
                <w:lang w:val="en-US" w:eastAsia="zh-CN"/>
              </w:rPr>
              <w:t>有</w:t>
            </w:r>
          </w:p>
        </w:tc>
        <w:tc>
          <w:tcPr>
            <w:tcW w:w="1775" w:type="dxa"/>
            <w:vAlign w:val="center"/>
          </w:tcPr>
          <w:p>
            <w:pPr>
              <w:pStyle w:val="8"/>
              <w:bidi w:val="0"/>
            </w:pPr>
            <w:r>
              <w:rPr>
                <w:rFonts w:hint="eastAsia"/>
              </w:rPr>
              <w:t>29.517181231°</w:t>
            </w:r>
            <w:r>
              <w:t>北</w:t>
            </w:r>
          </w:p>
          <w:p>
            <w:pPr>
              <w:pStyle w:val="8"/>
              <w:bidi w:val="0"/>
              <w:rPr>
                <w:rFonts w:hint="eastAsia"/>
              </w:rPr>
            </w:pPr>
            <w:r>
              <w:rPr>
                <w:rFonts w:hint="eastAsia"/>
              </w:rPr>
              <w:t>111.706295135°</w:t>
            </w:r>
            <w:r>
              <w:t>东</w:t>
            </w:r>
          </w:p>
        </w:tc>
        <w:tc>
          <w:tcPr>
            <w:tcW w:w="1175"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jc w:val="center"/>
        </w:trPr>
        <w:tc>
          <w:tcPr>
            <w:tcW w:w="1124" w:type="dxa"/>
            <w:vMerge w:val="continue"/>
            <w:vAlign w:val="center"/>
          </w:tcPr>
          <w:p>
            <w:pPr>
              <w:pStyle w:val="8"/>
              <w:bidi w:val="0"/>
            </w:pPr>
          </w:p>
        </w:tc>
        <w:tc>
          <w:tcPr>
            <w:tcW w:w="1288" w:type="dxa"/>
            <w:vAlign w:val="center"/>
          </w:tcPr>
          <w:p>
            <w:pPr>
              <w:pStyle w:val="8"/>
              <w:bidi w:val="0"/>
              <w:rPr>
                <w:rFonts w:hint="eastAsia"/>
                <w:lang w:eastAsia="zh-CN"/>
              </w:rPr>
            </w:pPr>
            <w:r>
              <w:rPr>
                <w:rFonts w:hint="eastAsia"/>
                <w:lang w:eastAsia="zh-CN"/>
              </w:rPr>
              <w:t>罗家冲居民</w:t>
            </w:r>
          </w:p>
        </w:tc>
        <w:tc>
          <w:tcPr>
            <w:tcW w:w="1525" w:type="dxa"/>
            <w:vAlign w:val="center"/>
          </w:tcPr>
          <w:p>
            <w:pPr>
              <w:pStyle w:val="8"/>
              <w:bidi w:val="0"/>
              <w:rPr>
                <w:rFonts w:hint="default"/>
                <w:lang w:val="en-US" w:eastAsia="zh-CN"/>
              </w:rPr>
            </w:pPr>
            <w:r>
              <w:rPr>
                <w:rFonts w:hint="eastAsia"/>
                <w:lang w:eastAsia="zh-CN"/>
              </w:rPr>
              <w:t>约</w:t>
            </w:r>
            <w:r>
              <w:rPr>
                <w:rFonts w:hint="eastAsia"/>
                <w:lang w:val="en-US" w:eastAsia="zh-CN"/>
              </w:rPr>
              <w:t>10户</w:t>
            </w:r>
          </w:p>
        </w:tc>
        <w:tc>
          <w:tcPr>
            <w:tcW w:w="1438" w:type="dxa"/>
            <w:vAlign w:val="center"/>
          </w:tcPr>
          <w:p>
            <w:pPr>
              <w:pStyle w:val="8"/>
              <w:bidi w:val="0"/>
              <w:rPr>
                <w:rFonts w:hint="default"/>
                <w:lang w:val="en-US" w:eastAsia="zh-CN"/>
              </w:rPr>
            </w:pPr>
            <w:r>
              <w:rPr>
                <w:rFonts w:hint="eastAsia"/>
                <w:lang w:val="en-US" w:eastAsia="zh-CN"/>
              </w:rPr>
              <w:t>SW、900m</w:t>
            </w:r>
          </w:p>
        </w:tc>
        <w:tc>
          <w:tcPr>
            <w:tcW w:w="912" w:type="dxa"/>
            <w:vAlign w:val="center"/>
          </w:tcPr>
          <w:p>
            <w:pPr>
              <w:pStyle w:val="8"/>
              <w:bidi w:val="0"/>
              <w:rPr>
                <w:rFonts w:hint="eastAsia"/>
                <w:lang w:val="en-US" w:eastAsia="zh-CN"/>
              </w:rPr>
            </w:pPr>
            <w:r>
              <w:rPr>
                <w:rFonts w:hint="eastAsia"/>
                <w:lang w:val="en-US" w:eastAsia="zh-CN"/>
              </w:rPr>
              <w:t>有</w:t>
            </w:r>
          </w:p>
        </w:tc>
        <w:tc>
          <w:tcPr>
            <w:tcW w:w="1775" w:type="dxa"/>
            <w:vAlign w:val="center"/>
          </w:tcPr>
          <w:p>
            <w:pPr>
              <w:pStyle w:val="8"/>
              <w:bidi w:val="0"/>
            </w:pPr>
            <w:r>
              <w:rPr>
                <w:rFonts w:hint="eastAsia"/>
              </w:rPr>
              <w:t>29.519391371°</w:t>
            </w:r>
            <w:r>
              <w:t>北</w:t>
            </w:r>
          </w:p>
          <w:p>
            <w:pPr>
              <w:pStyle w:val="8"/>
              <w:bidi w:val="0"/>
              <w:rPr>
                <w:rFonts w:hint="eastAsia"/>
              </w:rPr>
            </w:pPr>
            <w:r>
              <w:rPr>
                <w:rFonts w:hint="eastAsia"/>
              </w:rPr>
              <w:t>111.702411296°</w:t>
            </w:r>
            <w:r>
              <w:t>东</w:t>
            </w:r>
          </w:p>
        </w:tc>
        <w:tc>
          <w:tcPr>
            <w:tcW w:w="1175"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jc w:val="center"/>
        </w:trPr>
        <w:tc>
          <w:tcPr>
            <w:tcW w:w="1124" w:type="dxa"/>
            <w:vMerge w:val="continue"/>
            <w:vAlign w:val="center"/>
          </w:tcPr>
          <w:p>
            <w:pPr>
              <w:pStyle w:val="8"/>
              <w:bidi w:val="0"/>
            </w:pPr>
          </w:p>
        </w:tc>
        <w:tc>
          <w:tcPr>
            <w:tcW w:w="1288" w:type="dxa"/>
            <w:vAlign w:val="center"/>
          </w:tcPr>
          <w:p>
            <w:pPr>
              <w:pStyle w:val="8"/>
              <w:bidi w:val="0"/>
              <w:rPr>
                <w:rFonts w:hint="default"/>
                <w:lang w:val="en-US" w:eastAsia="zh-CN"/>
              </w:rPr>
            </w:pPr>
            <w:r>
              <w:rPr>
                <w:rFonts w:hint="eastAsia"/>
                <w:lang w:val="en-US" w:eastAsia="zh-CN"/>
              </w:rPr>
              <w:t>青家湾居民</w:t>
            </w:r>
          </w:p>
        </w:tc>
        <w:tc>
          <w:tcPr>
            <w:tcW w:w="1525" w:type="dxa"/>
            <w:vAlign w:val="center"/>
          </w:tcPr>
          <w:p>
            <w:pPr>
              <w:pStyle w:val="8"/>
              <w:bidi w:val="0"/>
              <w:rPr>
                <w:rFonts w:hint="eastAsia"/>
                <w:lang w:eastAsia="zh-CN"/>
              </w:rPr>
            </w:pPr>
            <w:r>
              <w:rPr>
                <w:rFonts w:hint="eastAsia"/>
                <w:lang w:eastAsia="zh-CN"/>
              </w:rPr>
              <w:t>约</w:t>
            </w:r>
            <w:r>
              <w:rPr>
                <w:rFonts w:hint="eastAsia"/>
                <w:lang w:val="en-US" w:eastAsia="zh-CN"/>
              </w:rPr>
              <w:t>14户</w:t>
            </w:r>
          </w:p>
        </w:tc>
        <w:tc>
          <w:tcPr>
            <w:tcW w:w="1438" w:type="dxa"/>
            <w:vAlign w:val="center"/>
          </w:tcPr>
          <w:p>
            <w:pPr>
              <w:pStyle w:val="8"/>
              <w:bidi w:val="0"/>
              <w:rPr>
                <w:rFonts w:hint="default"/>
                <w:lang w:val="en-US" w:eastAsia="zh-CN"/>
              </w:rPr>
            </w:pPr>
            <w:r>
              <w:rPr>
                <w:rFonts w:hint="eastAsia"/>
                <w:lang w:val="en-US" w:eastAsia="zh-CN"/>
              </w:rPr>
              <w:t>W、460m</w:t>
            </w:r>
          </w:p>
        </w:tc>
        <w:tc>
          <w:tcPr>
            <w:tcW w:w="912" w:type="dxa"/>
            <w:vAlign w:val="center"/>
          </w:tcPr>
          <w:p>
            <w:pPr>
              <w:pStyle w:val="8"/>
              <w:bidi w:val="0"/>
              <w:rPr>
                <w:rFonts w:hint="eastAsia"/>
                <w:lang w:val="en-US" w:eastAsia="zh-CN"/>
              </w:rPr>
            </w:pPr>
            <w:r>
              <w:rPr>
                <w:rFonts w:hint="eastAsia"/>
                <w:lang w:val="en-US" w:eastAsia="zh-CN"/>
              </w:rPr>
              <w:t>有</w:t>
            </w:r>
          </w:p>
        </w:tc>
        <w:tc>
          <w:tcPr>
            <w:tcW w:w="1775" w:type="dxa"/>
            <w:vAlign w:val="center"/>
          </w:tcPr>
          <w:p>
            <w:pPr>
              <w:pStyle w:val="8"/>
              <w:bidi w:val="0"/>
            </w:pPr>
            <w:r>
              <w:rPr>
                <w:rFonts w:hint="eastAsia"/>
              </w:rPr>
              <w:t>29.528189016°</w:t>
            </w:r>
            <w:r>
              <w:t>北</w:t>
            </w:r>
          </w:p>
          <w:p>
            <w:pPr>
              <w:pStyle w:val="8"/>
              <w:bidi w:val="0"/>
              <w:rPr>
                <w:rFonts w:hint="eastAsia"/>
              </w:rPr>
            </w:pPr>
            <w:r>
              <w:rPr>
                <w:rFonts w:hint="eastAsia"/>
              </w:rPr>
              <w:t>111.701274039°</w:t>
            </w:r>
            <w:r>
              <w:t>东</w:t>
            </w:r>
          </w:p>
        </w:tc>
        <w:tc>
          <w:tcPr>
            <w:tcW w:w="1175"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jc w:val="center"/>
        </w:trPr>
        <w:tc>
          <w:tcPr>
            <w:tcW w:w="1124" w:type="dxa"/>
            <w:vMerge w:val="restart"/>
            <w:vAlign w:val="center"/>
          </w:tcPr>
          <w:p>
            <w:pPr>
              <w:pStyle w:val="8"/>
              <w:bidi w:val="0"/>
            </w:pPr>
            <w:r>
              <w:rPr>
                <w:rFonts w:hint="eastAsia"/>
              </w:rPr>
              <w:t>地表水</w:t>
            </w:r>
          </w:p>
          <w:p>
            <w:pPr>
              <w:pStyle w:val="8"/>
              <w:bidi w:val="0"/>
            </w:pPr>
            <w:r>
              <w:rPr>
                <w:rFonts w:hint="eastAsia"/>
              </w:rPr>
              <w:t>环境</w:t>
            </w:r>
          </w:p>
        </w:tc>
        <w:tc>
          <w:tcPr>
            <w:tcW w:w="1288" w:type="dxa"/>
            <w:vAlign w:val="center"/>
          </w:tcPr>
          <w:p>
            <w:pPr>
              <w:pStyle w:val="8"/>
              <w:bidi w:val="0"/>
              <w:rPr>
                <w:rFonts w:hint="eastAsia" w:eastAsiaTheme="minorEastAsia"/>
                <w:lang w:eastAsia="zh-CN"/>
              </w:rPr>
            </w:pPr>
            <w:r>
              <w:rPr>
                <w:rFonts w:hint="eastAsia"/>
                <w:lang w:eastAsia="zh-CN"/>
              </w:rPr>
              <w:t>道水支流</w:t>
            </w:r>
          </w:p>
        </w:tc>
        <w:tc>
          <w:tcPr>
            <w:tcW w:w="5650" w:type="dxa"/>
            <w:gridSpan w:val="4"/>
            <w:vAlign w:val="center"/>
          </w:tcPr>
          <w:p>
            <w:pPr>
              <w:pStyle w:val="8"/>
              <w:bidi w:val="0"/>
            </w:pPr>
            <w:r>
              <w:rPr>
                <w:rFonts w:hint="eastAsia"/>
                <w:lang w:eastAsia="zh-CN"/>
              </w:rPr>
              <w:t>北侧，</w:t>
            </w:r>
            <w:r>
              <w:rPr>
                <w:rFonts w:hint="eastAsia"/>
              </w:rPr>
              <w:t>与场界的最近距离</w:t>
            </w:r>
            <w:r>
              <w:rPr>
                <w:rFonts w:hint="eastAsia"/>
                <w:lang w:val="en-US" w:eastAsia="zh-CN"/>
              </w:rPr>
              <w:t>420</w:t>
            </w:r>
            <w:r>
              <w:t>m</w:t>
            </w:r>
          </w:p>
        </w:tc>
        <w:tc>
          <w:tcPr>
            <w:tcW w:w="1175" w:type="dxa"/>
            <w:vMerge w:val="restart"/>
            <w:vAlign w:val="center"/>
          </w:tcPr>
          <w:p>
            <w:pPr>
              <w:pStyle w:val="8"/>
              <w:bidi w:val="0"/>
            </w:pPr>
            <w:r>
              <w:rPr>
                <w:rFonts w:hint="eastAsia"/>
              </w:rPr>
              <w:t>《地表水环境质量标准》（</w:t>
            </w:r>
            <w:r>
              <w:t>GB3838-2002)</w:t>
            </w:r>
            <w:r>
              <w:rPr>
                <w:rFonts w:hint="eastAsia"/>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1124" w:type="dxa"/>
            <w:vMerge w:val="continue"/>
            <w:vAlign w:val="center"/>
          </w:tcPr>
          <w:p>
            <w:pPr>
              <w:pStyle w:val="8"/>
              <w:bidi w:val="0"/>
            </w:pPr>
          </w:p>
        </w:tc>
        <w:tc>
          <w:tcPr>
            <w:tcW w:w="1288" w:type="dxa"/>
            <w:vAlign w:val="center"/>
          </w:tcPr>
          <w:p>
            <w:pPr>
              <w:pStyle w:val="8"/>
              <w:bidi w:val="0"/>
            </w:pPr>
            <w:r>
              <w:rPr>
                <w:rFonts w:hint="eastAsia"/>
                <w:lang w:eastAsia="zh-CN"/>
              </w:rPr>
              <w:t>道水</w:t>
            </w:r>
          </w:p>
        </w:tc>
        <w:tc>
          <w:tcPr>
            <w:tcW w:w="5650" w:type="dxa"/>
            <w:gridSpan w:val="4"/>
            <w:vAlign w:val="center"/>
          </w:tcPr>
          <w:p>
            <w:pPr>
              <w:pStyle w:val="8"/>
              <w:bidi w:val="0"/>
              <w:rPr>
                <w:rFonts w:hint="default" w:eastAsiaTheme="minorEastAsia"/>
                <w:lang w:val="en-US" w:eastAsia="zh-CN"/>
              </w:rPr>
            </w:pPr>
            <w:r>
              <w:rPr>
                <w:rFonts w:hint="eastAsia"/>
                <w:lang w:eastAsia="zh-CN"/>
              </w:rPr>
              <w:t>东侧，</w:t>
            </w:r>
            <w:r>
              <w:rPr>
                <w:rFonts w:hint="eastAsia"/>
              </w:rPr>
              <w:t>与场界的最近距离</w:t>
            </w:r>
            <w:r>
              <w:rPr>
                <w:rFonts w:hint="eastAsia"/>
                <w:lang w:val="en-US" w:eastAsia="zh-CN"/>
              </w:rPr>
              <w:t>2500</w:t>
            </w:r>
            <w:r>
              <w:t>m</w:t>
            </w:r>
          </w:p>
        </w:tc>
        <w:tc>
          <w:tcPr>
            <w:tcW w:w="1175"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 w:hRule="atLeast"/>
          <w:jc w:val="center"/>
        </w:trPr>
        <w:tc>
          <w:tcPr>
            <w:tcW w:w="1124" w:type="dxa"/>
            <w:vMerge w:val="continue"/>
            <w:vAlign w:val="center"/>
          </w:tcPr>
          <w:p>
            <w:pPr>
              <w:pStyle w:val="8"/>
              <w:bidi w:val="0"/>
            </w:pPr>
          </w:p>
        </w:tc>
        <w:tc>
          <w:tcPr>
            <w:tcW w:w="1288" w:type="dxa"/>
            <w:vAlign w:val="center"/>
          </w:tcPr>
          <w:p>
            <w:pPr>
              <w:pStyle w:val="8"/>
              <w:bidi w:val="0"/>
              <w:rPr>
                <w:rFonts w:hint="default"/>
                <w:lang w:val="en-US" w:eastAsia="zh-CN"/>
              </w:rPr>
            </w:pPr>
            <w:r>
              <w:rPr>
                <w:rFonts w:hint="eastAsia"/>
                <w:lang w:val="en-US" w:eastAsia="zh-CN"/>
              </w:rPr>
              <w:t>桑木峪水库</w:t>
            </w:r>
          </w:p>
        </w:tc>
        <w:tc>
          <w:tcPr>
            <w:tcW w:w="5650" w:type="dxa"/>
            <w:gridSpan w:val="4"/>
            <w:vAlign w:val="center"/>
          </w:tcPr>
          <w:p>
            <w:pPr>
              <w:pStyle w:val="8"/>
              <w:bidi w:val="0"/>
              <w:rPr>
                <w:rFonts w:hint="default"/>
                <w:lang w:val="en-US" w:eastAsia="zh-CN"/>
              </w:rPr>
            </w:pPr>
            <w:r>
              <w:rPr>
                <w:rFonts w:hint="eastAsia"/>
                <w:lang w:val="en-US" w:eastAsia="zh-CN"/>
              </w:rPr>
              <w:t>南侧，与厂界最近距离502m，饮用水源</w:t>
            </w:r>
          </w:p>
        </w:tc>
        <w:tc>
          <w:tcPr>
            <w:tcW w:w="1175" w:type="dxa"/>
            <w:vAlign w:val="center"/>
          </w:tcPr>
          <w:p>
            <w:pPr>
              <w:pStyle w:val="8"/>
              <w:bidi w:val="0"/>
            </w:pPr>
            <w:r>
              <w:rPr>
                <w:rFonts w:hint="eastAsia"/>
              </w:rPr>
              <w:t>《地表水环境质量标准》（</w:t>
            </w:r>
            <w:r>
              <w:t>GB3838-2002)</w:t>
            </w:r>
            <w:r>
              <w:rPr>
                <w:rFonts w:hint="eastAsia" w:ascii="宋体" w:hAnsi="宋体" w:eastAsia="宋体" w:cs="宋体"/>
              </w:rPr>
              <w:t>Ⅱ</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3" w:hRule="atLeast"/>
          <w:jc w:val="center"/>
        </w:trPr>
        <w:tc>
          <w:tcPr>
            <w:tcW w:w="1124" w:type="dxa"/>
            <w:vAlign w:val="center"/>
          </w:tcPr>
          <w:p>
            <w:pPr>
              <w:pStyle w:val="8"/>
              <w:bidi w:val="0"/>
            </w:pPr>
            <w:r>
              <w:rPr>
                <w:rFonts w:hint="eastAsia"/>
              </w:rPr>
              <w:t>地下水</w:t>
            </w:r>
          </w:p>
          <w:p>
            <w:pPr>
              <w:pStyle w:val="8"/>
              <w:bidi w:val="0"/>
            </w:pPr>
            <w:r>
              <w:rPr>
                <w:rFonts w:hint="eastAsia"/>
              </w:rPr>
              <w:t>环境</w:t>
            </w:r>
          </w:p>
        </w:tc>
        <w:tc>
          <w:tcPr>
            <w:tcW w:w="1288" w:type="dxa"/>
            <w:vAlign w:val="center"/>
          </w:tcPr>
          <w:p>
            <w:pPr>
              <w:pStyle w:val="8"/>
              <w:bidi w:val="0"/>
            </w:pPr>
            <w:r>
              <w:rPr>
                <w:rFonts w:hint="eastAsia"/>
              </w:rPr>
              <w:t>场区周边地下水</w:t>
            </w:r>
          </w:p>
        </w:tc>
        <w:tc>
          <w:tcPr>
            <w:tcW w:w="5650" w:type="dxa"/>
            <w:gridSpan w:val="4"/>
            <w:vAlign w:val="center"/>
          </w:tcPr>
          <w:p>
            <w:pPr>
              <w:pStyle w:val="8"/>
              <w:bidi w:val="0"/>
            </w:pPr>
            <w:r>
              <w:rPr>
                <w:rFonts w:hint="eastAsia"/>
              </w:rPr>
              <w:t>场区周边地下水</w:t>
            </w:r>
          </w:p>
        </w:tc>
        <w:tc>
          <w:tcPr>
            <w:tcW w:w="1175" w:type="dxa"/>
            <w:vAlign w:val="center"/>
          </w:tcPr>
          <w:p>
            <w:pPr>
              <w:pStyle w:val="8"/>
              <w:bidi w:val="0"/>
            </w:pPr>
            <w:r>
              <w:rPr>
                <w:rFonts w:hint="eastAsia"/>
              </w:rPr>
              <w:t>《地下水质量标准》（</w:t>
            </w:r>
            <w:r>
              <w:t>GB/T14848-</w:t>
            </w:r>
            <w:r>
              <w:rPr>
                <w:rFonts w:hint="eastAsia"/>
              </w:rPr>
              <w:t>2017）Ⅲ类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0" w:hRule="atLeast"/>
          <w:jc w:val="center"/>
        </w:trPr>
        <w:tc>
          <w:tcPr>
            <w:tcW w:w="1124" w:type="dxa"/>
            <w:vAlign w:val="center"/>
          </w:tcPr>
          <w:p>
            <w:pPr>
              <w:pStyle w:val="8"/>
              <w:bidi w:val="0"/>
            </w:pPr>
            <w:r>
              <w:rPr>
                <w:rFonts w:hint="eastAsia"/>
              </w:rPr>
              <w:t>声环境</w:t>
            </w:r>
          </w:p>
        </w:tc>
        <w:tc>
          <w:tcPr>
            <w:tcW w:w="1288" w:type="dxa"/>
            <w:vAlign w:val="center"/>
          </w:tcPr>
          <w:p>
            <w:pPr>
              <w:pStyle w:val="8"/>
              <w:bidi w:val="0"/>
            </w:pPr>
            <w:r>
              <w:t>/</w:t>
            </w:r>
          </w:p>
        </w:tc>
        <w:tc>
          <w:tcPr>
            <w:tcW w:w="5650" w:type="dxa"/>
            <w:gridSpan w:val="4"/>
            <w:vAlign w:val="center"/>
          </w:tcPr>
          <w:p>
            <w:pPr>
              <w:pStyle w:val="8"/>
              <w:bidi w:val="0"/>
            </w:pPr>
            <w:r>
              <w:rPr>
                <w:rFonts w:hint="eastAsia"/>
              </w:rPr>
              <w:t>项目养殖场厂界外0</w:t>
            </w:r>
            <w:r>
              <w:t>~200m</w:t>
            </w:r>
            <w:r>
              <w:rPr>
                <w:rFonts w:hint="eastAsia"/>
              </w:rPr>
              <w:t>范围内无居民</w:t>
            </w:r>
          </w:p>
        </w:tc>
        <w:tc>
          <w:tcPr>
            <w:tcW w:w="1175" w:type="dxa"/>
            <w:vAlign w:val="center"/>
          </w:tcPr>
          <w:p>
            <w:pPr>
              <w:pStyle w:val="8"/>
              <w:bidi w:val="0"/>
            </w:pPr>
            <w:r>
              <w:rPr>
                <w:rFonts w:hint="eastAsia"/>
              </w:rPr>
              <w:t>《声环境质量标准》</w:t>
            </w:r>
            <w:r>
              <w:t>2</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1124" w:type="dxa"/>
            <w:vAlign w:val="center"/>
          </w:tcPr>
          <w:p>
            <w:pPr>
              <w:pStyle w:val="8"/>
              <w:bidi w:val="0"/>
            </w:pPr>
            <w:r>
              <w:rPr>
                <w:rFonts w:hint="eastAsia"/>
              </w:rPr>
              <w:t>生态环境</w:t>
            </w:r>
          </w:p>
        </w:tc>
        <w:tc>
          <w:tcPr>
            <w:tcW w:w="8113" w:type="dxa"/>
            <w:gridSpan w:val="6"/>
            <w:vAlign w:val="center"/>
          </w:tcPr>
          <w:p>
            <w:pPr>
              <w:pStyle w:val="8"/>
              <w:bidi w:val="0"/>
            </w:pPr>
            <w:r>
              <w:rPr>
                <w:rFonts w:hint="eastAsia"/>
              </w:rPr>
              <w:t>养殖区周边</w:t>
            </w:r>
            <w:r>
              <w:t>200m</w:t>
            </w:r>
            <w:r>
              <w:rPr>
                <w:rFonts w:hint="eastAsia"/>
              </w:rPr>
              <w:t>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124" w:type="dxa"/>
            <w:vAlign w:val="center"/>
          </w:tcPr>
          <w:p>
            <w:pPr>
              <w:pStyle w:val="8"/>
              <w:bidi w:val="0"/>
            </w:pPr>
            <w:r>
              <w:rPr>
                <w:rFonts w:hint="eastAsia"/>
              </w:rPr>
              <w:t>土壤环境</w:t>
            </w:r>
          </w:p>
        </w:tc>
        <w:tc>
          <w:tcPr>
            <w:tcW w:w="8113" w:type="dxa"/>
            <w:gridSpan w:val="6"/>
            <w:vAlign w:val="center"/>
          </w:tcPr>
          <w:p>
            <w:pPr>
              <w:pStyle w:val="8"/>
              <w:bidi w:val="0"/>
            </w:pPr>
            <w:r>
              <w:rPr>
                <w:rFonts w:hint="eastAsia"/>
              </w:rPr>
              <w:t>养殖区周边5</w:t>
            </w:r>
            <w:r>
              <w:t>0m</w:t>
            </w:r>
            <w:r>
              <w:rPr>
                <w:rFonts w:hint="eastAsia"/>
              </w:rPr>
              <w:t>范围内的耕地等土壤敏感点</w:t>
            </w:r>
          </w:p>
        </w:tc>
      </w:tr>
    </w:tbl>
    <w:p>
      <w:pPr>
        <w:pStyle w:val="4"/>
        <w:bidi w:val="0"/>
      </w:pPr>
      <w:bookmarkStart w:id="124" w:name="_Toc31062"/>
      <w:r>
        <w:t>相关规划</w:t>
      </w:r>
      <w:bookmarkEnd w:id="124"/>
    </w:p>
    <w:p>
      <w:pPr>
        <w:pStyle w:val="5"/>
        <w:bidi w:val="0"/>
      </w:pPr>
      <w:r>
        <w:t>常德市“十三五”畜牧水产业发展规划</w:t>
      </w:r>
    </w:p>
    <w:p>
      <w:r>
        <w:t>（</w:t>
      </w:r>
      <w:r>
        <w:rPr>
          <w:rFonts w:hint="eastAsia"/>
        </w:rPr>
        <w:t>一</w:t>
      </w:r>
      <w:r>
        <w:t>）</w:t>
      </w:r>
      <w:r>
        <w:rPr>
          <w:rFonts w:hint="eastAsia"/>
        </w:rPr>
        <w:t>发展思路</w:t>
      </w:r>
    </w:p>
    <w:p>
      <w:bookmarkStart w:id="125" w:name="_Toc289344571"/>
      <w:bookmarkStart w:id="126" w:name="_Toc288480026"/>
      <w:r>
        <w:rPr>
          <w:rFonts w:hint="eastAsia"/>
        </w:rPr>
        <w:t>全面贯彻落实党的十八大和十八届三中、四中、五中全会精神，以邓小平理论、“三个代表”重要思想、科学发展观为指导，坚持创新、协调、绿色、开放、共享发展新理念，以生态、高效、安全为目标，更加注重产业提质增效，更加注重环境保护，更加注重质量安全，更加注重可持续发展，大力推进养殖业现代化进程，到“十三五”末，基本实现养殖业现代化。</w:t>
      </w:r>
    </w:p>
    <w:p>
      <w:r>
        <w:rPr>
          <w:rFonts w:hint="eastAsia"/>
        </w:rPr>
        <w:t>坚持产业创新。积极推进养殖企业化管理，发展培育专业合作社、龙头企业、家庭牧场等新型经营主体。推进品牌化建设，支持企业积极创建国内和省内驰名、著名商标，提高养殖品牌影响力。推进资本化运作，通过股份合作，引进商业资本，实行资源资产化、资产资本化、资本股份化，构建养殖融资平台。推进产业延伸，注重发展加工业、流通服务业、休闲旅游业，大力发展生态农庄、休闲渔业、休闲牧业，拓展养殖业的延伸空间。</w:t>
      </w:r>
    </w:p>
    <w:p>
      <w:r>
        <w:rPr>
          <w:rFonts w:hint="eastAsia"/>
        </w:rPr>
        <w:t>坚持转型升级。扩大标准化生产，提高产业标准化水平。发展适度规模经营，控制养殖总量，提高产业效益。推行智能化管理，大力推进“互联网+”现代养殖业，应用互联网、云计算、大数据、移动互联等现代信息技术，促进产销对接。</w:t>
      </w:r>
    </w:p>
    <w:p>
      <w:r>
        <w:rPr>
          <w:rFonts w:hint="eastAsia"/>
        </w:rPr>
        <w:t>坚持绿色治养。推行生态养殖技术，重点推广标准化生产、废弃物综合利用等养殖技术，从养殖生产全过程控制污染。加强养殖污染综合治理，科学调整养殖区域布局，依法查处污染行为，保护生态环境。</w:t>
      </w:r>
    </w:p>
    <w:p>
      <w:r>
        <w:rPr>
          <w:rFonts w:hint="eastAsia"/>
        </w:rPr>
        <w:t>坚持结构调整。既要对产业区域布局调整，又要着力改善产品结构，根据气候、资源、环境条件发展地方特色养殖，适度调减生猪养殖和常规鱼养殖规模，积极发展牛羊养殖和特色高效水产养殖。</w:t>
      </w:r>
    </w:p>
    <w:bookmarkEnd w:id="125"/>
    <w:bookmarkEnd w:id="126"/>
    <w:p>
      <w:r>
        <w:rPr>
          <w:rFonts w:hint="eastAsia"/>
        </w:rPr>
        <w:t>（二）发展目标</w:t>
      </w:r>
    </w:p>
    <w:p>
      <w:r>
        <w:rPr>
          <w:rFonts w:hint="eastAsia"/>
        </w:rPr>
        <w:t>以实现养殖现代化为目标，抓好产业结构和产品结构调整，稳定生猪、水产、家禽主导产业，发展适度规模经营和特色养殖，积极抓好养殖生态环境保护，加强动物疫病防控和产品质量安全管理，不断提高产业科技创新能力和行业监管能力。到“十三五”末，基本构建养殖现代化体系。</w:t>
      </w:r>
    </w:p>
    <w:p>
      <w:r>
        <w:rPr>
          <w:rFonts w:hint="eastAsia"/>
        </w:rPr>
        <w:t>（三）发展措施</w:t>
      </w:r>
    </w:p>
    <w:p>
      <w:r>
        <w:t>（1）加快推进养殖产业化建设。加快标准化体系建设。大力推进标准化示范区建设，拓宽优势产品示范区域，增加品种，提高标准。“十三五”时期内改扩建标准化规模养殖场2000个。加大对龙头企业支持力度，重点支持大湖股份、惠生肉业、湘佳牧业等企业做大做强。积极发展养殖企业资本化运作，新增上市企业2家。做大做强一批养殖合作社，力争5家合作社成为国家级示范社，10家合作社成为省级示范社，打造一批跨区域有影响的联合社。进一步发展养殖产品加工。大力推动生猪产品加工向精深方向发展，开发加工品种，提高产品档次。积极发展禽蛋、牛羊肉加工，下大力发展水产品加工。到2020年，生猪实际屠宰加工总量达到500万头以上，家禽加工6000万羽以上，水产品加工要突破30万吨。积极扩大产品市场流通。常德水产大市场、澧县八百里水产大市场、汉寿甲鱼综合市场和西洞庭水产批发市场做大做强。大力发展连锁超市、电子商务、网络销售和现代物流，努力创造条件发展期货交易。加强品牌化建设。积极推进“三品一标”认证，“十三五”时期内新增“三品”认证产品100个以上。</w:t>
      </w:r>
    </w:p>
    <w:p>
      <w:r>
        <w:t>（2）大力推进养殖业结构调整。根据我市地理区域资源特色、产业基础，积极抓好养殖结构调整，科学规划，优化结构，做大做强优势产业，不断提高养殖效益。生猪养殖和家禽养殖要逐步远离水源保护区、城乡居民集中区、风景名胜区，发展优质优良品种，实现标准化生产和适度规模经营。加快发展草食动物优势产区，重点扶持石门、桃源、澧县、鼎城等地方资源条件好的山区发展牛羊产业。引进种植优质牧草，在有条件的地方建设草场，为草食动物发展创造条件。常规水产养殖主要搞好精养池塘标准化改造，改良品种，稳定产量，提高质量。积极发展高效特色水产养殖，重点扶持甲鱼、泥鳅、黄颡鱼、南美白对虾养殖。到2020年，甲鱼养殖面积要达到15万亩，泥鳅和黄颡鱼养殖面积分别达到3万亩，南美白对虾养殖达到5万亩以上。积极发展循环农业，加快发展“猪-渔”、“猪-禽”、“稻-渔”等立体综合养殖。积极发展休闲牧业、休闲渔业，加快推进家庭农庄、家庭牧场、特色示范园建设，立足高端，发展养殖、观光、体验、休闲于一体的牧场、垂钓场，使一、二、三产业相互融合，共同发展，提高效益。</w:t>
      </w:r>
    </w:p>
    <w:p>
      <w:r>
        <w:t>（3）加强养殖污染治理。抓好规划管理，严格落实禁养区、限养区、适养区“三区”规划要求，稳定和控制养殖总体规模。严格养殖企业准入制度，依法关闭禁养区内的所有养殖场，其它区域设立养殖场要严格进行环境影响评价，实现达标排放。加大对养殖行为的监管力度，严格落实土地利用、环保评价、动物防疫条件审查等规定，依法查处养殖污染行为。大力推广生态健康养殖技术，主要推广标准化生产、农牧循环等生态清洁养殖技术。加大干湿分离、三级沉淀等治污模式的推广应用力度，不断提升治污水平。抓好水面禁止投肥养殖，大力推进水生态保护和水环境治理，在河流、湖泊、水库等公共水域全面禁止投肥养殖，积极推广水产健康养殖新技术，指导养殖户改善养殖结构，提高养殖水平。</w:t>
      </w:r>
    </w:p>
    <w:p>
      <w:r>
        <w:t>（4）加强重大动物疫病防控。进一步加强基层防控体系机制建设，稳定队伍，充实人员，完善设备，夯实防控基础。切实抓好强制免疫，严格按免疫程序和操作技术规程进行免疫，确保免疫质量和免疫效果。认真抓好疫病监测与流调，加强县乡业务人员培训，提高采样和兽医实验监测水平，重点加强对种畜禽场、活畜禽交易市场、规模养殖场的监测，及时、全面、准确地掌握动态，科学研判动物疫情形势。加大动物卫生监督执法力度，全面落实产地检疫和屠宰检疫，全面推行检疫电子出证，依法查处违反《动物防疫法》的行为。严格落实病害动物无害化处理制度，病害动物无害化处理率达到100%。鼓励规模养殖企业配备无害化处理设施，妥善解决无害化处理问题。进一步完善动物疫情应急管理机制，完善应急预案，加强动物疫苗冷链设施建设，快速有效处置各种突发疫情。到2020年末，把常德基本建成为无规定动物疫病区。</w:t>
      </w:r>
    </w:p>
    <w:p>
      <w:r>
        <w:t>（5）加强产品质量安全监管。进一步加强畜禽水产品质量安全监管网络建设，完善养殖企业自我约束机制，健全市县乡安全监管队伍，特别是夯实乡镇监管基础，健全监管机构，明确监管职能，提高监管能力。继续深入开展饲料、兽药、水产品、违禁药品等专项整治行动，不断规范养殖生产经营行为。加强产品质量安全检验检测体系建设，重点建好市畜禽水产品质量安全检验检测中心，到2020年，市级检测中心要建成为功能齐全、设备精良、检测辐射面广的湘西北中心检测机构。同时，加强县乡基层检测机构建设和养殖企业质检中心建设。深入开展质量安全示范县创建活动，推动我市畜禽水产品质量安全示范县创建，通过创建活动，督促养殖企业建立健全产品进货查验、质量追溯和召回等制度，主动落实质量安全措施。</w:t>
      </w:r>
    </w:p>
    <w:p>
      <w:r>
        <w:t>（6）加强养殖科技推广服务。进一步健全技术推广服务体系，不断提高养殖业的科技支撑力。围绕健康养殖、动物疫病防控、畜禽污染治理等关键环节，加大技术攻关和技术运用，着力解决制约现代养殖业发展的瓶颈问题。以主导品种、主推技术为抓手，大力推广程序化防疫技术、粪污综合治理等适应标准化规模养殖的组装配套技术。强化科技推广培训，推进技术推广体系改革。针对中小规模养殖户饲养管理落后、标准化程度较低等问题，组织开展更多的“面对面、手把手、零距离”的科技服务活动，切实帮助养殖户掌握先进技术。支持科研机构、龙头企业、养殖基地开展科研合作、技术攻关，及时把畜禽水产良种繁育、动物疫病防控、养殖污染治理等方面的先进成果、实用技术传送到养殖场户，提高行业科技水平。</w:t>
      </w:r>
      <w:bookmarkStart w:id="127" w:name="_Toc31455"/>
    </w:p>
    <w:p>
      <w:r>
        <w:t>（7）加强资源保护和开发利用。加快良种繁育体系建设，组织实施生猪等良种补贴项目和水产亲本更新项目，提高畜禽水产品良种化水平。加强种畜禽场建设，增强种畜禽场供应能力。“十三五”期间新增国家级畜禽良种场5家，省级畜禽良种场20家，实现良种自给。加大滨湖水牛、马头山羊、桃源鸡、桃源黑猪等地方良种的开发利用，扩大品牌，提高品质，增强竞争力。组织开展区域性、流域性渔政联合执法行动，维护渔业生产正常秩序，重点依法严厉打击电、毒、炸等非法捕捞行为。严格执行捕捞许可制度，严格控制新的渔民进入捕捞行业。加大对专业渔民的培训力度，促进其转产转业，落实各项保障措施，改善其生存环境。积极开展人工增殖放流活动，扩大放流流域，增加放流品种，规范放流行为，推进增殖放流科学规范有序。加大渔业种质资源保护区建设力度，既把现有的国家级、省级渔业资源保护区建设好，还扩展新的种质资源保护区，到2020年，省级以上渔业资源保护区达到15个。</w:t>
      </w:r>
      <w:bookmarkEnd w:id="127"/>
    </w:p>
    <w:p>
      <w:pPr>
        <w:pStyle w:val="5"/>
        <w:bidi w:val="0"/>
      </w:pPr>
      <w:r>
        <w:rPr>
          <w:rFonts w:hint="eastAsia"/>
        </w:rPr>
        <w:t>《常德市病死畜禽无害化处理体系建设实施方案》</w:t>
      </w:r>
    </w:p>
    <w:p>
      <w:r>
        <w:rPr>
          <w:rFonts w:hint="eastAsia"/>
        </w:rPr>
        <w:t>为推进全市病死畜禽无害化处理工作，根据《国务院办公厅关于建立病死畜禽无害化处理机制的意见》（国办发〔</w:t>
      </w:r>
      <w:r>
        <w:t xml:space="preserve">2014〕47号）、《湖南省人民政府办公厅关于建立病死畜禽无害化处理机制的实施意见》（湘政办发〔2015〕103号）和《湖南省畜牧水产局湖南省财政厅关于印发〈湖南省病死畜禽无害化处理机制建设实施方案〉的通知》（湘牧渔联〔2016〕14号）精神，结合我市实际，制定本实施方案。 </w:t>
      </w:r>
    </w:p>
    <w:p>
      <w:pPr>
        <w:bidi w:val="0"/>
      </w:pPr>
      <w:r>
        <w:rPr>
          <w:rFonts w:hint="eastAsia"/>
        </w:rPr>
        <w:t>一、目标任务</w:t>
      </w:r>
    </w:p>
    <w:p>
      <w:r>
        <w:t xml:space="preserve">2017年12月底前开工建设病死畜禽无害化处理中心、收集中心；2018年12月底建成覆盖全市所有养殖县、处理工艺科学环保、运行机制完善的病死畜禽无害化收集处理体系，实现病死畜禽无害化处理及资源化利用，推动养殖业转型升级与资源环境相协调，保障养殖业生产安全、动物产品质量安全和生态环境安全。 </w:t>
      </w:r>
    </w:p>
    <w:p>
      <w:r>
        <w:rPr>
          <w:rFonts w:hint="eastAsia"/>
        </w:rPr>
        <w:t>二、建设模式</w:t>
      </w:r>
    </w:p>
    <w:p>
      <w:r>
        <w:rPr>
          <w:rFonts w:hint="eastAsia"/>
        </w:rPr>
        <w:t>按照“政府主导、企业运作、集中收集、统一处置”的原则，采用企业投资、自主经营、自负盈亏的市场化运作模式，通过招商引资，由企业投资建设病死畜禽无害化处理中心、收集中心，负责全市病死畜禽的收集和无害化处理。</w:t>
      </w:r>
    </w:p>
    <w:p>
      <w:r>
        <w:rPr>
          <w:rFonts w:hint="eastAsia"/>
        </w:rPr>
        <w:t>三、建设内容</w:t>
      </w:r>
    </w:p>
    <w:p>
      <w:r>
        <w:rPr>
          <w:rFonts w:hint="eastAsia"/>
        </w:rPr>
        <w:t>（一）建立病死畜禽无害化收集处理体系。</w:t>
      </w:r>
    </w:p>
    <w:p>
      <w:r>
        <w:t xml:space="preserve">1.建设2个病死畜禽无害化处理中心。即在桃源县、汉寿县分别建设1个年处理病死畜禽（生猪）10万头、2万头以上的病死畜禽无害化处理中心。 </w:t>
      </w:r>
    </w:p>
    <w:p>
      <w:r>
        <w:t>2.建设5个病死畜禽无害化处理收集中心。根据畜禽饲养数量和道路交通情况，在鼎城区、澧县、临澧县、石门县、津市市各建设1个病死畜禽无害化处理收集中心。</w:t>
      </w:r>
    </w:p>
    <w:p>
      <w:r>
        <w:t>3.建设300个病死畜禽固定收集点。各地根据养殖业布局、交通运输以及无害化处理收集中心位置情况，按照科学规划、合理选址的要求，在较大规模养殖场、屠宰场及交易市场建设相应规模的病死畜禽固定收集点，共建设300个病死畜禽固定收集点，负责收集本场内的病死畜禽。</w:t>
      </w:r>
    </w:p>
    <w:p>
      <w:pPr>
        <w:pStyle w:val="5"/>
        <w:bidi w:val="0"/>
      </w:pPr>
      <w:r>
        <w:rPr>
          <w:rFonts w:hint="eastAsia"/>
        </w:rPr>
        <w:t>澧县病死畜禽无害化处理收集中心</w:t>
      </w:r>
    </w:p>
    <w:p>
      <w:r>
        <w:rPr>
          <w:rFonts w:hint="eastAsia"/>
        </w:rPr>
        <w:t>根据常德市病死畜禽无害化处理体系建设的总体要求，澧县病死畜禽无害化处理收集中心位于</w:t>
      </w:r>
      <w:r>
        <w:rPr>
          <w:rFonts w:hint="eastAsia"/>
          <w:lang w:eastAsia="zh-CN"/>
        </w:rPr>
        <w:t>澧南镇</w:t>
      </w:r>
      <w:r>
        <w:rPr>
          <w:rFonts w:hint="eastAsia"/>
        </w:rPr>
        <w:t>凡家铺村，占地面积1500平方米，计划建筑面积500平方米，可以收集存放全县境内的病死畜禽。该中心在</w:t>
      </w:r>
      <w:r>
        <w:rPr>
          <w:rFonts w:hint="eastAsia"/>
          <w:lang w:val="en-US" w:eastAsia="zh-CN"/>
        </w:rPr>
        <w:t>2018年</w:t>
      </w:r>
      <w:r>
        <w:rPr>
          <w:rFonts w:hint="eastAsia"/>
        </w:rPr>
        <w:t>5月底完成土建工程，6月份完成设备安装和调试，7月份正式启动病死畜禽收集。根据常德市病死畜禽无害化处理体系建设的总体要求，澧县病死畜禽无害化处理收集中心位于</w:t>
      </w:r>
      <w:r>
        <w:rPr>
          <w:rFonts w:hint="eastAsia"/>
          <w:lang w:eastAsia="zh-CN"/>
        </w:rPr>
        <w:t>澧南镇</w:t>
      </w:r>
      <w:r>
        <w:rPr>
          <w:rFonts w:hint="eastAsia"/>
        </w:rPr>
        <w:t>凡家铺村，占地面积1500平方米，计划建筑面积500平方米，可以收集存放全县境内的病死畜禽。该中心在2018年5月底完成土建工程，2018年6月份完成设备安装和调试，7月份正式启动病死畜禽收集和无害化处理，目前已稳定运行1年时间。</w:t>
      </w:r>
    </w:p>
    <w:p>
      <w:pPr>
        <w:pStyle w:val="5"/>
        <w:bidi w:val="0"/>
        <w:rPr>
          <w:highlight w:val="none"/>
        </w:rPr>
      </w:pPr>
      <w:r>
        <w:rPr>
          <w:rFonts w:hint="eastAsia"/>
          <w:highlight w:val="none"/>
        </w:rPr>
        <w:t>澧县禁养区划定情况</w:t>
      </w:r>
    </w:p>
    <w:p>
      <w:r>
        <w:rPr>
          <w:rFonts w:hint="eastAsia"/>
        </w:rPr>
        <w:t>澧县人民政府关于印发《澧县畜禽养殖禁养区划定方案》（澧政发[</w:t>
      </w:r>
      <w:r>
        <w:rPr>
          <w:rFonts w:hint="eastAsia"/>
          <w:lang w:val="en-US" w:eastAsia="zh-CN"/>
        </w:rPr>
        <w:t>2020</w:t>
      </w:r>
      <w:r>
        <w:rPr>
          <w:rFonts w:hint="eastAsia"/>
        </w:rPr>
        <w:t>]</w:t>
      </w:r>
      <w:r>
        <w:rPr>
          <w:rFonts w:hint="eastAsia"/>
          <w:lang w:val="en-US" w:eastAsia="zh-CN"/>
        </w:rPr>
        <w:t>6</w:t>
      </w:r>
      <w:r>
        <w:rPr>
          <w:rFonts w:hint="eastAsia"/>
        </w:rPr>
        <w:t>号，20</w:t>
      </w:r>
      <w:r>
        <w:rPr>
          <w:rFonts w:hint="eastAsia"/>
          <w:lang w:val="en-US" w:eastAsia="zh-CN"/>
        </w:rPr>
        <w:t>20</w:t>
      </w:r>
      <w:r>
        <w:rPr>
          <w:rFonts w:hint="eastAsia"/>
        </w:rPr>
        <w:t>.</w:t>
      </w:r>
      <w:r>
        <w:rPr>
          <w:rFonts w:hint="eastAsia"/>
          <w:lang w:val="en-US" w:eastAsia="zh-CN"/>
        </w:rPr>
        <w:t>4</w:t>
      </w:r>
      <w:r>
        <w:rPr>
          <w:rFonts w:hint="eastAsia"/>
        </w:rPr>
        <w:t>.</w:t>
      </w:r>
      <w:r>
        <w:rPr>
          <w:rFonts w:hint="eastAsia"/>
          <w:lang w:val="en-US" w:eastAsia="zh-CN"/>
        </w:rPr>
        <w:t>17</w:t>
      </w:r>
      <w:r>
        <w:rPr>
          <w:rFonts w:hint="eastAsia"/>
        </w:rPr>
        <w:t>）划定了澧县畜禽养殖禁养区范围：</w:t>
      </w:r>
    </w:p>
    <w:p>
      <w:pPr>
        <w:bidi w:val="0"/>
        <w:rPr>
          <w:rFonts w:hint="eastAsia"/>
        </w:rPr>
      </w:pPr>
      <w:r>
        <w:rPr>
          <w:rFonts w:hint="eastAsia"/>
        </w:rPr>
        <w:t>全县划定禁养区64处304.4平方公里，其余为非禁养区。</w:t>
      </w:r>
    </w:p>
    <w:p>
      <w:pPr>
        <w:bidi w:val="0"/>
        <w:rPr>
          <w:rFonts w:hint="eastAsia"/>
        </w:rPr>
      </w:pPr>
      <w:r>
        <w:rPr>
          <w:rFonts w:hint="eastAsia"/>
        </w:rPr>
        <w:t>（一）饮用水水源保护区范围。划定禁养区47处239.11平方公里。其中，依法划定为饮用水水源保护区一级保护区、二级保护区范围的禁养区38处218.65平方公里（一级保护区13.85平方公里，二级保护区204.80平方公里），未划定为饮用水水源保护区的饮用水水源地保护区范围的禁养区9处20.46平方公里。</w:t>
      </w:r>
    </w:p>
    <w:p>
      <w:pPr>
        <w:bidi w:val="0"/>
        <w:rPr>
          <w:rFonts w:hint="eastAsia"/>
        </w:rPr>
      </w:pPr>
      <w:r>
        <w:rPr>
          <w:rFonts w:hint="eastAsia"/>
        </w:rPr>
        <w:t>（二）自然保护区范围。划定禁养区1处33.35平方公里，即北民湖湿地自然保护区的核心区和缓冲区，其中核心区19.96平方公里，缓冲区13.39平方公里。</w:t>
      </w:r>
    </w:p>
    <w:p>
      <w:pPr>
        <w:bidi w:val="0"/>
        <w:rPr>
          <w:rFonts w:hint="eastAsia"/>
          <w:lang w:eastAsia="zh-CN"/>
        </w:rPr>
      </w:pPr>
      <w:r>
        <w:rPr>
          <w:rFonts w:hint="eastAsia"/>
        </w:rPr>
        <w:t>（三）城镇居民区和文化教育科学研究区等人口集中区范围。划定禁养区16处31.94平方公里，主要包括县城建成区和15个镇建成区范围</w:t>
      </w:r>
      <w:r>
        <w:rPr>
          <w:rFonts w:hint="eastAsia"/>
          <w:lang w:eastAsia="zh-CN"/>
        </w:rPr>
        <w:t>。</w:t>
      </w:r>
    </w:p>
    <w:p>
      <w:pPr>
        <w:rPr>
          <w:rFonts w:hint="eastAsia"/>
        </w:rPr>
        <w:sectPr>
          <w:headerReference r:id="rId8" w:type="first"/>
          <w:footerReference r:id="rId10" w:type="first"/>
          <w:footerReference r:id="rId9" w:type="default"/>
          <w:pgSz w:w="11907" w:h="16840"/>
          <w:pgMar w:top="1417" w:right="1587" w:bottom="1417" w:left="1587" w:header="851" w:footer="992" w:gutter="0"/>
          <w:pgNumType w:fmt="decimal" w:start="1"/>
          <w:cols w:space="720" w:num="1"/>
          <w:titlePg/>
          <w:docGrid w:linePitch="312" w:charSpace="0"/>
        </w:sectPr>
      </w:pPr>
    </w:p>
    <w:p>
      <w:pPr>
        <w:pStyle w:val="2"/>
        <w:bidi w:val="0"/>
      </w:pPr>
      <w:bookmarkStart w:id="128" w:name="_Toc27268"/>
      <w:bookmarkStart w:id="129" w:name="_Toc289344541"/>
      <w:r>
        <w:t>建设项目工程分析</w:t>
      </w:r>
      <w:bookmarkEnd w:id="128"/>
    </w:p>
    <w:p>
      <w:pPr>
        <w:pStyle w:val="4"/>
        <w:bidi w:val="0"/>
      </w:pPr>
      <w:bookmarkStart w:id="130" w:name="_Toc9499"/>
      <w:bookmarkStart w:id="131" w:name="_Toc468689119"/>
      <w:bookmarkStart w:id="132" w:name="_Toc289344522"/>
      <w:r>
        <w:rPr>
          <w:rFonts w:hint="eastAsia"/>
        </w:rPr>
        <w:t>项目概况</w:t>
      </w:r>
      <w:bookmarkEnd w:id="130"/>
    </w:p>
    <w:p>
      <w:pPr>
        <w:pStyle w:val="5"/>
        <w:bidi w:val="0"/>
      </w:pPr>
      <w:r>
        <w:rPr>
          <w:rFonts w:hint="eastAsia"/>
        </w:rPr>
        <w:t>项目基本情况</w:t>
      </w:r>
    </w:p>
    <w:bookmarkEnd w:id="131"/>
    <w:bookmarkEnd w:id="132"/>
    <w:p>
      <w:pPr>
        <w:rPr>
          <w:rFonts w:hint="eastAsia" w:eastAsiaTheme="minorEastAsia"/>
          <w:lang w:eastAsia="zh-CN"/>
        </w:rPr>
      </w:pPr>
      <w:r>
        <w:rPr>
          <w:rFonts w:hint="eastAsia"/>
        </w:rPr>
        <w:t>项目名称：</w:t>
      </w:r>
      <w:r>
        <w:rPr>
          <w:rFonts w:hint="eastAsia"/>
          <w:lang w:eastAsia="zh-CN"/>
        </w:rPr>
        <w:t>大梁农业天子山种猪繁育基地建设项目</w:t>
      </w:r>
    </w:p>
    <w:p>
      <w:r>
        <w:rPr>
          <w:rFonts w:hint="eastAsia"/>
        </w:rPr>
        <w:t>建设性质：新建</w:t>
      </w:r>
    </w:p>
    <w:p>
      <w:pPr>
        <w:rPr>
          <w:rFonts w:hint="default" w:eastAsiaTheme="minorEastAsia"/>
          <w:lang w:val="en-US" w:eastAsia="zh-CN"/>
        </w:rPr>
      </w:pPr>
      <w:r>
        <w:rPr>
          <w:rFonts w:hint="eastAsia"/>
        </w:rPr>
        <w:t>建设规模：</w:t>
      </w:r>
      <w:r>
        <w:rPr>
          <w:rFonts w:hint="eastAsia"/>
          <w:highlight w:val="none"/>
          <w:lang w:eastAsia="zh-CN"/>
        </w:rPr>
        <w:t>项目占地</w:t>
      </w:r>
      <w:r>
        <w:rPr>
          <w:rFonts w:hint="eastAsia"/>
          <w:highlight w:val="none"/>
          <w:lang w:val="en-US" w:eastAsia="zh-CN"/>
        </w:rPr>
        <w:t>96245m</w:t>
      </w:r>
      <w:r>
        <w:rPr>
          <w:rFonts w:hint="eastAsia"/>
          <w:highlight w:val="none"/>
          <w:vertAlign w:val="superscript"/>
          <w:lang w:val="en-US" w:eastAsia="zh-CN"/>
        </w:rPr>
        <w:t>2</w:t>
      </w:r>
      <w:r>
        <w:rPr>
          <w:rFonts w:hint="eastAsia"/>
          <w:highlight w:val="none"/>
          <w:lang w:val="en-US" w:eastAsia="zh-CN"/>
        </w:rPr>
        <w:t>，</w:t>
      </w:r>
      <w:r>
        <w:rPr>
          <w:rFonts w:hint="eastAsia"/>
          <w:lang w:val="en-US" w:eastAsia="zh-CN"/>
        </w:rPr>
        <w:t>年存栏母猪4800头</w:t>
      </w:r>
    </w:p>
    <w:p>
      <w:r>
        <w:rPr>
          <w:rFonts w:hint="eastAsia"/>
        </w:rPr>
        <w:t>建设地点：澧县</w:t>
      </w:r>
      <w:r>
        <w:rPr>
          <w:rFonts w:hint="eastAsia"/>
          <w:lang w:eastAsia="zh-CN"/>
        </w:rPr>
        <w:t>澧南镇天子山社区、</w:t>
      </w:r>
      <w:r>
        <w:rPr>
          <w:rFonts w:hint="eastAsia"/>
          <w:lang w:val="en-US" w:eastAsia="zh-CN"/>
        </w:rPr>
        <w:t>临澧县修梅镇杨板桥社区</w:t>
      </w:r>
    </w:p>
    <w:p>
      <w:pPr>
        <w:rPr>
          <w:rFonts w:hint="eastAsia" w:eastAsiaTheme="minorEastAsia"/>
          <w:lang w:eastAsia="zh-CN"/>
        </w:rPr>
      </w:pPr>
      <w:r>
        <w:rPr>
          <w:rFonts w:hint="eastAsia"/>
        </w:rPr>
        <w:t>建设单位：</w:t>
      </w:r>
      <w:r>
        <w:rPr>
          <w:rFonts w:hint="eastAsia"/>
          <w:lang w:eastAsia="zh-CN"/>
        </w:rPr>
        <w:t>澧县大梁农业发展有限公司</w:t>
      </w:r>
    </w:p>
    <w:p>
      <w:r>
        <w:rPr>
          <w:rFonts w:hint="eastAsia"/>
        </w:rPr>
        <w:t>资金及来源：</w:t>
      </w:r>
      <w:r>
        <w:rPr>
          <w:rFonts w:hint="eastAsia"/>
          <w:highlight w:val="none"/>
        </w:rPr>
        <w:t>总投资</w:t>
      </w:r>
      <w:r>
        <w:rPr>
          <w:rFonts w:hint="eastAsia"/>
          <w:highlight w:val="none"/>
          <w:lang w:val="en-US" w:eastAsia="zh-CN"/>
        </w:rPr>
        <w:t>8000</w:t>
      </w:r>
      <w:r>
        <w:rPr>
          <w:rFonts w:hint="eastAsia"/>
          <w:highlight w:val="none"/>
        </w:rPr>
        <w:t>万元，</w:t>
      </w:r>
      <w:r>
        <w:rPr>
          <w:rFonts w:hint="eastAsia"/>
        </w:rPr>
        <w:t>全部由企业自筹</w:t>
      </w:r>
    </w:p>
    <w:p>
      <w:r>
        <w:rPr>
          <w:rFonts w:hint="eastAsia"/>
        </w:rPr>
        <w:t>建设进度：项目计划于</w:t>
      </w:r>
      <w:r>
        <w:t>20</w:t>
      </w:r>
      <w:r>
        <w:rPr>
          <w:rFonts w:hint="eastAsia"/>
        </w:rPr>
        <w:t>20年</w:t>
      </w:r>
      <w:r>
        <w:rPr>
          <w:rFonts w:hint="eastAsia"/>
          <w:lang w:val="en-US" w:eastAsia="zh-CN"/>
        </w:rPr>
        <w:t>12</w:t>
      </w:r>
      <w:r>
        <w:rPr>
          <w:rFonts w:hint="eastAsia"/>
        </w:rPr>
        <w:t>月动工建设，</w:t>
      </w:r>
      <w:r>
        <w:t>20</w:t>
      </w:r>
      <w:r>
        <w:rPr>
          <w:rFonts w:hint="eastAsia"/>
        </w:rPr>
        <w:t>2</w:t>
      </w:r>
      <w:r>
        <w:rPr>
          <w:rFonts w:hint="eastAsia"/>
          <w:lang w:val="en-US" w:eastAsia="zh-CN"/>
        </w:rPr>
        <w:t>1</w:t>
      </w:r>
      <w:r>
        <w:rPr>
          <w:rFonts w:hint="eastAsia"/>
        </w:rPr>
        <w:t>年</w:t>
      </w:r>
      <w:r>
        <w:rPr>
          <w:rFonts w:hint="eastAsia"/>
          <w:lang w:val="en-US" w:eastAsia="zh-CN"/>
        </w:rPr>
        <w:t>6</w:t>
      </w:r>
      <w:r>
        <w:rPr>
          <w:rFonts w:hint="eastAsia"/>
        </w:rPr>
        <w:t>月基本建成</w:t>
      </w:r>
    </w:p>
    <w:p>
      <w:pPr>
        <w:pStyle w:val="5"/>
        <w:bidi w:val="0"/>
        <w:rPr>
          <w:highlight w:val="none"/>
        </w:rPr>
      </w:pPr>
      <w:bookmarkStart w:id="133" w:name="_Toc468689121"/>
      <w:r>
        <w:rPr>
          <w:rFonts w:hint="eastAsia"/>
          <w:highlight w:val="none"/>
        </w:rPr>
        <w:t>项目选址及周边环境关系</w:t>
      </w:r>
    </w:p>
    <w:p>
      <w:pPr>
        <w:spacing w:line="360" w:lineRule="auto"/>
        <w:ind w:firstLine="480" w:firstLineChars="200"/>
        <w:rPr>
          <w:rFonts w:ascii="Times New Roman" w:hAnsi="Times New Roman" w:cs="Times New Roman"/>
        </w:rPr>
      </w:pPr>
      <w:r>
        <w:rPr>
          <w:rFonts w:hint="eastAsia"/>
        </w:rPr>
        <w:t>项目选址于澧县</w:t>
      </w:r>
      <w:r>
        <w:rPr>
          <w:rFonts w:hint="eastAsia"/>
          <w:lang w:eastAsia="zh-CN"/>
        </w:rPr>
        <w:t>澧南镇天子山社区、</w:t>
      </w:r>
      <w:r>
        <w:rPr>
          <w:rFonts w:hint="eastAsia"/>
          <w:lang w:val="en-US" w:eastAsia="zh-CN"/>
        </w:rPr>
        <w:t>临澧县修梅镇杨板桥社区</w:t>
      </w:r>
      <w:r>
        <w:rPr>
          <w:rFonts w:hint="eastAsia"/>
        </w:rPr>
        <w:t>，</w:t>
      </w:r>
      <w:r>
        <w:rPr>
          <w:rFonts w:hint="eastAsia"/>
          <w:highlight w:val="none"/>
        </w:rPr>
        <w:t>项目拟建地为</w:t>
      </w:r>
      <w:r>
        <w:rPr>
          <w:rFonts w:hint="eastAsia"/>
          <w:highlight w:val="none"/>
          <w:lang w:eastAsia="zh-CN"/>
        </w:rPr>
        <w:t>低</w:t>
      </w:r>
      <w:r>
        <w:rPr>
          <w:rFonts w:hint="eastAsia"/>
          <w:highlight w:val="none"/>
          <w:lang w:val="en-US" w:eastAsia="zh-CN"/>
        </w:rPr>
        <w:t>荒岭林地</w:t>
      </w:r>
      <w:r>
        <w:rPr>
          <w:rFonts w:hint="eastAsia"/>
          <w:highlight w:val="none"/>
        </w:rPr>
        <w:t>，主要植被为小灌木、杂草等，现已平整完毕。</w:t>
      </w:r>
      <w:r>
        <w:rPr>
          <w:rFonts w:hint="eastAsia" w:ascii="Times New Roman" w:hAnsi="Times New Roman" w:cs="Times New Roman"/>
        </w:rPr>
        <w:t>周边居民距离猪舍最近距离为</w:t>
      </w:r>
      <w:r>
        <w:rPr>
          <w:rFonts w:hint="eastAsia" w:cs="Times New Roman"/>
          <w:lang w:val="en-US" w:eastAsia="zh-CN"/>
        </w:rPr>
        <w:t>190m（已租赁）</w:t>
      </w:r>
      <w:r>
        <w:rPr>
          <w:rFonts w:hint="eastAsia" w:ascii="Times New Roman" w:hAnsi="Times New Roman" w:cs="Times New Roman"/>
        </w:rPr>
        <w:t>；周边地表水系</w:t>
      </w:r>
      <w:r>
        <w:rPr>
          <w:rFonts w:hint="eastAsia" w:cs="Times New Roman"/>
          <w:lang w:eastAsia="zh-CN"/>
        </w:rPr>
        <w:t>主要为北侧的道水支流和东侧的道水，直线距离分别为</w:t>
      </w:r>
      <w:r>
        <w:rPr>
          <w:rFonts w:hint="eastAsia" w:cs="Times New Roman"/>
          <w:lang w:val="en-US" w:eastAsia="zh-CN"/>
        </w:rPr>
        <w:t>420m、2500m。项目厂界距离</w:t>
      </w:r>
      <w:r>
        <w:rPr>
          <w:rFonts w:hint="eastAsia" w:ascii="Times New Roman" w:hAnsi="Times New Roman" w:cs="Times New Roman"/>
        </w:rPr>
        <w:t>桑木峪水库</w:t>
      </w:r>
      <w:r>
        <w:rPr>
          <w:rFonts w:hint="eastAsia" w:ascii="Times New Roman" w:hAnsi="Times New Roman" w:cs="Times New Roman"/>
          <w:lang w:val="en-US" w:eastAsia="zh-CN"/>
        </w:rPr>
        <w:t>陆地二级保护区</w:t>
      </w:r>
      <w:r>
        <w:rPr>
          <w:rFonts w:hint="eastAsia" w:ascii="Times New Roman" w:hAnsi="Times New Roman" w:cs="Times New Roman"/>
          <w:lang w:eastAsia="zh-CN"/>
        </w:rPr>
        <w:t>约</w:t>
      </w:r>
      <w:r>
        <w:rPr>
          <w:rFonts w:hint="eastAsia" w:ascii="Times New Roman" w:hAnsi="Times New Roman" w:cs="Times New Roman"/>
          <w:lang w:val="en-US" w:eastAsia="zh-CN"/>
        </w:rPr>
        <w:t>5</w:t>
      </w:r>
      <w:r>
        <w:rPr>
          <w:rFonts w:hint="eastAsia" w:cs="Times New Roman"/>
          <w:lang w:val="en-US" w:eastAsia="zh-CN"/>
        </w:rPr>
        <w:t>02</w:t>
      </w:r>
      <w:r>
        <w:rPr>
          <w:rFonts w:hint="eastAsia" w:ascii="Times New Roman" w:hAnsi="Times New Roman" w:cs="Times New Roman"/>
          <w:lang w:val="en-US" w:eastAsia="zh-CN"/>
        </w:rPr>
        <w:t>m，</w:t>
      </w:r>
      <w:r>
        <w:rPr>
          <w:rFonts w:hint="eastAsia" w:ascii="Times New Roman" w:hAnsi="Times New Roman" w:cs="Times New Roman"/>
        </w:rPr>
        <w:t>且有山体阻隔</w:t>
      </w:r>
      <w:r>
        <w:rPr>
          <w:rFonts w:hint="eastAsia" w:ascii="Times New Roman" w:hAnsi="Times New Roman" w:cs="Times New Roman"/>
          <w:lang w:val="en-US" w:eastAsia="zh-CN"/>
        </w:rPr>
        <w:t>。下游</w:t>
      </w:r>
      <w:r>
        <w:rPr>
          <w:rFonts w:hint="eastAsia" w:ascii="Times New Roman" w:hAnsi="Times New Roman" w:cs="Times New Roman"/>
        </w:rPr>
        <w:t>澧水大洼饮用水水源保护区位于其下游约13</w:t>
      </w:r>
      <w:r>
        <w:rPr>
          <w:rFonts w:ascii="Times New Roman" w:hAnsi="Times New Roman" w:cs="Times New Roman"/>
        </w:rPr>
        <w:t>km</w:t>
      </w:r>
      <w:r>
        <w:rPr>
          <w:rFonts w:hint="eastAsia" w:ascii="Times New Roman" w:hAnsi="Times New Roman" w:cs="Times New Roman"/>
          <w:lang w:eastAsia="zh-CN"/>
        </w:rPr>
        <w:t>。</w:t>
      </w:r>
    </w:p>
    <w:p>
      <w:pPr>
        <w:pStyle w:val="5"/>
        <w:bidi w:val="0"/>
      </w:pPr>
      <w:r>
        <w:rPr>
          <w:rFonts w:hint="eastAsia"/>
        </w:rPr>
        <w:t>项目的主要建设内容</w:t>
      </w:r>
    </w:p>
    <w:bookmarkEnd w:id="133"/>
    <w:p>
      <w:r>
        <w:rPr>
          <w:rFonts w:hint="eastAsia"/>
        </w:rPr>
        <w:t>项目工程用地通过</w:t>
      </w:r>
      <w:r>
        <w:rPr>
          <w:rFonts w:hint="default"/>
        </w:rPr>
        <w:t>流转的形式</w:t>
      </w:r>
      <w:r>
        <w:rPr>
          <w:rFonts w:hint="eastAsia"/>
          <w:lang w:eastAsia="zh-CN"/>
        </w:rPr>
        <w:t>征用</w:t>
      </w:r>
      <w:r>
        <w:rPr>
          <w:rFonts w:hint="eastAsia"/>
        </w:rPr>
        <w:t>澧县</w:t>
      </w:r>
      <w:r>
        <w:rPr>
          <w:rFonts w:hint="eastAsia"/>
          <w:lang w:eastAsia="zh-CN"/>
        </w:rPr>
        <w:t>澧南镇天子山社区、</w:t>
      </w:r>
      <w:r>
        <w:rPr>
          <w:rFonts w:hint="eastAsia"/>
          <w:lang w:val="en-US" w:eastAsia="zh-CN"/>
        </w:rPr>
        <w:t>临澧县修梅镇杨板桥社区</w:t>
      </w:r>
      <w:r>
        <w:rPr>
          <w:rFonts w:hint="eastAsia"/>
          <w:lang w:eastAsia="zh-CN"/>
        </w:rPr>
        <w:t>集体用</w:t>
      </w:r>
      <w:r>
        <w:rPr>
          <w:rFonts w:hint="eastAsia"/>
          <w:highlight w:val="none"/>
          <w:lang w:eastAsia="zh-CN"/>
        </w:rPr>
        <w:t>地</w:t>
      </w:r>
      <w:r>
        <w:rPr>
          <w:rFonts w:hint="eastAsia"/>
          <w:highlight w:val="none"/>
          <w:lang w:val="en-US" w:eastAsia="zh-CN"/>
        </w:rPr>
        <w:t>9.62公顷</w:t>
      </w:r>
      <w:r>
        <w:rPr>
          <w:rFonts w:hint="eastAsia"/>
          <w:highlight w:val="none"/>
        </w:rPr>
        <w:t>，</w:t>
      </w:r>
      <w:r>
        <w:rPr>
          <w:rFonts w:hint="eastAsia"/>
        </w:rPr>
        <w:t>建设常年存栏母猪</w:t>
      </w:r>
      <w:r>
        <w:rPr>
          <w:rFonts w:hint="eastAsia"/>
          <w:lang w:val="en-US" w:eastAsia="zh-CN"/>
        </w:rPr>
        <w:t>4800</w:t>
      </w:r>
      <w:r>
        <w:rPr>
          <w:rFonts w:hint="eastAsia"/>
        </w:rPr>
        <w:t>头</w:t>
      </w:r>
      <w:r>
        <w:rPr>
          <w:rFonts w:hint="eastAsia"/>
          <w:lang w:eastAsia="zh-CN"/>
        </w:rPr>
        <w:t>养殖</w:t>
      </w:r>
      <w:r>
        <w:rPr>
          <w:rFonts w:hint="eastAsia"/>
        </w:rPr>
        <w:t>场。</w:t>
      </w:r>
    </w:p>
    <w:p>
      <w:pPr>
        <w:rPr>
          <w:rFonts w:hint="eastAsia" w:eastAsiaTheme="minorEastAsia"/>
          <w:lang w:eastAsia="zh-CN"/>
        </w:rPr>
      </w:pPr>
      <w:r>
        <w:rPr>
          <w:rFonts w:hint="eastAsia"/>
          <w:lang w:eastAsia="zh-CN"/>
        </w:rPr>
        <w:t>项目</w:t>
      </w:r>
      <w:r>
        <w:rPr>
          <w:rFonts w:hint="eastAsia"/>
        </w:rPr>
        <w:t>总</w:t>
      </w:r>
      <w:r>
        <w:rPr>
          <w:rFonts w:hint="eastAsia"/>
          <w:lang w:eastAsia="zh-CN"/>
        </w:rPr>
        <w:t>占地</w:t>
      </w:r>
      <w:r>
        <w:rPr>
          <w:rFonts w:hint="eastAsia"/>
        </w:rPr>
        <w:t>面积为</w:t>
      </w:r>
      <w:r>
        <w:rPr>
          <w:rFonts w:hint="eastAsia"/>
          <w:lang w:val="en-US" w:eastAsia="zh-CN"/>
        </w:rPr>
        <w:t>96245</w:t>
      </w:r>
      <w:r>
        <w:t>m</w:t>
      </w:r>
      <w:r>
        <w:rPr>
          <w:vertAlign w:val="superscript"/>
        </w:rPr>
        <w:t>2</w:t>
      </w:r>
      <w:r>
        <w:rPr>
          <w:rFonts w:hint="eastAsia"/>
        </w:rPr>
        <w:t>，主要建设内容包括：</w:t>
      </w:r>
      <w:r>
        <w:rPr>
          <w:rFonts w:hint="eastAsia"/>
          <w:lang w:eastAsia="zh-CN"/>
        </w:rPr>
        <w:t>公猪母猪隔离舍</w:t>
      </w:r>
      <w:r>
        <w:t>1</w:t>
      </w:r>
      <w:r>
        <w:rPr>
          <w:rFonts w:hint="eastAsia"/>
        </w:rPr>
        <w:t>栋、</w:t>
      </w:r>
      <w:r>
        <w:rPr>
          <w:rFonts w:hint="eastAsia"/>
          <w:lang w:eastAsia="zh-CN"/>
        </w:rPr>
        <w:t>公猪舍</w:t>
      </w:r>
      <w:r>
        <w:rPr>
          <w:rFonts w:hint="eastAsia"/>
          <w:lang w:val="en-US" w:eastAsia="zh-CN"/>
        </w:rPr>
        <w:t>1栋，</w:t>
      </w:r>
      <w:r>
        <w:rPr>
          <w:rFonts w:hint="eastAsia"/>
          <w:lang w:eastAsia="zh-CN"/>
        </w:rPr>
        <w:t>配怀舍</w:t>
      </w:r>
      <w:r>
        <w:rPr>
          <w:rFonts w:hint="eastAsia"/>
          <w:lang w:val="en-US" w:eastAsia="zh-CN"/>
        </w:rPr>
        <w:t>2</w:t>
      </w:r>
      <w:r>
        <w:rPr>
          <w:rFonts w:hint="eastAsia"/>
        </w:rPr>
        <w:t>栋、</w:t>
      </w:r>
      <w:r>
        <w:rPr>
          <w:rFonts w:hint="eastAsia"/>
          <w:lang w:eastAsia="zh-CN"/>
        </w:rPr>
        <w:t>分娩舍</w:t>
      </w:r>
      <w:r>
        <w:rPr>
          <w:rFonts w:hint="eastAsia"/>
          <w:lang w:val="en-US" w:eastAsia="zh-CN"/>
        </w:rPr>
        <w:t>2栋、环保设施、</w:t>
      </w:r>
      <w:r>
        <w:rPr>
          <w:rFonts w:hint="eastAsia"/>
        </w:rPr>
        <w:t>办公生活楼、消毒房、仓库、门卫以及供水、供电、供热、道路等相关配套设施</w:t>
      </w:r>
      <w:r>
        <w:rPr>
          <w:rFonts w:hint="eastAsia"/>
          <w:lang w:eastAsia="zh-CN"/>
        </w:rPr>
        <w:t>。</w:t>
      </w:r>
    </w:p>
    <w:p>
      <w:r>
        <w:rPr>
          <w:rFonts w:hint="eastAsia"/>
        </w:rPr>
        <w:t>项目主要建设内容见表</w:t>
      </w:r>
      <w:r>
        <w:rPr>
          <w:rFonts w:hint="eastAsia"/>
          <w:lang w:val="en-US" w:eastAsia="zh-CN"/>
        </w:rPr>
        <w:t>2.1</w:t>
      </w:r>
      <w:r>
        <w:t>-1</w:t>
      </w:r>
      <w:r>
        <w:rPr>
          <w:rFonts w:hint="eastAsia"/>
        </w:rPr>
        <w:t>。</w:t>
      </w:r>
    </w:p>
    <w:p>
      <w:pPr>
        <w:pStyle w:val="11"/>
        <w:rPr>
          <w:rFonts w:hint="default" w:eastAsiaTheme="minorEastAsia"/>
          <w:lang w:val="en-US" w:eastAsia="zh-CN"/>
        </w:rPr>
      </w:pPr>
      <w:r>
        <w:t xml:space="preserve">表2.1- </w:t>
      </w:r>
      <w:r>
        <w:fldChar w:fldCharType="begin"/>
      </w:r>
      <w:r>
        <w:instrText xml:space="preserve"> SEQ 表2.1- \* ARABIC </w:instrText>
      </w:r>
      <w:r>
        <w:fldChar w:fldCharType="separate"/>
      </w:r>
      <w:r>
        <w:t>1</w:t>
      </w:r>
      <w:r>
        <w:fldChar w:fldCharType="end"/>
      </w:r>
      <w:r>
        <w:rPr>
          <w:rFonts w:hint="eastAsia"/>
          <w:lang w:val="en-US" w:eastAsia="zh-CN"/>
        </w:rPr>
        <w:t xml:space="preserve">  </w:t>
      </w:r>
      <w:r>
        <w:rPr>
          <w:rFonts w:hint="eastAsia"/>
        </w:rPr>
        <w:t>工程主要建设内容及规模</w:t>
      </w:r>
    </w:p>
    <w:tbl>
      <w:tblPr>
        <w:tblStyle w:val="17"/>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637"/>
        <w:gridCol w:w="988"/>
        <w:gridCol w:w="3749"/>
        <w:gridCol w:w="1591"/>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Align w:val="center"/>
          </w:tcPr>
          <w:p>
            <w:pPr>
              <w:pStyle w:val="8"/>
              <w:bidi w:val="0"/>
            </w:pPr>
            <w:r>
              <w:rPr>
                <w:rFonts w:hint="eastAsia"/>
              </w:rPr>
              <w:t>类别</w:t>
            </w:r>
          </w:p>
        </w:tc>
        <w:tc>
          <w:tcPr>
            <w:tcW w:w="1625" w:type="dxa"/>
            <w:gridSpan w:val="2"/>
            <w:vAlign w:val="center"/>
          </w:tcPr>
          <w:p>
            <w:pPr>
              <w:pStyle w:val="8"/>
              <w:bidi w:val="0"/>
            </w:pPr>
            <w:r>
              <w:rPr>
                <w:rFonts w:hint="eastAsia"/>
              </w:rPr>
              <w:t>项目名称</w:t>
            </w:r>
          </w:p>
        </w:tc>
        <w:tc>
          <w:tcPr>
            <w:tcW w:w="3749" w:type="dxa"/>
            <w:vAlign w:val="center"/>
          </w:tcPr>
          <w:p>
            <w:pPr>
              <w:pStyle w:val="8"/>
              <w:bidi w:val="0"/>
            </w:pPr>
            <w:r>
              <w:rPr>
                <w:rFonts w:hint="eastAsia"/>
              </w:rPr>
              <w:t>建筑面积</w:t>
            </w:r>
            <w:r>
              <w:t>/</w:t>
            </w:r>
            <w:r>
              <w:rPr>
                <w:rFonts w:hint="eastAsia"/>
              </w:rPr>
              <w:t>容积</w:t>
            </w:r>
          </w:p>
        </w:tc>
        <w:tc>
          <w:tcPr>
            <w:tcW w:w="1591" w:type="dxa"/>
            <w:vAlign w:val="center"/>
          </w:tcPr>
          <w:p>
            <w:pPr>
              <w:pStyle w:val="8"/>
              <w:bidi w:val="0"/>
            </w:pPr>
            <w:r>
              <w:rPr>
                <w:rFonts w:hint="eastAsia"/>
              </w:rPr>
              <w:t>结构</w:t>
            </w:r>
          </w:p>
        </w:tc>
        <w:tc>
          <w:tcPr>
            <w:tcW w:w="796" w:type="dxa"/>
            <w:vAlign w:val="center"/>
          </w:tcPr>
          <w:p>
            <w:pPr>
              <w:pStyle w:val="8"/>
              <w:bidi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restart"/>
            <w:vAlign w:val="center"/>
          </w:tcPr>
          <w:p>
            <w:pPr>
              <w:pStyle w:val="8"/>
              <w:bidi w:val="0"/>
            </w:pPr>
            <w:r>
              <w:rPr>
                <w:rFonts w:hint="eastAsia"/>
              </w:rPr>
              <w:t>主体</w:t>
            </w:r>
          </w:p>
          <w:p>
            <w:pPr>
              <w:pStyle w:val="8"/>
              <w:bidi w:val="0"/>
            </w:pPr>
            <w:r>
              <w:rPr>
                <w:rFonts w:hint="eastAsia"/>
              </w:rPr>
              <w:t>工程</w:t>
            </w:r>
          </w:p>
          <w:p>
            <w:pPr>
              <w:pStyle w:val="8"/>
              <w:bidi w:val="0"/>
            </w:pPr>
          </w:p>
        </w:tc>
        <w:tc>
          <w:tcPr>
            <w:tcW w:w="1625" w:type="dxa"/>
            <w:gridSpan w:val="2"/>
            <w:vAlign w:val="center"/>
          </w:tcPr>
          <w:p>
            <w:pPr>
              <w:pStyle w:val="8"/>
              <w:bidi w:val="0"/>
            </w:pPr>
            <w:r>
              <w:rPr>
                <w:rFonts w:hint="eastAsia"/>
                <w:lang w:eastAsia="zh-CN"/>
              </w:rPr>
              <w:t>公猪母猪隔离舍</w:t>
            </w:r>
          </w:p>
        </w:tc>
        <w:tc>
          <w:tcPr>
            <w:tcW w:w="3749" w:type="dxa"/>
            <w:vAlign w:val="center"/>
          </w:tcPr>
          <w:p>
            <w:pPr>
              <w:pStyle w:val="8"/>
              <w:bidi w:val="0"/>
            </w:pPr>
            <w:r>
              <w:rPr>
                <w:rFonts w:hint="eastAsia"/>
                <w:lang w:val="en-US" w:eastAsia="zh-CN"/>
              </w:rPr>
              <w:t>1</w:t>
            </w:r>
            <w:r>
              <w:rPr>
                <w:rFonts w:hint="eastAsia"/>
              </w:rPr>
              <w:t>栋</w:t>
            </w:r>
            <w:r>
              <w:t>1</w:t>
            </w:r>
            <w:r>
              <w:rPr>
                <w:rFonts w:hint="eastAsia"/>
              </w:rPr>
              <w:t>层，建筑面积</w:t>
            </w:r>
            <w:r>
              <w:rPr>
                <w:rFonts w:hint="eastAsia"/>
                <w:lang w:val="en-US" w:eastAsia="zh-CN"/>
              </w:rPr>
              <w:t>1973.46</w:t>
            </w:r>
            <w:r>
              <w:t>m</w:t>
            </w:r>
            <w:r>
              <w:rPr>
                <w:vertAlign w:val="superscript"/>
              </w:rPr>
              <w:t>2</w:t>
            </w:r>
          </w:p>
        </w:tc>
        <w:tc>
          <w:tcPr>
            <w:tcW w:w="1591" w:type="dxa"/>
            <w:vAlign w:val="center"/>
          </w:tcPr>
          <w:p>
            <w:pPr>
              <w:pStyle w:val="8"/>
              <w:bidi w:val="0"/>
            </w:pPr>
            <w:r>
              <w:rPr>
                <w:rFonts w:hint="eastAsia"/>
              </w:rPr>
              <w:t>砖混+混凝土</w:t>
            </w: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1625" w:type="dxa"/>
            <w:gridSpan w:val="2"/>
            <w:vAlign w:val="center"/>
          </w:tcPr>
          <w:p>
            <w:pPr>
              <w:pStyle w:val="8"/>
              <w:bidi w:val="0"/>
            </w:pPr>
            <w:r>
              <w:rPr>
                <w:rFonts w:hint="eastAsia"/>
                <w:lang w:eastAsia="zh-CN"/>
              </w:rPr>
              <w:t>公猪舍</w:t>
            </w:r>
          </w:p>
        </w:tc>
        <w:tc>
          <w:tcPr>
            <w:tcW w:w="3749" w:type="dxa"/>
            <w:vAlign w:val="center"/>
          </w:tcPr>
          <w:p>
            <w:pPr>
              <w:pStyle w:val="8"/>
              <w:bidi w:val="0"/>
            </w:pPr>
            <w:r>
              <w:rPr>
                <w:rFonts w:hint="eastAsia"/>
                <w:lang w:val="en-US" w:eastAsia="zh-CN"/>
              </w:rPr>
              <w:t>1</w:t>
            </w:r>
            <w:r>
              <w:rPr>
                <w:rFonts w:hint="eastAsia"/>
              </w:rPr>
              <w:t>栋</w:t>
            </w:r>
            <w:r>
              <w:t>1</w:t>
            </w:r>
            <w:r>
              <w:rPr>
                <w:rFonts w:hint="eastAsia"/>
              </w:rPr>
              <w:t>层，建筑面积</w:t>
            </w:r>
            <w:r>
              <w:rPr>
                <w:rFonts w:hint="eastAsia"/>
                <w:lang w:val="en-US" w:eastAsia="zh-CN"/>
              </w:rPr>
              <w:t>561.69</w:t>
            </w:r>
            <w:r>
              <w:t>m</w:t>
            </w:r>
            <w:r>
              <w:rPr>
                <w:vertAlign w:val="superscript"/>
              </w:rPr>
              <w:t>2</w:t>
            </w:r>
          </w:p>
        </w:tc>
        <w:tc>
          <w:tcPr>
            <w:tcW w:w="1591" w:type="dxa"/>
            <w:vAlign w:val="center"/>
          </w:tcPr>
          <w:p>
            <w:pPr>
              <w:pStyle w:val="8"/>
              <w:bidi w:val="0"/>
            </w:pPr>
            <w:r>
              <w:rPr>
                <w:rFonts w:hint="eastAsia"/>
              </w:rPr>
              <w:t>砖混+混凝土</w:t>
            </w: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1625" w:type="dxa"/>
            <w:gridSpan w:val="2"/>
            <w:vAlign w:val="center"/>
          </w:tcPr>
          <w:p>
            <w:pPr>
              <w:pStyle w:val="8"/>
              <w:bidi w:val="0"/>
              <w:rPr>
                <w:rFonts w:hint="eastAsia" w:eastAsiaTheme="minorEastAsia"/>
                <w:lang w:eastAsia="zh-CN"/>
              </w:rPr>
            </w:pPr>
            <w:r>
              <w:rPr>
                <w:rFonts w:hint="eastAsia"/>
                <w:lang w:eastAsia="zh-CN"/>
              </w:rPr>
              <w:t>配怀舍</w:t>
            </w:r>
          </w:p>
        </w:tc>
        <w:tc>
          <w:tcPr>
            <w:tcW w:w="3749" w:type="dxa"/>
            <w:vAlign w:val="center"/>
          </w:tcPr>
          <w:p>
            <w:pPr>
              <w:pStyle w:val="8"/>
              <w:bidi w:val="0"/>
              <w:rPr>
                <w:rFonts w:hint="eastAsia"/>
              </w:rPr>
            </w:pPr>
            <w:r>
              <w:rPr>
                <w:rFonts w:hint="eastAsia"/>
                <w:lang w:val="en-US" w:eastAsia="zh-CN"/>
              </w:rPr>
              <w:t>2</w:t>
            </w:r>
            <w:r>
              <w:rPr>
                <w:rFonts w:hint="eastAsia"/>
              </w:rPr>
              <w:t>栋</w:t>
            </w:r>
            <w:r>
              <w:t>1</w:t>
            </w:r>
            <w:r>
              <w:rPr>
                <w:rFonts w:hint="eastAsia"/>
              </w:rPr>
              <w:t>层，建筑面积</w:t>
            </w:r>
            <w:r>
              <w:rPr>
                <w:rFonts w:hint="eastAsia"/>
                <w:lang w:val="en-US" w:eastAsia="zh-CN"/>
              </w:rPr>
              <w:t>4998</w:t>
            </w:r>
            <w:r>
              <w:rPr>
                <w:rFonts w:hint="default" w:ascii="Arial" w:hAnsi="Arial" w:cs="Arial"/>
                <w:lang w:val="en-US" w:eastAsia="zh-CN"/>
              </w:rPr>
              <w:t>×</w:t>
            </w:r>
            <w:r>
              <w:rPr>
                <w:rFonts w:hint="eastAsia"/>
                <w:lang w:val="en-US" w:eastAsia="zh-CN"/>
              </w:rPr>
              <w:t>2=9996</w:t>
            </w:r>
            <w:r>
              <w:t>m</w:t>
            </w:r>
            <w:r>
              <w:rPr>
                <w:vertAlign w:val="superscript"/>
              </w:rPr>
              <w:t>2</w:t>
            </w:r>
          </w:p>
        </w:tc>
        <w:tc>
          <w:tcPr>
            <w:tcW w:w="1591" w:type="dxa"/>
            <w:vAlign w:val="center"/>
          </w:tcPr>
          <w:p>
            <w:pPr>
              <w:pStyle w:val="8"/>
              <w:bidi w:val="0"/>
              <w:rPr>
                <w:rFonts w:hint="eastAsia"/>
              </w:rPr>
            </w:pPr>
            <w:r>
              <w:rPr>
                <w:rFonts w:hint="eastAsia"/>
              </w:rPr>
              <w:t>砖混+混凝土</w:t>
            </w: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1625" w:type="dxa"/>
            <w:gridSpan w:val="2"/>
            <w:vAlign w:val="center"/>
          </w:tcPr>
          <w:p>
            <w:pPr>
              <w:pStyle w:val="8"/>
              <w:bidi w:val="0"/>
              <w:rPr>
                <w:rFonts w:hint="eastAsia"/>
                <w:lang w:eastAsia="zh-CN"/>
              </w:rPr>
            </w:pPr>
            <w:r>
              <w:rPr>
                <w:rFonts w:hint="eastAsia"/>
                <w:lang w:eastAsia="zh-CN"/>
              </w:rPr>
              <w:t>分娩舍</w:t>
            </w:r>
          </w:p>
        </w:tc>
        <w:tc>
          <w:tcPr>
            <w:tcW w:w="3749" w:type="dxa"/>
            <w:vAlign w:val="center"/>
          </w:tcPr>
          <w:p>
            <w:pPr>
              <w:pStyle w:val="8"/>
              <w:bidi w:val="0"/>
              <w:rPr>
                <w:rFonts w:hint="eastAsia"/>
                <w:lang w:val="en-US" w:eastAsia="zh-CN"/>
              </w:rPr>
            </w:pPr>
            <w:r>
              <w:rPr>
                <w:rFonts w:hint="eastAsia"/>
                <w:lang w:val="en-US" w:eastAsia="zh-CN"/>
              </w:rPr>
              <w:t>2</w:t>
            </w:r>
            <w:r>
              <w:rPr>
                <w:rFonts w:hint="eastAsia"/>
              </w:rPr>
              <w:t>栋</w:t>
            </w:r>
            <w:r>
              <w:t>1</w:t>
            </w:r>
            <w:r>
              <w:rPr>
                <w:rFonts w:hint="eastAsia"/>
              </w:rPr>
              <w:t>层，建筑面积</w:t>
            </w:r>
            <w:r>
              <w:rPr>
                <w:rFonts w:hint="eastAsia"/>
                <w:lang w:val="en-US" w:eastAsia="zh-CN"/>
              </w:rPr>
              <w:t>4541.63</w:t>
            </w:r>
            <w:r>
              <w:rPr>
                <w:rFonts w:hint="default" w:ascii="Arial" w:hAnsi="Arial" w:cs="Arial"/>
                <w:lang w:val="en-US" w:eastAsia="zh-CN"/>
              </w:rPr>
              <w:t>×</w:t>
            </w:r>
            <w:r>
              <w:rPr>
                <w:rFonts w:hint="eastAsia"/>
                <w:lang w:val="en-US" w:eastAsia="zh-CN"/>
              </w:rPr>
              <w:t>2=9083.26</w:t>
            </w:r>
            <w:r>
              <w:t>m</w:t>
            </w:r>
            <w:r>
              <w:rPr>
                <w:vertAlign w:val="superscript"/>
              </w:rPr>
              <w:t>2</w:t>
            </w:r>
          </w:p>
        </w:tc>
        <w:tc>
          <w:tcPr>
            <w:tcW w:w="1591" w:type="dxa"/>
            <w:vAlign w:val="center"/>
          </w:tcPr>
          <w:p>
            <w:pPr>
              <w:pStyle w:val="8"/>
              <w:bidi w:val="0"/>
              <w:rPr>
                <w:rFonts w:hint="eastAsia"/>
              </w:rPr>
            </w:pPr>
            <w:r>
              <w:rPr>
                <w:rFonts w:hint="eastAsia"/>
              </w:rPr>
              <w:t>砖混+混凝土</w:t>
            </w: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restart"/>
            <w:vAlign w:val="center"/>
          </w:tcPr>
          <w:p>
            <w:pPr>
              <w:pStyle w:val="8"/>
              <w:bidi w:val="0"/>
            </w:pPr>
            <w:r>
              <w:rPr>
                <w:rFonts w:hint="eastAsia"/>
              </w:rPr>
              <w:t>辅助</w:t>
            </w:r>
          </w:p>
          <w:p>
            <w:pPr>
              <w:pStyle w:val="8"/>
              <w:bidi w:val="0"/>
            </w:pPr>
            <w:r>
              <w:rPr>
                <w:rFonts w:hint="eastAsia"/>
              </w:rPr>
              <w:t>工程</w:t>
            </w:r>
          </w:p>
        </w:tc>
        <w:tc>
          <w:tcPr>
            <w:tcW w:w="1625" w:type="dxa"/>
            <w:gridSpan w:val="2"/>
            <w:vAlign w:val="center"/>
          </w:tcPr>
          <w:p>
            <w:pPr>
              <w:pStyle w:val="8"/>
              <w:bidi w:val="0"/>
            </w:pPr>
            <w:r>
              <w:rPr>
                <w:rFonts w:hint="eastAsia"/>
              </w:rPr>
              <w:t>办公生活楼</w:t>
            </w:r>
          </w:p>
        </w:tc>
        <w:tc>
          <w:tcPr>
            <w:tcW w:w="3749" w:type="dxa"/>
            <w:vAlign w:val="center"/>
          </w:tcPr>
          <w:p>
            <w:pPr>
              <w:pStyle w:val="8"/>
              <w:bidi w:val="0"/>
            </w:pPr>
            <w:r>
              <w:t>1</w:t>
            </w:r>
            <w:r>
              <w:rPr>
                <w:rFonts w:hint="eastAsia"/>
              </w:rPr>
              <w:t>栋</w:t>
            </w:r>
            <w:r>
              <w:rPr>
                <w:rFonts w:hint="eastAsia"/>
                <w:lang w:val="en-US" w:eastAsia="zh-CN"/>
              </w:rPr>
              <w:t>2</w:t>
            </w:r>
            <w:r>
              <w:rPr>
                <w:rFonts w:hint="eastAsia"/>
              </w:rPr>
              <w:t>层，建筑面积</w:t>
            </w:r>
            <w:r>
              <w:rPr>
                <w:rFonts w:hint="eastAsia"/>
                <w:lang w:val="en-US" w:eastAsia="zh-CN"/>
              </w:rPr>
              <w:t>855.12</w:t>
            </w:r>
            <w:r>
              <w:t>m</w:t>
            </w:r>
            <w:r>
              <w:rPr>
                <w:vertAlign w:val="superscript"/>
              </w:rPr>
              <w:t>2</w:t>
            </w:r>
          </w:p>
        </w:tc>
        <w:tc>
          <w:tcPr>
            <w:tcW w:w="1591" w:type="dxa"/>
            <w:vAlign w:val="center"/>
          </w:tcPr>
          <w:p>
            <w:pPr>
              <w:pStyle w:val="8"/>
              <w:bidi w:val="0"/>
            </w:pPr>
            <w:r>
              <w:rPr>
                <w:rFonts w:hint="eastAsia"/>
              </w:rPr>
              <w:t>砖混</w:t>
            </w: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1625" w:type="dxa"/>
            <w:gridSpan w:val="2"/>
            <w:vAlign w:val="center"/>
          </w:tcPr>
          <w:p>
            <w:pPr>
              <w:pStyle w:val="8"/>
              <w:bidi w:val="0"/>
              <w:rPr>
                <w:rFonts w:hint="eastAsia" w:eastAsiaTheme="minorEastAsia"/>
                <w:lang w:eastAsia="zh-CN"/>
              </w:rPr>
            </w:pPr>
            <w:r>
              <w:rPr>
                <w:rFonts w:hint="eastAsia"/>
                <w:lang w:eastAsia="zh-CN"/>
              </w:rPr>
              <w:t>消毒室</w:t>
            </w:r>
          </w:p>
        </w:tc>
        <w:tc>
          <w:tcPr>
            <w:tcW w:w="3749" w:type="dxa"/>
            <w:vAlign w:val="center"/>
          </w:tcPr>
          <w:p>
            <w:pPr>
              <w:pStyle w:val="8"/>
              <w:bidi w:val="0"/>
            </w:pPr>
            <w:r>
              <w:rPr>
                <w:rFonts w:hint="eastAsia"/>
                <w:lang w:val="en-US" w:eastAsia="zh-CN"/>
              </w:rPr>
              <w:t>1个，296.83</w:t>
            </w:r>
            <w:r>
              <w:t>m</w:t>
            </w:r>
            <w:r>
              <w:rPr>
                <w:vertAlign w:val="superscript"/>
              </w:rPr>
              <w:t>2</w:t>
            </w:r>
          </w:p>
        </w:tc>
        <w:tc>
          <w:tcPr>
            <w:tcW w:w="1591" w:type="dxa"/>
            <w:vAlign w:val="center"/>
          </w:tcPr>
          <w:p>
            <w:pPr>
              <w:pStyle w:val="8"/>
              <w:bidi w:val="0"/>
            </w:pPr>
            <w:r>
              <w:rPr>
                <w:rFonts w:hint="eastAsia"/>
              </w:rPr>
              <w:t>砖混</w:t>
            </w: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1625" w:type="dxa"/>
            <w:gridSpan w:val="2"/>
            <w:vAlign w:val="center"/>
          </w:tcPr>
          <w:p>
            <w:pPr>
              <w:pStyle w:val="8"/>
              <w:bidi w:val="0"/>
              <w:rPr>
                <w:rFonts w:hint="eastAsia" w:eastAsiaTheme="minorEastAsia"/>
                <w:lang w:eastAsia="zh-CN"/>
              </w:rPr>
            </w:pPr>
            <w:r>
              <w:rPr>
                <w:rFonts w:hint="eastAsia"/>
                <w:lang w:eastAsia="zh-CN"/>
              </w:rPr>
              <w:t>繁殖场工作间</w:t>
            </w:r>
          </w:p>
        </w:tc>
        <w:tc>
          <w:tcPr>
            <w:tcW w:w="3749" w:type="dxa"/>
            <w:vAlign w:val="center"/>
          </w:tcPr>
          <w:p>
            <w:pPr>
              <w:pStyle w:val="8"/>
              <w:bidi w:val="0"/>
            </w:pPr>
            <w:r>
              <w:rPr>
                <w:rFonts w:hint="eastAsia"/>
                <w:lang w:val="en-US" w:eastAsia="zh-CN"/>
              </w:rPr>
              <w:t>25.48</w:t>
            </w:r>
            <w:r>
              <w:t>m</w:t>
            </w:r>
            <w:r>
              <w:rPr>
                <w:vertAlign w:val="superscript"/>
              </w:rPr>
              <w:t>2</w:t>
            </w:r>
          </w:p>
        </w:tc>
        <w:tc>
          <w:tcPr>
            <w:tcW w:w="1591" w:type="dxa"/>
            <w:vAlign w:val="center"/>
          </w:tcPr>
          <w:p>
            <w:pPr>
              <w:pStyle w:val="8"/>
              <w:bidi w:val="0"/>
            </w:pPr>
            <w:r>
              <w:rPr>
                <w:rFonts w:hint="eastAsia"/>
              </w:rPr>
              <w:t>砖混</w:t>
            </w: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 w:type="dxa"/>
            <w:vMerge w:val="restart"/>
            <w:vAlign w:val="center"/>
          </w:tcPr>
          <w:p>
            <w:pPr>
              <w:pStyle w:val="8"/>
              <w:bidi w:val="0"/>
            </w:pPr>
            <w:r>
              <w:rPr>
                <w:rFonts w:hint="eastAsia"/>
              </w:rPr>
              <w:t>公用</w:t>
            </w:r>
          </w:p>
          <w:p>
            <w:pPr>
              <w:pStyle w:val="8"/>
              <w:bidi w:val="0"/>
            </w:pPr>
            <w:r>
              <w:rPr>
                <w:rFonts w:hint="eastAsia"/>
              </w:rPr>
              <w:t>工程</w:t>
            </w:r>
          </w:p>
          <w:p>
            <w:pPr>
              <w:pStyle w:val="8"/>
              <w:bidi w:val="0"/>
            </w:pPr>
          </w:p>
        </w:tc>
        <w:tc>
          <w:tcPr>
            <w:tcW w:w="1625" w:type="dxa"/>
            <w:gridSpan w:val="2"/>
            <w:vAlign w:val="center"/>
          </w:tcPr>
          <w:p>
            <w:pPr>
              <w:pStyle w:val="8"/>
              <w:bidi w:val="0"/>
            </w:pPr>
            <w:r>
              <w:rPr>
                <w:rFonts w:hint="eastAsia"/>
              </w:rPr>
              <w:t>给排水</w:t>
            </w:r>
          </w:p>
        </w:tc>
        <w:tc>
          <w:tcPr>
            <w:tcW w:w="3749" w:type="dxa"/>
            <w:vAlign w:val="center"/>
          </w:tcPr>
          <w:p>
            <w:pPr>
              <w:pStyle w:val="8"/>
              <w:bidi w:val="0"/>
              <w:rPr>
                <w:rFonts w:hint="eastAsia"/>
                <w:lang w:eastAsia="zh-CN"/>
              </w:rPr>
            </w:pPr>
            <w:r>
              <w:rPr>
                <w:rFonts w:hint="eastAsia"/>
              </w:rPr>
              <w:t>项目生产生活用水来源于自打水井，项目自建供水专管，泵入场区高位水箱</w:t>
            </w:r>
            <w:r>
              <w:rPr>
                <w:rFonts w:hint="eastAsia"/>
                <w:lang w:eastAsia="zh-CN"/>
              </w:rPr>
              <w:t>（蓄水池</w:t>
            </w:r>
            <w:r>
              <w:rPr>
                <w:rFonts w:hint="eastAsia"/>
                <w:lang w:val="en-US" w:eastAsia="zh-CN"/>
              </w:rPr>
              <w:t>500m</w:t>
            </w:r>
            <w:r>
              <w:rPr>
                <w:rFonts w:hint="eastAsia"/>
                <w:vertAlign w:val="superscript"/>
                <w:lang w:val="en-US" w:eastAsia="zh-CN"/>
              </w:rPr>
              <w:t>3</w:t>
            </w:r>
            <w:r>
              <w:rPr>
                <w:rFonts w:hint="eastAsia"/>
                <w:lang w:eastAsia="zh-CN"/>
              </w:rPr>
              <w:t>）</w:t>
            </w:r>
            <w:r>
              <w:rPr>
                <w:rFonts w:hint="eastAsia"/>
              </w:rPr>
              <w:t>，满足生产、生活、消防需求；项目采取雨水污分流制，雨水排入周边</w:t>
            </w:r>
            <w:r>
              <w:rPr>
                <w:rFonts w:hint="eastAsia"/>
                <w:lang w:eastAsia="zh-CN"/>
              </w:rPr>
              <w:t>灌溉渠</w:t>
            </w:r>
            <w:r>
              <w:rPr>
                <w:rFonts w:hint="eastAsia"/>
              </w:rPr>
              <w:t>，废水进入</w:t>
            </w:r>
            <w:r>
              <w:rPr>
                <w:rFonts w:hint="eastAsia"/>
                <w:lang w:eastAsia="zh-CN"/>
              </w:rPr>
              <w:t>厌氧发酵</w:t>
            </w:r>
            <w:r>
              <w:rPr>
                <w:rFonts w:hint="eastAsia"/>
                <w:lang w:val="en-US" w:eastAsia="zh-CN"/>
              </w:rPr>
              <w:t>+AO组合池废水处理</w:t>
            </w:r>
            <w:r>
              <w:rPr>
                <w:rFonts w:hint="eastAsia"/>
                <w:lang w:eastAsia="zh-CN"/>
              </w:rPr>
              <w:t>系统</w:t>
            </w:r>
            <w:r>
              <w:rPr>
                <w:rFonts w:hint="eastAsia"/>
                <w:lang w:val="en-US" w:eastAsia="zh-CN"/>
              </w:rPr>
              <w:t>处理</w:t>
            </w:r>
            <w:r>
              <w:rPr>
                <w:rFonts w:hint="eastAsia"/>
              </w:rPr>
              <w:t>，不外排，发酵后</w:t>
            </w:r>
            <w:r>
              <w:rPr>
                <w:rFonts w:hint="eastAsia"/>
                <w:lang w:eastAsia="zh-CN"/>
              </w:rPr>
              <w:t>的沼液还田</w:t>
            </w:r>
            <w:r>
              <w:rPr>
                <w:rFonts w:hint="eastAsia"/>
                <w:highlight w:val="none"/>
                <w:lang w:eastAsia="zh-CN"/>
              </w:rPr>
              <w:t>。</w:t>
            </w:r>
          </w:p>
        </w:tc>
        <w:tc>
          <w:tcPr>
            <w:tcW w:w="1591" w:type="dxa"/>
            <w:vAlign w:val="center"/>
          </w:tcPr>
          <w:p>
            <w:pPr>
              <w:pStyle w:val="8"/>
              <w:bidi w:val="0"/>
            </w:pP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1625" w:type="dxa"/>
            <w:gridSpan w:val="2"/>
            <w:vAlign w:val="center"/>
          </w:tcPr>
          <w:p>
            <w:pPr>
              <w:pStyle w:val="8"/>
              <w:bidi w:val="0"/>
            </w:pPr>
            <w:r>
              <w:rPr>
                <w:rFonts w:hint="eastAsia"/>
              </w:rPr>
              <w:t>供电</w:t>
            </w:r>
          </w:p>
        </w:tc>
        <w:tc>
          <w:tcPr>
            <w:tcW w:w="3749" w:type="dxa"/>
            <w:vAlign w:val="center"/>
          </w:tcPr>
          <w:p>
            <w:pPr>
              <w:pStyle w:val="8"/>
              <w:bidi w:val="0"/>
            </w:pPr>
            <w:r>
              <w:rPr>
                <w:rFonts w:hint="eastAsia"/>
              </w:rPr>
              <w:t>采用乡镇供电线路</w:t>
            </w:r>
          </w:p>
        </w:tc>
        <w:tc>
          <w:tcPr>
            <w:tcW w:w="1591" w:type="dxa"/>
            <w:vAlign w:val="center"/>
          </w:tcPr>
          <w:p>
            <w:pPr>
              <w:pStyle w:val="8"/>
              <w:bidi w:val="0"/>
            </w:pP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1625" w:type="dxa"/>
            <w:gridSpan w:val="2"/>
            <w:vAlign w:val="center"/>
          </w:tcPr>
          <w:p>
            <w:pPr>
              <w:pStyle w:val="8"/>
              <w:bidi w:val="0"/>
            </w:pPr>
            <w:r>
              <w:rPr>
                <w:rFonts w:hint="eastAsia"/>
              </w:rPr>
              <w:t>供热</w:t>
            </w:r>
          </w:p>
        </w:tc>
        <w:tc>
          <w:tcPr>
            <w:tcW w:w="3749" w:type="dxa"/>
            <w:vAlign w:val="center"/>
          </w:tcPr>
          <w:p>
            <w:pPr>
              <w:pStyle w:val="8"/>
              <w:bidi w:val="0"/>
            </w:pPr>
            <w:r>
              <w:rPr>
                <w:rFonts w:hint="eastAsia"/>
              </w:rPr>
              <w:t>采用电供热用于产床供热</w:t>
            </w:r>
          </w:p>
        </w:tc>
        <w:tc>
          <w:tcPr>
            <w:tcW w:w="1591" w:type="dxa"/>
            <w:vAlign w:val="center"/>
          </w:tcPr>
          <w:p>
            <w:pPr>
              <w:pStyle w:val="8"/>
              <w:bidi w:val="0"/>
            </w:pP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1625" w:type="dxa"/>
            <w:gridSpan w:val="2"/>
            <w:vAlign w:val="center"/>
          </w:tcPr>
          <w:p>
            <w:pPr>
              <w:pStyle w:val="8"/>
              <w:bidi w:val="0"/>
              <w:rPr>
                <w:rFonts w:hint="eastAsia" w:eastAsiaTheme="minorEastAsia"/>
                <w:lang w:eastAsia="zh-CN"/>
              </w:rPr>
            </w:pPr>
            <w:r>
              <w:rPr>
                <w:rFonts w:hint="eastAsia"/>
                <w:lang w:eastAsia="zh-CN"/>
              </w:rPr>
              <w:t>通风</w:t>
            </w:r>
          </w:p>
        </w:tc>
        <w:tc>
          <w:tcPr>
            <w:tcW w:w="3749" w:type="dxa"/>
            <w:vAlign w:val="center"/>
          </w:tcPr>
          <w:p>
            <w:pPr>
              <w:pStyle w:val="8"/>
              <w:bidi w:val="0"/>
              <w:rPr>
                <w:rFonts w:hint="eastAsia" w:eastAsiaTheme="minorEastAsia"/>
                <w:lang w:eastAsia="zh-CN"/>
              </w:rPr>
            </w:pPr>
            <w:r>
              <w:rPr>
                <w:rFonts w:hint="eastAsia"/>
                <w:lang w:eastAsia="zh-CN"/>
              </w:rPr>
              <w:t>采用风机</w:t>
            </w:r>
            <w:r>
              <w:rPr>
                <w:rFonts w:hint="eastAsia"/>
                <w:lang w:val="en-US" w:eastAsia="zh-CN"/>
              </w:rPr>
              <w:t>+</w:t>
            </w:r>
            <w:r>
              <w:rPr>
                <w:rFonts w:hint="eastAsia"/>
                <w:lang w:eastAsia="zh-CN"/>
              </w:rPr>
              <w:t>水帘进行通风散热</w:t>
            </w:r>
          </w:p>
        </w:tc>
        <w:tc>
          <w:tcPr>
            <w:tcW w:w="1591" w:type="dxa"/>
            <w:vAlign w:val="center"/>
          </w:tcPr>
          <w:p>
            <w:pPr>
              <w:pStyle w:val="8"/>
              <w:bidi w:val="0"/>
            </w:pP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1625" w:type="dxa"/>
            <w:gridSpan w:val="2"/>
            <w:vAlign w:val="center"/>
          </w:tcPr>
          <w:p>
            <w:pPr>
              <w:pStyle w:val="8"/>
              <w:bidi w:val="0"/>
            </w:pPr>
            <w:r>
              <w:rPr>
                <w:rFonts w:hint="eastAsia"/>
              </w:rPr>
              <w:t>消防</w:t>
            </w:r>
          </w:p>
        </w:tc>
        <w:tc>
          <w:tcPr>
            <w:tcW w:w="3749" w:type="dxa"/>
            <w:vAlign w:val="center"/>
          </w:tcPr>
          <w:p>
            <w:pPr>
              <w:pStyle w:val="8"/>
              <w:bidi w:val="0"/>
            </w:pPr>
            <w:r>
              <w:rPr>
                <w:rFonts w:hint="eastAsia"/>
              </w:rPr>
              <w:t>消防栓</w:t>
            </w:r>
          </w:p>
        </w:tc>
        <w:tc>
          <w:tcPr>
            <w:tcW w:w="1591" w:type="dxa"/>
            <w:vAlign w:val="center"/>
          </w:tcPr>
          <w:p>
            <w:pPr>
              <w:pStyle w:val="8"/>
              <w:bidi w:val="0"/>
            </w:pP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977" w:type="dxa"/>
            <w:vMerge w:val="restart"/>
            <w:vAlign w:val="center"/>
          </w:tcPr>
          <w:p>
            <w:pPr>
              <w:pStyle w:val="8"/>
              <w:bidi w:val="0"/>
            </w:pPr>
            <w:r>
              <w:rPr>
                <w:rFonts w:hint="eastAsia"/>
              </w:rPr>
              <w:t>环保工程</w:t>
            </w:r>
          </w:p>
        </w:tc>
        <w:tc>
          <w:tcPr>
            <w:tcW w:w="637" w:type="dxa"/>
            <w:vAlign w:val="center"/>
          </w:tcPr>
          <w:p>
            <w:pPr>
              <w:pStyle w:val="8"/>
              <w:bidi w:val="0"/>
            </w:pPr>
            <w:r>
              <w:rPr>
                <w:rFonts w:hint="eastAsia"/>
              </w:rPr>
              <w:t>废水</w:t>
            </w:r>
          </w:p>
        </w:tc>
        <w:tc>
          <w:tcPr>
            <w:tcW w:w="988" w:type="dxa"/>
            <w:vAlign w:val="center"/>
          </w:tcPr>
          <w:p>
            <w:pPr>
              <w:pStyle w:val="8"/>
              <w:bidi w:val="0"/>
            </w:pPr>
            <w:r>
              <w:rPr>
                <w:rFonts w:hint="eastAsia"/>
              </w:rPr>
              <w:t>堆粪棚和集污池</w:t>
            </w:r>
          </w:p>
        </w:tc>
        <w:tc>
          <w:tcPr>
            <w:tcW w:w="3749" w:type="dxa"/>
            <w:vAlign w:val="center"/>
          </w:tcPr>
          <w:p>
            <w:pPr>
              <w:pStyle w:val="8"/>
              <w:bidi w:val="0"/>
              <w:rPr>
                <w:rFonts w:hint="eastAsia" w:eastAsiaTheme="minorEastAsia"/>
                <w:lang w:eastAsia="zh-CN"/>
              </w:rPr>
            </w:pPr>
            <w:r>
              <w:rPr>
                <w:rFonts w:hint="eastAsia" w:ascii="Times New Roman" w:hAnsi="Times New Roman" w:cs="Times New Roman"/>
                <w:sz w:val="21"/>
                <w:szCs w:val="21"/>
              </w:rPr>
              <w:t>猪舍地板为水泥漏缝板，水泥漏缝下面为1</w:t>
            </w:r>
            <w:r>
              <w:rPr>
                <w:rFonts w:ascii="Times New Roman" w:hAnsi="Times New Roman" w:cs="Times New Roman"/>
                <w:sz w:val="21"/>
                <w:szCs w:val="21"/>
              </w:rPr>
              <w:t xml:space="preserve"> m深的</w:t>
            </w:r>
            <w:r>
              <w:rPr>
                <w:rFonts w:hint="eastAsia" w:ascii="Times New Roman" w:hAnsi="Times New Roman" w:cs="Times New Roman"/>
                <w:sz w:val="21"/>
                <w:szCs w:val="21"/>
              </w:rPr>
              <w:t>刮</w:t>
            </w:r>
            <w:r>
              <w:rPr>
                <w:rFonts w:ascii="Times New Roman" w:hAnsi="Times New Roman" w:cs="Times New Roman"/>
                <w:sz w:val="21"/>
                <w:szCs w:val="21"/>
              </w:rPr>
              <w:t>粪池</w:t>
            </w:r>
            <w:r>
              <w:rPr>
                <w:rFonts w:hint="eastAsia" w:cs="Times New Roman"/>
                <w:sz w:val="21"/>
                <w:szCs w:val="21"/>
                <w:lang w:eastAsia="zh-CN"/>
              </w:rPr>
              <w:t>，</w:t>
            </w:r>
            <w:r>
              <w:rPr>
                <w:rFonts w:hint="eastAsia" w:ascii="Times New Roman" w:hAnsi="Times New Roman" w:cs="Times New Roman"/>
                <w:sz w:val="21"/>
                <w:szCs w:val="21"/>
              </w:rPr>
              <w:t>猪舍内猪</w:t>
            </w:r>
            <w:r>
              <w:rPr>
                <w:rFonts w:hint="eastAsia" w:cs="Times New Roman"/>
                <w:sz w:val="21"/>
                <w:szCs w:val="21"/>
                <w:lang w:eastAsia="zh-CN"/>
              </w:rPr>
              <w:t>粪</w:t>
            </w:r>
            <w:r>
              <w:rPr>
                <w:rFonts w:hint="eastAsia" w:ascii="Times New Roman" w:hAnsi="Times New Roman" w:cs="Times New Roman"/>
                <w:sz w:val="21"/>
                <w:szCs w:val="21"/>
              </w:rPr>
              <w:t>尿</w:t>
            </w:r>
            <w:r>
              <w:rPr>
                <w:rFonts w:hint="eastAsia" w:cs="Times New Roman"/>
                <w:sz w:val="21"/>
                <w:szCs w:val="21"/>
                <w:lang w:eastAsia="zh-CN"/>
              </w:rPr>
              <w:t>采用重力清粪经</w:t>
            </w:r>
            <w:r>
              <w:rPr>
                <w:rFonts w:hint="eastAsia" w:ascii="Times New Roman" w:hAnsi="Times New Roman" w:cs="Times New Roman"/>
                <w:sz w:val="21"/>
                <w:szCs w:val="21"/>
              </w:rPr>
              <w:t>排污管道流</w:t>
            </w:r>
            <w:r>
              <w:rPr>
                <w:rFonts w:hint="eastAsia" w:cs="Times New Roman"/>
                <w:sz w:val="21"/>
                <w:szCs w:val="21"/>
                <w:lang w:eastAsia="zh-CN"/>
              </w:rPr>
              <w:t>进格栅集污池的有效容积为</w:t>
            </w:r>
            <w:r>
              <w:rPr>
                <w:rFonts w:hint="eastAsia" w:cs="Times New Roman"/>
                <w:sz w:val="21"/>
                <w:szCs w:val="21"/>
                <w:lang w:val="en-US" w:eastAsia="zh-CN"/>
              </w:rPr>
              <w:t>236m</w:t>
            </w:r>
            <w:r>
              <w:rPr>
                <w:rFonts w:hint="eastAsia" w:cs="Times New Roman"/>
                <w:sz w:val="21"/>
                <w:szCs w:val="21"/>
                <w:vertAlign w:val="superscript"/>
                <w:lang w:val="en-US" w:eastAsia="zh-CN"/>
              </w:rPr>
              <w:t>3</w:t>
            </w:r>
            <w:r>
              <w:rPr>
                <w:rFonts w:ascii="Times New Roman" w:hAnsi="Times New Roman" w:cs="Times New Roman"/>
                <w:sz w:val="21"/>
                <w:szCs w:val="21"/>
              </w:rPr>
              <w:t>。</w:t>
            </w:r>
            <w:r>
              <w:rPr>
                <w:rFonts w:hint="eastAsia" w:cs="Times New Roman"/>
                <w:sz w:val="21"/>
                <w:szCs w:val="21"/>
                <w:lang w:eastAsia="zh-CN"/>
              </w:rPr>
              <w:t>集污池内的猪粪污经干湿分离后，猪粪进入堆粪棚发酵，项目在东南侧建设一个面积约</w:t>
            </w:r>
            <w:r>
              <w:rPr>
                <w:rFonts w:hint="eastAsia" w:cs="Times New Roman"/>
                <w:sz w:val="21"/>
                <w:szCs w:val="21"/>
                <w:lang w:val="en-US" w:eastAsia="zh-CN"/>
              </w:rPr>
              <w:t>426m</w:t>
            </w:r>
            <w:r>
              <w:rPr>
                <w:rFonts w:hint="eastAsia" w:cs="Times New Roman"/>
                <w:sz w:val="21"/>
                <w:szCs w:val="21"/>
                <w:vertAlign w:val="superscript"/>
                <w:lang w:val="en-US" w:eastAsia="zh-CN"/>
              </w:rPr>
              <w:t>2</w:t>
            </w:r>
            <w:r>
              <w:rPr>
                <w:rFonts w:hint="eastAsia" w:cs="Times New Roman"/>
                <w:sz w:val="21"/>
                <w:szCs w:val="21"/>
                <w:lang w:val="en-US" w:eastAsia="zh-CN"/>
              </w:rPr>
              <w:t>的堆粪棚</w:t>
            </w:r>
            <w:r>
              <w:rPr>
                <w:rFonts w:hint="eastAsia"/>
                <w:sz w:val="21"/>
                <w:szCs w:val="21"/>
              </w:rPr>
              <w:t>。</w:t>
            </w:r>
            <w:r>
              <w:rPr>
                <w:rFonts w:hint="eastAsia"/>
                <w:lang w:eastAsia="zh-CN"/>
              </w:rPr>
              <w:t>猪尿进入厌氧发酵</w:t>
            </w:r>
            <w:r>
              <w:rPr>
                <w:rFonts w:hint="eastAsia"/>
                <w:lang w:val="en-US" w:eastAsia="zh-CN"/>
              </w:rPr>
              <w:t>+AO组合池废水处理</w:t>
            </w:r>
            <w:r>
              <w:rPr>
                <w:rFonts w:hint="eastAsia"/>
                <w:lang w:eastAsia="zh-CN"/>
              </w:rPr>
              <w:t>系统</w:t>
            </w:r>
            <w:r>
              <w:rPr>
                <w:rFonts w:hint="eastAsia"/>
                <w:lang w:val="en-US" w:eastAsia="zh-CN"/>
              </w:rPr>
              <w:t>处理</w:t>
            </w:r>
            <w:r>
              <w:rPr>
                <w:rFonts w:hint="eastAsia"/>
                <w:lang w:eastAsia="zh-CN"/>
              </w:rPr>
              <w:t>，</w:t>
            </w:r>
            <w:r>
              <w:rPr>
                <w:rFonts w:hint="eastAsia"/>
                <w:highlight w:val="none"/>
                <w:lang w:eastAsia="zh-CN"/>
              </w:rPr>
              <w:t>项目厌氧罐有效容积为</w:t>
            </w:r>
            <w:r>
              <w:rPr>
                <w:rFonts w:hint="eastAsia"/>
                <w:highlight w:val="none"/>
                <w:lang w:val="en-US" w:eastAsia="zh-CN"/>
              </w:rPr>
              <w:t>400m</w:t>
            </w:r>
            <w:r>
              <w:rPr>
                <w:rFonts w:hint="eastAsia"/>
                <w:highlight w:val="none"/>
                <w:vertAlign w:val="superscript"/>
                <w:lang w:val="en-US" w:eastAsia="zh-CN"/>
              </w:rPr>
              <w:t>3</w:t>
            </w:r>
            <w:r>
              <w:rPr>
                <w:rFonts w:hint="eastAsia"/>
                <w:highlight w:val="none"/>
                <w:lang w:val="en-US" w:eastAsia="zh-CN"/>
              </w:rPr>
              <w:t>，沼液储存池有效容积12000m</w:t>
            </w:r>
            <w:r>
              <w:rPr>
                <w:rFonts w:hint="eastAsia"/>
                <w:highlight w:val="none"/>
                <w:vertAlign w:val="superscript"/>
                <w:lang w:val="en-US" w:eastAsia="zh-CN"/>
              </w:rPr>
              <w:t>3</w:t>
            </w:r>
            <w:r>
              <w:rPr>
                <w:rFonts w:hint="eastAsia"/>
                <w:highlight w:val="none"/>
                <w:lang w:eastAsia="zh-CN"/>
              </w:rPr>
              <w:t>。</w:t>
            </w:r>
          </w:p>
        </w:tc>
        <w:tc>
          <w:tcPr>
            <w:tcW w:w="1591" w:type="dxa"/>
            <w:vAlign w:val="center"/>
          </w:tcPr>
          <w:p>
            <w:pPr>
              <w:pStyle w:val="8"/>
              <w:bidi w:val="0"/>
            </w:pPr>
            <w:r>
              <w:rPr>
                <w:rFonts w:hint="eastAsia"/>
              </w:rPr>
              <w:t>砖混+混凝土</w:t>
            </w: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637" w:type="dxa"/>
            <w:vMerge w:val="restart"/>
            <w:vAlign w:val="center"/>
          </w:tcPr>
          <w:p>
            <w:pPr>
              <w:pStyle w:val="8"/>
              <w:bidi w:val="0"/>
            </w:pPr>
            <w:r>
              <w:rPr>
                <w:rFonts w:hint="eastAsia"/>
              </w:rPr>
              <w:t>废气</w:t>
            </w:r>
          </w:p>
        </w:tc>
        <w:tc>
          <w:tcPr>
            <w:tcW w:w="988" w:type="dxa"/>
            <w:vAlign w:val="center"/>
          </w:tcPr>
          <w:p>
            <w:pPr>
              <w:pStyle w:val="8"/>
              <w:bidi w:val="0"/>
            </w:pPr>
            <w:r>
              <w:rPr>
                <w:rFonts w:hint="eastAsia"/>
              </w:rPr>
              <w:t>通风装置</w:t>
            </w:r>
          </w:p>
        </w:tc>
        <w:tc>
          <w:tcPr>
            <w:tcW w:w="3749" w:type="dxa"/>
            <w:vAlign w:val="center"/>
          </w:tcPr>
          <w:p>
            <w:pPr>
              <w:pStyle w:val="8"/>
              <w:bidi w:val="0"/>
            </w:pPr>
            <w:r>
              <w:rPr>
                <w:rFonts w:hint="eastAsia"/>
              </w:rPr>
              <w:t>水帘装置、风机</w:t>
            </w:r>
            <w:r>
              <w:rPr>
                <w:rFonts w:hint="eastAsia"/>
                <w:lang w:val="en-US" w:eastAsia="zh-CN"/>
              </w:rPr>
              <w:t>100</w:t>
            </w:r>
            <w:r>
              <w:rPr>
                <w:rFonts w:hint="eastAsia"/>
              </w:rPr>
              <w:t>台</w:t>
            </w:r>
          </w:p>
        </w:tc>
        <w:tc>
          <w:tcPr>
            <w:tcW w:w="1591" w:type="dxa"/>
            <w:vAlign w:val="center"/>
          </w:tcPr>
          <w:p>
            <w:pPr>
              <w:pStyle w:val="8"/>
              <w:bidi w:val="0"/>
            </w:pP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bidi w:val="0"/>
            </w:pPr>
          </w:p>
        </w:tc>
        <w:tc>
          <w:tcPr>
            <w:tcW w:w="637" w:type="dxa"/>
            <w:vMerge w:val="continue"/>
            <w:vAlign w:val="center"/>
          </w:tcPr>
          <w:p>
            <w:pPr>
              <w:pStyle w:val="8"/>
              <w:bidi w:val="0"/>
              <w:rPr>
                <w:rFonts w:hint="eastAsia"/>
              </w:rPr>
            </w:pPr>
          </w:p>
        </w:tc>
        <w:tc>
          <w:tcPr>
            <w:tcW w:w="988"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rPr>
              <w:t>沼气</w:t>
            </w:r>
            <w:r>
              <w:rPr>
                <w:rFonts w:hint="eastAsia"/>
                <w:lang w:eastAsia="zh-CN"/>
              </w:rPr>
              <w:t>燃烧</w:t>
            </w:r>
          </w:p>
        </w:tc>
        <w:tc>
          <w:tcPr>
            <w:tcW w:w="3749"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rPr>
              <w:t>脱硫</w:t>
            </w:r>
            <w:r>
              <w:rPr>
                <w:rFonts w:hint="eastAsia"/>
                <w:lang w:eastAsia="zh-CN"/>
              </w:rPr>
              <w:t>、高空燃烧</w:t>
            </w:r>
          </w:p>
        </w:tc>
        <w:tc>
          <w:tcPr>
            <w:tcW w:w="1591" w:type="dxa"/>
            <w:vAlign w:val="center"/>
          </w:tcPr>
          <w:p>
            <w:pPr>
              <w:pStyle w:val="8"/>
              <w:bidi w:val="0"/>
            </w:pP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977" w:type="dxa"/>
            <w:vMerge w:val="continue"/>
            <w:vAlign w:val="center"/>
          </w:tcPr>
          <w:p>
            <w:pPr>
              <w:pStyle w:val="8"/>
              <w:bidi w:val="0"/>
            </w:pPr>
          </w:p>
        </w:tc>
        <w:tc>
          <w:tcPr>
            <w:tcW w:w="637" w:type="dxa"/>
            <w:vMerge w:val="restart"/>
            <w:vAlign w:val="center"/>
          </w:tcPr>
          <w:p>
            <w:pPr>
              <w:pStyle w:val="8"/>
              <w:bidi w:val="0"/>
            </w:pPr>
            <w:r>
              <w:rPr>
                <w:rFonts w:hint="eastAsia"/>
              </w:rPr>
              <w:t>固废</w:t>
            </w:r>
          </w:p>
        </w:tc>
        <w:tc>
          <w:tcPr>
            <w:tcW w:w="988" w:type="dxa"/>
            <w:vAlign w:val="center"/>
          </w:tcPr>
          <w:p>
            <w:pPr>
              <w:pStyle w:val="8"/>
              <w:bidi w:val="0"/>
            </w:pPr>
            <w:r>
              <w:rPr>
                <w:rFonts w:hint="eastAsia"/>
              </w:rPr>
              <w:t>冷冻库</w:t>
            </w:r>
          </w:p>
        </w:tc>
        <w:tc>
          <w:tcPr>
            <w:tcW w:w="3749" w:type="dxa"/>
            <w:vAlign w:val="center"/>
          </w:tcPr>
          <w:p>
            <w:pPr>
              <w:pStyle w:val="8"/>
              <w:bidi w:val="0"/>
              <w:rPr>
                <w:rFonts w:hint="eastAsia" w:eastAsiaTheme="minorEastAsia"/>
                <w:lang w:val="en-US" w:eastAsia="zh-CN"/>
              </w:rPr>
            </w:pPr>
            <w:r>
              <w:rPr>
                <w:rFonts w:hint="eastAsia"/>
              </w:rPr>
              <w:t>用于暂存病死猪尸体，库体容积为</w:t>
            </w:r>
            <w:r>
              <w:rPr>
                <w:rFonts w:hint="eastAsia"/>
                <w:lang w:val="en-US" w:eastAsia="zh-CN"/>
              </w:rPr>
              <w:t>40</w:t>
            </w:r>
            <w:r>
              <w:t>m</w:t>
            </w:r>
            <w:r>
              <w:rPr>
                <w:vertAlign w:val="superscript"/>
              </w:rPr>
              <w:t>3</w:t>
            </w:r>
          </w:p>
        </w:tc>
        <w:tc>
          <w:tcPr>
            <w:tcW w:w="1591" w:type="dxa"/>
            <w:vAlign w:val="center"/>
          </w:tcPr>
          <w:p>
            <w:pPr>
              <w:pStyle w:val="8"/>
              <w:bidi w:val="0"/>
            </w:pPr>
            <w:r>
              <w:rPr>
                <w:rFonts w:hint="eastAsia"/>
              </w:rPr>
              <w:t>混凝土</w:t>
            </w:r>
          </w:p>
        </w:tc>
        <w:tc>
          <w:tcPr>
            <w:tcW w:w="796"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77" w:type="dxa"/>
            <w:vMerge w:val="continue"/>
            <w:vAlign w:val="center"/>
          </w:tcPr>
          <w:p>
            <w:pPr>
              <w:pStyle w:val="8"/>
              <w:bidi w:val="0"/>
            </w:pPr>
          </w:p>
        </w:tc>
        <w:tc>
          <w:tcPr>
            <w:tcW w:w="637" w:type="dxa"/>
            <w:vMerge w:val="continue"/>
            <w:vAlign w:val="center"/>
          </w:tcPr>
          <w:p>
            <w:pPr>
              <w:pStyle w:val="8"/>
              <w:bidi w:val="0"/>
            </w:pPr>
          </w:p>
        </w:tc>
        <w:tc>
          <w:tcPr>
            <w:tcW w:w="988" w:type="dxa"/>
            <w:vAlign w:val="center"/>
          </w:tcPr>
          <w:p>
            <w:pPr>
              <w:pStyle w:val="8"/>
              <w:bidi w:val="0"/>
            </w:pPr>
            <w:r>
              <w:rPr>
                <w:rFonts w:hint="eastAsia"/>
              </w:rPr>
              <w:t>危废暂存间</w:t>
            </w:r>
          </w:p>
        </w:tc>
        <w:tc>
          <w:tcPr>
            <w:tcW w:w="3749" w:type="dxa"/>
            <w:vAlign w:val="center"/>
          </w:tcPr>
          <w:p>
            <w:pPr>
              <w:pStyle w:val="8"/>
              <w:bidi w:val="0"/>
            </w:pPr>
            <w:r>
              <w:rPr>
                <w:rFonts w:hint="eastAsia"/>
                <w:lang w:val="en-US" w:eastAsia="zh-CN"/>
              </w:rPr>
              <w:t>30</w:t>
            </w:r>
            <w:r>
              <w:t>m</w:t>
            </w:r>
            <w:r>
              <w:rPr>
                <w:vertAlign w:val="superscript"/>
              </w:rPr>
              <w:t>2</w:t>
            </w:r>
            <w:r>
              <w:rPr>
                <w:rFonts w:hint="eastAsia"/>
              </w:rPr>
              <w:t>、防渗防水</w:t>
            </w:r>
          </w:p>
        </w:tc>
        <w:tc>
          <w:tcPr>
            <w:tcW w:w="1591" w:type="dxa"/>
            <w:vAlign w:val="center"/>
          </w:tcPr>
          <w:p>
            <w:pPr>
              <w:pStyle w:val="8"/>
              <w:bidi w:val="0"/>
            </w:pPr>
            <w:r>
              <w:rPr>
                <w:rFonts w:hint="eastAsia"/>
              </w:rPr>
              <w:t>混凝土</w:t>
            </w:r>
          </w:p>
        </w:tc>
        <w:tc>
          <w:tcPr>
            <w:tcW w:w="796" w:type="dxa"/>
            <w:vAlign w:val="center"/>
          </w:tcPr>
          <w:p>
            <w:pPr>
              <w:pStyle w:val="8"/>
              <w:bidi w:val="0"/>
            </w:pPr>
          </w:p>
        </w:tc>
      </w:tr>
    </w:tbl>
    <w:p>
      <w:pPr>
        <w:pStyle w:val="5"/>
        <w:bidi w:val="0"/>
      </w:pPr>
      <w:bookmarkStart w:id="134" w:name="_Toc468689122"/>
      <w:bookmarkStart w:id="135" w:name="_Toc289344524"/>
      <w:r>
        <w:rPr>
          <w:rFonts w:hint="eastAsia"/>
        </w:rPr>
        <w:t>产品方案及存栏量</w:t>
      </w:r>
      <w:bookmarkEnd w:id="134"/>
      <w:bookmarkEnd w:id="135"/>
    </w:p>
    <w:p>
      <w:r>
        <w:t>（1）年存栏量</w:t>
      </w:r>
    </w:p>
    <w:p>
      <w:r>
        <w:t>年存栏总数=成年母猪数+种公猪数+哺乳仔猪数。</w:t>
      </w:r>
    </w:p>
    <w:p>
      <w:pPr>
        <w:rPr>
          <w:rFonts w:hint="default" w:eastAsiaTheme="minorEastAsia"/>
          <w:lang w:val="en-US" w:eastAsia="zh-CN"/>
        </w:rPr>
      </w:pPr>
      <w:r>
        <w:t>①成年母猪数</w:t>
      </w:r>
      <w:r>
        <w:rPr>
          <w:rFonts w:hint="eastAsia"/>
          <w:lang w:val="en-US" w:eastAsia="zh-CN"/>
        </w:rPr>
        <w:t>=4800头</w:t>
      </w:r>
    </w:p>
    <w:p>
      <w:r>
        <w:t>②种公猪数=母猪头数×公母比例</w:t>
      </w:r>
    </w:p>
    <w:p>
      <w:pPr>
        <w:rPr>
          <w:rFonts w:hint="default" w:eastAsiaTheme="minorEastAsia"/>
          <w:lang w:val="en-US" w:eastAsia="zh-CN"/>
        </w:rPr>
      </w:pPr>
      <w:r>
        <w:t>种公猪数</w:t>
      </w:r>
      <w:r>
        <w:rPr>
          <w:rFonts w:hint="eastAsia"/>
          <w:lang w:val="en-US" w:eastAsia="zh-CN"/>
        </w:rPr>
        <w:t>=4800</w:t>
      </w:r>
      <w:r>
        <w:t>×</w:t>
      </w:r>
      <w:r>
        <w:rPr>
          <w:rFonts w:hint="eastAsia"/>
          <w:lang w:val="en-US" w:eastAsia="zh-CN"/>
        </w:rPr>
        <w:t>0.033=158</w:t>
      </w:r>
    </w:p>
    <w:p>
      <w:r>
        <w:fldChar w:fldCharType="begin"/>
      </w:r>
      <w:r>
        <w:instrText xml:space="preserve"> = 3 \* GB3 </w:instrText>
      </w:r>
      <w:r>
        <w:fldChar w:fldCharType="separate"/>
      </w:r>
      <w:r>
        <w:t>③</w:t>
      </w:r>
      <w:r>
        <w:fldChar w:fldCharType="end"/>
      </w:r>
      <w:r>
        <w:t>哺乳仔猪头数=（成年母猪数×年产胎次×每胎产活仔数×哺乳天数）/365=(</w:t>
      </w:r>
      <w:r>
        <w:rPr>
          <w:rFonts w:hint="eastAsia"/>
          <w:lang w:val="en-US" w:eastAsia="zh-CN"/>
        </w:rPr>
        <w:t>4800</w:t>
      </w:r>
      <w:r>
        <w:t>×2.2</w:t>
      </w:r>
      <w:r>
        <w:rPr>
          <w:rFonts w:hint="eastAsia"/>
          <w:lang w:val="en-US" w:eastAsia="zh-CN"/>
        </w:rPr>
        <w:t>3</w:t>
      </w:r>
      <w:r>
        <w:t>×1</w:t>
      </w:r>
      <w:r>
        <w:rPr>
          <w:rFonts w:hint="eastAsia"/>
          <w:lang w:val="en-US" w:eastAsia="zh-CN"/>
        </w:rPr>
        <w:t>2</w:t>
      </w:r>
      <w:r>
        <w:t>×2</w:t>
      </w:r>
      <w:r>
        <w:rPr>
          <w:rFonts w:hint="eastAsia"/>
          <w:lang w:val="en-US" w:eastAsia="zh-CN"/>
        </w:rPr>
        <w:t>8</w:t>
      </w:r>
      <w:r>
        <w:t>)/365头</w:t>
      </w:r>
      <w:r>
        <w:rPr>
          <w:rFonts w:hint="eastAsia"/>
          <w:lang w:val="en-US" w:eastAsia="zh-CN"/>
        </w:rPr>
        <w:t>=9853</w:t>
      </w:r>
      <w:r>
        <w:t>头</w:t>
      </w:r>
    </w:p>
    <w:p>
      <w:r>
        <w:t>年存栏量=成年母猪数+种公猪数+哺乳仔猪数=</w:t>
      </w:r>
      <w:r>
        <w:rPr>
          <w:rFonts w:hint="eastAsia"/>
          <w:lang w:val="en-US" w:eastAsia="zh-CN"/>
        </w:rPr>
        <w:t>4800</w:t>
      </w:r>
      <w:r>
        <w:t>+</w:t>
      </w:r>
      <w:r>
        <w:rPr>
          <w:rFonts w:hint="eastAsia"/>
          <w:lang w:val="en-US" w:eastAsia="zh-CN"/>
        </w:rPr>
        <w:t>158+9853</w:t>
      </w:r>
      <w:r>
        <w:t>头</w:t>
      </w:r>
      <w:r>
        <w:rPr>
          <w:rFonts w:hint="eastAsia"/>
          <w:lang w:val="en-US" w:eastAsia="zh-CN"/>
        </w:rPr>
        <w:t>=14811</w:t>
      </w:r>
      <w:r>
        <w:t>头</w:t>
      </w:r>
    </w:p>
    <w:p>
      <w:pPr>
        <w:rPr>
          <w:highlight w:val="none"/>
        </w:rPr>
      </w:pPr>
      <w:r>
        <w:rPr>
          <w:highlight w:val="none"/>
        </w:rPr>
        <w:t>《畜禽养殖业污染物排放标准》对猪的存栏数要求就是体重在25kg以上的猪的数量，</w:t>
      </w:r>
      <w:r>
        <w:rPr>
          <w:rFonts w:hint="eastAsia"/>
          <w:highlight w:val="none"/>
          <w:lang w:val="en-US" w:eastAsia="zh-CN"/>
        </w:rPr>
        <w:t>5只哺乳仔猪折算成1头成年猪</w:t>
      </w:r>
      <w:r>
        <w:rPr>
          <w:highlight w:val="none"/>
        </w:rPr>
        <w:t>，则项目折合成年猪年存栏量=成年母猪数+种公猪数+哺乳仔猪数/5 =</w:t>
      </w:r>
      <w:r>
        <w:rPr>
          <w:rFonts w:hint="eastAsia"/>
          <w:highlight w:val="none"/>
          <w:lang w:val="en-US" w:eastAsia="zh-CN"/>
        </w:rPr>
        <w:t>4800</w:t>
      </w:r>
      <w:r>
        <w:rPr>
          <w:highlight w:val="none"/>
        </w:rPr>
        <w:t>+</w:t>
      </w:r>
      <w:r>
        <w:rPr>
          <w:rFonts w:hint="eastAsia"/>
          <w:highlight w:val="none"/>
          <w:lang w:val="en-US" w:eastAsia="zh-CN"/>
        </w:rPr>
        <w:t>158</w:t>
      </w:r>
      <w:r>
        <w:rPr>
          <w:highlight w:val="none"/>
        </w:rPr>
        <w:t>+</w:t>
      </w:r>
      <w:r>
        <w:rPr>
          <w:rFonts w:hint="eastAsia"/>
          <w:highlight w:val="none"/>
          <w:lang w:val="en-US" w:eastAsia="zh-CN"/>
        </w:rPr>
        <w:t>9853</w:t>
      </w:r>
      <w:r>
        <w:rPr>
          <w:highlight w:val="none"/>
        </w:rPr>
        <w:t>/5头=</w:t>
      </w:r>
      <w:r>
        <w:rPr>
          <w:rFonts w:hint="eastAsia"/>
          <w:highlight w:val="none"/>
          <w:lang w:val="en-US" w:eastAsia="zh-CN"/>
        </w:rPr>
        <w:t>6929</w:t>
      </w:r>
      <w:r>
        <w:rPr>
          <w:highlight w:val="none"/>
        </w:rPr>
        <w:t>头</w:t>
      </w:r>
    </w:p>
    <w:p>
      <w:pPr>
        <w:numPr>
          <w:ilvl w:val="0"/>
          <w:numId w:val="2"/>
        </w:numPr>
        <w:rPr>
          <w:rFonts w:hint="eastAsia"/>
          <w:highlight w:val="none"/>
          <w:lang w:eastAsia="zh-CN"/>
        </w:rPr>
      </w:pPr>
      <w:r>
        <w:rPr>
          <w:rFonts w:hint="eastAsia"/>
          <w:highlight w:val="none"/>
          <w:lang w:eastAsia="zh-CN"/>
        </w:rPr>
        <w:t>年出栏仔猪量</w:t>
      </w:r>
    </w:p>
    <w:p>
      <w:pPr>
        <w:rPr>
          <w:rFonts w:hint="default" w:eastAsiaTheme="minorEastAsia"/>
          <w:lang w:val="en-US" w:eastAsia="zh-CN"/>
        </w:rPr>
      </w:pPr>
      <w:r>
        <w:t>全场年出栏产品头数＝母猪头数×母猪平均年产仔窝数×窝产活仔猪数×哺乳期成活率</w:t>
      </w:r>
      <w:r>
        <w:rPr>
          <w:rFonts w:hint="eastAsia"/>
          <w:lang w:val="en-US" w:eastAsia="zh-CN"/>
        </w:rPr>
        <w:t>=4800</w:t>
      </w:r>
      <w:r>
        <w:t>×</w:t>
      </w:r>
      <w:r>
        <w:rPr>
          <w:rFonts w:hint="eastAsia"/>
          <w:lang w:val="en-US" w:eastAsia="zh-CN"/>
        </w:rPr>
        <w:t>2.23</w:t>
      </w:r>
      <w:r>
        <w:t>×</w:t>
      </w:r>
      <w:r>
        <w:rPr>
          <w:rFonts w:hint="eastAsia"/>
          <w:lang w:val="en-US" w:eastAsia="zh-CN"/>
        </w:rPr>
        <w:t>12</w:t>
      </w:r>
      <w:r>
        <w:t>×</w:t>
      </w:r>
      <w:r>
        <w:rPr>
          <w:rFonts w:hint="eastAsia"/>
          <w:lang w:val="en-US" w:eastAsia="zh-CN"/>
        </w:rPr>
        <w:t>0.9=115603</w:t>
      </w:r>
    </w:p>
    <w:p>
      <w:pPr>
        <w:rPr>
          <w:rFonts w:hint="default" w:eastAsiaTheme="minorEastAsia"/>
          <w:lang w:val="en-US" w:eastAsia="zh-CN"/>
        </w:rPr>
      </w:pPr>
      <w:r>
        <w:rPr>
          <w:rFonts w:hint="eastAsia"/>
        </w:rPr>
        <w:t>项目产品方案见表</w:t>
      </w:r>
      <w:r>
        <w:rPr>
          <w:rFonts w:hint="eastAsia"/>
          <w:lang w:val="en-US" w:eastAsia="zh-CN"/>
        </w:rPr>
        <w:t>2.1</w:t>
      </w:r>
      <w:r>
        <w:t>-</w:t>
      </w:r>
      <w:r>
        <w:rPr>
          <w:rFonts w:hint="eastAsia"/>
        </w:rPr>
        <w:t>2。</w:t>
      </w:r>
    </w:p>
    <w:p>
      <w:pPr>
        <w:pStyle w:val="11"/>
        <w:rPr>
          <w:rFonts w:hint="default" w:eastAsiaTheme="minorEastAsia"/>
          <w:lang w:val="en-US" w:eastAsia="zh-CN"/>
        </w:rPr>
      </w:pPr>
      <w:r>
        <w:t xml:space="preserve">表2.1- </w:t>
      </w:r>
      <w:r>
        <w:fldChar w:fldCharType="begin"/>
      </w:r>
      <w:r>
        <w:instrText xml:space="preserve"> SEQ 表2.1- \* ARABIC </w:instrText>
      </w:r>
      <w:r>
        <w:fldChar w:fldCharType="separate"/>
      </w:r>
      <w:r>
        <w:t>2</w:t>
      </w:r>
      <w:r>
        <w:fldChar w:fldCharType="end"/>
      </w:r>
      <w:r>
        <w:rPr>
          <w:rFonts w:hint="eastAsia"/>
          <w:lang w:val="en-US" w:eastAsia="zh-CN"/>
        </w:rPr>
        <w:t xml:space="preserve">  </w:t>
      </w:r>
      <w:r>
        <w:rPr>
          <w:rFonts w:hint="eastAsia"/>
        </w:rPr>
        <w:t>项目总产品方案及存栏量</w:t>
      </w:r>
    </w:p>
    <w:tbl>
      <w:tblPr>
        <w:tblStyle w:val="17"/>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921"/>
        <w:gridCol w:w="2209"/>
        <w:gridCol w:w="3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58" w:type="dxa"/>
            <w:vAlign w:val="center"/>
          </w:tcPr>
          <w:p>
            <w:pPr>
              <w:pStyle w:val="8"/>
              <w:bidi w:val="0"/>
            </w:pPr>
            <w:r>
              <w:rPr>
                <w:rFonts w:hint="eastAsia"/>
              </w:rPr>
              <w:t>序号</w:t>
            </w:r>
          </w:p>
        </w:tc>
        <w:tc>
          <w:tcPr>
            <w:tcW w:w="1921" w:type="dxa"/>
            <w:vAlign w:val="center"/>
          </w:tcPr>
          <w:p>
            <w:pPr>
              <w:pStyle w:val="8"/>
              <w:bidi w:val="0"/>
            </w:pPr>
            <w:r>
              <w:rPr>
                <w:rFonts w:hint="eastAsia"/>
              </w:rPr>
              <w:t>名称</w:t>
            </w:r>
          </w:p>
        </w:tc>
        <w:tc>
          <w:tcPr>
            <w:tcW w:w="2209" w:type="dxa"/>
            <w:vAlign w:val="center"/>
          </w:tcPr>
          <w:p>
            <w:pPr>
              <w:pStyle w:val="8"/>
              <w:bidi w:val="0"/>
            </w:pPr>
            <w:r>
              <w:rPr>
                <w:rFonts w:hint="eastAsia"/>
              </w:rPr>
              <w:t>数量（头</w:t>
            </w:r>
            <w:r>
              <w:t>/a</w:t>
            </w:r>
            <w:r>
              <w:rPr>
                <w:rFonts w:hint="eastAsia"/>
              </w:rPr>
              <w:t>）</w:t>
            </w:r>
          </w:p>
        </w:tc>
        <w:tc>
          <w:tcPr>
            <w:tcW w:w="3950" w:type="dxa"/>
            <w:vAlign w:val="center"/>
          </w:tcPr>
          <w:p>
            <w:pPr>
              <w:pStyle w:val="8"/>
              <w:bidi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58" w:type="dxa"/>
            <w:vAlign w:val="center"/>
          </w:tcPr>
          <w:p>
            <w:pPr>
              <w:pStyle w:val="8"/>
              <w:bidi w:val="0"/>
            </w:pPr>
            <w:r>
              <w:t>1</w:t>
            </w:r>
          </w:p>
        </w:tc>
        <w:tc>
          <w:tcPr>
            <w:tcW w:w="1921" w:type="dxa"/>
            <w:vAlign w:val="center"/>
          </w:tcPr>
          <w:p>
            <w:pPr>
              <w:pStyle w:val="8"/>
              <w:bidi w:val="0"/>
            </w:pPr>
            <w:r>
              <w:rPr>
                <w:rFonts w:hint="eastAsia"/>
              </w:rPr>
              <w:t>种母猪</w:t>
            </w:r>
          </w:p>
        </w:tc>
        <w:tc>
          <w:tcPr>
            <w:tcW w:w="2209" w:type="dxa"/>
            <w:vAlign w:val="center"/>
          </w:tcPr>
          <w:p>
            <w:pPr>
              <w:pStyle w:val="8"/>
              <w:bidi w:val="0"/>
              <w:rPr>
                <w:rFonts w:hint="default"/>
                <w:lang w:val="en-US"/>
              </w:rPr>
            </w:pPr>
            <w:r>
              <w:rPr>
                <w:rFonts w:hint="eastAsia"/>
                <w:lang w:val="en-US" w:eastAsia="zh-CN"/>
              </w:rPr>
              <w:t>4800</w:t>
            </w:r>
          </w:p>
        </w:tc>
        <w:tc>
          <w:tcPr>
            <w:tcW w:w="3950" w:type="dxa"/>
            <w:vAlign w:val="center"/>
          </w:tcPr>
          <w:p>
            <w:pPr>
              <w:pStyle w:val="8"/>
              <w:bidi w:val="0"/>
            </w:pPr>
            <w:r>
              <w:rPr>
                <w:rFonts w:hint="eastAsia"/>
              </w:rPr>
              <w:t>其中：妊娠母猪</w:t>
            </w:r>
            <w:r>
              <w:rPr>
                <w:rFonts w:hint="eastAsia"/>
                <w:lang w:val="en-US" w:eastAsia="zh-CN"/>
              </w:rPr>
              <w:t>2525</w:t>
            </w:r>
            <w:r>
              <w:rPr>
                <w:rFonts w:hint="eastAsia"/>
              </w:rPr>
              <w:t>头，分娩母猪</w:t>
            </w:r>
            <w:r>
              <w:rPr>
                <w:rFonts w:hint="eastAsia"/>
                <w:lang w:val="en-US" w:eastAsia="zh-CN"/>
              </w:rPr>
              <w:t>1028</w:t>
            </w:r>
            <w:r>
              <w:rPr>
                <w:rFonts w:hint="eastAsia"/>
              </w:rPr>
              <w:t>头，空怀母猪</w:t>
            </w:r>
            <w:r>
              <w:rPr>
                <w:rFonts w:hint="eastAsia"/>
                <w:lang w:val="en-US" w:eastAsia="zh-CN"/>
              </w:rPr>
              <w:t>1247</w:t>
            </w:r>
            <w:r>
              <w:rPr>
                <w:rFonts w:hint="eastAsia"/>
              </w:rPr>
              <w:t>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58" w:type="dxa"/>
            <w:vAlign w:val="center"/>
          </w:tcPr>
          <w:p>
            <w:pPr>
              <w:pStyle w:val="8"/>
              <w:bidi w:val="0"/>
            </w:pPr>
            <w:r>
              <w:t>2</w:t>
            </w:r>
          </w:p>
        </w:tc>
        <w:tc>
          <w:tcPr>
            <w:tcW w:w="1921" w:type="dxa"/>
            <w:vAlign w:val="center"/>
          </w:tcPr>
          <w:p>
            <w:pPr>
              <w:pStyle w:val="8"/>
              <w:bidi w:val="0"/>
            </w:pPr>
            <w:r>
              <w:rPr>
                <w:rFonts w:hint="eastAsia"/>
              </w:rPr>
              <w:t>种公猪</w:t>
            </w:r>
          </w:p>
        </w:tc>
        <w:tc>
          <w:tcPr>
            <w:tcW w:w="2209" w:type="dxa"/>
            <w:vAlign w:val="center"/>
          </w:tcPr>
          <w:p>
            <w:pPr>
              <w:pStyle w:val="8"/>
              <w:bidi w:val="0"/>
              <w:rPr>
                <w:rFonts w:hint="default" w:eastAsiaTheme="minorEastAsia"/>
                <w:lang w:val="en-US" w:eastAsia="zh-CN"/>
              </w:rPr>
            </w:pPr>
            <w:r>
              <w:rPr>
                <w:rFonts w:hint="eastAsia"/>
                <w:lang w:val="en-US" w:eastAsia="zh-CN"/>
              </w:rPr>
              <w:t>158</w:t>
            </w:r>
          </w:p>
        </w:tc>
        <w:tc>
          <w:tcPr>
            <w:tcW w:w="3950"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58" w:type="dxa"/>
            <w:vAlign w:val="center"/>
          </w:tcPr>
          <w:p>
            <w:pPr>
              <w:pStyle w:val="8"/>
              <w:bidi w:val="0"/>
            </w:pPr>
            <w:r>
              <w:t>3</w:t>
            </w:r>
          </w:p>
        </w:tc>
        <w:tc>
          <w:tcPr>
            <w:tcW w:w="1921" w:type="dxa"/>
            <w:vAlign w:val="center"/>
          </w:tcPr>
          <w:p>
            <w:pPr>
              <w:pStyle w:val="8"/>
              <w:bidi w:val="0"/>
            </w:pPr>
            <w:r>
              <w:t>哺</w:t>
            </w:r>
            <w:r>
              <w:rPr>
                <w:rFonts w:hint="eastAsia"/>
                <w:lang w:eastAsia="zh-CN"/>
              </w:rPr>
              <w:t>乳</w:t>
            </w:r>
            <w:r>
              <w:rPr>
                <w:rFonts w:hint="eastAsia"/>
              </w:rPr>
              <w:t>仔猪</w:t>
            </w:r>
          </w:p>
        </w:tc>
        <w:tc>
          <w:tcPr>
            <w:tcW w:w="2209" w:type="dxa"/>
            <w:vAlign w:val="center"/>
          </w:tcPr>
          <w:p>
            <w:pPr>
              <w:pStyle w:val="8"/>
              <w:bidi w:val="0"/>
              <w:rPr>
                <w:rFonts w:hint="default" w:eastAsiaTheme="minorEastAsia"/>
                <w:lang w:val="en-US" w:eastAsia="zh-CN"/>
              </w:rPr>
            </w:pPr>
            <w:r>
              <w:rPr>
                <w:rFonts w:hint="eastAsia"/>
                <w:lang w:val="en-US" w:eastAsia="zh-CN"/>
              </w:rPr>
              <w:t>9853</w:t>
            </w:r>
          </w:p>
        </w:tc>
        <w:tc>
          <w:tcPr>
            <w:tcW w:w="3950"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58" w:type="dxa"/>
            <w:vAlign w:val="center"/>
          </w:tcPr>
          <w:p>
            <w:pPr>
              <w:pStyle w:val="8"/>
              <w:bidi w:val="0"/>
            </w:pPr>
            <w:r>
              <w:rPr>
                <w:rFonts w:hint="eastAsia"/>
              </w:rPr>
              <w:t>二</w:t>
            </w:r>
          </w:p>
        </w:tc>
        <w:tc>
          <w:tcPr>
            <w:tcW w:w="4130" w:type="dxa"/>
            <w:gridSpan w:val="2"/>
            <w:vAlign w:val="center"/>
          </w:tcPr>
          <w:p>
            <w:pPr>
              <w:pStyle w:val="8"/>
              <w:bidi w:val="0"/>
            </w:pPr>
            <w:r>
              <w:rPr>
                <w:rFonts w:hint="eastAsia"/>
              </w:rPr>
              <w:t>最终出栏量</w:t>
            </w:r>
          </w:p>
        </w:tc>
        <w:tc>
          <w:tcPr>
            <w:tcW w:w="3950" w:type="dxa"/>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58" w:type="dxa"/>
            <w:vAlign w:val="center"/>
          </w:tcPr>
          <w:p>
            <w:pPr>
              <w:pStyle w:val="8"/>
              <w:bidi w:val="0"/>
            </w:pPr>
            <w:r>
              <w:t>1</w:t>
            </w:r>
          </w:p>
        </w:tc>
        <w:tc>
          <w:tcPr>
            <w:tcW w:w="1921" w:type="dxa"/>
            <w:vAlign w:val="center"/>
          </w:tcPr>
          <w:p>
            <w:pPr>
              <w:pStyle w:val="8"/>
              <w:bidi w:val="0"/>
            </w:pPr>
            <w:r>
              <w:rPr>
                <w:rFonts w:hint="eastAsia"/>
                <w:lang w:eastAsia="zh-CN"/>
              </w:rPr>
              <w:t>仔</w:t>
            </w:r>
            <w:r>
              <w:rPr>
                <w:rFonts w:hint="eastAsia"/>
              </w:rPr>
              <w:t>猪</w:t>
            </w:r>
          </w:p>
        </w:tc>
        <w:tc>
          <w:tcPr>
            <w:tcW w:w="2209" w:type="dxa"/>
            <w:vAlign w:val="center"/>
          </w:tcPr>
          <w:p>
            <w:pPr>
              <w:pStyle w:val="8"/>
              <w:bidi w:val="0"/>
              <w:rPr>
                <w:rFonts w:hint="default" w:eastAsiaTheme="minorEastAsia"/>
                <w:lang w:val="en-US" w:eastAsia="zh-CN"/>
              </w:rPr>
            </w:pPr>
            <w:r>
              <w:rPr>
                <w:rFonts w:hint="eastAsia"/>
                <w:lang w:val="en-US" w:eastAsia="zh-CN"/>
              </w:rPr>
              <w:t>115000</w:t>
            </w:r>
          </w:p>
        </w:tc>
        <w:tc>
          <w:tcPr>
            <w:tcW w:w="3950" w:type="dxa"/>
            <w:vAlign w:val="center"/>
          </w:tcPr>
          <w:p>
            <w:pPr>
              <w:pStyle w:val="8"/>
              <w:bidi w:val="0"/>
            </w:pPr>
          </w:p>
        </w:tc>
      </w:tr>
    </w:tbl>
    <w:p>
      <w:pPr>
        <w:pStyle w:val="5"/>
        <w:bidi w:val="0"/>
      </w:pPr>
      <w:bookmarkStart w:id="136" w:name="_Toc289344525"/>
      <w:r>
        <w:rPr>
          <w:rFonts w:hint="eastAsia"/>
        </w:rPr>
        <w:t>平面布置</w:t>
      </w:r>
    </w:p>
    <w:p>
      <w:pPr>
        <w:rPr>
          <w:rFonts w:hint="eastAsia"/>
          <w:lang w:val="en-US" w:eastAsia="zh-CN"/>
        </w:rPr>
      </w:pPr>
      <w:r>
        <w:rPr>
          <w:rFonts w:hint="eastAsia"/>
          <w:lang w:val="en-US" w:eastAsia="zh-CN"/>
        </w:rPr>
        <w:t>项目生活区与生产区分开，生活区位于生产区西北侧，直线距离约145m。生活区的主要出入口位于东北侧。生活区包括办公生活楼、综合仓库、消毒室、员工休闲娱乐区、食堂等。</w:t>
      </w:r>
    </w:p>
    <w:p>
      <w:r>
        <w:rPr>
          <w:rFonts w:hint="eastAsia"/>
          <w:lang w:val="en-US" w:eastAsia="zh-CN"/>
        </w:rPr>
        <w:t>生产区位于生活区东南侧，共设置</w:t>
      </w:r>
      <w:r>
        <w:rPr>
          <w:rFonts w:hint="eastAsia"/>
          <w:lang w:eastAsia="zh-CN"/>
        </w:rPr>
        <w:t>公猪母猪隔离舍</w:t>
      </w:r>
      <w:r>
        <w:t>1</w:t>
      </w:r>
      <w:r>
        <w:rPr>
          <w:rFonts w:hint="eastAsia"/>
        </w:rPr>
        <w:t>栋、</w:t>
      </w:r>
      <w:r>
        <w:rPr>
          <w:rFonts w:hint="eastAsia"/>
          <w:lang w:eastAsia="zh-CN"/>
        </w:rPr>
        <w:t>公猪舍</w:t>
      </w:r>
      <w:r>
        <w:rPr>
          <w:rFonts w:hint="eastAsia"/>
          <w:lang w:val="en-US" w:eastAsia="zh-CN"/>
        </w:rPr>
        <w:t>1栋，</w:t>
      </w:r>
      <w:r>
        <w:rPr>
          <w:rFonts w:hint="eastAsia"/>
          <w:lang w:eastAsia="zh-CN"/>
        </w:rPr>
        <w:t>配怀舍</w:t>
      </w:r>
      <w:r>
        <w:rPr>
          <w:rFonts w:hint="eastAsia"/>
          <w:lang w:val="en-US" w:eastAsia="zh-CN"/>
        </w:rPr>
        <w:t>2</w:t>
      </w:r>
      <w:r>
        <w:rPr>
          <w:rFonts w:hint="eastAsia"/>
        </w:rPr>
        <w:t>栋、</w:t>
      </w:r>
      <w:r>
        <w:rPr>
          <w:rFonts w:hint="eastAsia"/>
          <w:lang w:eastAsia="zh-CN"/>
        </w:rPr>
        <w:t>分娩舍</w:t>
      </w:r>
      <w:r>
        <w:rPr>
          <w:rFonts w:hint="eastAsia"/>
          <w:lang w:val="en-US" w:eastAsia="zh-CN"/>
        </w:rPr>
        <w:t>2栋。猪舍集中设备在厂区北部、中部。环保设施主要集中在西南侧、包括格栅集污池、堆粪棚、厌氧罐以及沼液池。项目四周筑有围墙</w:t>
      </w:r>
      <w:r>
        <w:rPr>
          <w:rFonts w:hint="eastAsia"/>
        </w:rPr>
        <w:t>场地地面均硬化，道路宽度为</w:t>
      </w:r>
      <w:r>
        <w:t>3.5m</w:t>
      </w:r>
      <w:r>
        <w:rPr>
          <w:rFonts w:hint="eastAsia"/>
        </w:rPr>
        <w:t>，养殖区呈环形布置，满足消防要求。</w:t>
      </w:r>
    </w:p>
    <w:p>
      <w:r>
        <w:rPr>
          <w:rFonts w:hint="eastAsia"/>
        </w:rPr>
        <w:t>根据项目布局，结合澧县常年风向风频，主要为东北风，生活区位于主要养殖区的侧风向，符合《畜禽养殖业污染防治技术规范》（</w:t>
      </w:r>
      <w:r>
        <w:t>HJ/T1-2001</w:t>
      </w:r>
      <w:r>
        <w:rPr>
          <w:rFonts w:hint="eastAsia"/>
        </w:rPr>
        <w:t>）的相关要求，做到了生产与办公生活分开、清洁区与污物区分开，场区按生产工艺分区布置，布局合理。</w:t>
      </w:r>
    </w:p>
    <w:p>
      <w:pPr>
        <w:pStyle w:val="5"/>
        <w:bidi w:val="0"/>
      </w:pPr>
      <w:r>
        <w:rPr>
          <w:rFonts w:hint="eastAsia"/>
        </w:rPr>
        <w:t>主要原辅料、资源能源消耗指标</w:t>
      </w:r>
    </w:p>
    <w:p>
      <w:r>
        <w:rPr>
          <w:rFonts w:hint="eastAsia"/>
        </w:rPr>
        <w:t>根据建设单位提供资料，对原辅料和资源能源消耗情况进行量化。根据《湖南省用水定额》（</w:t>
      </w:r>
      <w:r>
        <w:t>DB43/T388-2014</w:t>
      </w:r>
      <w:r>
        <w:rPr>
          <w:rFonts w:hint="eastAsia"/>
        </w:rPr>
        <w:t>），农村居民生活用水定额为</w:t>
      </w:r>
      <w:r>
        <w:t>100L/ d·</w:t>
      </w:r>
      <w:r>
        <w:rPr>
          <w:rFonts w:hint="eastAsia"/>
        </w:rPr>
        <w:t>人。</w:t>
      </w:r>
    </w:p>
    <w:p>
      <w:r>
        <w:rPr>
          <w:rFonts w:hint="eastAsia"/>
        </w:rPr>
        <w:t>参照同类项目，根据猪的不同生长阶段，饮用水量不同，母猪的饮水定额取</w:t>
      </w:r>
      <w:r>
        <w:t>15L/ d·</w:t>
      </w:r>
      <w:r>
        <w:rPr>
          <w:rFonts w:hint="eastAsia"/>
        </w:rPr>
        <w:t>头，公猪的饮水定额取</w:t>
      </w:r>
      <w:r>
        <w:t>12L/ d·</w:t>
      </w:r>
      <w:r>
        <w:rPr>
          <w:rFonts w:hint="eastAsia"/>
        </w:rPr>
        <w:t>头，猪仔的饮水定额取4</w:t>
      </w:r>
      <w:r>
        <w:t>L/ d·</w:t>
      </w:r>
      <w:r>
        <w:rPr>
          <w:rFonts w:hint="eastAsia"/>
        </w:rPr>
        <w:t>头。</w:t>
      </w:r>
    </w:p>
    <w:p>
      <w:r>
        <w:rPr>
          <w:rFonts w:hint="eastAsia"/>
        </w:rPr>
        <w:t>猪场用水定额参数见表</w:t>
      </w:r>
      <w:r>
        <w:rPr>
          <w:rFonts w:hint="eastAsia"/>
          <w:lang w:val="en-US" w:eastAsia="zh-CN"/>
        </w:rPr>
        <w:t>2.1</w:t>
      </w:r>
      <w:r>
        <w:t>-</w:t>
      </w:r>
      <w:r>
        <w:rPr>
          <w:rFonts w:hint="eastAsia"/>
        </w:rPr>
        <w:t>3，主要饲料消耗参数见表</w:t>
      </w:r>
      <w:r>
        <w:rPr>
          <w:rFonts w:hint="eastAsia"/>
          <w:lang w:val="en-US" w:eastAsia="zh-CN"/>
        </w:rPr>
        <w:t>2.1</w:t>
      </w:r>
      <w:r>
        <w:t>-</w:t>
      </w:r>
      <w:r>
        <w:rPr>
          <w:rFonts w:hint="eastAsia"/>
        </w:rPr>
        <w:t>4。</w:t>
      </w:r>
    </w:p>
    <w:p>
      <w:pPr>
        <w:pStyle w:val="11"/>
        <w:rPr>
          <w:rFonts w:hint="default" w:eastAsiaTheme="minorEastAsia"/>
          <w:lang w:val="en-US" w:eastAsia="zh-CN"/>
        </w:rPr>
      </w:pPr>
      <w:r>
        <w:t xml:space="preserve">表2.1- </w:t>
      </w:r>
      <w:r>
        <w:fldChar w:fldCharType="begin"/>
      </w:r>
      <w:r>
        <w:instrText xml:space="preserve"> SEQ 表2.1- \* ARABIC </w:instrText>
      </w:r>
      <w:r>
        <w:fldChar w:fldCharType="separate"/>
      </w:r>
      <w:r>
        <w:t>3</w:t>
      </w:r>
      <w:r>
        <w:fldChar w:fldCharType="end"/>
      </w:r>
      <w:r>
        <w:rPr>
          <w:rFonts w:hint="eastAsia"/>
          <w:lang w:val="en-US" w:eastAsia="zh-CN"/>
        </w:rPr>
        <w:t xml:space="preserve">  </w:t>
      </w:r>
      <w:r>
        <w:rPr>
          <w:rFonts w:hint="eastAsia"/>
        </w:rPr>
        <w:t>项目用水定额</w:t>
      </w:r>
    </w:p>
    <w:tbl>
      <w:tblPr>
        <w:tblStyle w:val="17"/>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63"/>
        <w:gridCol w:w="1388"/>
        <w:gridCol w:w="1589"/>
        <w:gridCol w:w="1738"/>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324" w:type="dxa"/>
            <w:gridSpan w:val="2"/>
            <w:vAlign w:val="center"/>
          </w:tcPr>
          <w:p>
            <w:pPr>
              <w:pStyle w:val="8"/>
              <w:bidi w:val="0"/>
            </w:pPr>
            <w:r>
              <w:rPr>
                <w:rFonts w:hint="eastAsia"/>
              </w:rPr>
              <w:t>用水种类</w:t>
            </w:r>
          </w:p>
        </w:tc>
        <w:tc>
          <w:tcPr>
            <w:tcW w:w="1388" w:type="dxa"/>
            <w:vAlign w:val="center"/>
          </w:tcPr>
          <w:p>
            <w:pPr>
              <w:pStyle w:val="8"/>
              <w:bidi w:val="0"/>
              <w:rPr>
                <w:rFonts w:hint="eastAsia" w:eastAsiaTheme="minorEastAsia"/>
                <w:lang w:val="en-US" w:eastAsia="zh-CN"/>
              </w:rPr>
            </w:pPr>
            <w:r>
              <w:rPr>
                <w:rFonts w:hint="eastAsia"/>
              </w:rPr>
              <w:t>数量</w:t>
            </w:r>
          </w:p>
        </w:tc>
        <w:tc>
          <w:tcPr>
            <w:tcW w:w="1589" w:type="dxa"/>
            <w:vAlign w:val="center"/>
          </w:tcPr>
          <w:p>
            <w:pPr>
              <w:pStyle w:val="8"/>
              <w:bidi w:val="0"/>
            </w:pPr>
            <w:r>
              <w:rPr>
                <w:rFonts w:hint="eastAsia"/>
              </w:rPr>
              <w:t>用水定额</w:t>
            </w:r>
          </w:p>
        </w:tc>
        <w:tc>
          <w:tcPr>
            <w:tcW w:w="1738" w:type="dxa"/>
            <w:vAlign w:val="center"/>
          </w:tcPr>
          <w:p>
            <w:pPr>
              <w:pStyle w:val="8"/>
              <w:bidi w:val="0"/>
            </w:pPr>
            <w:r>
              <w:rPr>
                <w:rFonts w:hint="eastAsia"/>
              </w:rPr>
              <w:t>日用水量（</w:t>
            </w:r>
            <w:r>
              <w:t>m³/d</w:t>
            </w:r>
            <w:r>
              <w:rPr>
                <w:rFonts w:hint="eastAsia"/>
              </w:rPr>
              <w:t>）</w:t>
            </w:r>
          </w:p>
        </w:tc>
        <w:tc>
          <w:tcPr>
            <w:tcW w:w="1698" w:type="dxa"/>
            <w:vAlign w:val="center"/>
          </w:tcPr>
          <w:p>
            <w:pPr>
              <w:pStyle w:val="8"/>
              <w:bidi w:val="0"/>
            </w:pPr>
            <w:r>
              <w:rPr>
                <w:rFonts w:hint="eastAsia"/>
              </w:rPr>
              <w:t>年用水量（</w:t>
            </w:r>
            <w:r>
              <w:t>m³/a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61" w:type="dxa"/>
            <w:vMerge w:val="restart"/>
            <w:vAlign w:val="center"/>
          </w:tcPr>
          <w:p>
            <w:pPr>
              <w:pStyle w:val="8"/>
              <w:bidi w:val="0"/>
            </w:pPr>
            <w:r>
              <w:rPr>
                <w:rFonts w:hint="eastAsia"/>
              </w:rPr>
              <w:t>养殖用水</w:t>
            </w:r>
          </w:p>
        </w:tc>
        <w:tc>
          <w:tcPr>
            <w:tcW w:w="1263" w:type="dxa"/>
            <w:vAlign w:val="center"/>
          </w:tcPr>
          <w:p>
            <w:pPr>
              <w:pStyle w:val="8"/>
              <w:bidi w:val="0"/>
            </w:pPr>
            <w:r>
              <w:rPr>
                <w:rFonts w:hint="eastAsia"/>
              </w:rPr>
              <w:t>母猪</w:t>
            </w:r>
          </w:p>
        </w:tc>
        <w:tc>
          <w:tcPr>
            <w:tcW w:w="1388"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4800</w:t>
            </w:r>
            <w:r>
              <w:rPr>
                <w:rFonts w:hint="eastAsia"/>
                <w:lang w:eastAsia="zh-CN"/>
              </w:rPr>
              <w:t>头</w:t>
            </w:r>
          </w:p>
        </w:tc>
        <w:tc>
          <w:tcPr>
            <w:tcW w:w="1589" w:type="dxa"/>
            <w:vAlign w:val="center"/>
          </w:tcPr>
          <w:p>
            <w:pPr>
              <w:pStyle w:val="8"/>
              <w:bidi w:val="0"/>
            </w:pPr>
            <w:r>
              <w:t>15</w:t>
            </w:r>
            <w:r>
              <w:rPr>
                <w:rFonts w:hint="eastAsia"/>
              </w:rPr>
              <w:t>（</w:t>
            </w:r>
            <w:r>
              <w:t>L/ d·</w:t>
            </w:r>
            <w:r>
              <w:rPr>
                <w:rFonts w:hint="eastAsia"/>
              </w:rPr>
              <w:t>头）</w:t>
            </w:r>
          </w:p>
        </w:tc>
        <w:tc>
          <w:tcPr>
            <w:tcW w:w="1738" w:type="dxa"/>
            <w:vAlign w:val="center"/>
          </w:tcPr>
          <w:p>
            <w:pPr>
              <w:pStyle w:val="8"/>
              <w:bidi w:val="0"/>
              <w:rPr>
                <w:rFonts w:hint="default"/>
                <w:lang w:val="en-US" w:eastAsia="zh-CN"/>
              </w:rPr>
            </w:pPr>
            <w:r>
              <w:rPr>
                <w:rFonts w:hint="eastAsia"/>
                <w:lang w:val="en-US" w:eastAsia="zh-CN"/>
              </w:rPr>
              <w:t>72</w:t>
            </w:r>
          </w:p>
        </w:tc>
        <w:tc>
          <w:tcPr>
            <w:tcW w:w="1698" w:type="dxa"/>
            <w:vAlign w:val="center"/>
          </w:tcPr>
          <w:p>
            <w:pPr>
              <w:pStyle w:val="8"/>
              <w:bidi w:val="0"/>
              <w:rPr>
                <w:rFonts w:hint="default"/>
                <w:lang w:val="en-US" w:eastAsia="zh-CN"/>
              </w:rPr>
            </w:pPr>
            <w:r>
              <w:rPr>
                <w:rFonts w:hint="eastAsia"/>
                <w:lang w:val="en-US" w:eastAsia="zh-CN"/>
              </w:rPr>
              <w:t>26280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61" w:type="dxa"/>
            <w:vMerge w:val="continue"/>
            <w:vAlign w:val="center"/>
          </w:tcPr>
          <w:p>
            <w:pPr>
              <w:pStyle w:val="8"/>
              <w:bidi w:val="0"/>
            </w:pPr>
          </w:p>
        </w:tc>
        <w:tc>
          <w:tcPr>
            <w:tcW w:w="1263" w:type="dxa"/>
            <w:vAlign w:val="center"/>
          </w:tcPr>
          <w:p>
            <w:pPr>
              <w:pStyle w:val="8"/>
              <w:bidi w:val="0"/>
            </w:pPr>
            <w:r>
              <w:rPr>
                <w:rFonts w:hint="eastAsia"/>
              </w:rPr>
              <w:t>公猪</w:t>
            </w:r>
          </w:p>
        </w:tc>
        <w:tc>
          <w:tcPr>
            <w:tcW w:w="1388"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158</w:t>
            </w:r>
            <w:r>
              <w:rPr>
                <w:rFonts w:hint="eastAsia"/>
                <w:lang w:eastAsia="zh-CN"/>
              </w:rPr>
              <w:t>头</w:t>
            </w:r>
          </w:p>
        </w:tc>
        <w:tc>
          <w:tcPr>
            <w:tcW w:w="1589" w:type="dxa"/>
            <w:vAlign w:val="center"/>
          </w:tcPr>
          <w:p>
            <w:pPr>
              <w:pStyle w:val="8"/>
              <w:bidi w:val="0"/>
            </w:pPr>
            <w:r>
              <w:t>12</w:t>
            </w:r>
            <w:r>
              <w:rPr>
                <w:rFonts w:hint="eastAsia"/>
              </w:rPr>
              <w:t>（</w:t>
            </w:r>
            <w:r>
              <w:t>L/ d·</w:t>
            </w:r>
            <w:r>
              <w:rPr>
                <w:rFonts w:hint="eastAsia"/>
              </w:rPr>
              <w:t>头）</w:t>
            </w:r>
          </w:p>
        </w:tc>
        <w:tc>
          <w:tcPr>
            <w:tcW w:w="1738" w:type="dxa"/>
            <w:vAlign w:val="center"/>
          </w:tcPr>
          <w:p>
            <w:pPr>
              <w:pStyle w:val="8"/>
              <w:bidi w:val="0"/>
              <w:rPr>
                <w:rFonts w:hint="default"/>
                <w:lang w:val="en-US" w:eastAsia="zh-CN"/>
              </w:rPr>
            </w:pPr>
            <w:r>
              <w:rPr>
                <w:rFonts w:hint="eastAsia"/>
                <w:lang w:val="en-US" w:eastAsia="zh-CN"/>
              </w:rPr>
              <w:t>18.96</w:t>
            </w:r>
          </w:p>
        </w:tc>
        <w:tc>
          <w:tcPr>
            <w:tcW w:w="1698" w:type="dxa"/>
            <w:vAlign w:val="center"/>
          </w:tcPr>
          <w:p>
            <w:pPr>
              <w:pStyle w:val="8"/>
              <w:bidi w:val="0"/>
              <w:rPr>
                <w:rFonts w:hint="default"/>
                <w:lang w:val="en-US" w:eastAsia="zh-CN"/>
              </w:rPr>
            </w:pPr>
            <w:r>
              <w:rPr>
                <w:rFonts w:hint="eastAsia"/>
                <w:lang w:val="en-US" w:eastAsia="zh-CN"/>
              </w:rPr>
              <w:t>6920.4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061" w:type="dxa"/>
            <w:vMerge w:val="continue"/>
            <w:vAlign w:val="center"/>
          </w:tcPr>
          <w:p>
            <w:pPr>
              <w:pStyle w:val="8"/>
              <w:bidi w:val="0"/>
            </w:pPr>
          </w:p>
        </w:tc>
        <w:tc>
          <w:tcPr>
            <w:tcW w:w="1263" w:type="dxa"/>
            <w:vAlign w:val="center"/>
          </w:tcPr>
          <w:p>
            <w:pPr>
              <w:pStyle w:val="8"/>
              <w:bidi w:val="0"/>
            </w:pPr>
            <w:r>
              <w:rPr>
                <w:rFonts w:hint="eastAsia"/>
                <w:lang w:eastAsia="zh-CN"/>
              </w:rPr>
              <w:t>哺乳</w:t>
            </w:r>
            <w:r>
              <w:rPr>
                <w:rFonts w:hint="eastAsia"/>
              </w:rPr>
              <w:t>仔猪</w:t>
            </w:r>
          </w:p>
        </w:tc>
        <w:tc>
          <w:tcPr>
            <w:tcW w:w="1388"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9853</w:t>
            </w:r>
            <w:r>
              <w:rPr>
                <w:rFonts w:hint="eastAsia"/>
                <w:lang w:eastAsia="zh-CN"/>
              </w:rPr>
              <w:t>头</w:t>
            </w:r>
          </w:p>
        </w:tc>
        <w:tc>
          <w:tcPr>
            <w:tcW w:w="1589" w:type="dxa"/>
            <w:vAlign w:val="center"/>
          </w:tcPr>
          <w:p>
            <w:pPr>
              <w:pStyle w:val="8"/>
              <w:bidi w:val="0"/>
            </w:pPr>
            <w:r>
              <w:rPr>
                <w:rFonts w:hint="eastAsia"/>
              </w:rPr>
              <w:t>4（</w:t>
            </w:r>
            <w:r>
              <w:t>L/ d·</w:t>
            </w:r>
            <w:r>
              <w:rPr>
                <w:rFonts w:hint="eastAsia"/>
              </w:rPr>
              <w:t>头）</w:t>
            </w:r>
          </w:p>
        </w:tc>
        <w:tc>
          <w:tcPr>
            <w:tcW w:w="1738" w:type="dxa"/>
            <w:vAlign w:val="center"/>
          </w:tcPr>
          <w:p>
            <w:pPr>
              <w:pStyle w:val="8"/>
              <w:bidi w:val="0"/>
              <w:rPr>
                <w:rFonts w:hint="default"/>
                <w:lang w:val="en-US" w:eastAsia="zh-CN"/>
              </w:rPr>
            </w:pPr>
            <w:r>
              <w:rPr>
                <w:rFonts w:hint="eastAsia"/>
                <w:lang w:val="en-US" w:eastAsia="zh-CN"/>
              </w:rPr>
              <w:t>39.41</w:t>
            </w:r>
          </w:p>
        </w:tc>
        <w:tc>
          <w:tcPr>
            <w:tcW w:w="1698" w:type="dxa"/>
            <w:vAlign w:val="center"/>
          </w:tcPr>
          <w:p>
            <w:pPr>
              <w:pStyle w:val="8"/>
              <w:bidi w:val="0"/>
              <w:rPr>
                <w:rFonts w:hint="default"/>
                <w:lang w:val="en-US" w:eastAsia="zh-CN"/>
              </w:rPr>
            </w:pPr>
            <w:r>
              <w:rPr>
                <w:rFonts w:hint="eastAsia"/>
                <w:lang w:val="en-US" w:eastAsia="zh-CN"/>
              </w:rPr>
              <w:t>14384.6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324" w:type="dxa"/>
            <w:gridSpan w:val="2"/>
            <w:vAlign w:val="center"/>
          </w:tcPr>
          <w:p>
            <w:pPr>
              <w:pStyle w:val="8"/>
              <w:bidi w:val="0"/>
            </w:pPr>
            <w:r>
              <w:rPr>
                <w:rFonts w:hint="eastAsia"/>
              </w:rPr>
              <w:t>员工生活用水</w:t>
            </w:r>
          </w:p>
        </w:tc>
        <w:tc>
          <w:tcPr>
            <w:tcW w:w="1388" w:type="dxa"/>
            <w:vAlign w:val="center"/>
          </w:tcPr>
          <w:p>
            <w:pPr>
              <w:pStyle w:val="8"/>
              <w:bidi w:val="0"/>
              <w:rPr>
                <w:rFonts w:hint="default" w:eastAsiaTheme="minorEastAsia"/>
                <w:lang w:val="en-US" w:eastAsia="zh-CN"/>
              </w:rPr>
            </w:pPr>
            <w:r>
              <w:rPr>
                <w:rFonts w:hint="eastAsia"/>
                <w:lang w:val="en-US" w:eastAsia="zh-CN"/>
              </w:rPr>
              <w:t>49</w:t>
            </w:r>
          </w:p>
        </w:tc>
        <w:tc>
          <w:tcPr>
            <w:tcW w:w="1589" w:type="dxa"/>
            <w:vAlign w:val="center"/>
          </w:tcPr>
          <w:p>
            <w:pPr>
              <w:pStyle w:val="8"/>
              <w:bidi w:val="0"/>
            </w:pPr>
            <w:r>
              <w:t>100</w:t>
            </w:r>
            <w:r>
              <w:rPr>
                <w:rFonts w:hint="eastAsia"/>
              </w:rPr>
              <w:t>（</w:t>
            </w:r>
            <w:r>
              <w:t>L/ d·</w:t>
            </w:r>
            <w:r>
              <w:rPr>
                <w:rFonts w:hint="eastAsia"/>
              </w:rPr>
              <w:t>人）</w:t>
            </w:r>
          </w:p>
        </w:tc>
        <w:tc>
          <w:tcPr>
            <w:tcW w:w="1738" w:type="dxa"/>
            <w:vAlign w:val="center"/>
          </w:tcPr>
          <w:p>
            <w:pPr>
              <w:pStyle w:val="8"/>
              <w:bidi w:val="0"/>
              <w:rPr>
                <w:rFonts w:hint="default" w:eastAsiaTheme="minorEastAsia"/>
                <w:lang w:val="en-US" w:eastAsia="zh-CN"/>
              </w:rPr>
            </w:pPr>
            <w:r>
              <w:rPr>
                <w:rFonts w:hint="eastAsia"/>
                <w:lang w:val="en-US" w:eastAsia="zh-CN"/>
              </w:rPr>
              <w:t>4.9</w:t>
            </w:r>
          </w:p>
        </w:tc>
        <w:tc>
          <w:tcPr>
            <w:tcW w:w="1698" w:type="dxa"/>
            <w:vAlign w:val="center"/>
          </w:tcPr>
          <w:p>
            <w:pPr>
              <w:pStyle w:val="8"/>
              <w:bidi w:val="0"/>
              <w:rPr>
                <w:rFonts w:hint="default" w:eastAsiaTheme="minorEastAsia"/>
                <w:lang w:val="en-US" w:eastAsia="zh-CN"/>
              </w:rPr>
            </w:pPr>
            <w:r>
              <w:rPr>
                <w:rFonts w:hint="eastAsia"/>
                <w:lang w:val="en-US" w:eastAsia="zh-CN"/>
              </w:rPr>
              <w:t>1788.5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324" w:type="dxa"/>
            <w:gridSpan w:val="2"/>
            <w:vAlign w:val="center"/>
          </w:tcPr>
          <w:p>
            <w:pPr>
              <w:pStyle w:val="8"/>
              <w:bidi w:val="0"/>
            </w:pPr>
            <w:r>
              <w:rPr>
                <w:rFonts w:hint="eastAsia"/>
              </w:rPr>
              <w:t>消毒冲洗水</w:t>
            </w:r>
          </w:p>
        </w:tc>
        <w:tc>
          <w:tcPr>
            <w:tcW w:w="1388" w:type="dxa"/>
            <w:vAlign w:val="center"/>
          </w:tcPr>
          <w:p>
            <w:pPr>
              <w:pStyle w:val="8"/>
              <w:bidi w:val="0"/>
            </w:pPr>
            <w:r>
              <w:rPr>
                <w:rFonts w:hint="eastAsia"/>
                <w:lang w:val="en-US" w:eastAsia="zh-CN"/>
              </w:rPr>
              <w:t>/</w:t>
            </w:r>
          </w:p>
        </w:tc>
        <w:tc>
          <w:tcPr>
            <w:tcW w:w="1589" w:type="dxa"/>
            <w:vAlign w:val="center"/>
          </w:tcPr>
          <w:p>
            <w:pPr>
              <w:pStyle w:val="8"/>
              <w:bidi w:val="0"/>
            </w:pPr>
            <w:r>
              <w:t>2m</w:t>
            </w:r>
            <w:r>
              <w:rPr>
                <w:vertAlign w:val="superscript"/>
              </w:rPr>
              <w:t>3</w:t>
            </w:r>
            <w:r>
              <w:t>/100m</w:t>
            </w:r>
            <w:r>
              <w:rPr>
                <w:vertAlign w:val="superscript"/>
              </w:rPr>
              <w:t>2</w:t>
            </w:r>
            <w:r>
              <w:t>·</w:t>
            </w:r>
            <w:r>
              <w:rPr>
                <w:rFonts w:hint="eastAsia"/>
              </w:rPr>
              <w:t>次</w:t>
            </w:r>
          </w:p>
        </w:tc>
        <w:tc>
          <w:tcPr>
            <w:tcW w:w="1738" w:type="dxa"/>
            <w:vAlign w:val="center"/>
          </w:tcPr>
          <w:p>
            <w:pPr>
              <w:pStyle w:val="8"/>
              <w:bidi w:val="0"/>
            </w:pPr>
            <w:r>
              <w:rPr>
                <w:rFonts w:hint="eastAsia"/>
                <w:lang w:val="en-US" w:eastAsia="zh-CN"/>
              </w:rPr>
              <w:t>432.3</w:t>
            </w:r>
            <w:r>
              <w:t>m</w:t>
            </w:r>
            <w:r>
              <w:rPr>
                <w:vertAlign w:val="superscript"/>
              </w:rPr>
              <w:t>3</w:t>
            </w:r>
            <w:r>
              <w:t>/次</w:t>
            </w:r>
          </w:p>
        </w:tc>
        <w:tc>
          <w:tcPr>
            <w:tcW w:w="1698" w:type="dxa"/>
            <w:vAlign w:val="center"/>
          </w:tcPr>
          <w:p>
            <w:pPr>
              <w:pStyle w:val="8"/>
              <w:bidi w:val="0"/>
              <w:rPr>
                <w:rFonts w:hint="default" w:eastAsiaTheme="minorEastAsia"/>
                <w:lang w:val="en-US" w:eastAsia="zh-CN"/>
              </w:rPr>
            </w:pPr>
            <w:r>
              <w:rPr>
                <w:rFonts w:hint="eastAsia"/>
                <w:lang w:val="en-US" w:eastAsia="zh-CN"/>
              </w:rPr>
              <w:t>2161.5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324" w:type="dxa"/>
            <w:gridSpan w:val="2"/>
            <w:vAlign w:val="center"/>
          </w:tcPr>
          <w:p>
            <w:pPr>
              <w:pStyle w:val="8"/>
              <w:bidi w:val="0"/>
            </w:pPr>
            <w:r>
              <w:rPr>
                <w:rFonts w:hint="eastAsia"/>
              </w:rPr>
              <w:t>水帘降温用水</w:t>
            </w:r>
          </w:p>
        </w:tc>
        <w:tc>
          <w:tcPr>
            <w:tcW w:w="1388" w:type="dxa"/>
            <w:vAlign w:val="center"/>
          </w:tcPr>
          <w:p>
            <w:pPr>
              <w:pStyle w:val="8"/>
              <w:bidi w:val="0"/>
            </w:pPr>
            <w:r>
              <w:t>90</w:t>
            </w:r>
            <w:r>
              <w:rPr>
                <w:rFonts w:hint="eastAsia"/>
              </w:rPr>
              <w:t>天</w:t>
            </w:r>
          </w:p>
        </w:tc>
        <w:tc>
          <w:tcPr>
            <w:tcW w:w="1589" w:type="dxa"/>
            <w:vAlign w:val="center"/>
          </w:tcPr>
          <w:p>
            <w:pPr>
              <w:pStyle w:val="8"/>
              <w:bidi w:val="0"/>
            </w:pPr>
            <w:r>
              <w:rPr>
                <w:rFonts w:hint="eastAsia"/>
                <w:lang w:val="en-US" w:eastAsia="zh-CN"/>
              </w:rPr>
              <w:t>16</w:t>
            </w:r>
            <w:r>
              <w:t>m</w:t>
            </w:r>
            <w:r>
              <w:rPr>
                <w:vertAlign w:val="superscript"/>
              </w:rPr>
              <w:t>3</w:t>
            </w:r>
            <w:r>
              <w:t>/</w:t>
            </w:r>
            <w:r>
              <w:rPr>
                <w:rFonts w:hint="eastAsia"/>
              </w:rPr>
              <w:t>天</w:t>
            </w:r>
          </w:p>
        </w:tc>
        <w:tc>
          <w:tcPr>
            <w:tcW w:w="1738" w:type="dxa"/>
            <w:vAlign w:val="center"/>
          </w:tcPr>
          <w:p>
            <w:pPr>
              <w:pStyle w:val="8"/>
              <w:bidi w:val="0"/>
              <w:rPr>
                <w:rFonts w:hint="default" w:eastAsiaTheme="minorEastAsia"/>
                <w:lang w:val="en-US" w:eastAsia="zh-CN"/>
              </w:rPr>
            </w:pPr>
            <w:r>
              <w:rPr>
                <w:rFonts w:hint="eastAsia"/>
                <w:lang w:val="en-US" w:eastAsia="zh-CN"/>
              </w:rPr>
              <w:t>16</w:t>
            </w:r>
          </w:p>
        </w:tc>
        <w:tc>
          <w:tcPr>
            <w:tcW w:w="1698" w:type="dxa"/>
            <w:vAlign w:val="center"/>
          </w:tcPr>
          <w:p>
            <w:pPr>
              <w:pStyle w:val="8"/>
              <w:bidi w:val="0"/>
              <w:rPr>
                <w:rFonts w:hint="default" w:eastAsiaTheme="minorEastAsia"/>
                <w:lang w:val="en-US" w:eastAsia="zh-CN"/>
              </w:rPr>
            </w:pPr>
            <w:r>
              <w:rPr>
                <w:rFonts w:hint="eastAsia"/>
                <w:lang w:val="en-US" w:eastAsia="zh-CN"/>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324" w:type="dxa"/>
            <w:gridSpan w:val="2"/>
            <w:vAlign w:val="center"/>
          </w:tcPr>
          <w:p>
            <w:pPr>
              <w:pStyle w:val="8"/>
              <w:bidi w:val="0"/>
            </w:pPr>
            <w:r>
              <w:rPr>
                <w:rFonts w:hint="eastAsia"/>
              </w:rPr>
              <w:t>合计（</w:t>
            </w:r>
            <w:r>
              <w:t>m³/a</w:t>
            </w:r>
            <w:r>
              <w:rPr>
                <w:rFonts w:hint="eastAsia"/>
              </w:rPr>
              <w:t>）</w:t>
            </w:r>
          </w:p>
        </w:tc>
        <w:tc>
          <w:tcPr>
            <w:tcW w:w="6413" w:type="dxa"/>
            <w:gridSpan w:val="4"/>
            <w:vAlign w:val="center"/>
          </w:tcPr>
          <w:p>
            <w:pPr>
              <w:pStyle w:val="8"/>
              <w:bidi w:val="0"/>
              <w:rPr>
                <w:rFonts w:hint="default" w:eastAsiaTheme="minorEastAsia"/>
                <w:lang w:val="en-US" w:eastAsia="zh-CN"/>
              </w:rPr>
            </w:pPr>
            <w:r>
              <w:rPr>
                <w:rFonts w:hint="eastAsia"/>
                <w:lang w:val="en-US" w:eastAsia="zh-CN"/>
              </w:rPr>
              <w:t>52975</w:t>
            </w:r>
          </w:p>
        </w:tc>
      </w:tr>
    </w:tbl>
    <w:p>
      <w:pPr>
        <w:pStyle w:val="11"/>
      </w:pPr>
    </w:p>
    <w:p>
      <w:pPr>
        <w:pStyle w:val="11"/>
        <w:rPr>
          <w:rFonts w:hint="default" w:eastAsiaTheme="minorEastAsia"/>
          <w:lang w:val="en-US" w:eastAsia="zh-CN"/>
        </w:rPr>
      </w:pPr>
      <w:r>
        <w:t xml:space="preserve">表2.1- </w:t>
      </w:r>
      <w:r>
        <w:fldChar w:fldCharType="begin"/>
      </w:r>
      <w:r>
        <w:instrText xml:space="preserve"> SEQ 表2.1- \* ARABIC </w:instrText>
      </w:r>
      <w:r>
        <w:fldChar w:fldCharType="separate"/>
      </w:r>
      <w:r>
        <w:t>4</w:t>
      </w:r>
      <w:r>
        <w:fldChar w:fldCharType="end"/>
      </w:r>
      <w:r>
        <w:rPr>
          <w:rFonts w:hint="eastAsia"/>
          <w:lang w:val="en-US" w:eastAsia="zh-CN"/>
        </w:rPr>
        <w:t xml:space="preserve">  </w:t>
      </w:r>
      <w:r>
        <w:rPr>
          <w:rFonts w:hint="eastAsia"/>
        </w:rPr>
        <w:t>项目主要饲料定额消耗指标表</w:t>
      </w:r>
    </w:p>
    <w:tbl>
      <w:tblPr>
        <w:tblStyle w:val="17"/>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053"/>
        <w:gridCol w:w="2100"/>
        <w:gridCol w:w="2193"/>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35" w:type="dxa"/>
            <w:vMerge w:val="restart"/>
            <w:vAlign w:val="center"/>
          </w:tcPr>
          <w:p>
            <w:pPr>
              <w:pStyle w:val="8"/>
              <w:bidi w:val="0"/>
              <w:rPr>
                <w:rFonts w:hint="eastAsia"/>
              </w:rPr>
            </w:pPr>
            <w:r>
              <w:rPr>
                <w:rFonts w:hint="eastAsia"/>
              </w:rPr>
              <w:t>名称</w:t>
            </w:r>
          </w:p>
        </w:tc>
        <w:tc>
          <w:tcPr>
            <w:tcW w:w="1053" w:type="dxa"/>
            <w:vMerge w:val="restart"/>
            <w:vAlign w:val="center"/>
          </w:tcPr>
          <w:p>
            <w:pPr>
              <w:pStyle w:val="8"/>
              <w:bidi w:val="0"/>
            </w:pPr>
            <w:r>
              <w:rPr>
                <w:rFonts w:hint="eastAsia"/>
              </w:rPr>
              <w:t>数量</w:t>
            </w:r>
          </w:p>
          <w:p>
            <w:pPr>
              <w:pStyle w:val="8"/>
              <w:bidi w:val="0"/>
            </w:pPr>
            <w:r>
              <w:rPr>
                <w:rFonts w:hint="eastAsia"/>
              </w:rPr>
              <w:t>（头）</w:t>
            </w:r>
          </w:p>
        </w:tc>
        <w:tc>
          <w:tcPr>
            <w:tcW w:w="6491" w:type="dxa"/>
            <w:gridSpan w:val="3"/>
            <w:vAlign w:val="center"/>
          </w:tcPr>
          <w:p>
            <w:pPr>
              <w:pStyle w:val="8"/>
              <w:bidi w:val="0"/>
            </w:pPr>
            <w:r>
              <w:rPr>
                <w:rFonts w:hint="eastAsia"/>
              </w:rPr>
              <w:t>饲料消耗量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235" w:type="dxa"/>
            <w:vMerge w:val="continue"/>
            <w:vAlign w:val="center"/>
          </w:tcPr>
          <w:p>
            <w:pPr>
              <w:pStyle w:val="8"/>
              <w:bidi w:val="0"/>
            </w:pPr>
          </w:p>
        </w:tc>
        <w:tc>
          <w:tcPr>
            <w:tcW w:w="1053" w:type="dxa"/>
            <w:vMerge w:val="continue"/>
            <w:vAlign w:val="center"/>
          </w:tcPr>
          <w:p>
            <w:pPr>
              <w:pStyle w:val="8"/>
              <w:bidi w:val="0"/>
            </w:pPr>
          </w:p>
        </w:tc>
        <w:tc>
          <w:tcPr>
            <w:tcW w:w="2100" w:type="dxa"/>
            <w:vAlign w:val="center"/>
          </w:tcPr>
          <w:p>
            <w:pPr>
              <w:pStyle w:val="8"/>
              <w:bidi w:val="0"/>
            </w:pPr>
            <w:r>
              <w:rPr>
                <w:rFonts w:hint="eastAsia"/>
              </w:rPr>
              <w:t>每头猪饲料定额</w:t>
            </w:r>
          </w:p>
          <w:p>
            <w:pPr>
              <w:pStyle w:val="8"/>
              <w:bidi w:val="0"/>
            </w:pPr>
            <w:r>
              <w:rPr>
                <w:rFonts w:hint="eastAsia"/>
              </w:rPr>
              <w:t>（</w:t>
            </w:r>
            <w:r>
              <w:t>kg/d</w:t>
            </w:r>
            <w:r>
              <w:rPr>
                <w:rFonts w:hint="eastAsia"/>
              </w:rPr>
              <w:t>）</w:t>
            </w:r>
          </w:p>
        </w:tc>
        <w:tc>
          <w:tcPr>
            <w:tcW w:w="2193" w:type="dxa"/>
            <w:vAlign w:val="center"/>
          </w:tcPr>
          <w:p>
            <w:pPr>
              <w:pStyle w:val="8"/>
              <w:bidi w:val="0"/>
            </w:pPr>
            <w:r>
              <w:rPr>
                <w:rFonts w:hint="eastAsia"/>
              </w:rPr>
              <w:t>饲料日消耗量</w:t>
            </w:r>
          </w:p>
          <w:p>
            <w:pPr>
              <w:pStyle w:val="8"/>
              <w:bidi w:val="0"/>
            </w:pPr>
            <w:r>
              <w:rPr>
                <w:rFonts w:hint="eastAsia"/>
              </w:rPr>
              <w:t>（</w:t>
            </w:r>
            <w:r>
              <w:t>kg/d</w:t>
            </w:r>
            <w:r>
              <w:rPr>
                <w:rFonts w:hint="eastAsia"/>
              </w:rPr>
              <w:t>）</w:t>
            </w:r>
          </w:p>
        </w:tc>
        <w:tc>
          <w:tcPr>
            <w:tcW w:w="2198" w:type="dxa"/>
            <w:vAlign w:val="center"/>
          </w:tcPr>
          <w:p>
            <w:pPr>
              <w:pStyle w:val="8"/>
              <w:bidi w:val="0"/>
            </w:pPr>
            <w:r>
              <w:rPr>
                <w:rFonts w:hint="eastAsia"/>
              </w:rPr>
              <w:t>饲料年消耗量</w:t>
            </w:r>
          </w:p>
          <w:p>
            <w:pPr>
              <w:pStyle w:val="8"/>
              <w:bidi w:val="0"/>
            </w:pPr>
            <w:r>
              <w:rPr>
                <w:rFonts w:hint="eastAsia"/>
              </w:rPr>
              <w:t>（</w:t>
            </w:r>
            <w:r>
              <w:t>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35"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母猪</w:t>
            </w:r>
          </w:p>
        </w:tc>
        <w:tc>
          <w:tcPr>
            <w:tcW w:w="1053"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4800</w:t>
            </w:r>
          </w:p>
        </w:tc>
        <w:tc>
          <w:tcPr>
            <w:tcW w:w="2100" w:type="dxa"/>
            <w:vAlign w:val="center"/>
          </w:tcPr>
          <w:p>
            <w:pPr>
              <w:pStyle w:val="8"/>
              <w:bidi w:val="0"/>
            </w:pPr>
            <w:r>
              <w:rPr>
                <w:rFonts w:hint="eastAsia"/>
              </w:rPr>
              <w:t>3</w:t>
            </w:r>
          </w:p>
        </w:tc>
        <w:tc>
          <w:tcPr>
            <w:tcW w:w="2193" w:type="dxa"/>
            <w:vAlign w:val="center"/>
          </w:tcPr>
          <w:p>
            <w:pPr>
              <w:pStyle w:val="8"/>
              <w:bidi w:val="0"/>
              <w:rPr>
                <w:rFonts w:hint="default"/>
                <w:lang w:val="en-US" w:eastAsia="zh-CN"/>
              </w:rPr>
            </w:pPr>
            <w:r>
              <w:rPr>
                <w:rFonts w:hint="eastAsia"/>
                <w:lang w:val="en-US" w:eastAsia="zh-CN"/>
              </w:rPr>
              <w:t>14400</w:t>
            </w:r>
          </w:p>
        </w:tc>
        <w:tc>
          <w:tcPr>
            <w:tcW w:w="2198" w:type="dxa"/>
            <w:vAlign w:val="center"/>
          </w:tcPr>
          <w:p>
            <w:pPr>
              <w:pStyle w:val="8"/>
              <w:bidi w:val="0"/>
              <w:rPr>
                <w:rFonts w:hint="default"/>
                <w:lang w:val="en-US" w:eastAsia="zh-CN"/>
              </w:rPr>
            </w:pPr>
            <w:r>
              <w:rPr>
                <w:rFonts w:hint="eastAsia"/>
                <w:lang w:val="en-US" w:eastAsia="zh-CN"/>
              </w:rPr>
              <w:t xml:space="preserve">5256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35"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公猪</w:t>
            </w:r>
          </w:p>
        </w:tc>
        <w:tc>
          <w:tcPr>
            <w:tcW w:w="1053"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158</w:t>
            </w:r>
          </w:p>
        </w:tc>
        <w:tc>
          <w:tcPr>
            <w:tcW w:w="2100" w:type="dxa"/>
            <w:vAlign w:val="center"/>
          </w:tcPr>
          <w:p>
            <w:pPr>
              <w:pStyle w:val="8"/>
              <w:bidi w:val="0"/>
            </w:pPr>
            <w:r>
              <w:rPr>
                <w:rFonts w:hint="eastAsia"/>
              </w:rPr>
              <w:t>3</w:t>
            </w:r>
          </w:p>
        </w:tc>
        <w:tc>
          <w:tcPr>
            <w:tcW w:w="2193" w:type="dxa"/>
            <w:vAlign w:val="center"/>
          </w:tcPr>
          <w:p>
            <w:pPr>
              <w:pStyle w:val="8"/>
              <w:bidi w:val="0"/>
              <w:rPr>
                <w:rFonts w:hint="default"/>
                <w:lang w:val="en-US" w:eastAsia="zh-CN"/>
              </w:rPr>
            </w:pPr>
            <w:r>
              <w:rPr>
                <w:rFonts w:hint="eastAsia"/>
                <w:lang w:val="en-US" w:eastAsia="zh-CN"/>
              </w:rPr>
              <w:t>474</w:t>
            </w:r>
          </w:p>
        </w:tc>
        <w:tc>
          <w:tcPr>
            <w:tcW w:w="2198" w:type="dxa"/>
            <w:vAlign w:val="center"/>
          </w:tcPr>
          <w:p>
            <w:pPr>
              <w:pStyle w:val="8"/>
              <w:bidi w:val="0"/>
              <w:rPr>
                <w:rFonts w:hint="default"/>
                <w:lang w:val="en-US" w:eastAsia="zh-CN"/>
              </w:rPr>
            </w:pPr>
            <w:r>
              <w:rPr>
                <w:rFonts w:hint="eastAsia"/>
                <w:lang w:val="en-US" w:eastAsia="zh-C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35"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lang w:eastAsia="zh-CN"/>
              </w:rPr>
              <w:t>哺乳</w:t>
            </w:r>
            <w:r>
              <w:rPr>
                <w:rFonts w:hint="eastAsia"/>
              </w:rPr>
              <w:t>仔猪</w:t>
            </w:r>
          </w:p>
        </w:tc>
        <w:tc>
          <w:tcPr>
            <w:tcW w:w="1053"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9853</w:t>
            </w:r>
          </w:p>
        </w:tc>
        <w:tc>
          <w:tcPr>
            <w:tcW w:w="2100" w:type="dxa"/>
            <w:vAlign w:val="center"/>
          </w:tcPr>
          <w:p>
            <w:pPr>
              <w:pStyle w:val="8"/>
              <w:bidi w:val="0"/>
            </w:pPr>
            <w:r>
              <w:rPr>
                <w:rFonts w:hint="eastAsia"/>
              </w:rPr>
              <w:t>0.6</w:t>
            </w:r>
          </w:p>
        </w:tc>
        <w:tc>
          <w:tcPr>
            <w:tcW w:w="2193" w:type="dxa"/>
            <w:vAlign w:val="center"/>
          </w:tcPr>
          <w:p>
            <w:pPr>
              <w:pStyle w:val="8"/>
              <w:bidi w:val="0"/>
              <w:rPr>
                <w:rFonts w:hint="default"/>
                <w:lang w:val="en-US" w:eastAsia="zh-CN"/>
              </w:rPr>
            </w:pPr>
            <w:r>
              <w:rPr>
                <w:rFonts w:hint="eastAsia"/>
                <w:lang w:val="en-US" w:eastAsia="zh-CN"/>
              </w:rPr>
              <w:t>5911.8</w:t>
            </w:r>
          </w:p>
        </w:tc>
        <w:tc>
          <w:tcPr>
            <w:tcW w:w="2198" w:type="dxa"/>
            <w:vAlign w:val="center"/>
          </w:tcPr>
          <w:p>
            <w:pPr>
              <w:pStyle w:val="8"/>
              <w:bidi w:val="0"/>
              <w:rPr>
                <w:rFonts w:hint="default"/>
                <w:lang w:val="en-US" w:eastAsia="zh-CN"/>
              </w:rPr>
            </w:pPr>
            <w:r>
              <w:rPr>
                <w:rFonts w:hint="eastAsia"/>
                <w:lang w:val="en-US" w:eastAsia="zh-CN"/>
              </w:rPr>
              <w:t xml:space="preserve">2157.8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35" w:type="dxa"/>
            <w:vAlign w:val="center"/>
          </w:tcPr>
          <w:p>
            <w:pPr>
              <w:pStyle w:val="8"/>
              <w:bidi w:val="0"/>
              <w:rPr>
                <w:rFonts w:hint="eastAsia"/>
              </w:rPr>
            </w:pPr>
            <w:r>
              <w:rPr>
                <w:rFonts w:hint="eastAsia"/>
              </w:rPr>
              <w:t>合计</w:t>
            </w:r>
          </w:p>
        </w:tc>
        <w:tc>
          <w:tcPr>
            <w:tcW w:w="1053" w:type="dxa"/>
            <w:vAlign w:val="center"/>
          </w:tcPr>
          <w:p>
            <w:pPr>
              <w:pStyle w:val="8"/>
              <w:bidi w:val="0"/>
            </w:pPr>
            <w:r>
              <w:rPr>
                <w:rFonts w:hint="eastAsia"/>
              </w:rPr>
              <w:t>/</w:t>
            </w:r>
          </w:p>
        </w:tc>
        <w:tc>
          <w:tcPr>
            <w:tcW w:w="2100" w:type="dxa"/>
            <w:vAlign w:val="center"/>
          </w:tcPr>
          <w:p>
            <w:pPr>
              <w:pStyle w:val="8"/>
              <w:bidi w:val="0"/>
              <w:rPr>
                <w:rFonts w:hint="default"/>
                <w:lang w:val="en-US" w:eastAsia="zh-CN"/>
              </w:rPr>
            </w:pPr>
            <w:r>
              <w:rPr>
                <w:rFonts w:hint="eastAsia"/>
                <w:lang w:val="en-US" w:eastAsia="zh-CN"/>
              </w:rPr>
              <w:t>/</w:t>
            </w:r>
          </w:p>
        </w:tc>
        <w:tc>
          <w:tcPr>
            <w:tcW w:w="2193" w:type="dxa"/>
            <w:vAlign w:val="center"/>
          </w:tcPr>
          <w:p>
            <w:pPr>
              <w:pStyle w:val="8"/>
              <w:bidi w:val="0"/>
              <w:rPr>
                <w:rFonts w:hint="default"/>
                <w:lang w:val="en-US" w:eastAsia="zh-CN"/>
              </w:rPr>
            </w:pPr>
            <w:r>
              <w:rPr>
                <w:rFonts w:hint="eastAsia"/>
                <w:lang w:val="en-US" w:eastAsia="zh-CN"/>
              </w:rPr>
              <w:t>20785.8</w:t>
            </w:r>
          </w:p>
        </w:tc>
        <w:tc>
          <w:tcPr>
            <w:tcW w:w="2198" w:type="dxa"/>
            <w:vAlign w:val="center"/>
          </w:tcPr>
          <w:p>
            <w:pPr>
              <w:pStyle w:val="8"/>
              <w:bidi w:val="0"/>
              <w:rPr>
                <w:rFonts w:hint="default"/>
                <w:lang w:val="en-US" w:eastAsia="zh-CN"/>
              </w:rPr>
            </w:pPr>
            <w:r>
              <w:rPr>
                <w:rFonts w:hint="eastAsia"/>
                <w:lang w:val="en-US" w:eastAsia="zh-CN"/>
              </w:rPr>
              <w:t xml:space="preserve">7586.8 </w:t>
            </w:r>
          </w:p>
        </w:tc>
      </w:tr>
    </w:tbl>
    <w:p>
      <w:pPr>
        <w:jc w:val="center"/>
        <w:rPr>
          <w:rFonts w:hint="eastAsia"/>
        </w:rPr>
      </w:pPr>
    </w:p>
    <w:p>
      <w:pPr>
        <w:pStyle w:val="11"/>
        <w:rPr>
          <w:rFonts w:hint="default" w:eastAsiaTheme="minorEastAsia"/>
          <w:lang w:val="en-US" w:eastAsia="zh-CN"/>
        </w:rPr>
      </w:pPr>
      <w:r>
        <w:t xml:space="preserve">表2.1- </w:t>
      </w:r>
      <w:r>
        <w:fldChar w:fldCharType="begin"/>
      </w:r>
      <w:r>
        <w:instrText xml:space="preserve"> SEQ 表2.1- \* ARABIC </w:instrText>
      </w:r>
      <w:r>
        <w:fldChar w:fldCharType="separate"/>
      </w:r>
      <w:r>
        <w:t>5</w:t>
      </w:r>
      <w:r>
        <w:fldChar w:fldCharType="end"/>
      </w:r>
      <w:r>
        <w:rPr>
          <w:rFonts w:hint="eastAsia"/>
          <w:lang w:val="en-US" w:eastAsia="zh-CN"/>
        </w:rPr>
        <w:t xml:space="preserve">  </w:t>
      </w:r>
      <w:r>
        <w:rPr>
          <w:rFonts w:hint="eastAsia"/>
        </w:rPr>
        <w:t>项目主要原辅料消耗及资源能源消耗情况一览表</w:t>
      </w:r>
    </w:p>
    <w:tbl>
      <w:tblPr>
        <w:tblStyle w:val="17"/>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267"/>
        <w:gridCol w:w="1148"/>
        <w:gridCol w:w="1470"/>
        <w:gridCol w:w="3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3" w:type="dxa"/>
            <w:vAlign w:val="center"/>
          </w:tcPr>
          <w:p>
            <w:pPr>
              <w:pStyle w:val="8"/>
              <w:bidi w:val="0"/>
            </w:pPr>
            <w:r>
              <w:rPr>
                <w:rFonts w:hint="eastAsia"/>
              </w:rPr>
              <w:t>序号</w:t>
            </w:r>
          </w:p>
        </w:tc>
        <w:tc>
          <w:tcPr>
            <w:tcW w:w="2267" w:type="dxa"/>
            <w:vAlign w:val="center"/>
          </w:tcPr>
          <w:p>
            <w:pPr>
              <w:pStyle w:val="8"/>
              <w:bidi w:val="0"/>
            </w:pPr>
            <w:r>
              <w:rPr>
                <w:rFonts w:hint="eastAsia"/>
              </w:rPr>
              <w:t>项目名称</w:t>
            </w:r>
          </w:p>
        </w:tc>
        <w:tc>
          <w:tcPr>
            <w:tcW w:w="1148" w:type="dxa"/>
            <w:vAlign w:val="center"/>
          </w:tcPr>
          <w:p>
            <w:pPr>
              <w:pStyle w:val="8"/>
              <w:bidi w:val="0"/>
            </w:pPr>
            <w:r>
              <w:rPr>
                <w:rFonts w:hint="eastAsia"/>
              </w:rPr>
              <w:t>单位</w:t>
            </w:r>
          </w:p>
        </w:tc>
        <w:tc>
          <w:tcPr>
            <w:tcW w:w="1470" w:type="dxa"/>
            <w:vAlign w:val="center"/>
          </w:tcPr>
          <w:p>
            <w:pPr>
              <w:pStyle w:val="8"/>
              <w:bidi w:val="0"/>
            </w:pPr>
            <w:r>
              <w:rPr>
                <w:rFonts w:hint="eastAsia"/>
              </w:rPr>
              <w:t>年消耗量</w:t>
            </w:r>
          </w:p>
        </w:tc>
        <w:tc>
          <w:tcPr>
            <w:tcW w:w="3578" w:type="dxa"/>
            <w:vAlign w:val="center"/>
          </w:tcPr>
          <w:p>
            <w:pPr>
              <w:pStyle w:val="8"/>
              <w:bidi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3" w:type="dxa"/>
            <w:vAlign w:val="center"/>
          </w:tcPr>
          <w:p>
            <w:pPr>
              <w:pStyle w:val="8"/>
              <w:bidi w:val="0"/>
            </w:pPr>
            <w:r>
              <w:t>1</w:t>
            </w:r>
          </w:p>
        </w:tc>
        <w:tc>
          <w:tcPr>
            <w:tcW w:w="2267" w:type="dxa"/>
            <w:vAlign w:val="center"/>
          </w:tcPr>
          <w:p>
            <w:pPr>
              <w:pStyle w:val="8"/>
              <w:bidi w:val="0"/>
            </w:pPr>
            <w:r>
              <w:rPr>
                <w:rFonts w:hint="eastAsia"/>
              </w:rPr>
              <w:t>饲料</w:t>
            </w:r>
          </w:p>
        </w:tc>
        <w:tc>
          <w:tcPr>
            <w:tcW w:w="1148" w:type="dxa"/>
            <w:vAlign w:val="center"/>
          </w:tcPr>
          <w:p>
            <w:pPr>
              <w:pStyle w:val="8"/>
              <w:bidi w:val="0"/>
            </w:pPr>
            <w:r>
              <w:t>t/a</w:t>
            </w:r>
          </w:p>
        </w:tc>
        <w:tc>
          <w:tcPr>
            <w:tcW w:w="1470" w:type="dxa"/>
            <w:vAlign w:val="center"/>
          </w:tcPr>
          <w:p>
            <w:pPr>
              <w:pStyle w:val="8"/>
              <w:bidi w:val="0"/>
              <w:rPr>
                <w:rFonts w:hint="default"/>
                <w:lang w:val="en-US" w:eastAsia="zh-CN"/>
              </w:rPr>
            </w:pPr>
            <w:r>
              <w:rPr>
                <w:rFonts w:hint="eastAsia"/>
                <w:lang w:val="en-US" w:eastAsia="zh-CN"/>
              </w:rPr>
              <w:t>7586.8</w:t>
            </w:r>
          </w:p>
        </w:tc>
        <w:tc>
          <w:tcPr>
            <w:tcW w:w="3578" w:type="dxa"/>
            <w:vAlign w:val="center"/>
          </w:tcPr>
          <w:p>
            <w:pPr>
              <w:pStyle w:val="8"/>
              <w:bidi w:val="0"/>
            </w:pPr>
            <w:r>
              <w:rPr>
                <w:rFonts w:hint="eastAsi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3" w:type="dxa"/>
            <w:vAlign w:val="center"/>
          </w:tcPr>
          <w:p>
            <w:pPr>
              <w:pStyle w:val="8"/>
              <w:bidi w:val="0"/>
            </w:pPr>
            <w:r>
              <w:t>2</w:t>
            </w:r>
          </w:p>
        </w:tc>
        <w:tc>
          <w:tcPr>
            <w:tcW w:w="2267" w:type="dxa"/>
            <w:vAlign w:val="center"/>
          </w:tcPr>
          <w:p>
            <w:pPr>
              <w:pStyle w:val="8"/>
              <w:bidi w:val="0"/>
            </w:pPr>
            <w:r>
              <w:rPr>
                <w:rFonts w:hint="eastAsia"/>
              </w:rPr>
              <w:t>新鲜水</w:t>
            </w:r>
          </w:p>
        </w:tc>
        <w:tc>
          <w:tcPr>
            <w:tcW w:w="1148" w:type="dxa"/>
            <w:vAlign w:val="center"/>
          </w:tcPr>
          <w:p>
            <w:pPr>
              <w:pStyle w:val="8"/>
              <w:bidi w:val="0"/>
            </w:pPr>
            <w:r>
              <w:t>m</w:t>
            </w:r>
            <w:r>
              <w:rPr>
                <w:vertAlign w:val="superscript"/>
              </w:rPr>
              <w:t>3</w:t>
            </w:r>
            <w:r>
              <w:t>/a</w:t>
            </w:r>
          </w:p>
        </w:tc>
        <w:tc>
          <w:tcPr>
            <w:tcW w:w="1470" w:type="dxa"/>
            <w:vAlign w:val="center"/>
          </w:tcPr>
          <w:p>
            <w:pPr>
              <w:pStyle w:val="8"/>
              <w:bidi w:val="0"/>
              <w:rPr>
                <w:rFonts w:hint="default"/>
                <w:lang w:val="en-US" w:eastAsia="zh-CN"/>
              </w:rPr>
            </w:pPr>
            <w:r>
              <w:rPr>
                <w:rFonts w:hint="eastAsia"/>
                <w:lang w:val="en-US" w:eastAsia="zh-CN"/>
              </w:rPr>
              <w:t>52975</w:t>
            </w:r>
          </w:p>
        </w:tc>
        <w:tc>
          <w:tcPr>
            <w:tcW w:w="3578" w:type="dxa"/>
            <w:vAlign w:val="center"/>
          </w:tcPr>
          <w:p>
            <w:pPr>
              <w:pStyle w:val="8"/>
              <w:bidi w:val="0"/>
              <w:rPr>
                <w:rFonts w:hint="eastAsia" w:eastAsiaTheme="minorEastAsia"/>
                <w:lang w:eastAsia="zh-CN"/>
              </w:rPr>
            </w:pPr>
            <w:r>
              <w:rPr>
                <w:rFonts w:hint="eastAsia"/>
                <w:lang w:eastAsia="zh-CN"/>
              </w:rPr>
              <w:t>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33" w:type="dxa"/>
            <w:vAlign w:val="center"/>
          </w:tcPr>
          <w:p>
            <w:pPr>
              <w:pStyle w:val="8"/>
              <w:bidi w:val="0"/>
            </w:pPr>
            <w:r>
              <w:t>3</w:t>
            </w:r>
          </w:p>
        </w:tc>
        <w:tc>
          <w:tcPr>
            <w:tcW w:w="2267" w:type="dxa"/>
            <w:vAlign w:val="center"/>
          </w:tcPr>
          <w:p>
            <w:pPr>
              <w:pStyle w:val="8"/>
              <w:bidi w:val="0"/>
            </w:pPr>
            <w:r>
              <w:rPr>
                <w:rFonts w:hint="eastAsia"/>
              </w:rPr>
              <w:t>消毒剂</w:t>
            </w:r>
          </w:p>
        </w:tc>
        <w:tc>
          <w:tcPr>
            <w:tcW w:w="1148" w:type="dxa"/>
            <w:vAlign w:val="center"/>
          </w:tcPr>
          <w:p>
            <w:pPr>
              <w:pStyle w:val="8"/>
              <w:bidi w:val="0"/>
            </w:pPr>
            <w:r>
              <w:t>t/a</w:t>
            </w:r>
          </w:p>
        </w:tc>
        <w:tc>
          <w:tcPr>
            <w:tcW w:w="147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3.2</w:t>
            </w:r>
          </w:p>
        </w:tc>
        <w:tc>
          <w:tcPr>
            <w:tcW w:w="3578" w:type="dxa"/>
            <w:vAlign w:val="center"/>
          </w:tcPr>
          <w:p>
            <w:pPr>
              <w:pStyle w:val="8"/>
              <w:bidi w:val="0"/>
            </w:pPr>
            <w:r>
              <w:rPr>
                <w:rFonts w:hint="eastAsia"/>
              </w:rPr>
              <w:t>主要成分为氢氧化钠和高锰酸钾，石灰等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3" w:type="dxa"/>
            <w:vAlign w:val="center"/>
          </w:tcPr>
          <w:p>
            <w:pPr>
              <w:pStyle w:val="8"/>
              <w:bidi w:val="0"/>
            </w:pPr>
            <w:r>
              <w:t>4</w:t>
            </w:r>
          </w:p>
        </w:tc>
        <w:tc>
          <w:tcPr>
            <w:tcW w:w="2267" w:type="dxa"/>
            <w:vAlign w:val="center"/>
          </w:tcPr>
          <w:p>
            <w:pPr>
              <w:pStyle w:val="8"/>
              <w:bidi w:val="0"/>
            </w:pPr>
            <w:r>
              <w:rPr>
                <w:rFonts w:hint="eastAsia"/>
              </w:rPr>
              <w:t>兽药</w:t>
            </w:r>
          </w:p>
        </w:tc>
        <w:tc>
          <w:tcPr>
            <w:tcW w:w="1148" w:type="dxa"/>
            <w:vAlign w:val="center"/>
          </w:tcPr>
          <w:p>
            <w:pPr>
              <w:pStyle w:val="8"/>
              <w:bidi w:val="0"/>
            </w:pPr>
            <w:r>
              <w:t>t/a</w:t>
            </w:r>
          </w:p>
        </w:tc>
        <w:tc>
          <w:tcPr>
            <w:tcW w:w="147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2.4</w:t>
            </w:r>
          </w:p>
        </w:tc>
        <w:tc>
          <w:tcPr>
            <w:tcW w:w="3578" w:type="dxa"/>
            <w:vAlign w:val="center"/>
          </w:tcPr>
          <w:p>
            <w:pPr>
              <w:pStyle w:val="8"/>
              <w:bidi w:val="0"/>
            </w:pPr>
            <w:r>
              <w:rPr>
                <w:rFonts w:hint="eastAsia"/>
              </w:rPr>
              <w:t>从当地畜牧防疫部门（站）购进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3" w:type="dxa"/>
            <w:vAlign w:val="center"/>
          </w:tcPr>
          <w:p>
            <w:pPr>
              <w:pStyle w:val="8"/>
              <w:bidi w:val="0"/>
            </w:pPr>
            <w:r>
              <w:rPr>
                <w:rFonts w:hint="eastAsia"/>
              </w:rPr>
              <w:t>5</w:t>
            </w:r>
          </w:p>
        </w:tc>
        <w:tc>
          <w:tcPr>
            <w:tcW w:w="2267" w:type="dxa"/>
            <w:vAlign w:val="center"/>
          </w:tcPr>
          <w:p>
            <w:pPr>
              <w:pStyle w:val="8"/>
              <w:bidi w:val="0"/>
            </w:pPr>
            <w:r>
              <w:t>EM</w:t>
            </w:r>
            <w:r>
              <w:rPr>
                <w:rFonts w:hint="eastAsia"/>
              </w:rPr>
              <w:t>菌液</w:t>
            </w:r>
          </w:p>
        </w:tc>
        <w:tc>
          <w:tcPr>
            <w:tcW w:w="1148" w:type="dxa"/>
            <w:vAlign w:val="center"/>
          </w:tcPr>
          <w:p>
            <w:pPr>
              <w:pStyle w:val="8"/>
              <w:bidi w:val="0"/>
            </w:pPr>
            <w:r>
              <w:t>t/a</w:t>
            </w:r>
          </w:p>
        </w:tc>
        <w:tc>
          <w:tcPr>
            <w:tcW w:w="1470"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lang w:val="en-US" w:eastAsia="zh-CN"/>
              </w:rPr>
              <w:t xml:space="preserve">4.5 </w:t>
            </w:r>
          </w:p>
        </w:tc>
        <w:tc>
          <w:tcPr>
            <w:tcW w:w="3578" w:type="dxa"/>
            <w:vAlign w:val="center"/>
          </w:tcPr>
          <w:p>
            <w:pPr>
              <w:pStyle w:val="8"/>
              <w:bidi w:val="0"/>
            </w:pPr>
            <w:r>
              <w:rPr>
                <w:rFonts w:hint="eastAsia"/>
              </w:rPr>
              <w:t>从市场购买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3" w:type="dxa"/>
            <w:vAlign w:val="center"/>
          </w:tcPr>
          <w:p>
            <w:pPr>
              <w:pStyle w:val="8"/>
              <w:bidi w:val="0"/>
            </w:pPr>
            <w:r>
              <w:rPr>
                <w:rFonts w:hint="eastAsia"/>
              </w:rPr>
              <w:t>6</w:t>
            </w:r>
          </w:p>
        </w:tc>
        <w:tc>
          <w:tcPr>
            <w:tcW w:w="2267" w:type="dxa"/>
            <w:vAlign w:val="center"/>
          </w:tcPr>
          <w:p>
            <w:pPr>
              <w:pStyle w:val="8"/>
              <w:bidi w:val="0"/>
            </w:pPr>
            <w:r>
              <w:rPr>
                <w:rFonts w:hint="eastAsia"/>
              </w:rPr>
              <w:t>生物除臭剂（大力可）</w:t>
            </w:r>
          </w:p>
        </w:tc>
        <w:tc>
          <w:tcPr>
            <w:tcW w:w="1148" w:type="dxa"/>
            <w:vAlign w:val="center"/>
          </w:tcPr>
          <w:p>
            <w:pPr>
              <w:pStyle w:val="8"/>
              <w:bidi w:val="0"/>
            </w:pPr>
            <w:r>
              <w:t>L/a</w:t>
            </w:r>
          </w:p>
        </w:tc>
        <w:tc>
          <w:tcPr>
            <w:tcW w:w="147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7200</w:t>
            </w:r>
          </w:p>
        </w:tc>
        <w:tc>
          <w:tcPr>
            <w:tcW w:w="3578" w:type="dxa"/>
            <w:vAlign w:val="center"/>
          </w:tcPr>
          <w:p>
            <w:pPr>
              <w:pStyle w:val="8"/>
              <w:bidi w:val="0"/>
            </w:pPr>
            <w:r>
              <w:rPr>
                <w:rFonts w:hint="eastAsia"/>
              </w:rPr>
              <w:t>从市场购买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3" w:type="dxa"/>
            <w:vAlign w:val="center"/>
          </w:tcPr>
          <w:p>
            <w:pPr>
              <w:pStyle w:val="8"/>
              <w:bidi w:val="0"/>
            </w:pPr>
            <w:r>
              <w:rPr>
                <w:rFonts w:hint="eastAsia"/>
              </w:rPr>
              <w:t>7</w:t>
            </w:r>
          </w:p>
        </w:tc>
        <w:tc>
          <w:tcPr>
            <w:tcW w:w="2267" w:type="dxa"/>
            <w:vAlign w:val="center"/>
          </w:tcPr>
          <w:p>
            <w:pPr>
              <w:pStyle w:val="8"/>
              <w:bidi w:val="0"/>
            </w:pPr>
            <w:r>
              <w:rPr>
                <w:rFonts w:hint="eastAsia"/>
              </w:rPr>
              <w:t>电</w:t>
            </w:r>
          </w:p>
        </w:tc>
        <w:tc>
          <w:tcPr>
            <w:tcW w:w="1148" w:type="dxa"/>
            <w:vAlign w:val="center"/>
          </w:tcPr>
          <w:p>
            <w:pPr>
              <w:pStyle w:val="8"/>
              <w:bidi w:val="0"/>
            </w:pPr>
            <w:r>
              <w:rPr>
                <w:rFonts w:hint="eastAsia"/>
              </w:rPr>
              <w:t>万</w:t>
            </w:r>
            <w:r>
              <w:t>Kwh/a</w:t>
            </w:r>
          </w:p>
        </w:tc>
        <w:tc>
          <w:tcPr>
            <w:tcW w:w="147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480</w:t>
            </w:r>
          </w:p>
        </w:tc>
        <w:tc>
          <w:tcPr>
            <w:tcW w:w="3578" w:type="dxa"/>
            <w:vAlign w:val="center"/>
          </w:tcPr>
          <w:p>
            <w:pPr>
              <w:pStyle w:val="8"/>
              <w:bidi w:val="0"/>
              <w:rPr>
                <w:rFonts w:hint="eastAsia" w:eastAsiaTheme="minorEastAsia"/>
                <w:lang w:eastAsia="zh-CN"/>
              </w:rPr>
            </w:pPr>
            <w:r>
              <w:rPr>
                <w:rFonts w:hint="eastAsia"/>
                <w:lang w:eastAsia="zh-CN"/>
              </w:rPr>
              <w:t>村镇电网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3" w:type="dxa"/>
            <w:vAlign w:val="center"/>
          </w:tcPr>
          <w:p>
            <w:pPr>
              <w:pStyle w:val="8"/>
              <w:bidi w:val="0"/>
            </w:pPr>
            <w:r>
              <w:rPr>
                <w:rFonts w:hint="eastAsia"/>
              </w:rPr>
              <w:t>8</w:t>
            </w:r>
          </w:p>
        </w:tc>
        <w:tc>
          <w:tcPr>
            <w:tcW w:w="2267" w:type="dxa"/>
            <w:vAlign w:val="center"/>
          </w:tcPr>
          <w:p>
            <w:pPr>
              <w:pStyle w:val="8"/>
              <w:bidi w:val="0"/>
            </w:pPr>
            <w:r>
              <w:rPr>
                <w:rFonts w:hint="eastAsia"/>
              </w:rPr>
              <w:t>脱硫剂</w:t>
            </w:r>
          </w:p>
        </w:tc>
        <w:tc>
          <w:tcPr>
            <w:tcW w:w="1148" w:type="dxa"/>
            <w:vAlign w:val="center"/>
          </w:tcPr>
          <w:p>
            <w:pPr>
              <w:pStyle w:val="8"/>
              <w:bidi w:val="0"/>
            </w:pPr>
            <w:r>
              <w:rPr>
                <w:rFonts w:hint="eastAsia"/>
              </w:rPr>
              <w:t>t/a</w:t>
            </w:r>
          </w:p>
        </w:tc>
        <w:tc>
          <w:tcPr>
            <w:tcW w:w="1470"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lang w:val="en-US" w:eastAsia="zh-CN"/>
              </w:rPr>
              <w:t xml:space="preserve">0.1 </w:t>
            </w:r>
          </w:p>
        </w:tc>
        <w:tc>
          <w:tcPr>
            <w:tcW w:w="3578" w:type="dxa"/>
            <w:vAlign w:val="center"/>
          </w:tcPr>
          <w:p>
            <w:pPr>
              <w:pStyle w:val="8"/>
              <w:bidi w:val="0"/>
            </w:pPr>
            <w:r>
              <w:rPr>
                <w:rFonts w:hint="eastAsia"/>
              </w:rPr>
              <w:t>从市场购买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3" w:type="dxa"/>
            <w:vAlign w:val="center"/>
          </w:tcPr>
          <w:p>
            <w:pPr>
              <w:pStyle w:val="8"/>
              <w:bidi w:val="0"/>
            </w:pPr>
            <w:r>
              <w:rPr>
                <w:rFonts w:hint="eastAsia"/>
              </w:rPr>
              <w:t>9</w:t>
            </w:r>
          </w:p>
        </w:tc>
        <w:tc>
          <w:tcPr>
            <w:tcW w:w="2267" w:type="dxa"/>
            <w:vAlign w:val="center"/>
          </w:tcPr>
          <w:p>
            <w:pPr>
              <w:pStyle w:val="8"/>
              <w:bidi w:val="0"/>
            </w:pPr>
            <w:r>
              <w:rPr>
                <w:rFonts w:hint="eastAsia"/>
              </w:rPr>
              <w:t>疫苗</w:t>
            </w:r>
          </w:p>
        </w:tc>
        <w:tc>
          <w:tcPr>
            <w:tcW w:w="1148" w:type="dxa"/>
            <w:vAlign w:val="center"/>
          </w:tcPr>
          <w:p>
            <w:pPr>
              <w:pStyle w:val="8"/>
              <w:bidi w:val="0"/>
            </w:pPr>
            <w:r>
              <w:rPr>
                <w:rFonts w:hint="eastAsia"/>
              </w:rPr>
              <w:t>t/a</w:t>
            </w:r>
          </w:p>
        </w:tc>
        <w:tc>
          <w:tcPr>
            <w:tcW w:w="1470"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lang w:val="en-US" w:eastAsia="zh-CN"/>
              </w:rPr>
              <w:t xml:space="preserve">2.05 </w:t>
            </w:r>
          </w:p>
        </w:tc>
        <w:tc>
          <w:tcPr>
            <w:tcW w:w="3578" w:type="dxa"/>
            <w:vAlign w:val="center"/>
          </w:tcPr>
          <w:p>
            <w:pPr>
              <w:pStyle w:val="8"/>
              <w:bidi w:val="0"/>
            </w:pPr>
            <w:r>
              <w:rPr>
                <w:rFonts w:hint="eastAsia"/>
              </w:rPr>
              <w:t>青霉素类、头孢类、氨基糖类等</w:t>
            </w:r>
          </w:p>
        </w:tc>
      </w:tr>
    </w:tbl>
    <w:p>
      <w:pPr>
        <w:pStyle w:val="5"/>
        <w:bidi w:val="0"/>
        <w:rPr>
          <w:highlight w:val="none"/>
        </w:rPr>
      </w:pPr>
      <w:bookmarkStart w:id="137" w:name="_Toc333863813"/>
      <w:bookmarkStart w:id="138" w:name="_Toc375671999"/>
      <w:r>
        <w:rPr>
          <w:rFonts w:hint="eastAsia"/>
          <w:highlight w:val="none"/>
        </w:rPr>
        <w:t>主要设备</w:t>
      </w:r>
    </w:p>
    <w:p>
      <w:r>
        <w:t>生猪繁殖场主要生产设备包括产床、定位栏、保育床、自动喂料系统、检测设备等，公用环保工程设备主要为水帘降温系统、保暖系统、排风系统等。</w:t>
      </w:r>
    </w:p>
    <w:p>
      <w:pPr>
        <w:pStyle w:val="11"/>
        <w:rPr>
          <w:rFonts w:hint="default" w:eastAsiaTheme="minorEastAsia"/>
          <w:lang w:val="en-US" w:eastAsia="zh-CN"/>
        </w:rPr>
      </w:pPr>
      <w:r>
        <w:t xml:space="preserve">表2.1- </w:t>
      </w:r>
      <w:r>
        <w:fldChar w:fldCharType="begin"/>
      </w:r>
      <w:r>
        <w:instrText xml:space="preserve"> SEQ 表2.1- \* ARABIC </w:instrText>
      </w:r>
      <w:r>
        <w:fldChar w:fldCharType="separate"/>
      </w:r>
      <w:r>
        <w:t>6</w:t>
      </w:r>
      <w:r>
        <w:fldChar w:fldCharType="end"/>
      </w:r>
      <w:r>
        <w:rPr>
          <w:rFonts w:hint="eastAsia"/>
          <w:lang w:val="en-US" w:eastAsia="zh-CN"/>
        </w:rPr>
        <w:t xml:space="preserve">  </w:t>
      </w:r>
      <w:r>
        <w:rPr>
          <w:rFonts w:hint="eastAsia"/>
        </w:rPr>
        <w:t>工程主要设备一览表</w:t>
      </w:r>
    </w:p>
    <w:tbl>
      <w:tblPr>
        <w:tblStyle w:val="17"/>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648"/>
        <w:gridCol w:w="2220"/>
        <w:gridCol w:w="1041"/>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pPr>
            <w:r>
              <w:rPr>
                <w:rFonts w:hint="eastAsia"/>
              </w:rPr>
              <w:t>序号</w:t>
            </w:r>
          </w:p>
        </w:tc>
        <w:tc>
          <w:tcPr>
            <w:tcW w:w="3648" w:type="dxa"/>
            <w:vAlign w:val="center"/>
          </w:tcPr>
          <w:p>
            <w:pPr>
              <w:pStyle w:val="8"/>
              <w:bidi w:val="0"/>
            </w:pPr>
            <w:r>
              <w:rPr>
                <w:rFonts w:hint="eastAsia"/>
              </w:rPr>
              <w:t>名称</w:t>
            </w:r>
          </w:p>
        </w:tc>
        <w:tc>
          <w:tcPr>
            <w:tcW w:w="2220" w:type="dxa"/>
            <w:vAlign w:val="center"/>
          </w:tcPr>
          <w:p>
            <w:pPr>
              <w:pStyle w:val="8"/>
              <w:bidi w:val="0"/>
            </w:pPr>
            <w:r>
              <w:rPr>
                <w:rFonts w:hint="eastAsia"/>
              </w:rPr>
              <w:t>型号规格</w:t>
            </w:r>
          </w:p>
        </w:tc>
        <w:tc>
          <w:tcPr>
            <w:tcW w:w="1041" w:type="dxa"/>
            <w:vAlign w:val="center"/>
          </w:tcPr>
          <w:p>
            <w:pPr>
              <w:pStyle w:val="8"/>
              <w:bidi w:val="0"/>
            </w:pPr>
            <w:r>
              <w:rPr>
                <w:rFonts w:hint="eastAsia"/>
              </w:rPr>
              <w:t>单位</w:t>
            </w:r>
          </w:p>
        </w:tc>
        <w:tc>
          <w:tcPr>
            <w:tcW w:w="1549" w:type="dxa"/>
            <w:vAlign w:val="center"/>
          </w:tcPr>
          <w:p>
            <w:pPr>
              <w:pStyle w:val="8"/>
              <w:bidi w:val="0"/>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pPr>
            <w:r>
              <w:t>1</w:t>
            </w:r>
          </w:p>
        </w:tc>
        <w:tc>
          <w:tcPr>
            <w:tcW w:w="3648" w:type="dxa"/>
            <w:vAlign w:val="center"/>
          </w:tcPr>
          <w:p>
            <w:pPr>
              <w:pStyle w:val="8"/>
              <w:bidi w:val="0"/>
              <w:rPr>
                <w:rFonts w:hint="default"/>
                <w:lang w:val="en-US" w:eastAsia="zh-CN"/>
              </w:rPr>
            </w:pPr>
            <w:r>
              <w:rPr>
                <w:rFonts w:hint="default"/>
                <w:lang w:val="en-US" w:eastAsia="zh-CN"/>
              </w:rPr>
              <w:t>母猪定位栏(后进前出)</w:t>
            </w:r>
          </w:p>
        </w:tc>
        <w:tc>
          <w:tcPr>
            <w:tcW w:w="2220" w:type="dxa"/>
            <w:vAlign w:val="center"/>
          </w:tcPr>
          <w:p>
            <w:pPr>
              <w:pStyle w:val="8"/>
              <w:bidi w:val="0"/>
              <w:rPr>
                <w:rFonts w:hint="eastAsia" w:eastAsiaTheme="minorEastAsia"/>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pPr>
            <w:r>
              <w:t>2</w:t>
            </w:r>
          </w:p>
        </w:tc>
        <w:tc>
          <w:tcPr>
            <w:tcW w:w="3648" w:type="dxa"/>
            <w:vAlign w:val="center"/>
          </w:tcPr>
          <w:p>
            <w:pPr>
              <w:pStyle w:val="8"/>
              <w:bidi w:val="0"/>
              <w:rPr>
                <w:rFonts w:hint="default"/>
                <w:lang w:val="en-US" w:eastAsia="zh-CN"/>
              </w:rPr>
            </w:pPr>
            <w:r>
              <w:rPr>
                <w:rFonts w:hint="default"/>
                <w:lang w:val="en-US" w:eastAsia="zh-CN"/>
              </w:rPr>
              <w:t>水帘防护栏片(内衬圆钢，不含立柱)</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116.893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pPr>
            <w:r>
              <w:t>3</w:t>
            </w:r>
          </w:p>
        </w:tc>
        <w:tc>
          <w:tcPr>
            <w:tcW w:w="3648" w:type="dxa"/>
            <w:vAlign w:val="center"/>
          </w:tcPr>
          <w:p>
            <w:pPr>
              <w:pStyle w:val="8"/>
              <w:bidi w:val="0"/>
            </w:pPr>
            <w:r>
              <w:rPr>
                <w:rFonts w:hint="default"/>
                <w:lang w:val="en-US" w:eastAsia="zh-CN"/>
              </w:rPr>
              <w:t>母猪游栏</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467.52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pPr>
            <w:r>
              <w:t>4</w:t>
            </w:r>
          </w:p>
        </w:tc>
        <w:tc>
          <w:tcPr>
            <w:tcW w:w="3648" w:type="dxa"/>
            <w:vAlign w:val="center"/>
          </w:tcPr>
          <w:p>
            <w:pPr>
              <w:pStyle w:val="8"/>
              <w:bidi w:val="0"/>
              <w:rPr>
                <w:rFonts w:hint="default"/>
                <w:lang w:val="en-US" w:eastAsia="zh-CN"/>
              </w:rPr>
            </w:pPr>
            <w:r>
              <w:rPr>
                <w:rFonts w:hint="default"/>
                <w:lang w:val="en-US" w:eastAsia="zh-CN"/>
              </w:rPr>
              <w:t>风机防护栏片(内衬圆钢，不含立柱)</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pPr>
            <w:r>
              <w:t>5</w:t>
            </w:r>
          </w:p>
        </w:tc>
        <w:tc>
          <w:tcPr>
            <w:tcW w:w="3648" w:type="dxa"/>
            <w:vAlign w:val="center"/>
          </w:tcPr>
          <w:p>
            <w:pPr>
              <w:pStyle w:val="8"/>
              <w:bidi w:val="0"/>
            </w:pPr>
            <w:r>
              <w:rPr>
                <w:rFonts w:hint="default"/>
                <w:lang w:val="en-US" w:eastAsia="zh-CN"/>
              </w:rPr>
              <w:t>公猪栏</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6</w:t>
            </w:r>
          </w:p>
        </w:tc>
        <w:tc>
          <w:tcPr>
            <w:tcW w:w="3648" w:type="dxa"/>
            <w:vAlign w:val="center"/>
          </w:tcPr>
          <w:p>
            <w:pPr>
              <w:pStyle w:val="8"/>
              <w:bidi w:val="0"/>
              <w:rPr>
                <w:rFonts w:hint="eastAsia"/>
                <w:lang w:val="en-US" w:eastAsia="zh-CN"/>
              </w:rPr>
            </w:pPr>
            <w:r>
              <w:rPr>
                <w:rFonts w:hint="default"/>
                <w:lang w:val="en-US" w:eastAsia="zh-CN"/>
              </w:rPr>
              <w:t>防护栏立柱</w:t>
            </w:r>
          </w:p>
        </w:tc>
        <w:tc>
          <w:tcPr>
            <w:tcW w:w="2220" w:type="dxa"/>
            <w:vAlign w:val="center"/>
          </w:tcPr>
          <w:p>
            <w:pPr>
              <w:pStyle w:val="8"/>
              <w:bidi w:val="0"/>
              <w:rPr>
                <w:rFonts w:hint="eastAsia"/>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根</w:t>
            </w:r>
          </w:p>
        </w:tc>
        <w:tc>
          <w:tcPr>
            <w:tcW w:w="1549" w:type="dxa"/>
            <w:vAlign w:val="center"/>
          </w:tcPr>
          <w:p>
            <w:pPr>
              <w:pStyle w:val="8"/>
              <w:bidi w:val="0"/>
              <w:rPr>
                <w:rFonts w:hint="default"/>
                <w:lang w:val="en-US" w:eastAsia="zh-CN"/>
              </w:rPr>
            </w:pPr>
            <w:r>
              <w:rPr>
                <w:rFonts w:hint="default"/>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7</w:t>
            </w:r>
          </w:p>
        </w:tc>
        <w:tc>
          <w:tcPr>
            <w:tcW w:w="3648" w:type="dxa"/>
            <w:vAlign w:val="center"/>
          </w:tcPr>
          <w:p>
            <w:pPr>
              <w:pStyle w:val="8"/>
              <w:bidi w:val="0"/>
              <w:rPr>
                <w:rFonts w:hint="default"/>
                <w:lang w:val="en-US" w:eastAsia="zh-CN"/>
              </w:rPr>
            </w:pPr>
            <w:r>
              <w:rPr>
                <w:rFonts w:hint="default"/>
                <w:lang w:val="en-US" w:eastAsia="zh-CN"/>
              </w:rPr>
              <w:t>B型检修口盖子</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块</w:t>
            </w:r>
          </w:p>
        </w:tc>
        <w:tc>
          <w:tcPr>
            <w:tcW w:w="1549" w:type="dxa"/>
            <w:vAlign w:val="center"/>
          </w:tcPr>
          <w:p>
            <w:pPr>
              <w:pStyle w:val="8"/>
              <w:bidi w:val="0"/>
              <w:rPr>
                <w:rFonts w:hint="default"/>
                <w:lang w:val="en-US" w:eastAsia="zh-CN"/>
              </w:rPr>
            </w:pPr>
            <w:r>
              <w:rPr>
                <w:rFonts w:hint="default"/>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8</w:t>
            </w:r>
          </w:p>
        </w:tc>
        <w:tc>
          <w:tcPr>
            <w:tcW w:w="3648" w:type="dxa"/>
            <w:vAlign w:val="center"/>
          </w:tcPr>
          <w:p>
            <w:pPr>
              <w:pStyle w:val="8"/>
              <w:bidi w:val="0"/>
              <w:rPr>
                <w:rFonts w:hint="default"/>
                <w:lang w:val="en-US" w:eastAsia="zh-CN"/>
              </w:rPr>
            </w:pPr>
            <w:r>
              <w:rPr>
                <w:rFonts w:hint="default"/>
                <w:lang w:val="en-US" w:eastAsia="zh-CN"/>
              </w:rPr>
              <w:t>定位栏M型通长食槽</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1402.56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9</w:t>
            </w:r>
          </w:p>
        </w:tc>
        <w:tc>
          <w:tcPr>
            <w:tcW w:w="3648" w:type="dxa"/>
            <w:vAlign w:val="center"/>
          </w:tcPr>
          <w:p>
            <w:pPr>
              <w:pStyle w:val="8"/>
              <w:bidi w:val="0"/>
              <w:rPr>
                <w:rFonts w:hint="default"/>
                <w:lang w:val="en-US" w:eastAsia="zh-CN"/>
              </w:rPr>
            </w:pPr>
            <w:r>
              <w:rPr>
                <w:rFonts w:hint="default"/>
                <w:lang w:val="en-US" w:eastAsia="zh-CN"/>
              </w:rPr>
              <w:t>冷水高压（一出二）清洗机</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台</w:t>
            </w:r>
          </w:p>
        </w:tc>
        <w:tc>
          <w:tcPr>
            <w:tcW w:w="1549" w:type="dxa"/>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10</w:t>
            </w:r>
          </w:p>
        </w:tc>
        <w:tc>
          <w:tcPr>
            <w:tcW w:w="3648" w:type="dxa"/>
            <w:vAlign w:val="center"/>
          </w:tcPr>
          <w:p>
            <w:pPr>
              <w:pStyle w:val="8"/>
              <w:bidi w:val="0"/>
              <w:rPr>
                <w:rFonts w:hint="default"/>
                <w:lang w:val="en-US" w:eastAsia="zh-CN"/>
              </w:rPr>
            </w:pPr>
            <w:r>
              <w:rPr>
                <w:rFonts w:hint="default"/>
                <w:lang w:val="en-US" w:eastAsia="zh-CN"/>
              </w:rPr>
              <w:t>死猪推车</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台</w:t>
            </w:r>
          </w:p>
        </w:tc>
        <w:tc>
          <w:tcPr>
            <w:tcW w:w="1549" w:type="dxa"/>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11</w:t>
            </w:r>
          </w:p>
        </w:tc>
        <w:tc>
          <w:tcPr>
            <w:tcW w:w="3648" w:type="dxa"/>
            <w:vAlign w:val="center"/>
          </w:tcPr>
          <w:p>
            <w:pPr>
              <w:pStyle w:val="8"/>
              <w:bidi w:val="0"/>
              <w:rPr>
                <w:rFonts w:hint="default"/>
                <w:lang w:val="en-US" w:eastAsia="zh-CN"/>
              </w:rPr>
            </w:pPr>
            <w:r>
              <w:rPr>
                <w:rFonts w:hint="default"/>
                <w:lang w:val="en-US" w:eastAsia="zh-CN"/>
              </w:rPr>
              <w:t>36变频风机</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台</w:t>
            </w:r>
          </w:p>
        </w:tc>
        <w:tc>
          <w:tcPr>
            <w:tcW w:w="1549" w:type="dxa"/>
            <w:vAlign w:val="center"/>
          </w:tcPr>
          <w:p>
            <w:pPr>
              <w:pStyle w:val="8"/>
              <w:bidi w:val="0"/>
              <w:rPr>
                <w:rFonts w:hint="default"/>
                <w:lang w:val="en-US" w:eastAsia="zh-CN"/>
              </w:rPr>
            </w:pPr>
            <w:r>
              <w:rPr>
                <w:rFonts w:hint="default"/>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12</w:t>
            </w:r>
          </w:p>
        </w:tc>
        <w:tc>
          <w:tcPr>
            <w:tcW w:w="3648" w:type="dxa"/>
            <w:vAlign w:val="center"/>
          </w:tcPr>
          <w:p>
            <w:pPr>
              <w:pStyle w:val="8"/>
              <w:bidi w:val="0"/>
              <w:rPr>
                <w:rFonts w:hint="default"/>
                <w:lang w:val="en-US" w:eastAsia="zh-CN"/>
              </w:rPr>
            </w:pPr>
            <w:r>
              <w:rPr>
                <w:rFonts w:hint="default"/>
                <w:lang w:val="en-US" w:eastAsia="zh-CN"/>
              </w:rPr>
              <w:t>36恒速风机</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台</w:t>
            </w:r>
          </w:p>
        </w:tc>
        <w:tc>
          <w:tcPr>
            <w:tcW w:w="1549" w:type="dxa"/>
            <w:vAlign w:val="center"/>
          </w:tcPr>
          <w:p>
            <w:pPr>
              <w:pStyle w:val="8"/>
              <w:bidi w:val="0"/>
              <w:rPr>
                <w:rFonts w:hint="default"/>
                <w:lang w:val="en-US" w:eastAsia="zh-CN"/>
              </w:rPr>
            </w:pPr>
            <w:r>
              <w:rPr>
                <w:rFonts w:hint="default"/>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13</w:t>
            </w:r>
          </w:p>
        </w:tc>
        <w:tc>
          <w:tcPr>
            <w:tcW w:w="3648" w:type="dxa"/>
            <w:vAlign w:val="center"/>
          </w:tcPr>
          <w:p>
            <w:pPr>
              <w:pStyle w:val="8"/>
              <w:bidi w:val="0"/>
              <w:rPr>
                <w:rFonts w:hint="default"/>
                <w:lang w:val="en-US" w:eastAsia="zh-CN"/>
              </w:rPr>
            </w:pPr>
            <w:r>
              <w:rPr>
                <w:rFonts w:hint="default"/>
                <w:lang w:val="en-US" w:eastAsia="zh-CN"/>
              </w:rPr>
              <w:t>55恒速风机</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台</w:t>
            </w:r>
          </w:p>
        </w:tc>
        <w:tc>
          <w:tcPr>
            <w:tcW w:w="1549" w:type="dxa"/>
            <w:vAlign w:val="center"/>
          </w:tcPr>
          <w:p>
            <w:pPr>
              <w:pStyle w:val="8"/>
              <w:bidi w:val="0"/>
              <w:rPr>
                <w:rFonts w:hint="default"/>
                <w:lang w:val="en-US" w:eastAsia="zh-CN"/>
              </w:rPr>
            </w:pPr>
            <w:r>
              <w:rPr>
                <w:rFonts w:hint="default"/>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14</w:t>
            </w:r>
          </w:p>
        </w:tc>
        <w:tc>
          <w:tcPr>
            <w:tcW w:w="3648" w:type="dxa"/>
            <w:vAlign w:val="center"/>
          </w:tcPr>
          <w:p>
            <w:pPr>
              <w:pStyle w:val="8"/>
              <w:bidi w:val="0"/>
              <w:rPr>
                <w:rFonts w:hint="default"/>
                <w:lang w:val="en-US" w:eastAsia="zh-CN"/>
              </w:rPr>
            </w:pPr>
            <w:r>
              <w:rPr>
                <w:rFonts w:hint="default"/>
                <w:lang w:val="en-US" w:eastAsia="zh-CN"/>
              </w:rPr>
              <w:t>湿帘</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平方</w:t>
            </w:r>
          </w:p>
        </w:tc>
        <w:tc>
          <w:tcPr>
            <w:tcW w:w="1549" w:type="dxa"/>
            <w:vAlign w:val="center"/>
          </w:tcPr>
          <w:p>
            <w:pPr>
              <w:pStyle w:val="8"/>
              <w:bidi w:val="0"/>
              <w:rPr>
                <w:rFonts w:hint="default"/>
                <w:lang w:val="en-US" w:eastAsia="zh-CN"/>
              </w:rPr>
            </w:pPr>
            <w:r>
              <w:rPr>
                <w:rFonts w:hint="default"/>
                <w:lang w:val="en-US" w:eastAsia="zh-CN"/>
              </w:rPr>
              <w:t>188.078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15</w:t>
            </w:r>
          </w:p>
        </w:tc>
        <w:tc>
          <w:tcPr>
            <w:tcW w:w="3648" w:type="dxa"/>
            <w:vAlign w:val="center"/>
          </w:tcPr>
          <w:p>
            <w:pPr>
              <w:pStyle w:val="8"/>
              <w:bidi w:val="0"/>
              <w:rPr>
                <w:rFonts w:hint="default"/>
                <w:lang w:val="en-US" w:eastAsia="zh-CN"/>
              </w:rPr>
            </w:pPr>
            <w:r>
              <w:rPr>
                <w:rFonts w:hint="default"/>
                <w:lang w:val="en-US" w:eastAsia="zh-CN"/>
              </w:rPr>
              <w:t>水循环</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eastAsia"/>
                <w:lang w:val="en-US" w:eastAsia="zh-CN"/>
              </w:rPr>
            </w:pPr>
            <w:r>
              <w:rPr>
                <w:rFonts w:hint="defaul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16</w:t>
            </w:r>
          </w:p>
        </w:tc>
        <w:tc>
          <w:tcPr>
            <w:tcW w:w="3648" w:type="dxa"/>
            <w:vAlign w:val="center"/>
          </w:tcPr>
          <w:p>
            <w:pPr>
              <w:pStyle w:val="8"/>
              <w:bidi w:val="0"/>
              <w:rPr>
                <w:rFonts w:hint="default"/>
                <w:lang w:val="en-US" w:eastAsia="zh-CN"/>
              </w:rPr>
            </w:pPr>
            <w:r>
              <w:rPr>
                <w:rFonts w:hint="default"/>
                <w:lang w:val="en-US" w:eastAsia="zh-CN"/>
              </w:rPr>
              <w:t>卷帘布</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平方</w:t>
            </w:r>
          </w:p>
        </w:tc>
        <w:tc>
          <w:tcPr>
            <w:tcW w:w="1549" w:type="dxa"/>
            <w:vAlign w:val="center"/>
          </w:tcPr>
          <w:p>
            <w:pPr>
              <w:pStyle w:val="8"/>
              <w:bidi w:val="0"/>
              <w:rPr>
                <w:rFonts w:hint="default"/>
                <w:lang w:val="en-US" w:eastAsia="zh-CN"/>
              </w:rPr>
            </w:pPr>
            <w:r>
              <w:rPr>
                <w:rFonts w:hint="default"/>
                <w:lang w:val="en-US" w:eastAsia="zh-CN"/>
              </w:rPr>
              <w:t>114.96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17</w:t>
            </w:r>
          </w:p>
        </w:tc>
        <w:tc>
          <w:tcPr>
            <w:tcW w:w="3648" w:type="dxa"/>
            <w:vAlign w:val="center"/>
          </w:tcPr>
          <w:p>
            <w:pPr>
              <w:pStyle w:val="8"/>
              <w:bidi w:val="0"/>
              <w:rPr>
                <w:rFonts w:hint="default"/>
                <w:lang w:val="en-US" w:eastAsia="zh-CN"/>
              </w:rPr>
            </w:pPr>
            <w:r>
              <w:rPr>
                <w:rFonts w:hint="default"/>
                <w:lang w:val="en-US" w:eastAsia="zh-CN"/>
              </w:rPr>
              <w:t>铝合金卡槽及弹簧卡条（卷帘）</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239.52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18</w:t>
            </w:r>
          </w:p>
        </w:tc>
        <w:tc>
          <w:tcPr>
            <w:tcW w:w="3648" w:type="dxa"/>
            <w:vAlign w:val="center"/>
          </w:tcPr>
          <w:p>
            <w:pPr>
              <w:pStyle w:val="8"/>
              <w:bidi w:val="0"/>
              <w:rPr>
                <w:rFonts w:hint="default"/>
                <w:lang w:val="en-US" w:eastAsia="zh-CN"/>
              </w:rPr>
            </w:pPr>
            <w:r>
              <w:rPr>
                <w:rFonts w:hint="default"/>
                <w:lang w:val="en-US" w:eastAsia="zh-CN"/>
              </w:rPr>
              <w:t>橡塑保温棉帘</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平方</w:t>
            </w:r>
          </w:p>
        </w:tc>
        <w:tc>
          <w:tcPr>
            <w:tcW w:w="1549" w:type="dxa"/>
            <w:vAlign w:val="center"/>
          </w:tcPr>
          <w:p>
            <w:pPr>
              <w:pStyle w:val="8"/>
              <w:bidi w:val="0"/>
              <w:rPr>
                <w:rFonts w:hint="default"/>
                <w:lang w:val="en-US" w:eastAsia="zh-CN"/>
              </w:rPr>
            </w:pPr>
            <w:r>
              <w:rPr>
                <w:rFonts w:hint="default"/>
                <w:lang w:val="en-US" w:eastAsia="zh-CN"/>
              </w:rPr>
              <w:t>102.72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19</w:t>
            </w:r>
          </w:p>
        </w:tc>
        <w:tc>
          <w:tcPr>
            <w:tcW w:w="3648" w:type="dxa"/>
            <w:vAlign w:val="center"/>
          </w:tcPr>
          <w:p>
            <w:pPr>
              <w:pStyle w:val="8"/>
              <w:bidi w:val="0"/>
              <w:rPr>
                <w:rFonts w:hint="default"/>
                <w:lang w:val="en-US" w:eastAsia="zh-CN"/>
              </w:rPr>
            </w:pPr>
            <w:r>
              <w:rPr>
                <w:rFonts w:hint="default"/>
                <w:lang w:val="en-US" w:eastAsia="zh-CN"/>
              </w:rPr>
              <w:t>铝合金卡槽及弹簧卡条</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150.72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20</w:t>
            </w:r>
          </w:p>
        </w:tc>
        <w:tc>
          <w:tcPr>
            <w:tcW w:w="3648" w:type="dxa"/>
            <w:vAlign w:val="center"/>
          </w:tcPr>
          <w:p>
            <w:pPr>
              <w:pStyle w:val="8"/>
              <w:bidi w:val="0"/>
              <w:rPr>
                <w:rFonts w:hint="default"/>
                <w:lang w:val="en-US" w:eastAsia="zh-CN"/>
              </w:rPr>
            </w:pPr>
            <w:r>
              <w:rPr>
                <w:rFonts w:hint="default"/>
                <w:lang w:val="en-US" w:eastAsia="zh-CN"/>
              </w:rPr>
              <w:t>室内布风管</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1437.84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21</w:t>
            </w:r>
          </w:p>
        </w:tc>
        <w:tc>
          <w:tcPr>
            <w:tcW w:w="3648" w:type="dxa"/>
            <w:vAlign w:val="center"/>
          </w:tcPr>
          <w:p>
            <w:pPr>
              <w:pStyle w:val="8"/>
              <w:bidi w:val="0"/>
              <w:rPr>
                <w:rFonts w:hint="default"/>
                <w:lang w:val="en-US" w:eastAsia="zh-CN"/>
              </w:rPr>
            </w:pPr>
            <w:r>
              <w:rPr>
                <w:rFonts w:hint="default"/>
                <w:lang w:val="en-US" w:eastAsia="zh-CN"/>
              </w:rPr>
              <w:t>36风机拢风筒回风罩子</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个</w:t>
            </w:r>
          </w:p>
        </w:tc>
        <w:tc>
          <w:tcPr>
            <w:tcW w:w="1549" w:type="dxa"/>
            <w:vAlign w:val="center"/>
          </w:tcPr>
          <w:p>
            <w:pPr>
              <w:pStyle w:val="8"/>
              <w:bidi w:val="0"/>
              <w:rPr>
                <w:rFonts w:hint="default"/>
                <w:lang w:val="en-US" w:eastAsia="zh-CN"/>
              </w:rPr>
            </w:pPr>
            <w:r>
              <w:rPr>
                <w:rFonts w:hint="default"/>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eastAsiaTheme="minorEastAsia"/>
                <w:lang w:val="en-US" w:eastAsia="zh-CN"/>
              </w:rPr>
            </w:pPr>
            <w:r>
              <w:rPr>
                <w:rFonts w:hint="eastAsia"/>
                <w:lang w:val="en-US" w:eastAsia="zh-CN"/>
              </w:rPr>
              <w:t>22</w:t>
            </w:r>
          </w:p>
        </w:tc>
        <w:tc>
          <w:tcPr>
            <w:tcW w:w="3648" w:type="dxa"/>
            <w:vAlign w:val="center"/>
          </w:tcPr>
          <w:p>
            <w:pPr>
              <w:pStyle w:val="8"/>
              <w:bidi w:val="0"/>
              <w:rPr>
                <w:rFonts w:hint="default"/>
                <w:lang w:val="en-US" w:eastAsia="zh-CN"/>
              </w:rPr>
            </w:pPr>
            <w:r>
              <w:rPr>
                <w:rFonts w:hint="default"/>
                <w:lang w:val="en-US" w:eastAsia="zh-CN"/>
              </w:rPr>
              <w:t>55风机拢风筒回风罩子</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个</w:t>
            </w:r>
          </w:p>
        </w:tc>
        <w:tc>
          <w:tcPr>
            <w:tcW w:w="1549" w:type="dxa"/>
            <w:vAlign w:val="center"/>
          </w:tcPr>
          <w:p>
            <w:pPr>
              <w:pStyle w:val="8"/>
              <w:bidi w:val="0"/>
              <w:rPr>
                <w:rFonts w:hint="default"/>
                <w:lang w:val="en-US" w:eastAsia="zh-CN"/>
              </w:rPr>
            </w:pPr>
            <w:r>
              <w:rPr>
                <w:rFonts w:hint="default"/>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eastAsiaTheme="minorEastAsia"/>
                <w:lang w:val="en-US" w:eastAsia="zh-CN"/>
              </w:rPr>
            </w:pPr>
            <w:bookmarkStart w:id="139" w:name="_Toc468689126"/>
            <w:r>
              <w:rPr>
                <w:rFonts w:hint="eastAsia"/>
                <w:lang w:val="en-US" w:eastAsia="zh-CN"/>
              </w:rPr>
              <w:t>23</w:t>
            </w:r>
          </w:p>
        </w:tc>
        <w:tc>
          <w:tcPr>
            <w:tcW w:w="3648" w:type="dxa"/>
            <w:vAlign w:val="center"/>
          </w:tcPr>
          <w:p>
            <w:pPr>
              <w:pStyle w:val="8"/>
              <w:bidi w:val="0"/>
              <w:rPr>
                <w:rFonts w:hint="eastAsia"/>
                <w:lang w:val="en-US" w:eastAsia="zh-CN"/>
              </w:rPr>
            </w:pPr>
            <w:r>
              <w:rPr>
                <w:rFonts w:hint="default"/>
                <w:lang w:val="en-US" w:eastAsia="zh-CN"/>
              </w:rPr>
              <w:t>挡风帘</w:t>
            </w:r>
          </w:p>
        </w:tc>
        <w:tc>
          <w:tcPr>
            <w:tcW w:w="2220" w:type="dxa"/>
            <w:vAlign w:val="center"/>
          </w:tcPr>
          <w:p>
            <w:pPr>
              <w:pStyle w:val="8"/>
              <w:bidi w:val="0"/>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平方</w:t>
            </w:r>
          </w:p>
        </w:tc>
        <w:tc>
          <w:tcPr>
            <w:tcW w:w="1549" w:type="dxa"/>
            <w:vAlign w:val="center"/>
          </w:tcPr>
          <w:p>
            <w:pPr>
              <w:pStyle w:val="8"/>
              <w:bidi w:val="0"/>
              <w:rPr>
                <w:rFonts w:hint="default"/>
                <w:lang w:val="en-US" w:eastAsia="zh-CN"/>
              </w:rPr>
            </w:pPr>
            <w:r>
              <w:rPr>
                <w:rFonts w:hint="default"/>
                <w:lang w:val="en-US" w:eastAsia="zh-CN"/>
              </w:rPr>
              <w:t>748.8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eastAsiaTheme="minorEastAsia"/>
                <w:lang w:val="en-US" w:eastAsia="zh-CN"/>
              </w:rPr>
            </w:pPr>
            <w:r>
              <w:rPr>
                <w:rFonts w:hint="eastAsia"/>
                <w:lang w:val="en-US" w:eastAsia="zh-CN"/>
              </w:rPr>
              <w:t>24</w:t>
            </w:r>
          </w:p>
        </w:tc>
        <w:tc>
          <w:tcPr>
            <w:tcW w:w="3648" w:type="dxa"/>
            <w:vAlign w:val="center"/>
          </w:tcPr>
          <w:p>
            <w:pPr>
              <w:pStyle w:val="8"/>
              <w:bidi w:val="0"/>
              <w:rPr>
                <w:rFonts w:hint="eastAsia"/>
                <w:lang w:val="en-US" w:eastAsia="zh-CN"/>
              </w:rPr>
            </w:pPr>
            <w:r>
              <w:rPr>
                <w:rFonts w:hint="default"/>
                <w:lang w:val="en-US" w:eastAsia="zh-CN"/>
              </w:rPr>
              <w:t>36风机密封棉帘</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25</w:t>
            </w:r>
          </w:p>
        </w:tc>
        <w:tc>
          <w:tcPr>
            <w:tcW w:w="3648" w:type="dxa"/>
            <w:vAlign w:val="center"/>
          </w:tcPr>
          <w:p>
            <w:pPr>
              <w:pStyle w:val="8"/>
              <w:bidi w:val="0"/>
              <w:rPr>
                <w:rFonts w:hint="default"/>
                <w:lang w:val="en-US" w:eastAsia="zh-CN"/>
              </w:rPr>
            </w:pPr>
            <w:r>
              <w:rPr>
                <w:rFonts w:hint="default"/>
                <w:lang w:val="en-US" w:eastAsia="zh-CN"/>
              </w:rPr>
              <w:t>55风机密封棉帘</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26</w:t>
            </w:r>
          </w:p>
        </w:tc>
        <w:tc>
          <w:tcPr>
            <w:tcW w:w="3648" w:type="dxa"/>
            <w:vAlign w:val="center"/>
          </w:tcPr>
          <w:p>
            <w:pPr>
              <w:pStyle w:val="8"/>
              <w:bidi w:val="0"/>
              <w:rPr>
                <w:rFonts w:hint="default"/>
                <w:lang w:val="en-US" w:eastAsia="zh-CN"/>
              </w:rPr>
            </w:pPr>
            <w:r>
              <w:rPr>
                <w:rFonts w:hint="default"/>
                <w:lang w:val="en-US" w:eastAsia="zh-CN"/>
              </w:rPr>
              <w:t>防蚊网</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平方</w:t>
            </w:r>
          </w:p>
        </w:tc>
        <w:tc>
          <w:tcPr>
            <w:tcW w:w="1549" w:type="dxa"/>
            <w:vAlign w:val="center"/>
          </w:tcPr>
          <w:p>
            <w:pPr>
              <w:pStyle w:val="8"/>
              <w:bidi w:val="0"/>
              <w:rPr>
                <w:rFonts w:hint="default"/>
                <w:lang w:val="en-US" w:eastAsia="zh-CN"/>
              </w:rPr>
            </w:pPr>
            <w:r>
              <w:rPr>
                <w:rFonts w:hint="default"/>
                <w:lang w:val="en-US" w:eastAsia="zh-CN"/>
              </w:rPr>
              <w:t>203.07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27</w:t>
            </w:r>
          </w:p>
        </w:tc>
        <w:tc>
          <w:tcPr>
            <w:tcW w:w="3648" w:type="dxa"/>
            <w:vAlign w:val="center"/>
          </w:tcPr>
          <w:p>
            <w:pPr>
              <w:pStyle w:val="8"/>
              <w:bidi w:val="0"/>
              <w:rPr>
                <w:rFonts w:hint="default"/>
                <w:lang w:val="en-US" w:eastAsia="zh-CN"/>
              </w:rPr>
            </w:pPr>
            <w:r>
              <w:rPr>
                <w:rFonts w:hint="default"/>
                <w:lang w:val="en-US" w:eastAsia="zh-CN"/>
              </w:rPr>
              <w:t>内衬钢丝网</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平方</w:t>
            </w:r>
          </w:p>
        </w:tc>
        <w:tc>
          <w:tcPr>
            <w:tcW w:w="1549" w:type="dxa"/>
            <w:vAlign w:val="center"/>
          </w:tcPr>
          <w:p>
            <w:pPr>
              <w:pStyle w:val="8"/>
              <w:bidi w:val="0"/>
              <w:rPr>
                <w:rFonts w:hint="default"/>
                <w:lang w:val="en-US" w:eastAsia="zh-CN"/>
              </w:rPr>
            </w:pPr>
            <w:r>
              <w:rPr>
                <w:rFonts w:hint="default"/>
                <w:lang w:val="en-US" w:eastAsia="zh-CN"/>
              </w:rPr>
              <w:t>203.07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28</w:t>
            </w:r>
          </w:p>
        </w:tc>
        <w:tc>
          <w:tcPr>
            <w:tcW w:w="3648" w:type="dxa"/>
            <w:vAlign w:val="center"/>
          </w:tcPr>
          <w:p>
            <w:pPr>
              <w:pStyle w:val="8"/>
              <w:bidi w:val="0"/>
              <w:rPr>
                <w:rFonts w:hint="default"/>
                <w:lang w:val="en-US" w:eastAsia="zh-CN"/>
              </w:rPr>
            </w:pPr>
            <w:r>
              <w:rPr>
                <w:rFonts w:hint="default"/>
                <w:lang w:val="en-US" w:eastAsia="zh-CN"/>
              </w:rPr>
              <w:t>铝合金卡槽及弹簧卡条（防蚊）</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269.44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29</w:t>
            </w:r>
          </w:p>
        </w:tc>
        <w:tc>
          <w:tcPr>
            <w:tcW w:w="3648" w:type="dxa"/>
            <w:vAlign w:val="center"/>
          </w:tcPr>
          <w:p>
            <w:pPr>
              <w:pStyle w:val="8"/>
              <w:bidi w:val="0"/>
              <w:rPr>
                <w:rFonts w:hint="default"/>
                <w:lang w:val="en-US" w:eastAsia="zh-CN"/>
              </w:rPr>
            </w:pPr>
            <w:r>
              <w:rPr>
                <w:rFonts w:hint="default"/>
                <w:lang w:val="en-US" w:eastAsia="zh-CN"/>
              </w:rPr>
              <w:t>20T镀锌板料塔+安装附件</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30</w:t>
            </w:r>
          </w:p>
        </w:tc>
        <w:tc>
          <w:tcPr>
            <w:tcW w:w="3648" w:type="dxa"/>
            <w:vAlign w:val="center"/>
          </w:tcPr>
          <w:p>
            <w:pPr>
              <w:pStyle w:val="8"/>
              <w:bidi w:val="0"/>
              <w:rPr>
                <w:rFonts w:hint="default"/>
                <w:lang w:val="en-US" w:eastAsia="zh-CN"/>
              </w:rPr>
            </w:pPr>
            <w:r>
              <w:rPr>
                <w:rFonts w:hint="default"/>
                <w:lang w:val="en-US" w:eastAsia="zh-CN"/>
              </w:rPr>
              <w:t>75螺旋绞龙</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31</w:t>
            </w:r>
          </w:p>
        </w:tc>
        <w:tc>
          <w:tcPr>
            <w:tcW w:w="3648" w:type="dxa"/>
            <w:vAlign w:val="center"/>
          </w:tcPr>
          <w:p>
            <w:pPr>
              <w:pStyle w:val="8"/>
              <w:bidi w:val="0"/>
              <w:rPr>
                <w:rFonts w:hint="default"/>
                <w:lang w:val="en-US" w:eastAsia="zh-CN"/>
              </w:rPr>
            </w:pPr>
            <w:r>
              <w:rPr>
                <w:rFonts w:hint="default"/>
                <w:lang w:val="en-US" w:eastAsia="zh-CN"/>
              </w:rPr>
              <w:t>75螺旋绞龙PVC套管+PVC直接</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32</w:t>
            </w:r>
          </w:p>
        </w:tc>
        <w:tc>
          <w:tcPr>
            <w:tcW w:w="3648" w:type="dxa"/>
            <w:vAlign w:val="center"/>
          </w:tcPr>
          <w:p>
            <w:pPr>
              <w:pStyle w:val="8"/>
              <w:bidi w:val="0"/>
              <w:rPr>
                <w:rFonts w:hint="default"/>
                <w:lang w:val="en-US" w:eastAsia="zh-CN"/>
              </w:rPr>
            </w:pPr>
            <w:r>
              <w:rPr>
                <w:rFonts w:hint="default"/>
                <w:lang w:val="en-US" w:eastAsia="zh-CN"/>
              </w:rPr>
              <w:t>φ60塞盘</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1643.3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33</w:t>
            </w:r>
          </w:p>
        </w:tc>
        <w:tc>
          <w:tcPr>
            <w:tcW w:w="3648" w:type="dxa"/>
            <w:vAlign w:val="center"/>
          </w:tcPr>
          <w:p>
            <w:pPr>
              <w:pStyle w:val="8"/>
              <w:bidi w:val="0"/>
              <w:rPr>
                <w:rFonts w:hint="default"/>
                <w:lang w:val="en-US" w:eastAsia="zh-CN"/>
              </w:rPr>
            </w:pPr>
            <w:r>
              <w:rPr>
                <w:rFonts w:hint="default"/>
                <w:lang w:val="en-US" w:eastAsia="zh-CN"/>
              </w:rPr>
              <w:t>φ60输料管+透明管</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1643.3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34</w:t>
            </w:r>
          </w:p>
        </w:tc>
        <w:tc>
          <w:tcPr>
            <w:tcW w:w="3648" w:type="dxa"/>
            <w:vAlign w:val="center"/>
          </w:tcPr>
          <w:p>
            <w:pPr>
              <w:pStyle w:val="8"/>
              <w:bidi w:val="0"/>
              <w:rPr>
                <w:rFonts w:hint="default"/>
                <w:lang w:val="en-US" w:eastAsia="zh-CN"/>
              </w:rPr>
            </w:pPr>
            <w:r>
              <w:rPr>
                <w:rFonts w:hint="default"/>
                <w:lang w:val="en-US" w:eastAsia="zh-CN"/>
              </w:rPr>
              <w:t>φ60输料管连接抱箍</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个</w:t>
            </w:r>
          </w:p>
        </w:tc>
        <w:tc>
          <w:tcPr>
            <w:tcW w:w="1549" w:type="dxa"/>
            <w:vAlign w:val="center"/>
          </w:tcPr>
          <w:p>
            <w:pPr>
              <w:pStyle w:val="8"/>
              <w:bidi w:val="0"/>
              <w:rPr>
                <w:rFonts w:hint="default"/>
                <w:lang w:val="en-US" w:eastAsia="zh-CN"/>
              </w:rPr>
            </w:pPr>
            <w:r>
              <w:rPr>
                <w:rFonts w:hint="default"/>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35</w:t>
            </w:r>
          </w:p>
        </w:tc>
        <w:tc>
          <w:tcPr>
            <w:tcW w:w="3648" w:type="dxa"/>
            <w:vAlign w:val="center"/>
          </w:tcPr>
          <w:p>
            <w:pPr>
              <w:pStyle w:val="8"/>
              <w:bidi w:val="0"/>
              <w:rPr>
                <w:rFonts w:hint="default"/>
                <w:lang w:val="en-US" w:eastAsia="zh-CN"/>
              </w:rPr>
            </w:pPr>
            <w:r>
              <w:rPr>
                <w:rFonts w:hint="default"/>
                <w:lang w:val="en-US" w:eastAsia="zh-CN"/>
              </w:rPr>
              <w:t>塞盘驱动装置，功率：1.5KW</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36</w:t>
            </w:r>
          </w:p>
        </w:tc>
        <w:tc>
          <w:tcPr>
            <w:tcW w:w="3648" w:type="dxa"/>
            <w:vAlign w:val="center"/>
          </w:tcPr>
          <w:p>
            <w:pPr>
              <w:pStyle w:val="8"/>
              <w:bidi w:val="0"/>
              <w:rPr>
                <w:rFonts w:hint="eastAsia"/>
                <w:lang w:val="en-US" w:eastAsia="zh-CN"/>
              </w:rPr>
            </w:pPr>
            <w:r>
              <w:rPr>
                <w:rFonts w:hint="default"/>
                <w:lang w:val="en-US" w:eastAsia="zh-CN"/>
              </w:rPr>
              <w:t>转角轮</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37</w:t>
            </w:r>
          </w:p>
        </w:tc>
        <w:tc>
          <w:tcPr>
            <w:tcW w:w="3648" w:type="dxa"/>
            <w:vAlign w:val="center"/>
          </w:tcPr>
          <w:p>
            <w:pPr>
              <w:pStyle w:val="8"/>
              <w:bidi w:val="0"/>
              <w:rPr>
                <w:rFonts w:hint="eastAsia"/>
                <w:lang w:val="en-US" w:eastAsia="zh-CN"/>
              </w:rPr>
            </w:pPr>
            <w:r>
              <w:rPr>
                <w:rFonts w:hint="default"/>
                <w:lang w:val="en-US" w:eastAsia="zh-CN"/>
              </w:rPr>
              <w:t>料塔底部变形口（含闸门）</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60" w:type="dxa"/>
            <w:vAlign w:val="center"/>
          </w:tcPr>
          <w:p>
            <w:pPr>
              <w:pStyle w:val="8"/>
              <w:bidi w:val="0"/>
              <w:rPr>
                <w:rFonts w:hint="default"/>
                <w:lang w:val="en-US" w:eastAsia="zh-CN"/>
              </w:rPr>
            </w:pPr>
            <w:r>
              <w:rPr>
                <w:rFonts w:hint="eastAsia"/>
                <w:lang w:val="en-US" w:eastAsia="zh-CN"/>
              </w:rPr>
              <w:t>38</w:t>
            </w:r>
          </w:p>
        </w:tc>
        <w:tc>
          <w:tcPr>
            <w:tcW w:w="3648" w:type="dxa"/>
            <w:vAlign w:val="center"/>
          </w:tcPr>
          <w:p>
            <w:pPr>
              <w:pStyle w:val="8"/>
              <w:bidi w:val="0"/>
              <w:rPr>
                <w:rFonts w:hint="eastAsia"/>
                <w:lang w:val="en-US" w:eastAsia="zh-CN"/>
              </w:rPr>
            </w:pPr>
            <w:r>
              <w:rPr>
                <w:rFonts w:hint="default"/>
                <w:lang w:val="en-US" w:eastAsia="zh-CN"/>
              </w:rPr>
              <w:t>绞龙输双料斗单出口 304不锈钢箱体，厚1.2mm（1料塔2绞龙）</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60" w:type="dxa"/>
            <w:vAlign w:val="center"/>
          </w:tcPr>
          <w:p>
            <w:pPr>
              <w:pStyle w:val="8"/>
              <w:bidi w:val="0"/>
              <w:rPr>
                <w:rFonts w:hint="default"/>
                <w:lang w:val="en-US" w:eastAsia="zh-CN"/>
              </w:rPr>
            </w:pPr>
            <w:r>
              <w:rPr>
                <w:rFonts w:hint="eastAsia"/>
                <w:lang w:val="en-US" w:eastAsia="zh-CN"/>
              </w:rPr>
              <w:t>39</w:t>
            </w:r>
          </w:p>
        </w:tc>
        <w:tc>
          <w:tcPr>
            <w:tcW w:w="3648" w:type="dxa"/>
            <w:vAlign w:val="center"/>
          </w:tcPr>
          <w:p>
            <w:pPr>
              <w:pStyle w:val="8"/>
              <w:bidi w:val="0"/>
              <w:rPr>
                <w:rFonts w:hint="eastAsia"/>
                <w:lang w:val="en-US" w:eastAsia="zh-CN"/>
              </w:rPr>
            </w:pPr>
            <w:r>
              <w:rPr>
                <w:rFonts w:hint="default"/>
                <w:lang w:val="en-US" w:eastAsia="zh-CN"/>
              </w:rPr>
              <w:t>75驱动装置（含安装配件）+堵料传感器（行程开关）</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40</w:t>
            </w:r>
          </w:p>
        </w:tc>
        <w:tc>
          <w:tcPr>
            <w:tcW w:w="3648" w:type="dxa"/>
            <w:vAlign w:val="center"/>
          </w:tcPr>
          <w:p>
            <w:pPr>
              <w:pStyle w:val="8"/>
              <w:bidi w:val="0"/>
              <w:rPr>
                <w:rFonts w:hint="default"/>
                <w:lang w:val="en-US" w:eastAsia="zh-CN"/>
              </w:rPr>
            </w:pPr>
            <w:r>
              <w:rPr>
                <w:rFonts w:hint="default"/>
                <w:lang w:val="en-US" w:eastAsia="zh-CN"/>
              </w:rPr>
              <w:t>料位传感器，进口产品，含安装配件</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60" w:type="dxa"/>
            <w:vAlign w:val="center"/>
          </w:tcPr>
          <w:p>
            <w:pPr>
              <w:pStyle w:val="8"/>
              <w:bidi w:val="0"/>
              <w:rPr>
                <w:rFonts w:hint="default"/>
                <w:lang w:val="en-US" w:eastAsia="zh-CN"/>
              </w:rPr>
            </w:pPr>
            <w:r>
              <w:rPr>
                <w:rFonts w:hint="eastAsia"/>
                <w:lang w:val="en-US" w:eastAsia="zh-CN"/>
              </w:rPr>
              <w:t>41</w:t>
            </w:r>
          </w:p>
        </w:tc>
        <w:tc>
          <w:tcPr>
            <w:tcW w:w="3648" w:type="dxa"/>
            <w:vAlign w:val="center"/>
          </w:tcPr>
          <w:p>
            <w:pPr>
              <w:pStyle w:val="8"/>
              <w:bidi w:val="0"/>
              <w:rPr>
                <w:rFonts w:hint="default"/>
                <w:lang w:val="en-US" w:eastAsia="zh-CN"/>
              </w:rPr>
            </w:pPr>
            <w:r>
              <w:rPr>
                <w:rFonts w:hint="default"/>
                <w:lang w:val="en-US" w:eastAsia="zh-CN"/>
              </w:rPr>
              <w:t>1孔绞龙接力组件，含安装配件（1进1出）</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default"/>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42</w:t>
            </w:r>
          </w:p>
        </w:tc>
        <w:tc>
          <w:tcPr>
            <w:tcW w:w="3648" w:type="dxa"/>
            <w:vAlign w:val="center"/>
          </w:tcPr>
          <w:p>
            <w:pPr>
              <w:pStyle w:val="8"/>
              <w:bidi w:val="0"/>
              <w:rPr>
                <w:rFonts w:hint="default"/>
                <w:lang w:val="en-US" w:eastAsia="zh-CN"/>
              </w:rPr>
            </w:pPr>
            <w:r>
              <w:rPr>
                <w:rFonts w:hint="default"/>
                <w:lang w:val="en-US" w:eastAsia="zh-CN"/>
              </w:rPr>
              <w:t>定量桶(容量不低于8L)</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43</w:t>
            </w:r>
          </w:p>
        </w:tc>
        <w:tc>
          <w:tcPr>
            <w:tcW w:w="3648" w:type="dxa"/>
            <w:vAlign w:val="center"/>
          </w:tcPr>
          <w:p>
            <w:pPr>
              <w:pStyle w:val="8"/>
              <w:bidi w:val="0"/>
              <w:rPr>
                <w:rFonts w:hint="default"/>
                <w:lang w:val="en-US" w:eastAsia="zh-CN"/>
              </w:rPr>
            </w:pPr>
            <w:r>
              <w:rPr>
                <w:rFonts w:hint="default"/>
                <w:lang w:val="en-US" w:eastAsia="zh-CN"/>
              </w:rPr>
              <w:t>手自一体落料系统</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60" w:type="dxa"/>
            <w:vAlign w:val="center"/>
          </w:tcPr>
          <w:p>
            <w:pPr>
              <w:pStyle w:val="8"/>
              <w:bidi w:val="0"/>
              <w:rPr>
                <w:rFonts w:hint="default"/>
                <w:lang w:val="en-US" w:eastAsia="zh-CN"/>
              </w:rPr>
            </w:pPr>
            <w:r>
              <w:rPr>
                <w:rFonts w:hint="eastAsia"/>
                <w:lang w:val="en-US" w:eastAsia="zh-CN"/>
              </w:rPr>
              <w:t>44</w:t>
            </w:r>
          </w:p>
        </w:tc>
        <w:tc>
          <w:tcPr>
            <w:tcW w:w="3648" w:type="dxa"/>
            <w:vAlign w:val="center"/>
          </w:tcPr>
          <w:p>
            <w:pPr>
              <w:pStyle w:val="8"/>
              <w:bidi w:val="0"/>
              <w:rPr>
                <w:rFonts w:hint="default"/>
                <w:lang w:val="en-US" w:eastAsia="zh-CN"/>
              </w:rPr>
            </w:pPr>
            <w:r>
              <w:rPr>
                <w:rFonts w:hint="default"/>
                <w:lang w:val="en-US" w:eastAsia="zh-CN"/>
              </w:rPr>
              <w:t>龙门架绞龙过道支撑（多胎配怀定位栏）</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60" w:type="dxa"/>
            <w:vAlign w:val="center"/>
          </w:tcPr>
          <w:p>
            <w:pPr>
              <w:pStyle w:val="8"/>
              <w:bidi w:val="0"/>
              <w:rPr>
                <w:rFonts w:hint="default"/>
                <w:lang w:val="en-US" w:eastAsia="zh-CN"/>
              </w:rPr>
            </w:pPr>
            <w:r>
              <w:rPr>
                <w:rFonts w:hint="eastAsia"/>
                <w:lang w:val="en-US" w:eastAsia="zh-CN"/>
              </w:rPr>
              <w:t>45</w:t>
            </w:r>
          </w:p>
        </w:tc>
        <w:tc>
          <w:tcPr>
            <w:tcW w:w="3648" w:type="dxa"/>
            <w:vAlign w:val="center"/>
          </w:tcPr>
          <w:p>
            <w:pPr>
              <w:pStyle w:val="8"/>
              <w:bidi w:val="0"/>
              <w:rPr>
                <w:rFonts w:hint="default"/>
                <w:lang w:val="en-US" w:eastAsia="zh-CN"/>
              </w:rPr>
            </w:pPr>
            <w:r>
              <w:rPr>
                <w:rFonts w:hint="default"/>
                <w:lang w:val="en-US" w:eastAsia="zh-CN"/>
              </w:rPr>
              <w:t>龙门架绞龙电机过道支撑（多胎配怀定位栏）</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46</w:t>
            </w:r>
          </w:p>
        </w:tc>
        <w:tc>
          <w:tcPr>
            <w:tcW w:w="3648" w:type="dxa"/>
            <w:vAlign w:val="center"/>
          </w:tcPr>
          <w:p>
            <w:pPr>
              <w:pStyle w:val="8"/>
              <w:bidi w:val="0"/>
              <w:rPr>
                <w:rFonts w:hint="default"/>
                <w:lang w:val="en-US" w:eastAsia="zh-CN"/>
              </w:rPr>
            </w:pPr>
            <w:r>
              <w:rPr>
                <w:rFonts w:hint="default"/>
                <w:lang w:val="en-US" w:eastAsia="zh-CN"/>
              </w:rPr>
              <w:t>室外吊链（PS2400多胎配怀）</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47</w:t>
            </w:r>
          </w:p>
        </w:tc>
        <w:tc>
          <w:tcPr>
            <w:tcW w:w="3648" w:type="dxa"/>
            <w:vAlign w:val="center"/>
          </w:tcPr>
          <w:p>
            <w:pPr>
              <w:pStyle w:val="8"/>
              <w:bidi w:val="0"/>
              <w:rPr>
                <w:rFonts w:hint="default"/>
                <w:lang w:val="en-US" w:eastAsia="zh-CN"/>
              </w:rPr>
            </w:pPr>
            <w:r>
              <w:rPr>
                <w:rFonts w:hint="default"/>
                <w:lang w:val="en-US" w:eastAsia="zh-CN"/>
              </w:rPr>
              <w:t>塞盘动力箱支撑（定位栏</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48</w:t>
            </w:r>
          </w:p>
        </w:tc>
        <w:tc>
          <w:tcPr>
            <w:tcW w:w="3648" w:type="dxa"/>
            <w:vAlign w:val="center"/>
          </w:tcPr>
          <w:p>
            <w:pPr>
              <w:pStyle w:val="8"/>
              <w:bidi w:val="0"/>
              <w:rPr>
                <w:rFonts w:hint="default"/>
                <w:lang w:val="en-US" w:eastAsia="zh-CN"/>
              </w:rPr>
            </w:pPr>
            <w:r>
              <w:rPr>
                <w:rFonts w:hint="default"/>
                <w:lang w:val="en-US" w:eastAsia="zh-CN"/>
              </w:rPr>
              <w:t>室内支撑1（定位栏万向支撑）</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49</w:t>
            </w:r>
          </w:p>
        </w:tc>
        <w:tc>
          <w:tcPr>
            <w:tcW w:w="3648" w:type="dxa"/>
            <w:vAlign w:val="center"/>
          </w:tcPr>
          <w:p>
            <w:pPr>
              <w:pStyle w:val="8"/>
              <w:bidi w:val="0"/>
              <w:rPr>
                <w:rFonts w:hint="default"/>
                <w:lang w:val="en-US" w:eastAsia="zh-CN"/>
              </w:rPr>
            </w:pPr>
            <w:r>
              <w:rPr>
                <w:rFonts w:hint="default"/>
                <w:lang w:val="en-US" w:eastAsia="zh-CN"/>
              </w:rPr>
              <w:t>斜撑（定位栏斜撑）</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50</w:t>
            </w:r>
          </w:p>
        </w:tc>
        <w:tc>
          <w:tcPr>
            <w:tcW w:w="3648" w:type="dxa"/>
            <w:vAlign w:val="center"/>
          </w:tcPr>
          <w:p>
            <w:pPr>
              <w:pStyle w:val="8"/>
              <w:bidi w:val="0"/>
              <w:rPr>
                <w:rFonts w:hint="default"/>
                <w:lang w:val="en-US" w:eastAsia="zh-CN"/>
              </w:rPr>
            </w:pPr>
            <w:r>
              <w:rPr>
                <w:rFonts w:hint="default"/>
                <w:lang w:val="en-US" w:eastAsia="zh-CN"/>
              </w:rPr>
              <w:t>栏位两端落地支撑</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51</w:t>
            </w:r>
          </w:p>
        </w:tc>
        <w:tc>
          <w:tcPr>
            <w:tcW w:w="3648" w:type="dxa"/>
            <w:vAlign w:val="center"/>
          </w:tcPr>
          <w:p>
            <w:pPr>
              <w:pStyle w:val="8"/>
              <w:bidi w:val="0"/>
              <w:rPr>
                <w:rFonts w:hint="default"/>
                <w:lang w:val="en-US" w:eastAsia="zh-CN"/>
              </w:rPr>
            </w:pPr>
            <w:r>
              <w:rPr>
                <w:rFonts w:hint="default"/>
                <w:lang w:val="en-US" w:eastAsia="zh-CN"/>
              </w:rPr>
              <w:t>T型支架支撑140*550</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52</w:t>
            </w:r>
          </w:p>
        </w:tc>
        <w:tc>
          <w:tcPr>
            <w:tcW w:w="3648" w:type="dxa"/>
            <w:vAlign w:val="center"/>
          </w:tcPr>
          <w:p>
            <w:pPr>
              <w:pStyle w:val="8"/>
              <w:bidi w:val="0"/>
              <w:rPr>
                <w:rFonts w:hint="default"/>
                <w:lang w:val="en-US" w:eastAsia="zh-CN"/>
              </w:rPr>
            </w:pPr>
            <w:r>
              <w:rPr>
                <w:rFonts w:hint="default"/>
                <w:lang w:val="en-US" w:eastAsia="zh-CN"/>
              </w:rPr>
              <w:t xml:space="preserve"> 分娩栏</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米</w:t>
            </w:r>
          </w:p>
        </w:tc>
        <w:tc>
          <w:tcPr>
            <w:tcW w:w="1549" w:type="dxa"/>
            <w:vAlign w:val="center"/>
          </w:tcPr>
          <w:p>
            <w:pPr>
              <w:pStyle w:val="8"/>
              <w:bidi w:val="0"/>
              <w:rPr>
                <w:rFonts w:hint="default"/>
                <w:lang w:val="en-US" w:eastAsia="zh-CN"/>
              </w:rPr>
            </w:pPr>
            <w:r>
              <w:rPr>
                <w:rFonts w:hint="default"/>
                <w:lang w:val="en-US" w:eastAsia="zh-CN"/>
              </w:rPr>
              <w:t>153.22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53</w:t>
            </w:r>
          </w:p>
        </w:tc>
        <w:tc>
          <w:tcPr>
            <w:tcW w:w="3648" w:type="dxa"/>
            <w:vAlign w:val="center"/>
          </w:tcPr>
          <w:p>
            <w:pPr>
              <w:pStyle w:val="8"/>
              <w:bidi w:val="0"/>
              <w:rPr>
                <w:rFonts w:hint="default"/>
                <w:lang w:val="en-US" w:eastAsia="zh-CN"/>
              </w:rPr>
            </w:pPr>
            <w:r>
              <w:rPr>
                <w:rFonts w:hint="default"/>
                <w:lang w:val="en-US" w:eastAsia="zh-CN"/>
              </w:rPr>
              <w:t>水帘防护栏片(内衬圆钢，不含立柱)</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套</w:t>
            </w:r>
          </w:p>
        </w:tc>
        <w:tc>
          <w:tcPr>
            <w:tcW w:w="1549" w:type="dxa"/>
            <w:vAlign w:val="center"/>
          </w:tcPr>
          <w:p>
            <w:pPr>
              <w:pStyle w:val="8"/>
              <w:bidi w:val="0"/>
              <w:rPr>
                <w:rFonts w:hint="default"/>
                <w:lang w:val="en-US" w:eastAsia="zh-CN"/>
              </w:rPr>
            </w:pPr>
            <w:r>
              <w:rPr>
                <w:rFonts w:hint="default"/>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960" w:type="dxa"/>
            <w:vAlign w:val="center"/>
          </w:tcPr>
          <w:p>
            <w:pPr>
              <w:pStyle w:val="8"/>
              <w:bidi w:val="0"/>
              <w:rPr>
                <w:rFonts w:hint="default"/>
                <w:lang w:val="en-US" w:eastAsia="zh-CN"/>
              </w:rPr>
            </w:pPr>
            <w:r>
              <w:rPr>
                <w:rFonts w:hint="eastAsia"/>
                <w:lang w:val="en-US" w:eastAsia="zh-CN"/>
              </w:rPr>
              <w:t>54</w:t>
            </w:r>
          </w:p>
        </w:tc>
        <w:tc>
          <w:tcPr>
            <w:tcW w:w="3648" w:type="dxa"/>
            <w:vAlign w:val="center"/>
          </w:tcPr>
          <w:p>
            <w:pPr>
              <w:pStyle w:val="8"/>
              <w:bidi w:val="0"/>
              <w:rPr>
                <w:rFonts w:hint="default"/>
                <w:lang w:val="en-US" w:eastAsia="zh-CN"/>
              </w:rPr>
            </w:pPr>
            <w:r>
              <w:rPr>
                <w:rFonts w:hint="default"/>
                <w:lang w:val="en-US" w:eastAsia="zh-CN"/>
              </w:rPr>
              <w:t>风机防护栏片(内衬圆钢，不含立柱)</w:t>
            </w:r>
          </w:p>
        </w:tc>
        <w:tc>
          <w:tcPr>
            <w:tcW w:w="2220" w:type="dxa"/>
            <w:vAlign w:val="center"/>
          </w:tcPr>
          <w:p>
            <w:pPr>
              <w:pStyle w:val="8"/>
              <w:bidi w:val="0"/>
              <w:rPr>
                <w:rFonts w:hint="default"/>
                <w:lang w:val="en-US" w:eastAsia="zh-CN"/>
              </w:rPr>
            </w:pPr>
            <w:r>
              <w:rPr>
                <w:rFonts w:hint="eastAsia"/>
                <w:lang w:val="en-US" w:eastAsia="zh-CN"/>
              </w:rPr>
              <w:t>/</w:t>
            </w:r>
          </w:p>
        </w:tc>
        <w:tc>
          <w:tcPr>
            <w:tcW w:w="1041" w:type="dxa"/>
            <w:vAlign w:val="center"/>
          </w:tcPr>
          <w:p>
            <w:pPr>
              <w:pStyle w:val="8"/>
              <w:bidi w:val="0"/>
              <w:rPr>
                <w:rFonts w:hint="eastAsia"/>
                <w:lang w:val="en-US" w:eastAsia="zh-CN"/>
              </w:rPr>
            </w:pPr>
            <w:r>
              <w:rPr>
                <w:rFonts w:hint="default"/>
                <w:lang w:val="en-US" w:eastAsia="zh-CN"/>
              </w:rPr>
              <w:t>根</w:t>
            </w:r>
          </w:p>
        </w:tc>
        <w:tc>
          <w:tcPr>
            <w:tcW w:w="1549" w:type="dxa"/>
            <w:vAlign w:val="center"/>
          </w:tcPr>
          <w:p>
            <w:pPr>
              <w:pStyle w:val="8"/>
              <w:bidi w:val="0"/>
              <w:rPr>
                <w:rFonts w:hint="default"/>
                <w:lang w:val="en-US" w:eastAsia="zh-CN"/>
              </w:rPr>
            </w:pPr>
            <w:r>
              <w:rPr>
                <w:rFonts w:hint="default"/>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55</w:t>
            </w:r>
          </w:p>
        </w:tc>
        <w:tc>
          <w:tcPr>
            <w:tcW w:w="0" w:type="auto"/>
            <w:vAlign w:val="center"/>
          </w:tcPr>
          <w:p>
            <w:pPr>
              <w:pStyle w:val="8"/>
              <w:bidi w:val="0"/>
              <w:rPr>
                <w:rFonts w:hint="default"/>
                <w:lang w:val="en-US" w:eastAsia="zh-CN"/>
              </w:rPr>
            </w:pPr>
            <w:r>
              <w:rPr>
                <w:rFonts w:hint="default"/>
                <w:lang w:val="en-US" w:eastAsia="zh-CN"/>
              </w:rPr>
              <w:t>防护栏立柱</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56</w:t>
            </w:r>
          </w:p>
        </w:tc>
        <w:tc>
          <w:tcPr>
            <w:tcW w:w="0" w:type="auto"/>
            <w:vAlign w:val="center"/>
          </w:tcPr>
          <w:p>
            <w:pPr>
              <w:pStyle w:val="8"/>
              <w:bidi w:val="0"/>
              <w:rPr>
                <w:rFonts w:hint="default"/>
                <w:lang w:val="en-US" w:eastAsia="zh-CN"/>
              </w:rPr>
            </w:pPr>
            <w:r>
              <w:rPr>
                <w:rFonts w:hint="default"/>
                <w:lang w:val="en-US" w:eastAsia="zh-CN"/>
              </w:rPr>
              <w:t>手提塑料桶</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57</w:t>
            </w:r>
          </w:p>
        </w:tc>
        <w:tc>
          <w:tcPr>
            <w:tcW w:w="0" w:type="auto"/>
            <w:vAlign w:val="center"/>
          </w:tcPr>
          <w:p>
            <w:pPr>
              <w:pStyle w:val="8"/>
              <w:bidi w:val="0"/>
              <w:rPr>
                <w:rFonts w:hint="default"/>
                <w:lang w:val="en-US" w:eastAsia="zh-CN"/>
              </w:rPr>
            </w:pPr>
            <w:r>
              <w:rPr>
                <w:rFonts w:hint="default"/>
                <w:lang w:val="en-US" w:eastAsia="zh-CN"/>
              </w:rPr>
              <w:t>死猪推车</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只</w:t>
            </w:r>
          </w:p>
        </w:tc>
        <w:tc>
          <w:tcPr>
            <w:tcW w:w="0" w:type="auto"/>
            <w:vAlign w:val="center"/>
          </w:tcPr>
          <w:p>
            <w:pPr>
              <w:pStyle w:val="8"/>
              <w:bidi w:val="0"/>
              <w:rPr>
                <w:rFonts w:hint="default"/>
                <w:lang w:val="en-US" w:eastAsia="zh-CN"/>
              </w:rPr>
            </w:pPr>
            <w:r>
              <w:rPr>
                <w:rFonts w:hint="default"/>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58</w:t>
            </w:r>
          </w:p>
        </w:tc>
        <w:tc>
          <w:tcPr>
            <w:tcW w:w="0" w:type="auto"/>
            <w:vAlign w:val="center"/>
          </w:tcPr>
          <w:p>
            <w:pPr>
              <w:pStyle w:val="8"/>
              <w:bidi w:val="0"/>
              <w:rPr>
                <w:rFonts w:hint="default"/>
                <w:lang w:val="en-US" w:eastAsia="zh-CN"/>
              </w:rPr>
            </w:pPr>
            <w:r>
              <w:rPr>
                <w:rFonts w:hint="default"/>
                <w:lang w:val="en-US" w:eastAsia="zh-CN"/>
              </w:rPr>
              <w:t>平板手推车</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根</w:t>
            </w:r>
          </w:p>
        </w:tc>
        <w:tc>
          <w:tcPr>
            <w:tcW w:w="0" w:type="auto"/>
            <w:vAlign w:val="center"/>
          </w:tcPr>
          <w:p>
            <w:pPr>
              <w:pStyle w:val="8"/>
              <w:bidi w:val="0"/>
              <w:rPr>
                <w:rFonts w:hint="default"/>
                <w:lang w:val="en-US" w:eastAsia="zh-CN"/>
              </w:rPr>
            </w:pPr>
            <w:r>
              <w:rPr>
                <w:rFonts w:hint="default"/>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59</w:t>
            </w:r>
          </w:p>
        </w:tc>
        <w:tc>
          <w:tcPr>
            <w:tcW w:w="0" w:type="auto"/>
            <w:vAlign w:val="center"/>
          </w:tcPr>
          <w:p>
            <w:pPr>
              <w:pStyle w:val="8"/>
              <w:bidi w:val="0"/>
              <w:rPr>
                <w:rFonts w:hint="default"/>
                <w:lang w:val="en-US" w:eastAsia="zh-CN"/>
              </w:rPr>
            </w:pPr>
            <w:r>
              <w:rPr>
                <w:rFonts w:hint="default"/>
                <w:lang w:val="en-US" w:eastAsia="zh-CN"/>
              </w:rPr>
              <w:t>550正压风机</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台</w:t>
            </w:r>
          </w:p>
        </w:tc>
        <w:tc>
          <w:tcPr>
            <w:tcW w:w="0" w:type="auto"/>
            <w:vAlign w:val="center"/>
          </w:tcPr>
          <w:p>
            <w:pPr>
              <w:pStyle w:val="8"/>
              <w:bidi w:val="0"/>
              <w:rPr>
                <w:rFonts w:hint="default"/>
                <w:lang w:val="en-US" w:eastAsia="zh-CN"/>
              </w:rPr>
            </w:pPr>
            <w:r>
              <w:rPr>
                <w:rFonts w:hint="default"/>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60</w:t>
            </w:r>
          </w:p>
        </w:tc>
        <w:tc>
          <w:tcPr>
            <w:tcW w:w="0" w:type="auto"/>
            <w:vAlign w:val="center"/>
          </w:tcPr>
          <w:p>
            <w:pPr>
              <w:pStyle w:val="8"/>
              <w:bidi w:val="0"/>
              <w:rPr>
                <w:rFonts w:hint="default"/>
                <w:lang w:val="en-US" w:eastAsia="zh-CN"/>
              </w:rPr>
            </w:pPr>
            <w:r>
              <w:rPr>
                <w:rFonts w:hint="default"/>
                <w:lang w:val="en-US" w:eastAsia="zh-CN"/>
              </w:rPr>
              <w:t>36恒速风机</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台</w:t>
            </w:r>
          </w:p>
        </w:tc>
        <w:tc>
          <w:tcPr>
            <w:tcW w:w="0" w:type="auto"/>
            <w:vAlign w:val="center"/>
          </w:tcPr>
          <w:p>
            <w:pPr>
              <w:pStyle w:val="8"/>
              <w:bidi w:val="0"/>
              <w:rPr>
                <w:rFonts w:hint="default"/>
                <w:lang w:val="en-US" w:eastAsia="zh-CN"/>
              </w:rPr>
            </w:pPr>
            <w:r>
              <w:rPr>
                <w:rFonts w:hint="default"/>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61</w:t>
            </w:r>
          </w:p>
        </w:tc>
        <w:tc>
          <w:tcPr>
            <w:tcW w:w="0" w:type="auto"/>
            <w:vAlign w:val="center"/>
          </w:tcPr>
          <w:p>
            <w:pPr>
              <w:pStyle w:val="8"/>
              <w:bidi w:val="0"/>
              <w:rPr>
                <w:rFonts w:hint="default"/>
                <w:lang w:val="en-US" w:eastAsia="zh-CN"/>
              </w:rPr>
            </w:pPr>
            <w:r>
              <w:rPr>
                <w:rFonts w:hint="default"/>
                <w:lang w:val="en-US" w:eastAsia="zh-CN"/>
              </w:rPr>
              <w:t>36变频风机</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台</w:t>
            </w:r>
          </w:p>
        </w:tc>
        <w:tc>
          <w:tcPr>
            <w:tcW w:w="0" w:type="auto"/>
            <w:vAlign w:val="center"/>
          </w:tcPr>
          <w:p>
            <w:pPr>
              <w:pStyle w:val="8"/>
              <w:bidi w:val="0"/>
              <w:rPr>
                <w:rFonts w:hint="default"/>
                <w:lang w:val="en-US" w:eastAsia="zh-CN"/>
              </w:rPr>
            </w:pPr>
            <w:r>
              <w:rPr>
                <w:rFonts w:hint="defaul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62</w:t>
            </w:r>
          </w:p>
        </w:tc>
        <w:tc>
          <w:tcPr>
            <w:tcW w:w="0" w:type="auto"/>
            <w:vAlign w:val="center"/>
          </w:tcPr>
          <w:p>
            <w:pPr>
              <w:pStyle w:val="8"/>
              <w:bidi w:val="0"/>
              <w:rPr>
                <w:rFonts w:hint="default"/>
                <w:lang w:val="en-US" w:eastAsia="zh-CN"/>
              </w:rPr>
            </w:pPr>
            <w:r>
              <w:rPr>
                <w:rFonts w:hint="default"/>
                <w:lang w:val="en-US" w:eastAsia="zh-CN"/>
              </w:rPr>
              <w:t>55变频风机</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平方</w:t>
            </w:r>
          </w:p>
        </w:tc>
        <w:tc>
          <w:tcPr>
            <w:tcW w:w="0" w:type="auto"/>
            <w:vAlign w:val="center"/>
          </w:tcPr>
          <w:p>
            <w:pPr>
              <w:pStyle w:val="8"/>
              <w:bidi w:val="0"/>
              <w:rPr>
                <w:rFonts w:hint="default"/>
                <w:lang w:val="en-US" w:eastAsia="zh-CN"/>
              </w:rPr>
            </w:pPr>
            <w:r>
              <w:rPr>
                <w:rFonts w:hint="defaul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63</w:t>
            </w:r>
          </w:p>
        </w:tc>
        <w:tc>
          <w:tcPr>
            <w:tcW w:w="0" w:type="auto"/>
            <w:vAlign w:val="center"/>
          </w:tcPr>
          <w:p>
            <w:pPr>
              <w:pStyle w:val="8"/>
              <w:bidi w:val="0"/>
              <w:rPr>
                <w:rFonts w:hint="default"/>
                <w:lang w:val="en-US" w:eastAsia="zh-CN"/>
              </w:rPr>
            </w:pPr>
            <w:r>
              <w:rPr>
                <w:rFonts w:hint="default"/>
                <w:lang w:val="en-US" w:eastAsia="zh-CN"/>
              </w:rPr>
              <w:t>湿帘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159.12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64</w:t>
            </w:r>
          </w:p>
        </w:tc>
        <w:tc>
          <w:tcPr>
            <w:tcW w:w="0" w:type="auto"/>
            <w:vAlign w:val="center"/>
          </w:tcPr>
          <w:p>
            <w:pPr>
              <w:pStyle w:val="8"/>
              <w:bidi w:val="0"/>
              <w:rPr>
                <w:rFonts w:hint="default"/>
                <w:lang w:val="en-US" w:eastAsia="zh-CN"/>
              </w:rPr>
            </w:pPr>
            <w:r>
              <w:rPr>
                <w:rFonts w:hint="default"/>
                <w:lang w:val="en-US" w:eastAsia="zh-CN"/>
              </w:rPr>
              <w:t>橡塑棉帘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65</w:t>
            </w:r>
          </w:p>
        </w:tc>
        <w:tc>
          <w:tcPr>
            <w:tcW w:w="0" w:type="auto"/>
            <w:vAlign w:val="center"/>
          </w:tcPr>
          <w:p>
            <w:pPr>
              <w:pStyle w:val="8"/>
              <w:bidi w:val="0"/>
              <w:rPr>
                <w:rFonts w:hint="default"/>
                <w:lang w:val="en-US" w:eastAsia="zh-CN"/>
              </w:rPr>
            </w:pPr>
            <w:r>
              <w:rPr>
                <w:rFonts w:hint="default"/>
                <w:lang w:val="en-US" w:eastAsia="zh-CN"/>
              </w:rPr>
              <w:t>正压风机密封棉帘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平方</w:t>
            </w:r>
          </w:p>
        </w:tc>
        <w:tc>
          <w:tcPr>
            <w:tcW w:w="0" w:type="auto"/>
            <w:vAlign w:val="center"/>
          </w:tcPr>
          <w:p>
            <w:pPr>
              <w:pStyle w:val="8"/>
              <w:bidi w:val="0"/>
              <w:rPr>
                <w:rFonts w:hint="default"/>
                <w:lang w:val="en-US" w:eastAsia="zh-CN"/>
              </w:rPr>
            </w:pPr>
            <w:r>
              <w:rPr>
                <w:rFonts w:hint="default"/>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66</w:t>
            </w:r>
          </w:p>
        </w:tc>
        <w:tc>
          <w:tcPr>
            <w:tcW w:w="0" w:type="auto"/>
            <w:vAlign w:val="center"/>
          </w:tcPr>
          <w:p>
            <w:pPr>
              <w:pStyle w:val="8"/>
              <w:bidi w:val="0"/>
              <w:rPr>
                <w:rFonts w:hint="default"/>
                <w:lang w:val="en-US" w:eastAsia="zh-CN"/>
              </w:rPr>
            </w:pPr>
            <w:r>
              <w:rPr>
                <w:rFonts w:hint="default"/>
                <w:lang w:val="en-US" w:eastAsia="zh-CN"/>
              </w:rPr>
              <w:t>36风机密封棉帘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67</w:t>
            </w:r>
          </w:p>
        </w:tc>
        <w:tc>
          <w:tcPr>
            <w:tcW w:w="0" w:type="auto"/>
            <w:vAlign w:val="center"/>
          </w:tcPr>
          <w:p>
            <w:pPr>
              <w:pStyle w:val="8"/>
              <w:bidi w:val="0"/>
              <w:rPr>
                <w:rFonts w:hint="default"/>
                <w:lang w:val="en-US" w:eastAsia="zh-CN"/>
              </w:rPr>
            </w:pPr>
            <w:r>
              <w:rPr>
                <w:rFonts w:hint="default"/>
                <w:lang w:val="en-US" w:eastAsia="zh-CN"/>
              </w:rPr>
              <w:t>55风机密封棉帘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68</w:t>
            </w:r>
          </w:p>
        </w:tc>
        <w:tc>
          <w:tcPr>
            <w:tcW w:w="0" w:type="auto"/>
            <w:vAlign w:val="center"/>
          </w:tcPr>
          <w:p>
            <w:pPr>
              <w:pStyle w:val="8"/>
              <w:bidi w:val="0"/>
              <w:rPr>
                <w:rFonts w:hint="default"/>
                <w:lang w:val="en-US" w:eastAsia="zh-CN"/>
              </w:rPr>
            </w:pPr>
            <w:r>
              <w:rPr>
                <w:rFonts w:hint="default"/>
                <w:lang w:val="en-US" w:eastAsia="zh-CN"/>
              </w:rPr>
              <w:t>防蚊网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个</w:t>
            </w:r>
          </w:p>
        </w:tc>
        <w:tc>
          <w:tcPr>
            <w:tcW w:w="0" w:type="auto"/>
            <w:vAlign w:val="center"/>
          </w:tcPr>
          <w:p>
            <w:pPr>
              <w:pStyle w:val="8"/>
              <w:bidi w:val="0"/>
              <w:rPr>
                <w:rFonts w:hint="default"/>
                <w:lang w:val="en-US" w:eastAsia="zh-CN"/>
              </w:rPr>
            </w:pPr>
            <w:r>
              <w:rPr>
                <w:rFonts w:hint="default"/>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69</w:t>
            </w:r>
          </w:p>
        </w:tc>
        <w:tc>
          <w:tcPr>
            <w:tcW w:w="0" w:type="auto"/>
            <w:vAlign w:val="center"/>
          </w:tcPr>
          <w:p>
            <w:pPr>
              <w:pStyle w:val="8"/>
              <w:bidi w:val="0"/>
              <w:rPr>
                <w:rFonts w:hint="default"/>
                <w:lang w:val="en-US" w:eastAsia="zh-CN"/>
              </w:rPr>
            </w:pPr>
            <w:r>
              <w:rPr>
                <w:rFonts w:hint="default"/>
                <w:lang w:val="en-US" w:eastAsia="zh-CN"/>
              </w:rPr>
              <w:t>内撑钢丝网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70</w:t>
            </w:r>
          </w:p>
        </w:tc>
        <w:tc>
          <w:tcPr>
            <w:tcW w:w="0" w:type="auto"/>
            <w:vAlign w:val="center"/>
          </w:tcPr>
          <w:p>
            <w:pPr>
              <w:pStyle w:val="8"/>
              <w:bidi w:val="0"/>
              <w:rPr>
                <w:rFonts w:hint="default"/>
                <w:lang w:val="en-US" w:eastAsia="zh-CN"/>
              </w:rPr>
            </w:pPr>
            <w:r>
              <w:rPr>
                <w:rFonts w:hint="default"/>
                <w:lang w:val="en-US" w:eastAsia="zh-CN"/>
              </w:rPr>
              <w:t>15T镀锌板料塔+安装附件</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71</w:t>
            </w:r>
          </w:p>
        </w:tc>
        <w:tc>
          <w:tcPr>
            <w:tcW w:w="0" w:type="auto"/>
            <w:vAlign w:val="center"/>
          </w:tcPr>
          <w:p>
            <w:pPr>
              <w:pStyle w:val="8"/>
              <w:bidi w:val="0"/>
              <w:rPr>
                <w:rFonts w:hint="default"/>
                <w:lang w:val="en-US" w:eastAsia="zh-CN"/>
              </w:rPr>
            </w:pPr>
            <w:r>
              <w:rPr>
                <w:rFonts w:hint="default"/>
                <w:lang w:val="en-US" w:eastAsia="zh-CN"/>
              </w:rPr>
              <w:t>2.5T镀锌板料塔+安装附件</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72</w:t>
            </w:r>
          </w:p>
        </w:tc>
        <w:tc>
          <w:tcPr>
            <w:tcW w:w="0" w:type="auto"/>
            <w:vAlign w:val="center"/>
          </w:tcPr>
          <w:p>
            <w:pPr>
              <w:pStyle w:val="8"/>
              <w:bidi w:val="0"/>
              <w:rPr>
                <w:rFonts w:hint="default"/>
                <w:lang w:val="en-US" w:eastAsia="zh-CN"/>
              </w:rPr>
            </w:pPr>
            <w:r>
              <w:rPr>
                <w:rFonts w:hint="default"/>
                <w:lang w:val="en-US" w:eastAsia="zh-CN"/>
              </w:rPr>
              <w:t>φ60塞盘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1663.4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73</w:t>
            </w:r>
          </w:p>
        </w:tc>
        <w:tc>
          <w:tcPr>
            <w:tcW w:w="0" w:type="auto"/>
            <w:vAlign w:val="center"/>
          </w:tcPr>
          <w:p>
            <w:pPr>
              <w:pStyle w:val="8"/>
              <w:bidi w:val="0"/>
              <w:rPr>
                <w:rFonts w:hint="default"/>
                <w:lang w:val="en-US" w:eastAsia="zh-CN"/>
              </w:rPr>
            </w:pPr>
            <w:r>
              <w:rPr>
                <w:rFonts w:hint="default"/>
                <w:lang w:val="en-US" w:eastAsia="zh-CN"/>
              </w:rPr>
              <w:t>φ60输料管+透明管</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1643.4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74</w:t>
            </w:r>
          </w:p>
        </w:tc>
        <w:tc>
          <w:tcPr>
            <w:tcW w:w="0" w:type="auto"/>
            <w:vAlign w:val="center"/>
          </w:tcPr>
          <w:p>
            <w:pPr>
              <w:pStyle w:val="8"/>
              <w:bidi w:val="0"/>
              <w:rPr>
                <w:rFonts w:hint="default"/>
                <w:lang w:val="en-US" w:eastAsia="zh-CN"/>
              </w:rPr>
            </w:pPr>
            <w:r>
              <w:rPr>
                <w:rFonts w:hint="default"/>
                <w:lang w:val="en-US" w:eastAsia="zh-CN"/>
              </w:rPr>
              <w:t>φ60输料管连接抱箍</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个</w:t>
            </w:r>
          </w:p>
        </w:tc>
        <w:tc>
          <w:tcPr>
            <w:tcW w:w="0" w:type="auto"/>
            <w:vAlign w:val="center"/>
          </w:tcPr>
          <w:p>
            <w:pPr>
              <w:pStyle w:val="8"/>
              <w:bidi w:val="0"/>
              <w:rPr>
                <w:rFonts w:hint="default"/>
                <w:lang w:val="en-US" w:eastAsia="zh-CN"/>
              </w:rPr>
            </w:pPr>
            <w:r>
              <w:rPr>
                <w:rFonts w:hint="default"/>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75</w:t>
            </w:r>
          </w:p>
        </w:tc>
        <w:tc>
          <w:tcPr>
            <w:tcW w:w="0" w:type="auto"/>
            <w:vAlign w:val="center"/>
          </w:tcPr>
          <w:p>
            <w:pPr>
              <w:pStyle w:val="8"/>
              <w:bidi w:val="0"/>
              <w:rPr>
                <w:rFonts w:hint="default"/>
                <w:lang w:val="en-US" w:eastAsia="zh-CN"/>
              </w:rPr>
            </w:pPr>
            <w:r>
              <w:rPr>
                <w:rFonts w:hint="default"/>
                <w:lang w:val="en-US" w:eastAsia="zh-CN"/>
              </w:rPr>
              <w:t>塞盘驱动装置，功率：1.5KW</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76</w:t>
            </w:r>
          </w:p>
        </w:tc>
        <w:tc>
          <w:tcPr>
            <w:tcW w:w="0" w:type="auto"/>
            <w:vAlign w:val="center"/>
          </w:tcPr>
          <w:p>
            <w:pPr>
              <w:pStyle w:val="8"/>
              <w:bidi w:val="0"/>
              <w:rPr>
                <w:rFonts w:hint="default"/>
                <w:lang w:val="en-US" w:eastAsia="zh-CN"/>
              </w:rPr>
            </w:pPr>
            <w:r>
              <w:rPr>
                <w:rFonts w:hint="default"/>
                <w:lang w:val="en-US" w:eastAsia="zh-CN"/>
              </w:rPr>
              <w:t>转角轮</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77</w:t>
            </w:r>
          </w:p>
        </w:tc>
        <w:tc>
          <w:tcPr>
            <w:tcW w:w="0" w:type="auto"/>
            <w:vAlign w:val="center"/>
          </w:tcPr>
          <w:p>
            <w:pPr>
              <w:pStyle w:val="8"/>
              <w:bidi w:val="0"/>
              <w:rPr>
                <w:rFonts w:hint="default"/>
                <w:lang w:val="en-US" w:eastAsia="zh-CN"/>
              </w:rPr>
            </w:pPr>
            <w:r>
              <w:rPr>
                <w:rFonts w:hint="default"/>
                <w:lang w:val="en-US" w:eastAsia="zh-CN"/>
              </w:rPr>
              <w:t>料塔底部变形口（含闸门）</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0" w:type="auto"/>
            <w:vAlign w:val="center"/>
          </w:tcPr>
          <w:p>
            <w:pPr>
              <w:pStyle w:val="8"/>
              <w:bidi w:val="0"/>
              <w:rPr>
                <w:rFonts w:hint="default"/>
                <w:lang w:val="en-US" w:eastAsia="zh-CN"/>
              </w:rPr>
            </w:pPr>
            <w:r>
              <w:rPr>
                <w:rFonts w:hint="eastAsia"/>
                <w:lang w:val="en-US" w:eastAsia="zh-CN"/>
              </w:rPr>
              <w:t>78</w:t>
            </w:r>
          </w:p>
        </w:tc>
        <w:tc>
          <w:tcPr>
            <w:tcW w:w="0" w:type="auto"/>
            <w:vAlign w:val="center"/>
          </w:tcPr>
          <w:p>
            <w:pPr>
              <w:pStyle w:val="8"/>
              <w:bidi w:val="0"/>
              <w:rPr>
                <w:rFonts w:hint="default"/>
                <w:lang w:val="en-US" w:eastAsia="zh-CN"/>
              </w:rPr>
            </w:pPr>
            <w:r>
              <w:rPr>
                <w:rFonts w:hint="default"/>
                <w:lang w:val="en-US" w:eastAsia="zh-CN"/>
              </w:rPr>
              <w:t>动力型输出单出口 304不锈钢箱体，厚1.2mm（1料塔1绞龙）</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79</w:t>
            </w:r>
          </w:p>
        </w:tc>
        <w:tc>
          <w:tcPr>
            <w:tcW w:w="0" w:type="auto"/>
            <w:vAlign w:val="center"/>
          </w:tcPr>
          <w:p>
            <w:pPr>
              <w:pStyle w:val="8"/>
              <w:bidi w:val="0"/>
              <w:rPr>
                <w:rFonts w:hint="default"/>
                <w:lang w:val="en-US" w:eastAsia="zh-CN"/>
              </w:rPr>
            </w:pPr>
            <w:r>
              <w:rPr>
                <w:rFonts w:hint="default"/>
                <w:lang w:val="en-US" w:eastAsia="zh-CN"/>
              </w:rPr>
              <w:t>料位传感器，进口产品，含安装配件</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0" w:type="auto"/>
            <w:vAlign w:val="center"/>
          </w:tcPr>
          <w:p>
            <w:pPr>
              <w:pStyle w:val="8"/>
              <w:bidi w:val="0"/>
              <w:rPr>
                <w:rFonts w:hint="default"/>
                <w:lang w:val="en-US" w:eastAsia="zh-CN"/>
              </w:rPr>
            </w:pPr>
            <w:r>
              <w:rPr>
                <w:rFonts w:hint="eastAsia"/>
                <w:lang w:val="en-US" w:eastAsia="zh-CN"/>
              </w:rPr>
              <w:t>80</w:t>
            </w:r>
          </w:p>
        </w:tc>
        <w:tc>
          <w:tcPr>
            <w:tcW w:w="0" w:type="auto"/>
            <w:vAlign w:val="center"/>
          </w:tcPr>
          <w:p>
            <w:pPr>
              <w:pStyle w:val="8"/>
              <w:bidi w:val="0"/>
              <w:rPr>
                <w:rFonts w:hint="default"/>
                <w:lang w:val="en-US" w:eastAsia="zh-CN"/>
              </w:rPr>
            </w:pPr>
            <w:r>
              <w:rPr>
                <w:rFonts w:hint="default"/>
                <w:lang w:val="en-US" w:eastAsia="zh-CN"/>
              </w:rPr>
              <w:t>1孔绞龙接力组件，含安装配件（1进1出）</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81</w:t>
            </w:r>
          </w:p>
        </w:tc>
        <w:tc>
          <w:tcPr>
            <w:tcW w:w="0" w:type="auto"/>
            <w:vAlign w:val="center"/>
          </w:tcPr>
          <w:p>
            <w:pPr>
              <w:pStyle w:val="8"/>
              <w:bidi w:val="0"/>
              <w:rPr>
                <w:rFonts w:hint="default"/>
                <w:lang w:val="en-US" w:eastAsia="zh-CN"/>
              </w:rPr>
            </w:pPr>
            <w:r>
              <w:rPr>
                <w:rFonts w:hint="default"/>
                <w:lang w:val="en-US" w:eastAsia="zh-CN"/>
              </w:rPr>
              <w:t>三通下料器</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82</w:t>
            </w:r>
          </w:p>
        </w:tc>
        <w:tc>
          <w:tcPr>
            <w:tcW w:w="0" w:type="auto"/>
            <w:vAlign w:val="center"/>
          </w:tcPr>
          <w:p>
            <w:pPr>
              <w:pStyle w:val="8"/>
              <w:bidi w:val="0"/>
              <w:rPr>
                <w:rFonts w:hint="default"/>
                <w:lang w:val="en-US" w:eastAsia="zh-CN"/>
              </w:rPr>
            </w:pPr>
            <w:r>
              <w:rPr>
                <w:rFonts w:hint="default"/>
                <w:lang w:val="en-US" w:eastAsia="zh-CN"/>
              </w:rPr>
              <w:t>龙门架绞龙过道支撑（产床）</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83</w:t>
            </w:r>
          </w:p>
        </w:tc>
        <w:tc>
          <w:tcPr>
            <w:tcW w:w="0" w:type="auto"/>
            <w:vAlign w:val="center"/>
          </w:tcPr>
          <w:p>
            <w:pPr>
              <w:pStyle w:val="8"/>
              <w:bidi w:val="0"/>
              <w:rPr>
                <w:rFonts w:hint="default"/>
                <w:lang w:val="en-US" w:eastAsia="zh-CN"/>
              </w:rPr>
            </w:pPr>
            <w:r>
              <w:rPr>
                <w:rFonts w:hint="default"/>
                <w:lang w:val="en-US" w:eastAsia="zh-CN"/>
              </w:rPr>
              <w:t>塞盘动力箱支撑（产床）</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84</w:t>
            </w:r>
          </w:p>
        </w:tc>
        <w:tc>
          <w:tcPr>
            <w:tcW w:w="0" w:type="auto"/>
            <w:vAlign w:val="center"/>
          </w:tcPr>
          <w:p>
            <w:pPr>
              <w:pStyle w:val="8"/>
              <w:bidi w:val="0"/>
              <w:rPr>
                <w:rFonts w:hint="default"/>
                <w:lang w:val="en-US" w:eastAsia="zh-CN"/>
              </w:rPr>
            </w:pPr>
            <w:r>
              <w:rPr>
                <w:rFonts w:hint="default"/>
                <w:lang w:val="en-US" w:eastAsia="zh-CN"/>
              </w:rPr>
              <w:t>产床支撑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85</w:t>
            </w:r>
          </w:p>
        </w:tc>
        <w:tc>
          <w:tcPr>
            <w:tcW w:w="0" w:type="auto"/>
            <w:vAlign w:val="center"/>
          </w:tcPr>
          <w:p>
            <w:pPr>
              <w:pStyle w:val="8"/>
              <w:bidi w:val="0"/>
              <w:rPr>
                <w:rFonts w:hint="default"/>
                <w:lang w:val="en-US" w:eastAsia="zh-CN"/>
              </w:rPr>
            </w:pPr>
            <w:r>
              <w:rPr>
                <w:rFonts w:hint="default"/>
                <w:lang w:val="en-US" w:eastAsia="zh-CN"/>
              </w:rPr>
              <w:t xml:space="preserve">后备PVC围栏 </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521.58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86</w:t>
            </w:r>
          </w:p>
        </w:tc>
        <w:tc>
          <w:tcPr>
            <w:tcW w:w="0" w:type="auto"/>
            <w:vAlign w:val="center"/>
          </w:tcPr>
          <w:p>
            <w:pPr>
              <w:pStyle w:val="8"/>
              <w:bidi w:val="0"/>
              <w:rPr>
                <w:rFonts w:hint="default"/>
                <w:lang w:val="en-US" w:eastAsia="zh-CN"/>
              </w:rPr>
            </w:pPr>
            <w:r>
              <w:rPr>
                <w:rFonts w:hint="default"/>
                <w:lang w:val="en-US" w:eastAsia="zh-CN"/>
              </w:rPr>
              <w:t>后备PVC栏门(不含碰锁)</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个</w:t>
            </w:r>
          </w:p>
        </w:tc>
        <w:tc>
          <w:tcPr>
            <w:tcW w:w="0" w:type="auto"/>
            <w:vAlign w:val="center"/>
          </w:tcPr>
          <w:p>
            <w:pPr>
              <w:pStyle w:val="8"/>
              <w:bidi w:val="0"/>
              <w:rPr>
                <w:rFonts w:hint="default"/>
                <w:lang w:val="en-US" w:eastAsia="zh-CN"/>
              </w:rPr>
            </w:pPr>
            <w:r>
              <w:rPr>
                <w:rFonts w:hint="default"/>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87</w:t>
            </w:r>
          </w:p>
        </w:tc>
        <w:tc>
          <w:tcPr>
            <w:tcW w:w="0" w:type="auto"/>
            <w:vAlign w:val="center"/>
          </w:tcPr>
          <w:p>
            <w:pPr>
              <w:pStyle w:val="8"/>
              <w:bidi w:val="0"/>
              <w:rPr>
                <w:rFonts w:hint="default"/>
                <w:lang w:val="en-US" w:eastAsia="zh-CN"/>
              </w:rPr>
            </w:pPr>
            <w:r>
              <w:rPr>
                <w:rFonts w:hint="default"/>
                <w:lang w:val="en-US" w:eastAsia="zh-CN"/>
              </w:rPr>
              <w:t>碰锁</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88</w:t>
            </w:r>
          </w:p>
        </w:tc>
        <w:tc>
          <w:tcPr>
            <w:tcW w:w="0" w:type="auto"/>
            <w:vAlign w:val="center"/>
          </w:tcPr>
          <w:p>
            <w:pPr>
              <w:pStyle w:val="8"/>
              <w:bidi w:val="0"/>
              <w:rPr>
                <w:rFonts w:hint="default"/>
                <w:lang w:val="en-US" w:eastAsia="zh-CN"/>
              </w:rPr>
            </w:pPr>
            <w:r>
              <w:rPr>
                <w:rFonts w:hint="default"/>
                <w:lang w:val="en-US" w:eastAsia="zh-CN"/>
              </w:rPr>
              <w:t>公猪大栏片(含栏门，不含立柱)</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89</w:t>
            </w:r>
          </w:p>
        </w:tc>
        <w:tc>
          <w:tcPr>
            <w:tcW w:w="0" w:type="auto"/>
            <w:vAlign w:val="center"/>
          </w:tcPr>
          <w:p>
            <w:pPr>
              <w:pStyle w:val="8"/>
              <w:bidi w:val="0"/>
              <w:rPr>
                <w:rFonts w:hint="default"/>
                <w:lang w:val="en-US" w:eastAsia="zh-CN"/>
              </w:rPr>
            </w:pPr>
            <w:r>
              <w:rPr>
                <w:rFonts w:hint="default"/>
                <w:lang w:val="en-US" w:eastAsia="zh-CN"/>
              </w:rPr>
              <w:t>栏片立柱(含底脚安装配件等)</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根</w:t>
            </w:r>
          </w:p>
        </w:tc>
        <w:tc>
          <w:tcPr>
            <w:tcW w:w="0" w:type="auto"/>
            <w:vAlign w:val="center"/>
          </w:tcPr>
          <w:p>
            <w:pPr>
              <w:pStyle w:val="8"/>
              <w:bidi w:val="0"/>
              <w:rPr>
                <w:rFonts w:hint="default"/>
                <w:lang w:val="en-US" w:eastAsia="zh-CN"/>
              </w:rPr>
            </w:pPr>
            <w:r>
              <w:rPr>
                <w:rFonts w:hint="default"/>
                <w:lang w:val="en-US" w:eastAsia="zh-CN"/>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90</w:t>
            </w:r>
          </w:p>
        </w:tc>
        <w:tc>
          <w:tcPr>
            <w:tcW w:w="0" w:type="auto"/>
            <w:vAlign w:val="center"/>
          </w:tcPr>
          <w:p>
            <w:pPr>
              <w:pStyle w:val="8"/>
              <w:bidi w:val="0"/>
              <w:rPr>
                <w:rFonts w:hint="default"/>
                <w:lang w:val="en-US" w:eastAsia="zh-CN"/>
              </w:rPr>
            </w:pPr>
            <w:r>
              <w:rPr>
                <w:rFonts w:hint="default"/>
                <w:lang w:val="en-US" w:eastAsia="zh-CN"/>
              </w:rPr>
              <w:t>风机防护栏(内衬圆钢，不含立柱)</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91</w:t>
            </w:r>
          </w:p>
        </w:tc>
        <w:tc>
          <w:tcPr>
            <w:tcW w:w="0" w:type="auto"/>
            <w:vAlign w:val="center"/>
          </w:tcPr>
          <w:p>
            <w:pPr>
              <w:pStyle w:val="8"/>
              <w:bidi w:val="0"/>
              <w:rPr>
                <w:rFonts w:hint="default"/>
                <w:lang w:val="en-US" w:eastAsia="zh-CN"/>
              </w:rPr>
            </w:pPr>
            <w:r>
              <w:rPr>
                <w:rFonts w:hint="default"/>
                <w:lang w:val="en-US" w:eastAsia="zh-CN"/>
              </w:rPr>
              <w:t>水帘防护栏(内衬圆钢，不含立柱)</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92</w:t>
            </w:r>
          </w:p>
        </w:tc>
        <w:tc>
          <w:tcPr>
            <w:tcW w:w="0" w:type="auto"/>
            <w:vAlign w:val="center"/>
          </w:tcPr>
          <w:p>
            <w:pPr>
              <w:pStyle w:val="8"/>
              <w:bidi w:val="0"/>
              <w:rPr>
                <w:rFonts w:hint="default"/>
                <w:lang w:val="en-US" w:eastAsia="zh-CN"/>
              </w:rPr>
            </w:pPr>
            <w:r>
              <w:rPr>
                <w:rFonts w:hint="default"/>
                <w:lang w:val="en-US" w:eastAsia="zh-CN"/>
              </w:rPr>
              <w:t>防护栏立柱</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根</w:t>
            </w:r>
          </w:p>
        </w:tc>
        <w:tc>
          <w:tcPr>
            <w:tcW w:w="0" w:type="auto"/>
            <w:vAlign w:val="center"/>
          </w:tcPr>
          <w:p>
            <w:pPr>
              <w:pStyle w:val="8"/>
              <w:bidi w:val="0"/>
              <w:rPr>
                <w:rFonts w:hint="default"/>
                <w:lang w:val="en-US" w:eastAsia="zh-CN"/>
              </w:rPr>
            </w:pPr>
            <w:r>
              <w:rPr>
                <w:rFonts w:hint="default"/>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93</w:t>
            </w:r>
          </w:p>
        </w:tc>
        <w:tc>
          <w:tcPr>
            <w:tcW w:w="0" w:type="auto"/>
            <w:vAlign w:val="center"/>
          </w:tcPr>
          <w:p>
            <w:pPr>
              <w:pStyle w:val="8"/>
              <w:bidi w:val="0"/>
              <w:rPr>
                <w:rFonts w:hint="default"/>
                <w:lang w:val="en-US" w:eastAsia="zh-CN"/>
              </w:rPr>
            </w:pPr>
            <w:r>
              <w:rPr>
                <w:rFonts w:hint="default"/>
                <w:lang w:val="en-US" w:eastAsia="zh-CN"/>
              </w:rPr>
              <w:t>PVC板U型卡槽</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94</w:t>
            </w:r>
          </w:p>
        </w:tc>
        <w:tc>
          <w:tcPr>
            <w:tcW w:w="0" w:type="auto"/>
            <w:vAlign w:val="center"/>
          </w:tcPr>
          <w:p>
            <w:pPr>
              <w:pStyle w:val="8"/>
              <w:bidi w:val="0"/>
              <w:rPr>
                <w:rFonts w:hint="default"/>
                <w:lang w:val="en-US" w:eastAsia="zh-CN"/>
              </w:rPr>
            </w:pPr>
            <w:r>
              <w:rPr>
                <w:rFonts w:hint="default"/>
                <w:lang w:val="en-US" w:eastAsia="zh-CN"/>
              </w:rPr>
              <w:t>单PVC板U型卡槽柱</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95</w:t>
            </w:r>
          </w:p>
        </w:tc>
        <w:tc>
          <w:tcPr>
            <w:tcW w:w="0" w:type="auto"/>
            <w:vAlign w:val="center"/>
          </w:tcPr>
          <w:p>
            <w:pPr>
              <w:pStyle w:val="8"/>
              <w:bidi w:val="0"/>
              <w:rPr>
                <w:rFonts w:hint="default"/>
                <w:lang w:val="en-US" w:eastAsia="zh-CN"/>
              </w:rPr>
            </w:pPr>
            <w:r>
              <w:rPr>
                <w:rFonts w:hint="default"/>
                <w:lang w:val="en-US" w:eastAsia="zh-CN"/>
              </w:rPr>
              <w:t>育肥饮水盆</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只</w:t>
            </w:r>
          </w:p>
        </w:tc>
        <w:tc>
          <w:tcPr>
            <w:tcW w:w="0" w:type="auto"/>
            <w:vAlign w:val="center"/>
          </w:tcPr>
          <w:p>
            <w:pPr>
              <w:pStyle w:val="8"/>
              <w:bidi w:val="0"/>
              <w:rPr>
                <w:rFonts w:hint="default"/>
                <w:lang w:val="en-US" w:eastAsia="zh-CN"/>
              </w:rPr>
            </w:pPr>
            <w:r>
              <w:rPr>
                <w:rFonts w:hint="default"/>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96</w:t>
            </w:r>
          </w:p>
        </w:tc>
        <w:tc>
          <w:tcPr>
            <w:tcW w:w="0" w:type="auto"/>
            <w:vAlign w:val="center"/>
          </w:tcPr>
          <w:p>
            <w:pPr>
              <w:pStyle w:val="8"/>
              <w:bidi w:val="0"/>
              <w:rPr>
                <w:rFonts w:hint="default"/>
                <w:lang w:val="en-US" w:eastAsia="zh-CN"/>
              </w:rPr>
            </w:pPr>
            <w:r>
              <w:rPr>
                <w:rFonts w:hint="default"/>
                <w:lang w:val="en-US" w:eastAsia="zh-CN"/>
              </w:rPr>
              <w:t>双面8位分餐饲喂通槽</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97</w:t>
            </w:r>
          </w:p>
        </w:tc>
        <w:tc>
          <w:tcPr>
            <w:tcW w:w="0" w:type="auto"/>
            <w:vAlign w:val="center"/>
          </w:tcPr>
          <w:p>
            <w:pPr>
              <w:pStyle w:val="8"/>
              <w:bidi w:val="0"/>
              <w:rPr>
                <w:rFonts w:hint="default"/>
                <w:lang w:val="en-US" w:eastAsia="zh-CN"/>
              </w:rPr>
            </w:pPr>
            <w:r>
              <w:rPr>
                <w:rFonts w:hint="default"/>
                <w:lang w:val="en-US" w:eastAsia="zh-CN"/>
              </w:rPr>
              <w:t>分餐饲喂器</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98</w:t>
            </w:r>
          </w:p>
        </w:tc>
        <w:tc>
          <w:tcPr>
            <w:tcW w:w="0" w:type="auto"/>
            <w:vAlign w:val="center"/>
          </w:tcPr>
          <w:p>
            <w:pPr>
              <w:pStyle w:val="8"/>
              <w:bidi w:val="0"/>
              <w:rPr>
                <w:rFonts w:hint="default"/>
                <w:lang w:val="en-US" w:eastAsia="zh-CN"/>
              </w:rPr>
            </w:pPr>
            <w:r>
              <w:rPr>
                <w:rFonts w:hint="default"/>
                <w:lang w:val="en-US" w:eastAsia="zh-CN"/>
              </w:rPr>
              <w:t>A型检修口盖子</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99</w:t>
            </w:r>
          </w:p>
        </w:tc>
        <w:tc>
          <w:tcPr>
            <w:tcW w:w="0" w:type="auto"/>
            <w:vAlign w:val="center"/>
          </w:tcPr>
          <w:p>
            <w:pPr>
              <w:pStyle w:val="8"/>
              <w:bidi w:val="0"/>
              <w:rPr>
                <w:rFonts w:hint="default"/>
                <w:lang w:val="en-US" w:eastAsia="zh-CN"/>
              </w:rPr>
            </w:pPr>
            <w:r>
              <w:rPr>
                <w:rFonts w:hint="default"/>
                <w:lang w:val="en-US" w:eastAsia="zh-CN"/>
              </w:rPr>
              <w:t>死猪推车</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台</w:t>
            </w:r>
          </w:p>
        </w:tc>
        <w:tc>
          <w:tcPr>
            <w:tcW w:w="0" w:type="auto"/>
            <w:vAlign w:val="center"/>
          </w:tcPr>
          <w:p>
            <w:pPr>
              <w:pStyle w:val="8"/>
              <w:bidi w:val="0"/>
              <w:rPr>
                <w:rFonts w:hint="default"/>
                <w:lang w:val="en-US" w:eastAsia="zh-CN"/>
              </w:rPr>
            </w:pPr>
            <w:r>
              <w:rPr>
                <w:rFonts w:hint="defaul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100</w:t>
            </w:r>
          </w:p>
        </w:tc>
        <w:tc>
          <w:tcPr>
            <w:tcW w:w="0" w:type="auto"/>
            <w:vAlign w:val="center"/>
          </w:tcPr>
          <w:p>
            <w:pPr>
              <w:pStyle w:val="8"/>
              <w:bidi w:val="0"/>
              <w:rPr>
                <w:rFonts w:hint="default"/>
                <w:lang w:val="en-US" w:eastAsia="zh-CN"/>
              </w:rPr>
            </w:pPr>
            <w:r>
              <w:rPr>
                <w:rFonts w:hint="default"/>
                <w:lang w:val="en-US" w:eastAsia="zh-CN"/>
              </w:rPr>
              <w:t>冷水高压（一出二）清洗机</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台</w:t>
            </w:r>
          </w:p>
        </w:tc>
        <w:tc>
          <w:tcPr>
            <w:tcW w:w="0" w:type="auto"/>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101</w:t>
            </w:r>
          </w:p>
        </w:tc>
        <w:tc>
          <w:tcPr>
            <w:tcW w:w="0" w:type="auto"/>
            <w:vAlign w:val="center"/>
          </w:tcPr>
          <w:p>
            <w:pPr>
              <w:pStyle w:val="8"/>
              <w:bidi w:val="0"/>
              <w:rPr>
                <w:rFonts w:hint="default"/>
                <w:lang w:val="en-US" w:eastAsia="zh-CN"/>
              </w:rPr>
            </w:pPr>
            <w:r>
              <w:rPr>
                <w:rFonts w:hint="default"/>
                <w:lang w:val="en-US" w:eastAsia="zh-CN"/>
              </w:rPr>
              <w:t>36恒速风机</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台</w:t>
            </w:r>
          </w:p>
        </w:tc>
        <w:tc>
          <w:tcPr>
            <w:tcW w:w="0" w:type="auto"/>
            <w:vAlign w:val="center"/>
          </w:tcPr>
          <w:p>
            <w:pPr>
              <w:pStyle w:val="8"/>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102</w:t>
            </w:r>
          </w:p>
        </w:tc>
        <w:tc>
          <w:tcPr>
            <w:tcW w:w="0" w:type="auto"/>
            <w:vAlign w:val="center"/>
          </w:tcPr>
          <w:p>
            <w:pPr>
              <w:pStyle w:val="8"/>
              <w:bidi w:val="0"/>
              <w:rPr>
                <w:rFonts w:hint="default"/>
                <w:lang w:val="en-US" w:eastAsia="zh-CN"/>
              </w:rPr>
            </w:pPr>
            <w:r>
              <w:rPr>
                <w:rFonts w:hint="default"/>
                <w:lang w:val="en-US" w:eastAsia="zh-CN"/>
              </w:rPr>
              <w:t>36变频风机</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台</w:t>
            </w:r>
          </w:p>
        </w:tc>
        <w:tc>
          <w:tcPr>
            <w:tcW w:w="0" w:type="auto"/>
            <w:vAlign w:val="center"/>
          </w:tcPr>
          <w:p>
            <w:pPr>
              <w:pStyle w:val="8"/>
              <w:bidi w:val="0"/>
              <w:rPr>
                <w:rFonts w:hint="default"/>
                <w:lang w:val="en-US" w:eastAsia="zh-CN"/>
              </w:rPr>
            </w:pPr>
            <w:r>
              <w:rPr>
                <w:rFonts w:hint="defaul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103</w:t>
            </w:r>
          </w:p>
        </w:tc>
        <w:tc>
          <w:tcPr>
            <w:tcW w:w="0" w:type="auto"/>
            <w:vAlign w:val="center"/>
          </w:tcPr>
          <w:p>
            <w:pPr>
              <w:pStyle w:val="8"/>
              <w:bidi w:val="0"/>
              <w:rPr>
                <w:rFonts w:hint="default"/>
                <w:lang w:val="en-US" w:eastAsia="zh-CN"/>
              </w:rPr>
            </w:pPr>
            <w:r>
              <w:rPr>
                <w:rFonts w:hint="default"/>
                <w:lang w:val="en-US" w:eastAsia="zh-CN"/>
              </w:rPr>
              <w:t>55恒速风机</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台</w:t>
            </w:r>
          </w:p>
        </w:tc>
        <w:tc>
          <w:tcPr>
            <w:tcW w:w="0" w:type="auto"/>
            <w:vAlign w:val="center"/>
          </w:tcPr>
          <w:p>
            <w:pPr>
              <w:pStyle w:val="8"/>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104</w:t>
            </w:r>
          </w:p>
        </w:tc>
        <w:tc>
          <w:tcPr>
            <w:tcW w:w="0" w:type="auto"/>
            <w:vAlign w:val="center"/>
          </w:tcPr>
          <w:p>
            <w:pPr>
              <w:pStyle w:val="8"/>
              <w:bidi w:val="0"/>
              <w:rPr>
                <w:rFonts w:hint="default"/>
                <w:lang w:val="en-US" w:eastAsia="zh-CN"/>
              </w:rPr>
            </w:pPr>
            <w:r>
              <w:rPr>
                <w:rFonts w:hint="default"/>
                <w:lang w:val="en-US" w:eastAsia="zh-CN"/>
              </w:rPr>
              <w:t>湿帘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平方</w:t>
            </w:r>
          </w:p>
        </w:tc>
        <w:tc>
          <w:tcPr>
            <w:tcW w:w="0" w:type="auto"/>
            <w:vAlign w:val="center"/>
          </w:tcPr>
          <w:p>
            <w:pPr>
              <w:pStyle w:val="8"/>
              <w:bidi w:val="0"/>
              <w:rPr>
                <w:rFonts w:hint="default"/>
                <w:lang w:val="en-US" w:eastAsia="zh-CN"/>
              </w:rPr>
            </w:pPr>
            <w:r>
              <w:rPr>
                <w:rFonts w:hint="default"/>
                <w:lang w:val="en-US" w:eastAsia="zh-CN"/>
              </w:rPr>
              <w:t>75.08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105</w:t>
            </w:r>
          </w:p>
        </w:tc>
        <w:tc>
          <w:tcPr>
            <w:tcW w:w="0" w:type="auto"/>
            <w:vAlign w:val="center"/>
          </w:tcPr>
          <w:p>
            <w:pPr>
              <w:pStyle w:val="8"/>
              <w:bidi w:val="0"/>
              <w:rPr>
                <w:rFonts w:hint="default"/>
                <w:lang w:val="en-US" w:eastAsia="zh-CN"/>
              </w:rPr>
            </w:pPr>
            <w:r>
              <w:rPr>
                <w:rFonts w:hint="default"/>
                <w:lang w:val="en-US" w:eastAsia="zh-CN"/>
              </w:rPr>
              <w:t>卷帘布</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平方</w:t>
            </w:r>
          </w:p>
        </w:tc>
        <w:tc>
          <w:tcPr>
            <w:tcW w:w="0" w:type="auto"/>
            <w:vAlign w:val="center"/>
          </w:tcPr>
          <w:p>
            <w:pPr>
              <w:pStyle w:val="8"/>
              <w:bidi w:val="0"/>
              <w:rPr>
                <w:rFonts w:hint="default"/>
                <w:lang w:val="en-US" w:eastAsia="zh-CN"/>
              </w:rPr>
            </w:pPr>
            <w:r>
              <w:rPr>
                <w:rFonts w:hint="default"/>
                <w:lang w:val="en-US" w:eastAsia="zh-CN"/>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106</w:t>
            </w:r>
          </w:p>
        </w:tc>
        <w:tc>
          <w:tcPr>
            <w:tcW w:w="0" w:type="auto"/>
            <w:vAlign w:val="center"/>
          </w:tcPr>
          <w:p>
            <w:pPr>
              <w:pStyle w:val="8"/>
              <w:bidi w:val="0"/>
              <w:rPr>
                <w:rFonts w:hint="default"/>
                <w:lang w:val="en-US" w:eastAsia="zh-CN"/>
              </w:rPr>
            </w:pPr>
            <w:r>
              <w:rPr>
                <w:rFonts w:hint="default"/>
                <w:lang w:val="en-US" w:eastAsia="zh-CN"/>
              </w:rPr>
              <w:t>布风管</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107</w:t>
            </w:r>
          </w:p>
        </w:tc>
        <w:tc>
          <w:tcPr>
            <w:tcW w:w="0" w:type="auto"/>
            <w:vAlign w:val="center"/>
          </w:tcPr>
          <w:p>
            <w:pPr>
              <w:pStyle w:val="8"/>
              <w:bidi w:val="0"/>
              <w:rPr>
                <w:rFonts w:hint="default"/>
                <w:lang w:val="en-US" w:eastAsia="zh-CN"/>
              </w:rPr>
            </w:pPr>
            <w:r>
              <w:rPr>
                <w:rFonts w:hint="default"/>
                <w:lang w:val="en-US" w:eastAsia="zh-CN"/>
              </w:rPr>
              <w:t>布风管密封棉帘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108</w:t>
            </w:r>
          </w:p>
        </w:tc>
        <w:tc>
          <w:tcPr>
            <w:tcW w:w="0" w:type="auto"/>
            <w:vAlign w:val="center"/>
          </w:tcPr>
          <w:p>
            <w:pPr>
              <w:pStyle w:val="8"/>
              <w:bidi w:val="0"/>
              <w:rPr>
                <w:rFonts w:hint="default"/>
                <w:lang w:val="en-US" w:eastAsia="zh-CN"/>
              </w:rPr>
            </w:pPr>
            <w:r>
              <w:rPr>
                <w:rFonts w:hint="default"/>
                <w:lang w:val="en-US" w:eastAsia="zh-CN"/>
              </w:rPr>
              <w:t>进风管防鸟网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109</w:t>
            </w:r>
          </w:p>
        </w:tc>
        <w:tc>
          <w:tcPr>
            <w:tcW w:w="0" w:type="auto"/>
            <w:vAlign w:val="center"/>
          </w:tcPr>
          <w:p>
            <w:pPr>
              <w:pStyle w:val="8"/>
              <w:bidi w:val="0"/>
              <w:rPr>
                <w:rFonts w:hint="default"/>
                <w:lang w:val="en-US" w:eastAsia="zh-CN"/>
              </w:rPr>
            </w:pPr>
            <w:r>
              <w:rPr>
                <w:rFonts w:hint="default"/>
                <w:lang w:val="en-US" w:eastAsia="zh-CN"/>
              </w:rPr>
              <w:t>55风机拢风筒回风袋</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个</w:t>
            </w:r>
          </w:p>
        </w:tc>
        <w:tc>
          <w:tcPr>
            <w:tcW w:w="0" w:type="auto"/>
            <w:vAlign w:val="center"/>
          </w:tcPr>
          <w:p>
            <w:pPr>
              <w:pStyle w:val="8"/>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110</w:t>
            </w:r>
          </w:p>
        </w:tc>
        <w:tc>
          <w:tcPr>
            <w:tcW w:w="0" w:type="auto"/>
            <w:vAlign w:val="center"/>
          </w:tcPr>
          <w:p>
            <w:pPr>
              <w:pStyle w:val="8"/>
              <w:bidi w:val="0"/>
              <w:rPr>
                <w:rFonts w:hint="default"/>
                <w:lang w:val="en-US" w:eastAsia="zh-CN"/>
              </w:rPr>
            </w:pPr>
            <w:r>
              <w:rPr>
                <w:rFonts w:hint="default"/>
                <w:lang w:val="en-US" w:eastAsia="zh-CN"/>
              </w:rPr>
              <w:t>36风机拢风筒回风罩</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个</w:t>
            </w:r>
          </w:p>
        </w:tc>
        <w:tc>
          <w:tcPr>
            <w:tcW w:w="0" w:type="auto"/>
            <w:vAlign w:val="center"/>
          </w:tcPr>
          <w:p>
            <w:pPr>
              <w:pStyle w:val="8"/>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111</w:t>
            </w:r>
          </w:p>
        </w:tc>
        <w:tc>
          <w:tcPr>
            <w:tcW w:w="0" w:type="auto"/>
            <w:vAlign w:val="center"/>
          </w:tcPr>
          <w:p>
            <w:pPr>
              <w:pStyle w:val="8"/>
              <w:bidi w:val="0"/>
              <w:rPr>
                <w:rFonts w:hint="default"/>
                <w:lang w:val="en-US" w:eastAsia="zh-CN"/>
              </w:rPr>
            </w:pPr>
            <w:r>
              <w:rPr>
                <w:rFonts w:hint="default"/>
                <w:lang w:val="en-US" w:eastAsia="zh-CN"/>
              </w:rPr>
              <w:t>保温橡塑棉帘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平方</w:t>
            </w:r>
          </w:p>
        </w:tc>
        <w:tc>
          <w:tcPr>
            <w:tcW w:w="0" w:type="auto"/>
            <w:vAlign w:val="center"/>
          </w:tcPr>
          <w:p>
            <w:pPr>
              <w:pStyle w:val="8"/>
              <w:bidi w:val="0"/>
              <w:rPr>
                <w:rFonts w:hint="default"/>
                <w:lang w:val="en-US" w:eastAsia="zh-CN"/>
              </w:rPr>
            </w:pPr>
            <w:r>
              <w:rPr>
                <w:rFonts w:hint="default"/>
                <w:lang w:val="en-US"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112</w:t>
            </w:r>
          </w:p>
        </w:tc>
        <w:tc>
          <w:tcPr>
            <w:tcW w:w="0" w:type="auto"/>
            <w:vAlign w:val="center"/>
          </w:tcPr>
          <w:p>
            <w:pPr>
              <w:pStyle w:val="8"/>
              <w:bidi w:val="0"/>
              <w:rPr>
                <w:rFonts w:hint="default"/>
                <w:lang w:val="en-US" w:eastAsia="zh-CN"/>
              </w:rPr>
            </w:pPr>
            <w:r>
              <w:rPr>
                <w:rFonts w:hint="default"/>
                <w:lang w:val="en-US" w:eastAsia="zh-CN"/>
              </w:rPr>
              <w:t>挡风隔断</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平方</w:t>
            </w:r>
          </w:p>
        </w:tc>
        <w:tc>
          <w:tcPr>
            <w:tcW w:w="0" w:type="auto"/>
            <w:vAlign w:val="center"/>
          </w:tcPr>
          <w:p>
            <w:pPr>
              <w:pStyle w:val="8"/>
              <w:bidi w:val="0"/>
              <w:rPr>
                <w:rFonts w:hint="default"/>
                <w:lang w:val="en-US" w:eastAsia="zh-CN"/>
              </w:rPr>
            </w:pPr>
            <w:r>
              <w:rPr>
                <w:rFonts w:hint="default"/>
                <w:lang w:val="en-US" w:eastAsia="zh-CN"/>
              </w:rPr>
              <w:t>229.4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113</w:t>
            </w:r>
          </w:p>
        </w:tc>
        <w:tc>
          <w:tcPr>
            <w:tcW w:w="0" w:type="auto"/>
            <w:vAlign w:val="center"/>
          </w:tcPr>
          <w:p>
            <w:pPr>
              <w:pStyle w:val="8"/>
              <w:bidi w:val="0"/>
              <w:rPr>
                <w:rFonts w:hint="default"/>
                <w:lang w:val="en-US" w:eastAsia="zh-CN"/>
              </w:rPr>
            </w:pPr>
            <w:r>
              <w:rPr>
                <w:rFonts w:hint="default"/>
                <w:lang w:val="en-US" w:eastAsia="zh-CN"/>
              </w:rPr>
              <w:t>防蚊网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平方</w:t>
            </w:r>
          </w:p>
        </w:tc>
        <w:tc>
          <w:tcPr>
            <w:tcW w:w="0" w:type="auto"/>
            <w:vAlign w:val="center"/>
          </w:tcPr>
          <w:p>
            <w:pPr>
              <w:pStyle w:val="8"/>
              <w:bidi w:val="0"/>
              <w:rPr>
                <w:rFonts w:hint="default"/>
                <w:lang w:val="en-US" w:eastAsia="zh-CN"/>
              </w:rPr>
            </w:pPr>
            <w:r>
              <w:rPr>
                <w:rFonts w:hint="default"/>
                <w:lang w:val="en-US" w:eastAsia="zh-CN"/>
              </w:rPr>
              <w:t>86.76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114</w:t>
            </w:r>
          </w:p>
        </w:tc>
        <w:tc>
          <w:tcPr>
            <w:tcW w:w="0" w:type="auto"/>
            <w:vAlign w:val="center"/>
          </w:tcPr>
          <w:p>
            <w:pPr>
              <w:pStyle w:val="8"/>
              <w:bidi w:val="0"/>
              <w:rPr>
                <w:rFonts w:hint="default"/>
                <w:lang w:val="en-US" w:eastAsia="zh-CN"/>
              </w:rPr>
            </w:pPr>
            <w:r>
              <w:rPr>
                <w:rFonts w:hint="default"/>
                <w:lang w:val="en-US" w:eastAsia="zh-CN"/>
              </w:rPr>
              <w:t>内撑钢丝网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平方</w:t>
            </w:r>
          </w:p>
        </w:tc>
        <w:tc>
          <w:tcPr>
            <w:tcW w:w="0" w:type="auto"/>
            <w:vAlign w:val="center"/>
          </w:tcPr>
          <w:p>
            <w:pPr>
              <w:pStyle w:val="8"/>
              <w:bidi w:val="0"/>
              <w:rPr>
                <w:rFonts w:hint="default"/>
                <w:lang w:val="en-US" w:eastAsia="zh-CN"/>
              </w:rPr>
            </w:pPr>
            <w:r>
              <w:rPr>
                <w:rFonts w:hint="default"/>
                <w:lang w:val="en-US" w:eastAsia="zh-CN"/>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115</w:t>
            </w:r>
          </w:p>
        </w:tc>
        <w:tc>
          <w:tcPr>
            <w:tcW w:w="0" w:type="auto"/>
            <w:vAlign w:val="center"/>
          </w:tcPr>
          <w:p>
            <w:pPr>
              <w:pStyle w:val="8"/>
              <w:bidi w:val="0"/>
              <w:rPr>
                <w:rFonts w:hint="default"/>
                <w:lang w:val="en-US" w:eastAsia="zh-CN"/>
              </w:rPr>
            </w:pPr>
            <w:r>
              <w:rPr>
                <w:rFonts w:hint="default"/>
                <w:lang w:val="en-US" w:eastAsia="zh-CN"/>
              </w:rPr>
              <w:t>55风机密封棉帘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116</w:t>
            </w:r>
          </w:p>
        </w:tc>
        <w:tc>
          <w:tcPr>
            <w:tcW w:w="0" w:type="auto"/>
            <w:vAlign w:val="center"/>
          </w:tcPr>
          <w:p>
            <w:pPr>
              <w:pStyle w:val="8"/>
              <w:bidi w:val="0"/>
              <w:rPr>
                <w:rFonts w:hint="default"/>
                <w:lang w:val="en-US" w:eastAsia="zh-CN"/>
              </w:rPr>
            </w:pPr>
            <w:r>
              <w:rPr>
                <w:rFonts w:hint="default"/>
                <w:lang w:val="en-US" w:eastAsia="zh-CN"/>
              </w:rPr>
              <w:t>36风机密封棉帘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117</w:t>
            </w:r>
          </w:p>
        </w:tc>
        <w:tc>
          <w:tcPr>
            <w:tcW w:w="0" w:type="auto"/>
            <w:vAlign w:val="center"/>
          </w:tcPr>
          <w:p>
            <w:pPr>
              <w:pStyle w:val="8"/>
              <w:bidi w:val="0"/>
              <w:rPr>
                <w:rFonts w:hint="default"/>
                <w:lang w:val="en-US" w:eastAsia="zh-CN"/>
              </w:rPr>
            </w:pPr>
            <w:r>
              <w:rPr>
                <w:rFonts w:hint="default"/>
                <w:lang w:val="en-US" w:eastAsia="zh-CN"/>
              </w:rPr>
              <w:t>7T镀锌板料塔+安装附件</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118</w:t>
            </w:r>
          </w:p>
        </w:tc>
        <w:tc>
          <w:tcPr>
            <w:tcW w:w="0" w:type="auto"/>
            <w:vAlign w:val="center"/>
          </w:tcPr>
          <w:p>
            <w:pPr>
              <w:pStyle w:val="8"/>
              <w:bidi w:val="0"/>
              <w:rPr>
                <w:rFonts w:hint="default"/>
                <w:lang w:val="en-US" w:eastAsia="zh-CN"/>
              </w:rPr>
            </w:pPr>
            <w:r>
              <w:rPr>
                <w:rFonts w:hint="default"/>
                <w:lang w:val="en-US" w:eastAsia="zh-CN"/>
              </w:rPr>
              <w:t>2.5T镀锌板料塔+安装附件</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119</w:t>
            </w:r>
          </w:p>
        </w:tc>
        <w:tc>
          <w:tcPr>
            <w:tcW w:w="0" w:type="auto"/>
            <w:vAlign w:val="center"/>
          </w:tcPr>
          <w:p>
            <w:pPr>
              <w:pStyle w:val="8"/>
              <w:bidi w:val="0"/>
              <w:rPr>
                <w:rFonts w:hint="default"/>
                <w:lang w:val="en-US" w:eastAsia="zh-CN"/>
              </w:rPr>
            </w:pPr>
            <w:r>
              <w:rPr>
                <w:rFonts w:hint="default"/>
                <w:lang w:val="en-US" w:eastAsia="zh-CN"/>
              </w:rPr>
              <w:t>75螺旋绞龙</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120</w:t>
            </w:r>
          </w:p>
        </w:tc>
        <w:tc>
          <w:tcPr>
            <w:tcW w:w="0" w:type="auto"/>
            <w:vAlign w:val="center"/>
          </w:tcPr>
          <w:p>
            <w:pPr>
              <w:pStyle w:val="8"/>
              <w:bidi w:val="0"/>
              <w:rPr>
                <w:rFonts w:hint="default"/>
                <w:lang w:val="en-US" w:eastAsia="zh-CN"/>
              </w:rPr>
            </w:pPr>
            <w:r>
              <w:rPr>
                <w:rFonts w:hint="default"/>
                <w:lang w:val="en-US" w:eastAsia="zh-CN"/>
              </w:rPr>
              <w:t>75螺旋绞龙PVC套管+PVC直接</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0" w:type="auto"/>
            <w:vAlign w:val="center"/>
          </w:tcPr>
          <w:p>
            <w:pPr>
              <w:pStyle w:val="8"/>
              <w:bidi w:val="0"/>
              <w:rPr>
                <w:rFonts w:hint="default"/>
                <w:lang w:val="en-US" w:eastAsia="zh-CN"/>
              </w:rPr>
            </w:pPr>
            <w:r>
              <w:rPr>
                <w:rFonts w:hint="eastAsia"/>
                <w:lang w:val="en-US" w:eastAsia="zh-CN"/>
              </w:rPr>
              <w:t>121</w:t>
            </w:r>
          </w:p>
        </w:tc>
        <w:tc>
          <w:tcPr>
            <w:tcW w:w="0" w:type="auto"/>
            <w:vAlign w:val="center"/>
          </w:tcPr>
          <w:p>
            <w:pPr>
              <w:pStyle w:val="8"/>
              <w:bidi w:val="0"/>
              <w:rPr>
                <w:rFonts w:hint="default"/>
                <w:lang w:val="en-US" w:eastAsia="zh-CN"/>
              </w:rPr>
            </w:pPr>
            <w:r>
              <w:rPr>
                <w:rFonts w:hint="default"/>
                <w:lang w:val="en-US" w:eastAsia="zh-CN"/>
              </w:rPr>
              <w:t>75驱动装置（含安装配件）+堵料传感器（行程开关）</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122</w:t>
            </w:r>
          </w:p>
        </w:tc>
        <w:tc>
          <w:tcPr>
            <w:tcW w:w="0" w:type="auto"/>
            <w:vAlign w:val="center"/>
          </w:tcPr>
          <w:p>
            <w:pPr>
              <w:pStyle w:val="8"/>
              <w:bidi w:val="0"/>
              <w:rPr>
                <w:rFonts w:hint="default"/>
                <w:lang w:val="en-US" w:eastAsia="zh-CN"/>
              </w:rPr>
            </w:pPr>
            <w:r>
              <w:rPr>
                <w:rFonts w:hint="default"/>
                <w:lang w:val="en-US" w:eastAsia="zh-CN"/>
              </w:rPr>
              <w:t>绞龙轴头尾轴φ75</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 xml:space="preserve"> </w:t>
            </w:r>
          </w:p>
        </w:tc>
        <w:tc>
          <w:tcPr>
            <w:tcW w:w="0" w:type="auto"/>
            <w:vAlign w:val="center"/>
          </w:tcPr>
          <w:p>
            <w:pPr>
              <w:pStyle w:val="8"/>
              <w:bidi w:val="0"/>
              <w:rPr>
                <w:rFonts w:hint="default"/>
                <w:lang w:val="en-US" w:eastAsia="zh-CN"/>
              </w:rPr>
            </w:pPr>
            <w:r>
              <w:rPr>
                <w:rFonts w:hint="defaul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123</w:t>
            </w:r>
          </w:p>
        </w:tc>
        <w:tc>
          <w:tcPr>
            <w:tcW w:w="0" w:type="auto"/>
            <w:vAlign w:val="center"/>
          </w:tcPr>
          <w:p>
            <w:pPr>
              <w:pStyle w:val="8"/>
              <w:bidi w:val="0"/>
              <w:rPr>
                <w:rFonts w:hint="default"/>
                <w:lang w:val="en-US" w:eastAsia="zh-CN"/>
              </w:rPr>
            </w:pPr>
            <w:r>
              <w:rPr>
                <w:rFonts w:hint="default"/>
                <w:lang w:val="en-US" w:eastAsia="zh-CN"/>
              </w:rPr>
              <w:t>φ60塞盘</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124</w:t>
            </w:r>
          </w:p>
        </w:tc>
        <w:tc>
          <w:tcPr>
            <w:tcW w:w="0" w:type="auto"/>
            <w:vAlign w:val="center"/>
          </w:tcPr>
          <w:p>
            <w:pPr>
              <w:pStyle w:val="8"/>
              <w:bidi w:val="0"/>
              <w:rPr>
                <w:rFonts w:hint="default"/>
                <w:lang w:val="en-US" w:eastAsia="zh-CN"/>
              </w:rPr>
            </w:pPr>
            <w:r>
              <w:rPr>
                <w:rFonts w:hint="default"/>
                <w:lang w:val="en-US" w:eastAsia="zh-CN"/>
              </w:rPr>
              <w:t>φ60输料管+透明管</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米</w:t>
            </w:r>
          </w:p>
        </w:tc>
        <w:tc>
          <w:tcPr>
            <w:tcW w:w="0" w:type="auto"/>
            <w:vAlign w:val="center"/>
          </w:tcPr>
          <w:p>
            <w:pPr>
              <w:pStyle w:val="8"/>
              <w:bidi w:val="0"/>
              <w:rPr>
                <w:rFonts w:hint="default"/>
                <w:lang w:val="en-US" w:eastAsia="zh-CN"/>
              </w:rPr>
            </w:pPr>
            <w:r>
              <w:rPr>
                <w:rFonts w:hint="default"/>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125</w:t>
            </w:r>
          </w:p>
        </w:tc>
        <w:tc>
          <w:tcPr>
            <w:tcW w:w="0" w:type="auto"/>
            <w:vAlign w:val="center"/>
          </w:tcPr>
          <w:p>
            <w:pPr>
              <w:pStyle w:val="8"/>
              <w:bidi w:val="0"/>
              <w:rPr>
                <w:rFonts w:hint="default"/>
                <w:lang w:val="en-US" w:eastAsia="zh-CN"/>
              </w:rPr>
            </w:pPr>
            <w:r>
              <w:rPr>
                <w:rFonts w:hint="default"/>
                <w:lang w:val="en-US" w:eastAsia="zh-CN"/>
              </w:rPr>
              <w:t>φ60输料管连接抱箍</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个</w:t>
            </w:r>
          </w:p>
        </w:tc>
        <w:tc>
          <w:tcPr>
            <w:tcW w:w="0" w:type="auto"/>
            <w:vAlign w:val="center"/>
          </w:tcPr>
          <w:p>
            <w:pPr>
              <w:pStyle w:val="8"/>
              <w:bidi w:val="0"/>
              <w:rPr>
                <w:rFonts w:hint="default"/>
                <w:lang w:val="en-US" w:eastAsia="zh-CN"/>
              </w:rPr>
            </w:pPr>
            <w:r>
              <w:rPr>
                <w:rFonts w:hint="default"/>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126</w:t>
            </w:r>
          </w:p>
        </w:tc>
        <w:tc>
          <w:tcPr>
            <w:tcW w:w="0" w:type="auto"/>
            <w:vAlign w:val="center"/>
          </w:tcPr>
          <w:p>
            <w:pPr>
              <w:pStyle w:val="8"/>
              <w:bidi w:val="0"/>
              <w:rPr>
                <w:rFonts w:hint="default"/>
                <w:lang w:val="en-US" w:eastAsia="zh-CN"/>
              </w:rPr>
            </w:pPr>
            <w:r>
              <w:rPr>
                <w:rFonts w:hint="default"/>
                <w:lang w:val="en-US" w:eastAsia="zh-CN"/>
              </w:rPr>
              <w:t>塞盘驱动装置，功率：1.5KW</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127</w:t>
            </w:r>
          </w:p>
        </w:tc>
        <w:tc>
          <w:tcPr>
            <w:tcW w:w="0" w:type="auto"/>
            <w:vAlign w:val="center"/>
          </w:tcPr>
          <w:p>
            <w:pPr>
              <w:pStyle w:val="8"/>
              <w:bidi w:val="0"/>
              <w:rPr>
                <w:rFonts w:hint="default"/>
                <w:lang w:val="en-US" w:eastAsia="zh-CN"/>
              </w:rPr>
            </w:pPr>
            <w:r>
              <w:rPr>
                <w:rFonts w:hint="default"/>
                <w:lang w:val="en-US" w:eastAsia="zh-CN"/>
              </w:rPr>
              <w:t>转角轮</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128</w:t>
            </w:r>
          </w:p>
        </w:tc>
        <w:tc>
          <w:tcPr>
            <w:tcW w:w="0" w:type="auto"/>
            <w:vAlign w:val="center"/>
          </w:tcPr>
          <w:p>
            <w:pPr>
              <w:pStyle w:val="8"/>
              <w:bidi w:val="0"/>
              <w:rPr>
                <w:rFonts w:hint="default"/>
                <w:lang w:val="en-US" w:eastAsia="zh-CN"/>
              </w:rPr>
            </w:pPr>
            <w:r>
              <w:rPr>
                <w:rFonts w:hint="default"/>
                <w:lang w:val="en-US" w:eastAsia="zh-CN"/>
              </w:rPr>
              <w:t>料塔底部变形口（含闸门）</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0" w:type="auto"/>
            <w:vAlign w:val="center"/>
          </w:tcPr>
          <w:p>
            <w:pPr>
              <w:pStyle w:val="8"/>
              <w:bidi w:val="0"/>
              <w:rPr>
                <w:rFonts w:hint="default"/>
                <w:lang w:val="en-US" w:eastAsia="zh-CN"/>
              </w:rPr>
            </w:pPr>
            <w:r>
              <w:rPr>
                <w:rFonts w:hint="eastAsia"/>
                <w:lang w:val="en-US" w:eastAsia="zh-CN"/>
              </w:rPr>
              <w:t>129</w:t>
            </w:r>
          </w:p>
        </w:tc>
        <w:tc>
          <w:tcPr>
            <w:tcW w:w="0" w:type="auto"/>
            <w:vAlign w:val="center"/>
          </w:tcPr>
          <w:p>
            <w:pPr>
              <w:pStyle w:val="8"/>
              <w:bidi w:val="0"/>
              <w:rPr>
                <w:rFonts w:hint="default"/>
                <w:lang w:val="en-US" w:eastAsia="zh-CN"/>
              </w:rPr>
            </w:pPr>
            <w:r>
              <w:rPr>
                <w:rFonts w:hint="default"/>
                <w:lang w:val="en-US" w:eastAsia="zh-CN"/>
              </w:rPr>
              <w:t>动力型输出单出口 304不锈钢箱体，厚1.2mm（1料塔1绞龙）</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130</w:t>
            </w:r>
          </w:p>
        </w:tc>
        <w:tc>
          <w:tcPr>
            <w:tcW w:w="0" w:type="auto"/>
            <w:vAlign w:val="center"/>
          </w:tcPr>
          <w:p>
            <w:pPr>
              <w:pStyle w:val="8"/>
              <w:bidi w:val="0"/>
              <w:rPr>
                <w:rFonts w:hint="default"/>
                <w:lang w:val="en-US" w:eastAsia="zh-CN"/>
              </w:rPr>
            </w:pPr>
            <w:r>
              <w:rPr>
                <w:rFonts w:hint="default"/>
                <w:lang w:val="en-US" w:eastAsia="zh-CN"/>
              </w:rPr>
              <w:t>料位传感器，进口产品，含安装配件</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131</w:t>
            </w:r>
          </w:p>
        </w:tc>
        <w:tc>
          <w:tcPr>
            <w:tcW w:w="0" w:type="auto"/>
            <w:vAlign w:val="center"/>
          </w:tcPr>
          <w:p>
            <w:pPr>
              <w:pStyle w:val="8"/>
              <w:bidi w:val="0"/>
              <w:rPr>
                <w:rFonts w:hint="default"/>
                <w:lang w:val="en-US" w:eastAsia="zh-CN"/>
              </w:rPr>
            </w:pPr>
            <w:r>
              <w:rPr>
                <w:rFonts w:hint="default"/>
                <w:lang w:val="en-US" w:eastAsia="zh-CN"/>
              </w:rPr>
              <w:t>200*200MM*φ75/60（电机端下料斗）</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132</w:t>
            </w:r>
          </w:p>
        </w:tc>
        <w:tc>
          <w:tcPr>
            <w:tcW w:w="0" w:type="auto"/>
            <w:vAlign w:val="center"/>
          </w:tcPr>
          <w:p>
            <w:pPr>
              <w:pStyle w:val="8"/>
              <w:bidi w:val="0"/>
              <w:rPr>
                <w:rFonts w:hint="default"/>
                <w:lang w:val="en-US" w:eastAsia="zh-CN"/>
              </w:rPr>
            </w:pPr>
            <w:r>
              <w:rPr>
                <w:rFonts w:hint="default"/>
                <w:lang w:val="en-US" w:eastAsia="zh-CN"/>
              </w:rPr>
              <w:t>三通下料器</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133</w:t>
            </w:r>
          </w:p>
        </w:tc>
        <w:tc>
          <w:tcPr>
            <w:tcW w:w="0" w:type="auto"/>
            <w:vAlign w:val="center"/>
          </w:tcPr>
          <w:p>
            <w:pPr>
              <w:pStyle w:val="8"/>
              <w:bidi w:val="0"/>
              <w:rPr>
                <w:rFonts w:hint="default"/>
                <w:lang w:val="en-US" w:eastAsia="zh-CN"/>
              </w:rPr>
            </w:pPr>
            <w:r>
              <w:rPr>
                <w:rFonts w:hint="default"/>
                <w:lang w:val="en-US" w:eastAsia="zh-CN"/>
              </w:rPr>
              <w:t>副绞龙龙门架支撑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134</w:t>
            </w:r>
          </w:p>
        </w:tc>
        <w:tc>
          <w:tcPr>
            <w:tcW w:w="0" w:type="auto"/>
            <w:vAlign w:val="center"/>
          </w:tcPr>
          <w:p>
            <w:pPr>
              <w:pStyle w:val="8"/>
              <w:bidi w:val="0"/>
              <w:rPr>
                <w:rFonts w:hint="default"/>
                <w:lang w:val="en-US" w:eastAsia="zh-CN"/>
              </w:rPr>
            </w:pPr>
            <w:r>
              <w:rPr>
                <w:rFonts w:hint="default"/>
                <w:lang w:val="en-US" w:eastAsia="zh-CN"/>
              </w:rPr>
              <w:t>主绞龙龙门架支撑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135</w:t>
            </w:r>
          </w:p>
        </w:tc>
        <w:tc>
          <w:tcPr>
            <w:tcW w:w="0" w:type="auto"/>
            <w:vAlign w:val="center"/>
          </w:tcPr>
          <w:p>
            <w:pPr>
              <w:pStyle w:val="8"/>
              <w:bidi w:val="0"/>
              <w:rPr>
                <w:rFonts w:hint="default"/>
                <w:lang w:val="en-US" w:eastAsia="zh-CN"/>
              </w:rPr>
            </w:pPr>
            <w:r>
              <w:rPr>
                <w:rFonts w:hint="default"/>
                <w:lang w:val="en-US" w:eastAsia="zh-CN"/>
              </w:rPr>
              <w:t>绞龙电机龙门架支撑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136</w:t>
            </w:r>
          </w:p>
        </w:tc>
        <w:tc>
          <w:tcPr>
            <w:tcW w:w="0" w:type="auto"/>
            <w:vAlign w:val="center"/>
          </w:tcPr>
          <w:p>
            <w:pPr>
              <w:pStyle w:val="8"/>
              <w:bidi w:val="0"/>
              <w:rPr>
                <w:rFonts w:hint="default"/>
                <w:lang w:val="en-US" w:eastAsia="zh-CN"/>
              </w:rPr>
            </w:pPr>
            <w:r>
              <w:rPr>
                <w:rFonts w:hint="default"/>
                <w:lang w:val="en-US" w:eastAsia="zh-CN"/>
              </w:rPr>
              <w:t>室外吊链</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137</w:t>
            </w:r>
          </w:p>
        </w:tc>
        <w:tc>
          <w:tcPr>
            <w:tcW w:w="0" w:type="auto"/>
            <w:vAlign w:val="center"/>
          </w:tcPr>
          <w:p>
            <w:pPr>
              <w:pStyle w:val="8"/>
              <w:bidi w:val="0"/>
              <w:rPr>
                <w:rFonts w:hint="default"/>
                <w:lang w:val="en-US" w:eastAsia="zh-CN"/>
              </w:rPr>
            </w:pPr>
            <w:r>
              <w:rPr>
                <w:rFonts w:hint="default"/>
                <w:lang w:val="en-US" w:eastAsia="zh-CN"/>
              </w:rPr>
              <w:t>外线支撑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138</w:t>
            </w:r>
          </w:p>
        </w:tc>
        <w:tc>
          <w:tcPr>
            <w:tcW w:w="0" w:type="auto"/>
            <w:vAlign w:val="center"/>
          </w:tcPr>
          <w:p>
            <w:pPr>
              <w:pStyle w:val="8"/>
              <w:bidi w:val="0"/>
              <w:rPr>
                <w:rFonts w:hint="default"/>
                <w:lang w:val="en-US" w:eastAsia="zh-CN"/>
              </w:rPr>
            </w:pPr>
            <w:r>
              <w:rPr>
                <w:rFonts w:hint="default"/>
                <w:lang w:val="en-US" w:eastAsia="zh-CN"/>
              </w:rPr>
              <w:t>室内支撑1（定位栏万向支撑）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0" w:type="auto"/>
            <w:vAlign w:val="center"/>
          </w:tcPr>
          <w:p>
            <w:pPr>
              <w:pStyle w:val="8"/>
              <w:bidi w:val="0"/>
              <w:rPr>
                <w:rFonts w:hint="default"/>
                <w:lang w:val="en-US" w:eastAsia="zh-CN"/>
              </w:rPr>
            </w:pPr>
            <w:r>
              <w:rPr>
                <w:rFonts w:hint="eastAsia"/>
                <w:lang w:val="en-US" w:eastAsia="zh-CN"/>
              </w:rPr>
              <w:t>139</w:t>
            </w:r>
          </w:p>
        </w:tc>
        <w:tc>
          <w:tcPr>
            <w:tcW w:w="0" w:type="auto"/>
            <w:vAlign w:val="center"/>
          </w:tcPr>
          <w:p>
            <w:pPr>
              <w:pStyle w:val="8"/>
              <w:bidi w:val="0"/>
              <w:rPr>
                <w:rFonts w:hint="default"/>
                <w:lang w:val="en-US" w:eastAsia="zh-CN"/>
              </w:rPr>
            </w:pPr>
            <w:r>
              <w:rPr>
                <w:rFonts w:hint="default"/>
                <w:lang w:val="en-US" w:eastAsia="zh-CN"/>
              </w:rPr>
              <w:t>栏位两端落地支撑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0" w:type="auto"/>
            <w:vAlign w:val="center"/>
          </w:tcPr>
          <w:p>
            <w:pPr>
              <w:pStyle w:val="8"/>
              <w:bidi w:val="0"/>
              <w:rPr>
                <w:rFonts w:hint="default"/>
                <w:lang w:val="en-US" w:eastAsia="zh-CN"/>
              </w:rPr>
            </w:pPr>
            <w:r>
              <w:rPr>
                <w:rFonts w:hint="eastAsia"/>
                <w:lang w:val="en-US" w:eastAsia="zh-CN"/>
              </w:rPr>
              <w:t>140</w:t>
            </w:r>
          </w:p>
        </w:tc>
        <w:tc>
          <w:tcPr>
            <w:tcW w:w="0" w:type="auto"/>
            <w:vAlign w:val="center"/>
          </w:tcPr>
          <w:p>
            <w:pPr>
              <w:pStyle w:val="8"/>
              <w:bidi w:val="0"/>
              <w:rPr>
                <w:rFonts w:hint="default"/>
                <w:lang w:val="en-US" w:eastAsia="zh-CN"/>
              </w:rPr>
            </w:pPr>
            <w:r>
              <w:rPr>
                <w:rFonts w:hint="default"/>
                <w:lang w:val="en-US" w:eastAsia="zh-CN"/>
              </w:rPr>
              <w:t>动力箱支撑</w:t>
            </w:r>
          </w:p>
        </w:tc>
        <w:tc>
          <w:tcPr>
            <w:tcW w:w="0" w:type="auto"/>
            <w:vAlign w:val="center"/>
          </w:tcPr>
          <w:p>
            <w:pPr>
              <w:pStyle w:val="8"/>
              <w:bidi w:val="0"/>
              <w:rPr>
                <w:rFonts w:hint="default"/>
                <w:lang w:val="en-US" w:eastAsia="zh-CN"/>
              </w:rPr>
            </w:pPr>
            <w:r>
              <w:rPr>
                <w:rFonts w:hint="eastAsia"/>
                <w:lang w:val="en-US" w:eastAsia="zh-CN"/>
              </w:rPr>
              <w:t>/</w:t>
            </w:r>
          </w:p>
        </w:tc>
        <w:tc>
          <w:tcPr>
            <w:tcW w:w="0" w:type="auto"/>
            <w:vAlign w:val="center"/>
          </w:tcPr>
          <w:p>
            <w:pPr>
              <w:pStyle w:val="8"/>
              <w:bidi w:val="0"/>
              <w:rPr>
                <w:rFonts w:hint="eastAsia"/>
                <w:lang w:val="en-US" w:eastAsia="zh-CN"/>
              </w:rPr>
            </w:pPr>
            <w:r>
              <w:rPr>
                <w:rFonts w:hint="default"/>
                <w:lang w:val="en-US" w:eastAsia="zh-CN"/>
              </w:rPr>
              <w:t>套</w:t>
            </w:r>
          </w:p>
        </w:tc>
        <w:tc>
          <w:tcPr>
            <w:tcW w:w="0" w:type="auto"/>
            <w:vAlign w:val="center"/>
          </w:tcPr>
          <w:p>
            <w:pPr>
              <w:pStyle w:val="8"/>
              <w:bidi w:val="0"/>
              <w:rPr>
                <w:rFonts w:hint="default"/>
                <w:lang w:val="en-US" w:eastAsia="zh-CN"/>
              </w:rPr>
            </w:pPr>
            <w:r>
              <w:rPr>
                <w:rFonts w:hint="default"/>
                <w:lang w:val="en-US" w:eastAsia="zh-CN"/>
              </w:rPr>
              <w:t>1</w:t>
            </w:r>
          </w:p>
        </w:tc>
      </w:tr>
    </w:tbl>
    <w:p>
      <w:pPr>
        <w:pStyle w:val="5"/>
        <w:bidi w:val="0"/>
      </w:pPr>
      <w:r>
        <w:rPr>
          <w:rFonts w:hint="eastAsia"/>
        </w:rPr>
        <w:t>公用工程</w:t>
      </w:r>
      <w:bookmarkEnd w:id="139"/>
    </w:p>
    <w:p>
      <w:bookmarkStart w:id="140" w:name="_Toc289329190"/>
      <w:bookmarkStart w:id="141" w:name="_Toc207680719"/>
      <w:bookmarkStart w:id="142" w:name="_Toc289344532"/>
      <w:bookmarkStart w:id="143" w:name="_Toc288479629"/>
      <w:bookmarkStart w:id="144" w:name="_Toc288479987"/>
      <w:r>
        <w:rPr>
          <w:rFonts w:hint="eastAsia"/>
        </w:rPr>
        <w:t>（</w:t>
      </w:r>
      <w:r>
        <w:t>1</w:t>
      </w:r>
      <w:r>
        <w:rPr>
          <w:rFonts w:hint="eastAsia"/>
        </w:rPr>
        <w:t>）给水工程</w:t>
      </w:r>
    </w:p>
    <w:p>
      <w:r>
        <w:rPr>
          <w:rFonts w:hint="eastAsia"/>
        </w:rPr>
        <w:t>项目新鲜水用量为</w:t>
      </w:r>
      <w:r>
        <w:rPr>
          <w:rFonts w:hint="eastAsia"/>
          <w:lang w:val="en-US" w:eastAsia="zh-CN"/>
        </w:rPr>
        <w:t>52975</w:t>
      </w:r>
      <w:r>
        <w:t>m</w:t>
      </w:r>
      <w:r>
        <w:rPr>
          <w:vertAlign w:val="superscript"/>
        </w:rPr>
        <w:t>3</w:t>
      </w:r>
      <w:r>
        <w:t>/a</w:t>
      </w:r>
      <w:r>
        <w:rPr>
          <w:rFonts w:hint="eastAsia"/>
        </w:rPr>
        <w:t>，按日折算为</w:t>
      </w:r>
      <w:r>
        <w:rPr>
          <w:rFonts w:hint="eastAsia"/>
          <w:lang w:val="en-US" w:eastAsia="zh-CN"/>
        </w:rPr>
        <w:t>145.1</w:t>
      </w:r>
      <w:r>
        <w:t>m</w:t>
      </w:r>
      <w:r>
        <w:rPr>
          <w:vertAlign w:val="superscript"/>
        </w:rPr>
        <w:t>3</w:t>
      </w:r>
      <w:r>
        <w:t>/</w:t>
      </w:r>
      <w:r>
        <w:rPr>
          <w:rFonts w:hint="eastAsia"/>
        </w:rPr>
        <w:t>d</w:t>
      </w:r>
      <w:r>
        <w:t>。</w:t>
      </w:r>
      <w:r>
        <w:rPr>
          <w:rFonts w:hint="eastAsia"/>
        </w:rPr>
        <w:t>主要用水工序为猪只饮用水、清洁消毒冲洗用水、猪舍水帘降温补充水、人员生活用水。水源来自水井取水，项目自建取水专管，泵入猪场高位水池，水池容量为</w:t>
      </w:r>
      <w:r>
        <w:rPr>
          <w:rFonts w:hint="eastAsia"/>
          <w:lang w:val="en-US" w:eastAsia="zh-CN"/>
        </w:rPr>
        <w:t>500</w:t>
      </w:r>
      <w:r>
        <w:t>m</w:t>
      </w:r>
      <w:r>
        <w:rPr>
          <w:vertAlign w:val="superscript"/>
        </w:rPr>
        <w:t>3</w:t>
      </w:r>
      <w:r>
        <w:rPr>
          <w:rFonts w:hint="eastAsia"/>
        </w:rPr>
        <w:t>，可满足供水要求。</w:t>
      </w:r>
    </w:p>
    <w:p>
      <w:r>
        <w:rPr>
          <w:rFonts w:hint="eastAsia"/>
        </w:rPr>
        <w:t>（</w:t>
      </w:r>
      <w:r>
        <w:t>2</w:t>
      </w:r>
      <w:r>
        <w:rPr>
          <w:rFonts w:hint="eastAsia"/>
        </w:rPr>
        <w:t>）排水工程</w:t>
      </w:r>
    </w:p>
    <w:p>
      <w:pPr>
        <w:rPr>
          <w:rFonts w:hint="eastAsia"/>
        </w:rPr>
      </w:pPr>
      <w:r>
        <w:rPr>
          <w:rFonts w:hint="eastAsia"/>
        </w:rPr>
        <w:t>项目实施雨污分流制，屋面雨水经雨水排沟收集后排</w:t>
      </w:r>
      <w:r>
        <w:rPr>
          <w:rFonts w:hint="eastAsia"/>
          <w:lang w:eastAsia="zh-CN"/>
        </w:rPr>
        <w:t>入山林及周边水塘</w:t>
      </w:r>
      <w:r>
        <w:rPr>
          <w:rFonts w:hint="eastAsia"/>
        </w:rPr>
        <w:t>。</w:t>
      </w:r>
    </w:p>
    <w:p>
      <w:r>
        <w:rPr>
          <w:rFonts w:hint="eastAsia"/>
        </w:rPr>
        <w:t>员工生活</w:t>
      </w:r>
      <w:r>
        <w:rPr>
          <w:rFonts w:hint="eastAsia"/>
          <w:lang w:eastAsia="zh-CN"/>
        </w:rPr>
        <w:t>污水、养殖</w:t>
      </w:r>
      <w:r>
        <w:rPr>
          <w:rFonts w:hint="eastAsia"/>
        </w:rPr>
        <w:t>废水</w:t>
      </w:r>
      <w:r>
        <w:rPr>
          <w:rFonts w:hint="eastAsia"/>
          <w:lang w:eastAsia="zh-CN"/>
        </w:rPr>
        <w:t>采用厌氧发酵</w:t>
      </w:r>
      <w:r>
        <w:rPr>
          <w:rFonts w:hint="eastAsia"/>
          <w:lang w:val="en-US" w:eastAsia="zh-CN"/>
        </w:rPr>
        <w:t>+AO组合池废水处理</w:t>
      </w:r>
      <w:r>
        <w:rPr>
          <w:rFonts w:hint="eastAsia"/>
          <w:lang w:eastAsia="zh-CN"/>
        </w:rPr>
        <w:t>系统处理后还田。废水</w:t>
      </w:r>
      <w:r>
        <w:rPr>
          <w:rFonts w:hint="eastAsia"/>
        </w:rPr>
        <w:t>进入</w:t>
      </w:r>
      <w:r>
        <w:rPr>
          <w:rFonts w:hint="eastAsia"/>
          <w:lang w:eastAsia="zh-CN"/>
        </w:rPr>
        <w:t>厌氧发酵</w:t>
      </w:r>
      <w:r>
        <w:rPr>
          <w:rFonts w:hint="eastAsia"/>
          <w:lang w:val="en-US" w:eastAsia="zh-CN"/>
        </w:rPr>
        <w:t>+AO组合池废水处理</w:t>
      </w:r>
      <w:r>
        <w:rPr>
          <w:rFonts w:hint="eastAsia"/>
          <w:lang w:eastAsia="zh-CN"/>
        </w:rPr>
        <w:t>系统</w:t>
      </w:r>
      <w:r>
        <w:rPr>
          <w:rFonts w:hint="eastAsia"/>
          <w:lang w:val="en-US" w:eastAsia="zh-CN"/>
        </w:rPr>
        <w:t>处理</w:t>
      </w:r>
      <w:r>
        <w:rPr>
          <w:rFonts w:hint="eastAsia"/>
        </w:rPr>
        <w:t>后，沼液进入容量</w:t>
      </w:r>
      <w:r>
        <w:rPr>
          <w:rFonts w:hint="eastAsia"/>
          <w:highlight w:val="none"/>
          <w:lang w:val="en-US" w:eastAsia="zh-CN"/>
        </w:rPr>
        <w:t>12000</w:t>
      </w:r>
      <w:r>
        <w:rPr>
          <w:rFonts w:hint="eastAsia"/>
          <w:highlight w:val="none"/>
        </w:rPr>
        <w:t>m</w:t>
      </w:r>
      <w:r>
        <w:rPr>
          <w:rFonts w:hint="eastAsia"/>
          <w:highlight w:val="none"/>
          <w:vertAlign w:val="superscript"/>
        </w:rPr>
        <w:t>3</w:t>
      </w:r>
      <w:r>
        <w:rPr>
          <w:rFonts w:hint="eastAsia"/>
          <w:highlight w:val="none"/>
        </w:rPr>
        <w:t>的沼液储存池</w:t>
      </w:r>
      <w:r>
        <w:rPr>
          <w:rFonts w:hint="eastAsia"/>
        </w:rPr>
        <w:t>，储存池底部及四周都采用2mm防渗膜做防渗及密闭处理。</w:t>
      </w:r>
      <w:r>
        <w:rPr>
          <w:rFonts w:hint="eastAsia"/>
          <w:lang w:eastAsia="zh-CN"/>
        </w:rPr>
        <w:t>沼液外运通过</w:t>
      </w:r>
      <w:r>
        <w:rPr>
          <w:rFonts w:hint="eastAsia"/>
        </w:rPr>
        <w:t>罐车运输</w:t>
      </w:r>
      <w:r>
        <w:rPr>
          <w:rFonts w:hint="eastAsia"/>
          <w:lang w:eastAsia="zh-CN"/>
        </w:rPr>
        <w:t>提供给常德华诚现代农业开发有限公司</w:t>
      </w:r>
      <w:r>
        <w:rPr>
          <w:rFonts w:hint="eastAsia"/>
          <w:lang w:val="en-US" w:eastAsia="zh-CN"/>
        </w:rPr>
        <w:t>施肥</w:t>
      </w:r>
      <w:r>
        <w:rPr>
          <w:rFonts w:hint="eastAsia"/>
        </w:rPr>
        <w:t>。</w:t>
      </w:r>
    </w:p>
    <w:p>
      <w:r>
        <w:rPr>
          <w:rFonts w:hint="eastAsia"/>
        </w:rPr>
        <w:t>（</w:t>
      </w:r>
      <w:r>
        <w:t>3</w:t>
      </w:r>
      <w:r>
        <w:rPr>
          <w:rFonts w:hint="eastAsia"/>
        </w:rPr>
        <w:t>）降温与供热</w:t>
      </w:r>
    </w:p>
    <w:p>
      <w:r>
        <w:rPr>
          <w:rFonts w:hint="eastAsia"/>
        </w:rPr>
        <w:t>在夏季高温季节，猪舍采用水帘</w:t>
      </w:r>
      <w:r>
        <w:t>+</w:t>
      </w:r>
      <w:r>
        <w:rPr>
          <w:rFonts w:hint="eastAsia"/>
        </w:rPr>
        <w:t>自然抽风方式降温。水帘降温的工作原理为：用负压风机把室内的污浊、热空气抽走，安装在负压风机对面的水帘墙则用于进风。室外的新鲜热空气在经过水帘墙被淋湿的小孔时，与水发生热交换而被过滤和降温。由水帘片和边框组成，水帘片的厚度为</w:t>
      </w:r>
      <w:r>
        <w:t>15cm左右，</w:t>
      </w:r>
      <w:r>
        <w:rPr>
          <w:rFonts w:hint="eastAsia"/>
        </w:rPr>
        <w:t>边框材料为铝合金，防止生锈而漏水。</w:t>
      </w:r>
    </w:p>
    <w:p>
      <w:r>
        <w:rPr>
          <w:rFonts w:hint="eastAsia"/>
        </w:rPr>
        <w:t>在春冬季外界温度较低时，部分猪舍（产床舍）需提升温度以满足生产需要。本项目均采用电加热，为满足仔猪和保育猪猪舍的温度（</w:t>
      </w:r>
      <w:r>
        <w:t>16-20ºC</w:t>
      </w:r>
      <w:r>
        <w:rPr>
          <w:rFonts w:hint="eastAsia"/>
        </w:rPr>
        <w:t>）。</w:t>
      </w:r>
    </w:p>
    <w:p>
      <w:r>
        <w:rPr>
          <w:rFonts w:hint="eastAsia"/>
        </w:rPr>
        <w:t>（</w:t>
      </w:r>
      <w:r>
        <w:t>4</w:t>
      </w:r>
      <w:r>
        <w:rPr>
          <w:rFonts w:hint="eastAsia"/>
        </w:rPr>
        <w:t>）供电</w:t>
      </w:r>
    </w:p>
    <w:p>
      <w:pPr>
        <w:rPr>
          <w:rFonts w:hint="eastAsia"/>
        </w:rPr>
      </w:pPr>
      <w:r>
        <w:rPr>
          <w:rFonts w:hint="eastAsia"/>
        </w:rPr>
        <w:t>本项目生产、生活用电，供电电源来自供电局。并配备</w:t>
      </w:r>
      <w:r>
        <w:rPr>
          <w:rFonts w:hint="eastAsia"/>
          <w:lang w:val="en-US" w:eastAsia="zh-CN"/>
        </w:rPr>
        <w:t>2</w:t>
      </w:r>
      <w:r>
        <w:rPr>
          <w:rFonts w:hint="eastAsia"/>
        </w:rPr>
        <w:t>套柴油发电机组，装机功率为200</w:t>
      </w:r>
      <w:r>
        <w:t>KW</w:t>
      </w:r>
      <w:r>
        <w:rPr>
          <w:rFonts w:hint="eastAsia"/>
        </w:rPr>
        <w:t>，以备停电时供电。</w:t>
      </w:r>
    </w:p>
    <w:p>
      <w:r>
        <w:rPr>
          <w:rFonts w:hint="eastAsia"/>
          <w:lang w:eastAsia="zh-CN"/>
        </w:rPr>
        <w:t>（</w:t>
      </w:r>
      <w:r>
        <w:rPr>
          <w:rFonts w:hint="eastAsia"/>
          <w:lang w:val="en-US" w:eastAsia="zh-CN"/>
        </w:rPr>
        <w:t>5</w:t>
      </w:r>
      <w:r>
        <w:rPr>
          <w:rFonts w:hint="eastAsia"/>
          <w:lang w:eastAsia="zh-CN"/>
        </w:rPr>
        <w:t>）</w:t>
      </w:r>
      <w:r>
        <w:rPr>
          <w:rFonts w:hint="eastAsia"/>
        </w:rPr>
        <w:t>消防</w:t>
      </w:r>
    </w:p>
    <w:p>
      <w:r>
        <w:rPr>
          <w:rFonts w:hint="eastAsia"/>
        </w:rPr>
        <w:t>①室外消防</w:t>
      </w:r>
    </w:p>
    <w:p>
      <w:r>
        <w:rPr>
          <w:rFonts w:hint="eastAsia"/>
        </w:rPr>
        <w:t>本工程室外最大消防流量</w:t>
      </w:r>
      <w:r>
        <w:t>35L/s</w:t>
      </w:r>
      <w:r>
        <w:rPr>
          <w:rFonts w:hint="eastAsia"/>
        </w:rPr>
        <w:t>，消防水源为自来水，室外消防采用低压制，场区消防管网环状布置，按规范设置室外消火栓。</w:t>
      </w:r>
    </w:p>
    <w:p>
      <w:r>
        <w:rPr>
          <w:rFonts w:hint="eastAsia"/>
        </w:rPr>
        <w:t>②室内消防</w:t>
      </w:r>
    </w:p>
    <w:p>
      <w:r>
        <w:rPr>
          <w:rFonts w:hint="eastAsia"/>
        </w:rPr>
        <w:t>室内消防流量</w:t>
      </w:r>
      <w:r>
        <w:t>10L/s</w:t>
      </w:r>
      <w:r>
        <w:rPr>
          <w:rFonts w:hint="eastAsia"/>
        </w:rPr>
        <w:t>，设</w:t>
      </w:r>
      <w:r>
        <w:t>DN65</w:t>
      </w:r>
      <w:r>
        <w:rPr>
          <w:rFonts w:hint="eastAsia"/>
        </w:rPr>
        <w:t>双栓，保证火灾时二股水枪同时到达着火点。</w:t>
      </w:r>
    </w:p>
    <w:p>
      <w:r>
        <w:rPr>
          <w:rFonts w:hint="eastAsia"/>
        </w:rPr>
        <w:t>每栋建筑物均按要求设置灭火器。</w:t>
      </w:r>
      <w:bookmarkStart w:id="145" w:name="_Toc335755426"/>
      <w:bookmarkStart w:id="146" w:name="_Toc312239787"/>
    </w:p>
    <w:p>
      <w:pPr>
        <w:pStyle w:val="5"/>
        <w:bidi w:val="0"/>
      </w:pPr>
      <w:r>
        <w:t>土石方平衡</w:t>
      </w:r>
      <w:bookmarkEnd w:id="145"/>
    </w:p>
    <w:p>
      <w:r>
        <w:rPr>
          <w:rFonts w:hint="eastAsia"/>
          <w:highlight w:val="none"/>
        </w:rPr>
        <w:t>项目拟建地原为</w:t>
      </w:r>
      <w:r>
        <w:rPr>
          <w:rFonts w:hint="eastAsia"/>
          <w:highlight w:val="none"/>
          <w:lang w:eastAsia="zh-CN"/>
        </w:rPr>
        <w:t>荒草林地</w:t>
      </w:r>
      <w:r>
        <w:rPr>
          <w:rFonts w:hint="eastAsia"/>
          <w:highlight w:val="none"/>
        </w:rPr>
        <w:t>，</w:t>
      </w:r>
      <w:r>
        <w:rPr>
          <w:rFonts w:hint="eastAsia"/>
        </w:rPr>
        <w:t>建设单位在建设过程中采用高挖低填，</w:t>
      </w:r>
      <w:r>
        <w:rPr>
          <w:rFonts w:hint="eastAsia"/>
          <w:lang w:eastAsia="zh-CN"/>
        </w:rPr>
        <w:t>土方在场地内平衡</w:t>
      </w:r>
      <w:r>
        <w:rPr>
          <w:rFonts w:hint="eastAsia"/>
        </w:rPr>
        <w:t>。</w:t>
      </w:r>
    </w:p>
    <w:p>
      <w:pPr>
        <w:pStyle w:val="5"/>
        <w:bidi w:val="0"/>
      </w:pPr>
      <w:r>
        <w:rPr>
          <w:rFonts w:hint="eastAsia"/>
        </w:rPr>
        <w:t>建设投资及资金来源</w:t>
      </w:r>
      <w:bookmarkEnd w:id="146"/>
    </w:p>
    <w:p>
      <w:r>
        <w:t>项目总投资</w:t>
      </w:r>
      <w:r>
        <w:rPr>
          <w:rFonts w:hint="eastAsia"/>
          <w:lang w:val="en-US" w:eastAsia="zh-CN"/>
        </w:rPr>
        <w:t>8000</w:t>
      </w:r>
      <w:r>
        <w:rPr>
          <w:rFonts w:hint="eastAsia"/>
        </w:rPr>
        <w:t>万元，项目所需资金由企业自筹。</w:t>
      </w:r>
    </w:p>
    <w:p>
      <w:pPr>
        <w:pStyle w:val="5"/>
        <w:bidi w:val="0"/>
      </w:pPr>
      <w:r>
        <w:rPr>
          <w:rFonts w:hint="eastAsia"/>
        </w:rPr>
        <w:t>劳动定员与工作制度</w:t>
      </w:r>
    </w:p>
    <w:p>
      <w:r>
        <w:rPr>
          <w:rFonts w:hint="eastAsia"/>
        </w:rPr>
        <w:t>项目工程管理及饲养人员定员</w:t>
      </w:r>
      <w:r>
        <w:rPr>
          <w:rFonts w:hint="eastAsia"/>
          <w:lang w:val="en-US" w:eastAsia="zh-CN"/>
        </w:rPr>
        <w:t>49</w:t>
      </w:r>
      <w:r>
        <w:rPr>
          <w:rFonts w:hint="eastAsia"/>
        </w:rPr>
        <w:t>人，每天工作</w:t>
      </w:r>
      <w:r>
        <w:t>8</w:t>
      </w:r>
      <w:r>
        <w:rPr>
          <w:rFonts w:hint="eastAsia"/>
        </w:rPr>
        <w:t>小时。项目全年工作日为</w:t>
      </w:r>
      <w:r>
        <w:t>365</w:t>
      </w:r>
      <w:r>
        <w:rPr>
          <w:rFonts w:hint="eastAsia"/>
        </w:rPr>
        <w:t>天。</w:t>
      </w:r>
      <w:bookmarkEnd w:id="140"/>
      <w:bookmarkEnd w:id="141"/>
      <w:bookmarkEnd w:id="142"/>
      <w:bookmarkEnd w:id="143"/>
      <w:bookmarkEnd w:id="144"/>
    </w:p>
    <w:p>
      <w:pPr>
        <w:pStyle w:val="4"/>
        <w:bidi w:val="0"/>
      </w:pPr>
      <w:bookmarkStart w:id="147" w:name="_Toc20575"/>
      <w:r>
        <w:t>生产工艺流程</w:t>
      </w:r>
      <w:bookmarkEnd w:id="137"/>
      <w:bookmarkEnd w:id="138"/>
      <w:r>
        <w:t>及产污环节</w:t>
      </w:r>
      <w:bookmarkEnd w:id="147"/>
    </w:p>
    <w:p>
      <w:pPr>
        <w:pStyle w:val="5"/>
        <w:bidi w:val="0"/>
      </w:pPr>
      <w:r>
        <w:t>施工期工艺流程及产污环节</w:t>
      </w:r>
    </w:p>
    <w:p>
      <w:r>
        <w:rPr>
          <w:rFonts w:hint="eastAsia"/>
        </w:rPr>
        <w:t>施工期生产工艺流程及产污环节见图</w:t>
      </w:r>
      <w:r>
        <w:rPr>
          <w:rFonts w:hint="eastAsia"/>
          <w:lang w:val="en-US" w:eastAsia="zh-CN"/>
        </w:rPr>
        <w:t>2.2</w:t>
      </w:r>
      <w:r>
        <w:t>-1。</w:t>
      </w:r>
    </w:p>
    <w:p>
      <w:pPr>
        <w:pStyle w:val="5"/>
        <w:bidi w:val="0"/>
      </w:pPr>
      <w:r>
        <mc:AlternateContent>
          <mc:Choice Requires="wpc">
            <w:drawing>
              <wp:anchor distT="0" distB="0" distL="114300" distR="114300" simplePos="0" relativeHeight="251659264" behindDoc="0" locked="0" layoutInCell="1" allowOverlap="1">
                <wp:simplePos x="0" y="0"/>
                <wp:positionH relativeFrom="column">
                  <wp:posOffset>76835</wp:posOffset>
                </wp:positionH>
                <wp:positionV relativeFrom="paragraph">
                  <wp:posOffset>46355</wp:posOffset>
                </wp:positionV>
                <wp:extent cx="5600700" cy="2489835"/>
                <wp:effectExtent l="0" t="0" r="0" b="0"/>
                <wp:wrapSquare wrapText="bothSides"/>
                <wp:docPr id="1"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2" name="矩形 4"/>
                        <wps:cNvSpPr>
                          <a:spLocks noChangeArrowheads="1"/>
                        </wps:cNvSpPr>
                        <wps:spPr bwMode="auto">
                          <a:xfrm>
                            <a:off x="1489700" y="1984328"/>
                            <a:ext cx="2652400" cy="338505"/>
                          </a:xfrm>
                          <a:prstGeom prst="rect">
                            <a:avLst/>
                          </a:prstGeom>
                          <a:solidFill>
                            <a:srgbClr val="FFFFFF"/>
                          </a:solidFill>
                          <a:ln>
                            <a:noFill/>
                          </a:ln>
                          <a:effectLst/>
                        </wps:spPr>
                        <wps:txbx>
                          <w:txbxContent>
                            <w:p>
                              <w:pPr>
                                <w:jc w:val="center"/>
                                <w:rPr>
                                  <w:rFonts w:ascii="Times New Roman" w:hAnsi="Times New Roman" w:cs="Times New Roman"/>
                                  <w:b/>
                                  <w:bCs/>
                                  <w:sz w:val="21"/>
                                  <w:szCs w:val="21"/>
                                </w:rPr>
                              </w:pPr>
                              <w:r>
                                <w:rPr>
                                  <w:rFonts w:hint="eastAsia" w:ascii="Times New Roman" w:hAnsi="Times New Roman" w:cs="Times New Roman"/>
                                  <w:b/>
                                  <w:sz w:val="21"/>
                                  <w:szCs w:val="21"/>
                                </w:rPr>
                                <w:t>图</w:t>
                              </w:r>
                              <w:r>
                                <w:rPr>
                                  <w:rFonts w:hint="eastAsia" w:cs="Times New Roman"/>
                                  <w:b/>
                                  <w:bCs/>
                                  <w:sz w:val="21"/>
                                  <w:szCs w:val="21"/>
                                  <w:lang w:val="en-US" w:eastAsia="zh-CN"/>
                                </w:rPr>
                                <w:t>2.2-1</w:t>
                              </w:r>
                              <w:r>
                                <w:rPr>
                                  <w:rFonts w:ascii="Times New Roman" w:hAnsi="Times New Roman" w:cs="Times New Roman"/>
                                  <w:b/>
                                  <w:bCs/>
                                  <w:sz w:val="21"/>
                                  <w:szCs w:val="21"/>
                                </w:rPr>
                                <w:t xml:space="preserve">  </w:t>
                              </w:r>
                              <w:r>
                                <w:rPr>
                                  <w:rFonts w:hint="eastAsia" w:ascii="Times New Roman" w:hAnsi="Times New Roman" w:cs="Times New Roman"/>
                                  <w:b/>
                                  <w:bCs/>
                                  <w:sz w:val="21"/>
                                  <w:szCs w:val="21"/>
                                </w:rPr>
                                <w:t>施工期工艺流程及产污环节</w:t>
                              </w:r>
                            </w:p>
                            <w:p>
                              <w:pPr>
                                <w:jc w:val="center"/>
                              </w:pPr>
                            </w:p>
                            <w:p>
                              <w:pPr>
                                <w:jc w:val="center"/>
                                <w:rPr>
                                  <w:szCs w:val="21"/>
                                </w:rPr>
                              </w:pPr>
                            </w:p>
                            <w:p>
                              <w:pPr>
                                <w:jc w:val="center"/>
                              </w:pPr>
                            </w:p>
                          </w:txbxContent>
                        </wps:txbx>
                        <wps:bodyPr rot="0" vert="horz" wrap="square" lIns="121926" tIns="60964" rIns="121926" bIns="60964" anchor="t" anchorCtr="0" upright="1">
                          <a:noAutofit/>
                        </wps:bodyPr>
                      </wps:wsp>
                      <wps:wsp>
                        <wps:cNvPr id="323" name="矩形 5"/>
                        <wps:cNvSpPr>
                          <a:spLocks noChangeArrowheads="1"/>
                        </wps:cNvSpPr>
                        <wps:spPr bwMode="auto">
                          <a:xfrm>
                            <a:off x="1257300" y="885112"/>
                            <a:ext cx="838800" cy="29720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主体施工</w:t>
                              </w:r>
                            </w:p>
                          </w:txbxContent>
                        </wps:txbx>
                        <wps:bodyPr rot="0" vert="horz" wrap="square" lIns="91440" tIns="45720" rIns="91440" bIns="45720" anchor="t" anchorCtr="0" upright="1">
                          <a:noAutofit/>
                        </wps:bodyPr>
                      </wps:wsp>
                      <wps:wsp>
                        <wps:cNvPr id="324" name="直线 6"/>
                        <wps:cNvCnPr/>
                        <wps:spPr bwMode="auto">
                          <a:xfrm>
                            <a:off x="1028700" y="1076315"/>
                            <a:ext cx="228600" cy="600"/>
                          </a:xfrm>
                          <a:prstGeom prst="line">
                            <a:avLst/>
                          </a:prstGeom>
                          <a:noFill/>
                          <a:ln w="9525">
                            <a:solidFill>
                              <a:srgbClr val="000000"/>
                            </a:solidFill>
                            <a:round/>
                            <a:tailEnd type="stealth" w="med" len="med"/>
                          </a:ln>
                          <a:effectLst/>
                        </wps:spPr>
                        <wps:bodyPr/>
                      </wps:wsp>
                      <wps:wsp>
                        <wps:cNvPr id="325" name="矩形 7"/>
                        <wps:cNvSpPr>
                          <a:spLocks noChangeArrowheads="1"/>
                        </wps:cNvSpPr>
                        <wps:spPr bwMode="auto">
                          <a:xfrm>
                            <a:off x="2314500" y="866112"/>
                            <a:ext cx="790600" cy="29720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装修工程</w:t>
                              </w:r>
                            </w:p>
                          </w:txbxContent>
                        </wps:txbx>
                        <wps:bodyPr rot="0" vert="horz" wrap="square" lIns="91440" tIns="45720" rIns="91440" bIns="45720" anchor="t" anchorCtr="0" upright="1">
                          <a:noAutofit/>
                        </wps:bodyPr>
                      </wps:wsp>
                      <wps:wsp>
                        <wps:cNvPr id="326" name="直线 8"/>
                        <wps:cNvCnPr/>
                        <wps:spPr bwMode="auto">
                          <a:xfrm>
                            <a:off x="2095500" y="1028714"/>
                            <a:ext cx="228600" cy="600"/>
                          </a:xfrm>
                          <a:prstGeom prst="line">
                            <a:avLst/>
                          </a:prstGeom>
                          <a:noFill/>
                          <a:ln w="9525">
                            <a:solidFill>
                              <a:srgbClr val="000000"/>
                            </a:solidFill>
                            <a:round/>
                            <a:tailEnd type="stealth" w="med" len="med"/>
                          </a:ln>
                          <a:effectLst/>
                        </wps:spPr>
                        <wps:bodyPr/>
                      </wps:wsp>
                      <wps:wsp>
                        <wps:cNvPr id="327" name="矩形 9"/>
                        <wps:cNvSpPr>
                          <a:spLocks noChangeArrowheads="1"/>
                        </wps:cNvSpPr>
                        <wps:spPr bwMode="auto">
                          <a:xfrm>
                            <a:off x="3352100" y="885112"/>
                            <a:ext cx="801400" cy="29720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设备安装</w:t>
                              </w:r>
                            </w:p>
                          </w:txbxContent>
                        </wps:txbx>
                        <wps:bodyPr rot="0" vert="horz" wrap="square" lIns="91440" tIns="45720" rIns="91440" bIns="45720" anchor="t" anchorCtr="0" upright="1">
                          <a:noAutofit/>
                        </wps:bodyPr>
                      </wps:wsp>
                      <wps:wsp>
                        <wps:cNvPr id="328" name="直线 10"/>
                        <wps:cNvCnPr/>
                        <wps:spPr bwMode="auto">
                          <a:xfrm flipV="1">
                            <a:off x="3123500" y="1019814"/>
                            <a:ext cx="228600" cy="5700"/>
                          </a:xfrm>
                          <a:prstGeom prst="line">
                            <a:avLst/>
                          </a:prstGeom>
                          <a:noFill/>
                          <a:ln w="9525">
                            <a:solidFill>
                              <a:srgbClr val="000000"/>
                            </a:solidFill>
                            <a:round/>
                            <a:tailEnd type="stealth" w="med" len="med"/>
                          </a:ln>
                          <a:effectLst/>
                        </wps:spPr>
                        <wps:bodyPr/>
                      </wps:wsp>
                      <wps:wsp>
                        <wps:cNvPr id="329" name="矩形 11"/>
                        <wps:cNvSpPr>
                          <a:spLocks noChangeArrowheads="1"/>
                        </wps:cNvSpPr>
                        <wps:spPr bwMode="auto">
                          <a:xfrm>
                            <a:off x="114300" y="0"/>
                            <a:ext cx="1012825" cy="667385"/>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bCs/>
                                  <w:sz w:val="21"/>
                                  <w:szCs w:val="21"/>
                                </w:rPr>
                                <w:t>施工废水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生活废水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r>
                                <w:rPr>
                                  <w:rFonts w:hint="eastAsia"/>
                                  <w:sz w:val="21"/>
                                  <w:szCs w:val="21"/>
                                </w:rPr>
                                <w:t>建筑垃圾</w:t>
                              </w:r>
                            </w:p>
                            <w:p>
                              <w:pPr>
                                <w:jc w:val="center"/>
                                <w:rPr>
                                  <w:szCs w:val="21"/>
                                </w:rPr>
                              </w:pPr>
                            </w:p>
                          </w:txbxContent>
                        </wps:txbx>
                        <wps:bodyPr rot="0" vert="horz" wrap="square" lIns="91440" tIns="45720" rIns="91440" bIns="45720" anchor="t" anchorCtr="0" upright="1">
                          <a:noAutofit/>
                        </wps:bodyPr>
                      </wps:wsp>
                      <wps:wsp>
                        <wps:cNvPr id="330" name="矩形 12"/>
                        <wps:cNvSpPr>
                          <a:spLocks noChangeArrowheads="1"/>
                        </wps:cNvSpPr>
                        <wps:spPr bwMode="auto">
                          <a:xfrm>
                            <a:off x="1257300" y="15200"/>
                            <a:ext cx="915600" cy="671809"/>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Times New Roman" w:hAnsi="Times New Roman"/>
                                  <w:bCs/>
                                  <w:sz w:val="21"/>
                                  <w:szCs w:val="21"/>
                                </w:rPr>
                                <w:t>施工</w:t>
                              </w:r>
                              <w:r>
                                <w:rPr>
                                  <w:rFonts w:hint="eastAsia"/>
                                  <w:bCs/>
                                  <w:sz w:val="21"/>
                                  <w:szCs w:val="21"/>
                                </w:rPr>
                                <w:t>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生活废水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建筑垃圾</w:t>
                              </w:r>
                            </w:p>
                          </w:txbxContent>
                        </wps:txbx>
                        <wps:bodyPr rot="0" vert="horz" wrap="square" lIns="91440" tIns="45720" rIns="91440" bIns="45720" anchor="t" anchorCtr="0" upright="1">
                          <a:noAutofit/>
                        </wps:bodyPr>
                      </wps:wsp>
                      <wps:wsp>
                        <wps:cNvPr id="331" name="直线 13"/>
                        <wps:cNvCnPr/>
                        <wps:spPr bwMode="auto">
                          <a:xfrm flipV="1">
                            <a:off x="1714500" y="680710"/>
                            <a:ext cx="600" cy="204403"/>
                          </a:xfrm>
                          <a:prstGeom prst="line">
                            <a:avLst/>
                          </a:prstGeom>
                          <a:noFill/>
                          <a:ln w="9525">
                            <a:solidFill>
                              <a:srgbClr val="000000"/>
                            </a:solidFill>
                            <a:prstDash val="dashDot"/>
                            <a:round/>
                            <a:tailEnd type="stealth" w="med" len="med"/>
                          </a:ln>
                          <a:effectLst/>
                        </wps:spPr>
                        <wps:bodyPr/>
                      </wps:wsp>
                      <wps:wsp>
                        <wps:cNvPr id="332" name="矩形 14"/>
                        <wps:cNvSpPr>
                          <a:spLocks noChangeArrowheads="1"/>
                        </wps:cNvSpPr>
                        <wps:spPr bwMode="auto">
                          <a:xfrm>
                            <a:off x="4399900" y="875612"/>
                            <a:ext cx="743600" cy="29720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投入使用</w:t>
                              </w:r>
                            </w:p>
                          </w:txbxContent>
                        </wps:txbx>
                        <wps:bodyPr rot="0" vert="horz" wrap="square" lIns="91440" tIns="45720" rIns="91440" bIns="45720" anchor="t" anchorCtr="0" upright="1">
                          <a:noAutofit/>
                        </wps:bodyPr>
                      </wps:wsp>
                      <wps:wsp>
                        <wps:cNvPr id="333" name="矩形 15"/>
                        <wps:cNvSpPr>
                          <a:spLocks noChangeArrowheads="1"/>
                        </wps:cNvSpPr>
                        <wps:spPr bwMode="auto">
                          <a:xfrm>
                            <a:off x="114300" y="885112"/>
                            <a:ext cx="914400" cy="29720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基础施工</w:t>
                              </w:r>
                            </w:p>
                          </w:txbxContent>
                        </wps:txbx>
                        <wps:bodyPr rot="0" vert="horz" wrap="square" lIns="91440" tIns="45720" rIns="91440" bIns="45720" anchor="t" anchorCtr="0" upright="1">
                          <a:noAutofit/>
                        </wps:bodyPr>
                      </wps:wsp>
                      <wps:wsp>
                        <wps:cNvPr id="334" name="直线 16"/>
                        <wps:cNvCnPr/>
                        <wps:spPr bwMode="auto">
                          <a:xfrm>
                            <a:off x="4171300" y="1019114"/>
                            <a:ext cx="228600" cy="700"/>
                          </a:xfrm>
                          <a:prstGeom prst="line">
                            <a:avLst/>
                          </a:prstGeom>
                          <a:noFill/>
                          <a:ln w="9525">
                            <a:solidFill>
                              <a:srgbClr val="000000"/>
                            </a:solidFill>
                            <a:round/>
                            <a:tailEnd type="stealth" w="med" len="med"/>
                          </a:ln>
                          <a:effectLst/>
                        </wps:spPr>
                        <wps:bodyPr/>
                      </wps:wsp>
                      <wps:wsp>
                        <wps:cNvPr id="335" name="直线 17"/>
                        <wps:cNvCnPr/>
                        <wps:spPr bwMode="auto">
                          <a:xfrm flipV="1">
                            <a:off x="571500" y="680710"/>
                            <a:ext cx="600" cy="204403"/>
                          </a:xfrm>
                          <a:prstGeom prst="line">
                            <a:avLst/>
                          </a:prstGeom>
                          <a:noFill/>
                          <a:ln w="9525">
                            <a:solidFill>
                              <a:srgbClr val="000000"/>
                            </a:solidFill>
                            <a:prstDash val="dashDot"/>
                            <a:round/>
                            <a:tailEnd type="stealth" w="med" len="med"/>
                          </a:ln>
                          <a:effectLst/>
                        </wps:spPr>
                        <wps:bodyPr/>
                      </wps:wsp>
                      <wps:wsp>
                        <wps:cNvPr id="336" name="直线 18"/>
                        <wps:cNvCnPr/>
                        <wps:spPr bwMode="auto">
                          <a:xfrm>
                            <a:off x="571500" y="1182317"/>
                            <a:ext cx="600" cy="191803"/>
                          </a:xfrm>
                          <a:prstGeom prst="line">
                            <a:avLst/>
                          </a:prstGeom>
                          <a:noFill/>
                          <a:ln w="9525">
                            <a:solidFill>
                              <a:srgbClr val="000000"/>
                            </a:solidFill>
                            <a:prstDash val="dashDot"/>
                            <a:round/>
                            <a:tailEnd type="stealth" w="med" len="med"/>
                          </a:ln>
                          <a:effectLst/>
                        </wps:spPr>
                        <wps:bodyPr/>
                      </wps:wsp>
                      <wps:wsp>
                        <wps:cNvPr id="337" name="矩形 19"/>
                        <wps:cNvSpPr>
                          <a:spLocks noChangeArrowheads="1"/>
                        </wps:cNvSpPr>
                        <wps:spPr bwMode="auto">
                          <a:xfrm>
                            <a:off x="114300" y="1374119"/>
                            <a:ext cx="914400" cy="610209"/>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Times New Roman" w:hAnsi="Times New Roman"/>
                                  <w:bCs/>
                                  <w:sz w:val="21"/>
                                  <w:szCs w:val="21"/>
                                </w:rPr>
                                <w:t>扬尘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46" name="直线 20"/>
                        <wps:cNvCnPr/>
                        <wps:spPr bwMode="auto">
                          <a:xfrm>
                            <a:off x="1714500" y="1176017"/>
                            <a:ext cx="600" cy="191703"/>
                          </a:xfrm>
                          <a:prstGeom prst="line">
                            <a:avLst/>
                          </a:prstGeom>
                          <a:noFill/>
                          <a:ln w="9525">
                            <a:solidFill>
                              <a:srgbClr val="000000"/>
                            </a:solidFill>
                            <a:prstDash val="dashDot"/>
                            <a:round/>
                            <a:tailEnd type="stealth" w="med" len="med"/>
                          </a:ln>
                          <a:effectLst/>
                        </wps:spPr>
                        <wps:bodyPr/>
                      </wps:wsp>
                      <wps:wsp>
                        <wps:cNvPr id="352" name="矩形 21"/>
                        <wps:cNvSpPr>
                          <a:spLocks noChangeArrowheads="1"/>
                        </wps:cNvSpPr>
                        <wps:spPr bwMode="auto">
                          <a:xfrm>
                            <a:off x="1257300" y="1367719"/>
                            <a:ext cx="914400" cy="514407"/>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Times New Roman" w:hAnsi="Times New Roman"/>
                                  <w:bCs/>
                                  <w:sz w:val="21"/>
                                  <w:szCs w:val="21"/>
                                </w:rPr>
                                <w:t>扬尘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53" name="矩形 22"/>
                        <wps:cNvSpPr>
                          <a:spLocks noChangeArrowheads="1"/>
                        </wps:cNvSpPr>
                        <wps:spPr bwMode="auto">
                          <a:xfrm>
                            <a:off x="2295500" y="15200"/>
                            <a:ext cx="915600" cy="671809"/>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Times New Roman" w:hAnsi="Times New Roman"/>
                                  <w:bCs/>
                                  <w:sz w:val="21"/>
                                  <w:szCs w:val="21"/>
                                </w:rPr>
                                <w:t>施工</w:t>
                              </w:r>
                              <w:r>
                                <w:rPr>
                                  <w:rFonts w:hint="eastAsia"/>
                                  <w:bCs/>
                                  <w:sz w:val="21"/>
                                  <w:szCs w:val="21"/>
                                </w:rPr>
                                <w:t>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生活废水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r>
                                <w:rPr>
                                  <w:rFonts w:hint="eastAsia"/>
                                  <w:sz w:val="21"/>
                                  <w:szCs w:val="21"/>
                                </w:rPr>
                                <w:t>建筑垃圾</w:t>
                              </w:r>
                            </w:p>
                          </w:txbxContent>
                        </wps:txbx>
                        <wps:bodyPr rot="0" vert="horz" wrap="square" lIns="91440" tIns="45720" rIns="91440" bIns="45720" anchor="t" anchorCtr="0" upright="1">
                          <a:noAutofit/>
                        </wps:bodyPr>
                      </wps:wsp>
                      <wps:wsp>
                        <wps:cNvPr id="354" name="直线 23"/>
                        <wps:cNvCnPr/>
                        <wps:spPr bwMode="auto">
                          <a:xfrm flipV="1">
                            <a:off x="2743200" y="623509"/>
                            <a:ext cx="600" cy="204503"/>
                          </a:xfrm>
                          <a:prstGeom prst="line">
                            <a:avLst/>
                          </a:prstGeom>
                          <a:noFill/>
                          <a:ln w="9525">
                            <a:solidFill>
                              <a:srgbClr val="000000"/>
                            </a:solidFill>
                            <a:prstDash val="dashDot"/>
                            <a:round/>
                            <a:tailEnd type="stealth" w="med" len="med"/>
                          </a:ln>
                          <a:effectLst/>
                        </wps:spPr>
                        <wps:bodyPr/>
                      </wps:wsp>
                      <wps:wsp>
                        <wps:cNvPr id="355" name="直线 24"/>
                        <wps:cNvCnPr/>
                        <wps:spPr bwMode="auto">
                          <a:xfrm>
                            <a:off x="2743200" y="1166416"/>
                            <a:ext cx="600" cy="191803"/>
                          </a:xfrm>
                          <a:prstGeom prst="line">
                            <a:avLst/>
                          </a:prstGeom>
                          <a:noFill/>
                          <a:ln w="9525">
                            <a:solidFill>
                              <a:srgbClr val="000000"/>
                            </a:solidFill>
                            <a:prstDash val="dashDot"/>
                            <a:round/>
                            <a:tailEnd type="stealth" w="med" len="med"/>
                          </a:ln>
                          <a:effectLst/>
                        </wps:spPr>
                        <wps:bodyPr/>
                      </wps:wsp>
                      <wps:wsp>
                        <wps:cNvPr id="356" name="矩形 25"/>
                        <wps:cNvSpPr>
                          <a:spLocks noChangeArrowheads="1"/>
                        </wps:cNvSpPr>
                        <wps:spPr bwMode="auto">
                          <a:xfrm>
                            <a:off x="2343100" y="1367719"/>
                            <a:ext cx="914400" cy="571508"/>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bCs/>
                                  <w:sz w:val="21"/>
                                  <w:szCs w:val="21"/>
                                </w:rPr>
                                <w:t>装修废气</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57" name="直线 26"/>
                        <wps:cNvCnPr/>
                        <wps:spPr bwMode="auto">
                          <a:xfrm>
                            <a:off x="3810000" y="1185517"/>
                            <a:ext cx="600" cy="191803"/>
                          </a:xfrm>
                          <a:prstGeom prst="line">
                            <a:avLst/>
                          </a:prstGeom>
                          <a:noFill/>
                          <a:ln w="9525">
                            <a:solidFill>
                              <a:srgbClr val="000000"/>
                            </a:solidFill>
                            <a:prstDash val="dashDot"/>
                            <a:round/>
                            <a:tailEnd type="stealth" w="med" len="med"/>
                          </a:ln>
                          <a:effectLst/>
                        </wps:spPr>
                        <wps:bodyPr/>
                      </wps:wsp>
                      <wps:wsp>
                        <wps:cNvPr id="358" name="矩形 27"/>
                        <wps:cNvSpPr>
                          <a:spLocks noChangeArrowheads="1"/>
                        </wps:cNvSpPr>
                        <wps:spPr bwMode="auto">
                          <a:xfrm>
                            <a:off x="3276600" y="1367719"/>
                            <a:ext cx="914400" cy="553108"/>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bCs/>
                                  <w:sz w:val="21"/>
                                  <w:szCs w:val="21"/>
                                </w:rPr>
                                <w:t>废弃物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噪声</w:t>
                              </w:r>
                            </w:p>
                          </w:txbxContent>
                        </wps:txbx>
                        <wps:bodyPr rot="0" vert="horz" wrap="square" lIns="91440" tIns="45720" rIns="91440" bIns="45720" anchor="t" anchorCtr="0" upright="1">
                          <a:noAutofit/>
                        </wps:bodyPr>
                      </wps:wsp>
                    </wpc:wpc>
                  </a:graphicData>
                </a:graphic>
              </wp:anchor>
            </w:drawing>
          </mc:Choice>
          <mc:Fallback>
            <w:pict>
              <v:group id="画布 4" o:spid="_x0000_s1026" o:spt="203" style="position:absolute;left:0pt;margin-left:6.05pt;margin-top:3.65pt;height:196.05pt;width:441pt;mso-wrap-distance-bottom:0pt;mso-wrap-distance-left:9pt;mso-wrap-distance-right:9pt;mso-wrap-distance-top:0pt;z-index:251659264;mso-width-relative:page;mso-height-relative:page;" coordsize="5600700,2489835" editas="canvas"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">
                <o:lock v:ext="edit" aspectratio="f"/>
                <v:shape id="画布 4" o:spid="_x0000_s1026" style="position:absolute;left:0;top:0;height:2489835;width:56007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">
                  <v:fill on="f" focussize="0,0"/>
                  <v:stroke on="f"/>
                  <v:imagedata o:title=""/>
                  <o:lock v:ext="edit" aspectratio="t"/>
                </v:shape>
                <v:rect id="矩形 4" o:spid="_x0000_s1026" o:spt="1" style="position:absolute;left:1489700;top:1984328;height:338505;width:2652400;" fillcolor="#FFFFFF" filled="t" stroked="f" coordsize="21600,21600" o:gfxdata="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Wju71gAAAAgBAAAPAAAAAAAAAAEAIAAAACIAAABkcnMvZG93bnJldi54&#10;bWxQSwECFAAUAAAACACHTuJAzruwoTUCAABPBAAADgAAAAAAAAABACAAAAAlAQAAZHJzL2Uyb0Rv&#10;Yy54bWxQSwUGAAAAAAYABgBZAQAAzAUAAAAA&#10;">
                  <v:fill on="t" focussize="0,0"/>
                  <v:stroke on="f"/>
                  <v:imagedata o:title=""/>
                  <o:lock v:ext="edit" aspectratio="f"/>
                  <v:textbox inset="9.60047244094488pt,4.80031496062992pt,9.60047244094488pt,4.80031496062992pt">
                    <w:txbxContent>
                      <w:p>
                        <w:pPr>
                          <w:jc w:val="center"/>
                          <w:rPr>
                            <w:rFonts w:ascii="Times New Roman" w:hAnsi="Times New Roman" w:cs="Times New Roman"/>
                            <w:b/>
                            <w:bCs/>
                            <w:sz w:val="21"/>
                            <w:szCs w:val="21"/>
                          </w:rPr>
                        </w:pPr>
                        <w:r>
                          <w:rPr>
                            <w:rFonts w:hint="eastAsia" w:ascii="Times New Roman" w:hAnsi="Times New Roman" w:cs="Times New Roman"/>
                            <w:b/>
                            <w:sz w:val="21"/>
                            <w:szCs w:val="21"/>
                          </w:rPr>
                          <w:t>图</w:t>
                        </w:r>
                        <w:r>
                          <w:rPr>
                            <w:rFonts w:hint="eastAsia" w:cs="Times New Roman"/>
                            <w:b/>
                            <w:bCs/>
                            <w:sz w:val="21"/>
                            <w:szCs w:val="21"/>
                            <w:lang w:val="en-US" w:eastAsia="zh-CN"/>
                          </w:rPr>
                          <w:t>2.2-1</w:t>
                        </w:r>
                        <w:r>
                          <w:rPr>
                            <w:rFonts w:ascii="Times New Roman" w:hAnsi="Times New Roman" w:cs="Times New Roman"/>
                            <w:b/>
                            <w:bCs/>
                            <w:sz w:val="21"/>
                            <w:szCs w:val="21"/>
                          </w:rPr>
                          <w:t xml:space="preserve">  </w:t>
                        </w:r>
                        <w:r>
                          <w:rPr>
                            <w:rFonts w:hint="eastAsia" w:ascii="Times New Roman" w:hAnsi="Times New Roman" w:cs="Times New Roman"/>
                            <w:b/>
                            <w:bCs/>
                            <w:sz w:val="21"/>
                            <w:szCs w:val="21"/>
                          </w:rPr>
                          <w:t>施工期工艺流程及产污环节</w:t>
                        </w:r>
                      </w:p>
                      <w:p>
                        <w:pPr>
                          <w:jc w:val="center"/>
                        </w:pPr>
                      </w:p>
                      <w:p>
                        <w:pPr>
                          <w:jc w:val="center"/>
                          <w:rPr>
                            <w:szCs w:val="21"/>
                          </w:rPr>
                        </w:pPr>
                      </w:p>
                      <w:p>
                        <w:pPr>
                          <w:jc w:val="center"/>
                        </w:pPr>
                      </w:p>
                    </w:txbxContent>
                  </v:textbox>
                </v:rect>
                <v:rect id="矩形 5" o:spid="_x0000_s1026" o:spt="1" style="position:absolute;left:1257300;top:885112;height:297204;width:8388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HhMUXWAAAACAEAAA8AAAAAAAAAAQAgAAAAIgAA&#10;AGRycy9kb3ducmV2LnhtbFBLAQIUABQAAAAIAIdO4kBcjiB5QwIAAGsEAAAOAAAAAAAAAAEAIAAA&#10;ACUBAABkcnMvZTJvRG9jLnhtbFBLBQYAAAAABgAGAFkBAADaBQ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主体施工</w:t>
                        </w:r>
                      </w:p>
                    </w:txbxContent>
                  </v:textbox>
                </v:rect>
                <v:line id="直线 6" o:spid="_x0000_s1026" o:spt="20" style="position:absolute;left:1028700;top:1076315;height:600;width:228600;" filled="f" stroked="t" coordsize="21600,21600" o:gfxdata="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30jNx1QAA&#10;AAgBAAAPAAAAAAAAAAEAIAAAACIAAABkcnMvZG93bnJldi54bWxQSwECFAAUAAAACACHTuJAp+Bq&#10;/egBAAC5AwAADgAAAAAAAAABACAAAAAkAQAAZHJzL2Uyb0RvYy54bWxQSwUGAAAAAAYABgBZAQAA&#10;fgUAAAAA&#10;">
                  <v:fill on="f" focussize="0,0"/>
                  <v:stroke color="#000000" joinstyle="round" endarrow="classic"/>
                  <v:imagedata o:title=""/>
                  <o:lock v:ext="edit" aspectratio="f"/>
                </v:line>
                <v:rect id="矩形 7" o:spid="_x0000_s1026" o:spt="1" style="position:absolute;left:2314500;top:866112;height:297204;width:7906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4TFF1gAAAAgBAAAPAAAAAAAAAAEAIAAAACIA&#10;AABkcnMvZG93bnJldi54bWxQSwECFAAUAAAACACHTuJASS03K0QCAABrBAAADgAAAAAAAAABACAA&#10;AAAlAQAAZHJzL2Uyb0RvYy54bWxQSwUGAAAAAAYABgBZAQAA2wU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装修工程</w:t>
                        </w:r>
                      </w:p>
                    </w:txbxContent>
                  </v:textbox>
                </v:rect>
                <v:line id="直线 8" o:spid="_x0000_s1026" o:spt="20" style="position:absolute;left:2095500;top:1028714;height:600;width:228600;" filled="f" stroked="t" coordsize="21600,21600" o:gfxdata="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9IzcdUA&#10;AAAIAQAADwAAAAAAAAABACAAAAAiAAAAZHJzL2Rvd25yZXYueG1sUEsBAhQAFAAAAAgAh07iQOOg&#10;DXjpAQAAuQMAAA4AAAAAAAAAAQAgAAAAJAEAAGRycy9lMm9Eb2MueG1sUEsFBgAAAAAGAAYAWQEA&#10;AH8FAAAAAA==&#10;">
                  <v:fill on="f" focussize="0,0"/>
                  <v:stroke color="#000000" joinstyle="round" endarrow="classic"/>
                  <v:imagedata o:title=""/>
                  <o:lock v:ext="edit" aspectratio="f"/>
                </v:line>
                <v:rect id="矩形 9" o:spid="_x0000_s1026" o:spt="1" style="position:absolute;left:3352100;top:885112;height:297204;width:8014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4TFF1gAAAAgBAAAPAAAAAAAAAAEAIAAAACIA&#10;AABkcnMvZG93bnJldi54bWxQSwECFAAUAAAACACHTuJAC/lWEUQCAABrBAAADgAAAAAAAAABACAA&#10;AAAlAQAAZHJzL2Uyb0RvYy54bWxQSwUGAAAAAAYABgBZAQAA2wU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设备安装</w:t>
                        </w:r>
                      </w:p>
                    </w:txbxContent>
                  </v:textbox>
                </v:rect>
                <v:line id="直线 10" o:spid="_x0000_s1026" o:spt="20" style="position:absolute;left:3123500;top:1019814;flip:y;height:5700;width:228600;" filled="f" stroked="t" coordsize="21600,21600" o:gfxdata="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TxGiNYAAAAIAQAADwAAAAAAAAABACAAAAAiAAAAZHJzL2Rvd25yZXYueG1sUEsBAhQAFAAA&#10;AAgAh07iQBmULYHxAQAAxQMAAA4AAAAAAAAAAQAgAAAAJQEAAGRycy9lMm9Eb2MueG1sUEsFBgAA&#10;AAAGAAYAWQEAAIgFAAAAAA==&#10;">
                  <v:fill on="f" focussize="0,0"/>
                  <v:stroke color="#000000" joinstyle="round" endarrow="classic"/>
                  <v:imagedata o:title=""/>
                  <o:lock v:ext="edit" aspectratio="f"/>
                </v:line>
                <v:rect id="矩形 11" o:spid="_x0000_s1026" o:spt="1" style="position:absolute;left:114300;top:0;height:667385;width:1012825;"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Hk3xdkAAAAIAQAA&#10;DwAAAAAAAAABACAAAAAiAAAAZHJzL2Rvd25yZXYueG1sUEsBAhQAFAAAAAgAh07iQOnUnuAYAgAA&#10;HgQAAA4AAAAAAAAAAQAgAAAAKAEAAGRycy9lMm9Eb2MueG1sUEsFBgAAAAAGAAYAWQEAALIFAAAA&#10;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bCs/>
                            <w:sz w:val="21"/>
                            <w:szCs w:val="21"/>
                          </w:rPr>
                          <w:t>施工废水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生活废水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r>
                          <w:rPr>
                            <w:rFonts w:hint="eastAsia"/>
                            <w:sz w:val="21"/>
                            <w:szCs w:val="21"/>
                          </w:rPr>
                          <w:t>建筑垃圾</w:t>
                        </w:r>
                      </w:p>
                      <w:p>
                        <w:pPr>
                          <w:jc w:val="center"/>
                          <w:rPr>
                            <w:szCs w:val="21"/>
                          </w:rPr>
                        </w:pPr>
                      </w:p>
                    </w:txbxContent>
                  </v:textbox>
                </v:rect>
                <v:rect id="矩形 12" o:spid="_x0000_s1026" o:spt="1" style="position:absolute;left:1257300;top:15200;height:671809;width:9156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Hk3xdkAAAAI&#10;AQAADwAAAAAAAAABACAAAAAiAAAAZHJzL2Rvd25yZXYueG1sUEsBAhQAFAAAAAgAh07iQGSAq80b&#10;AgAAIgQAAA4AAAAAAAAAAQAgAAAAKAEAAGRycy9lMm9Eb2MueG1sUEsFBgAAAAAGAAYAWQEAALUF&#10;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Times New Roman" w:hAnsi="Times New Roman"/>
                            <w:bCs/>
                            <w:sz w:val="21"/>
                            <w:szCs w:val="21"/>
                          </w:rPr>
                          <w:t>施工</w:t>
                        </w:r>
                        <w:r>
                          <w:rPr>
                            <w:rFonts w:hint="eastAsia"/>
                            <w:bCs/>
                            <w:sz w:val="21"/>
                            <w:szCs w:val="21"/>
                          </w:rPr>
                          <w:t>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生活废水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建筑垃圾</w:t>
                        </w:r>
                      </w:p>
                    </w:txbxContent>
                  </v:textbox>
                </v:rect>
                <v:line id="直线 13" o:spid="_x0000_s1026" o:spt="20" style="position:absolute;left:1714500;top:680710;flip:y;height:204403;width:600;" filled="f" stroked="t" coordsize="21600,21600" o:gfxdata="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H3wo3WAAAACAEAAA8AAAAAAAAAAQAgAAAAIgAAAGRycy9kb3ducmV2&#10;LnhtbFBLAQIUABQAAAAIAIdO4kAWZZKE/gEAAN4DAAAOAAAAAAAAAAEAIAAAACUBAABkcnMvZTJv&#10;RG9jLnhtbFBLBQYAAAAABgAGAFkBAACVBQAAAAA=&#10;">
                  <v:fill on="f" focussize="0,0"/>
                  <v:stroke color="#000000" joinstyle="round" dashstyle="dashDot" endarrow="classic"/>
                  <v:imagedata o:title=""/>
                  <o:lock v:ext="edit" aspectratio="f"/>
                </v:line>
                <v:rect id="矩形 14" o:spid="_x0000_s1026" o:spt="1" style="position:absolute;left:4399900;top:875612;height:297204;width:7436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HhMUXWAAAACAEAAA8AAAAAAAAAAQAgAAAA&#10;IgAAAGRycy9kb3ducmV2LnhtbFBLAQIUABQAAAAIAIdO4kBNg3jDRgIAAGwEAAAOAAAAAAAAAAEA&#10;IAAAACUBAABkcnMvZTJvRG9jLnhtbFBLBQYAAAAABgAGAFkBAADdBQ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投入使用</w:t>
                        </w:r>
                      </w:p>
                    </w:txbxContent>
                  </v:textbox>
                </v:rect>
                <v:rect id="矩形 15" o:spid="_x0000_s1026" o:spt="1" style="position:absolute;left:114300;top:885112;height:297204;width:9144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HhMUXWAAAACAEAAA8AAAAAAAAAAQAgAAAAIgAAAGRy&#10;cy9kb3ducmV2LnhtbFBLAQIUABQAAAAIAIdO4kAJrLwNQAIAAGsEAAAOAAAAAAAAAAEAIAAAACUB&#10;AABkcnMvZTJvRG9jLnhtbFBLBQYAAAAABgAGAFkBAADXBQAAAAA=&#10;">
                  <v:fill on="f"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z w:val="21"/>
                            <w:szCs w:val="21"/>
                          </w:rPr>
                        </w:pPr>
                        <w:r>
                          <w:rPr>
                            <w:rFonts w:hint="eastAsia"/>
                            <w:b/>
                            <w:bCs/>
                            <w:sz w:val="21"/>
                            <w:szCs w:val="21"/>
                          </w:rPr>
                          <w:t>基础施工</w:t>
                        </w:r>
                      </w:p>
                    </w:txbxContent>
                  </v:textbox>
                </v:rect>
                <v:line id="直线 16" o:spid="_x0000_s1026" o:spt="20" style="position:absolute;left:4171300;top:1019114;height:700;width:228600;" filled="f" stroked="t" coordsize="21600,21600" o:gfxdata="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9Iz&#10;cdUAAAAIAQAADwAAAAAAAAABACAAAAAiAAAAZHJzL2Rvd25yZXYueG1sUEsBAhQAFAAAAAgAh07i&#10;QNdZL3vsAQAAugMAAA4AAAAAAAAAAQAgAAAAJAEAAGRycy9lMm9Eb2MueG1sUEsFBgAAAAAGAAYA&#10;WQEAAIIFAAAAAA==&#10;">
                  <v:fill on="f" focussize="0,0"/>
                  <v:stroke color="#000000" joinstyle="round" endarrow="classic"/>
                  <v:imagedata o:title=""/>
                  <o:lock v:ext="edit" aspectratio="f"/>
                </v:line>
                <v:line id="直线 17" o:spid="_x0000_s1026" o:spt="20" style="position:absolute;left:571500;top:680710;flip:y;height:204403;width:600;" filled="f" stroked="t" coordsize="21600,21600" o:gfxdata="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98KN1gAAAAgBAAAPAAAAAAAAAAEAIAAAACIAAABkcnMvZG93bnJl&#10;di54bWxQSwECFAAUAAAACACHTuJAWtkOgf8BAADdAwAADgAAAAAAAAABACAAAAAlAQAAZHJzL2Uy&#10;b0RvYy54bWxQSwUGAAAAAAYABgBZAQAAlgUAAAAA&#10;">
                  <v:fill on="f" focussize="0,0"/>
                  <v:stroke color="#000000" joinstyle="round" dashstyle="dashDot" endarrow="classic"/>
                  <v:imagedata o:title=""/>
                  <o:lock v:ext="edit" aspectratio="f"/>
                </v:line>
                <v:line id="直线 18" o:spid="_x0000_s1026" o:spt="20" style="position:absolute;left:571500;top:1182317;height:1918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lKATXAAAACAEAAA8AAAAAAAAAAQAgAAAAIgAAAGRycy9kb3ducmV2LnhtbFBL&#10;AQIUABQAAAAIAIdO4kBB9yxz9wEAANQDAAAOAAAAAAAAAAEAIAAAACYBAABkcnMvZTJvRG9jLnht&#10;bFBLBQYAAAAABgAGAFkBAACPBQAAAAA=&#10;">
                  <v:fill on="f" focussize="0,0"/>
                  <v:stroke color="#000000" joinstyle="round" dashstyle="dashDot" endarrow="classic"/>
                  <v:imagedata o:title=""/>
                  <o:lock v:ext="edit" aspectratio="f"/>
                </v:line>
                <v:rect id="矩形 19" o:spid="_x0000_s1026" o:spt="1" style="position:absolute;left:114300;top:1374119;height:610209;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TfF2QAAAAgB&#10;AAAPAAAAAAAAAAEAIAAAACIAAABkcnMvZG93bnJldi54bWxQSwECFAAUAAAACACHTuJAspX9qRoC&#10;AAAjBAAADgAAAAAAAAABACAAAAAoAQAAZHJzL2Uyb0RvYy54bWxQSwUGAAAAAAYABgBZAQAAtAUA&#10;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Times New Roman" w:hAnsi="Times New Roman"/>
                            <w:bCs/>
                            <w:sz w:val="21"/>
                            <w:szCs w:val="21"/>
                          </w:rPr>
                          <w:t>扬尘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施工噪声</w:t>
                        </w:r>
                      </w:p>
                    </w:txbxContent>
                  </v:textbox>
                </v:rect>
                <v:line id="直线 20" o:spid="_x0000_s1026" o:spt="20" style="position:absolute;left:1714500;top:1176017;height:1917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6UoBNcAAAAIAQAADwAAAAAAAAABACAAAAAiAAAAZHJzL2Rvd25yZXYueG1sUEsB&#10;AhQAFAAAAAgAh07iQIHFdM32AQAA1QMAAA4AAAAAAAAAAQAgAAAAJgEAAGRycy9lMm9Eb2MueG1s&#10;UEsFBgAAAAAGAAYAWQEAAI4FAAAAAA==&#10;">
                  <v:fill on="f" focussize="0,0"/>
                  <v:stroke color="#000000" joinstyle="round" dashstyle="dashDot" endarrow="classic"/>
                  <v:imagedata o:title=""/>
                  <o:lock v:ext="edit" aspectratio="f"/>
                </v:line>
                <v:rect id="矩形 21" o:spid="_x0000_s1026" o:spt="1" style="position:absolute;left:1257300;top:1367719;height:514407;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TfF2QAAAAgB&#10;AAAPAAAAAAAAAAEAIAAAACIAAABkcnMvZG93bnJldi54bWxQSwECFAAUAAAACACHTuJA7X3KTRoC&#10;AAAkBAAADgAAAAAAAAABACAAAAAoAQAAZHJzL2Uyb0RvYy54bWxQSwUGAAAAAAYABgBZAQAAtAUA&#10;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Times New Roman" w:hAnsi="Times New Roman"/>
                            <w:bCs/>
                            <w:sz w:val="21"/>
                            <w:szCs w:val="21"/>
                          </w:rPr>
                          <w:t>扬尘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施工噪声</w:t>
                        </w:r>
                      </w:p>
                    </w:txbxContent>
                  </v:textbox>
                </v:rect>
                <v:rect id="矩形 22" o:spid="_x0000_s1026" o:spt="1" style="position:absolute;left:2295500;top:15200;height:671809;width:9156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TfF2QAA&#10;AAgBAAAPAAAAAAAAAAEAIAAAACIAAABkcnMvZG93bnJldi54bWxQSwECFAAUAAAACACHTuJAXf9A&#10;Hh0CAAAiBAAADgAAAAAAAAABACAAAAAoAQAAZHJzL2Uyb0RvYy54bWxQSwUGAAAAAAYABgBZAQAA&#10;t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ascii="Times New Roman" w:hAnsi="Times New Roman"/>
                            <w:bCs/>
                            <w:sz w:val="21"/>
                            <w:szCs w:val="21"/>
                          </w:rPr>
                          <w:t>施工</w:t>
                        </w:r>
                        <w:r>
                          <w:rPr>
                            <w:rFonts w:hint="eastAsia"/>
                            <w:bCs/>
                            <w:sz w:val="21"/>
                            <w:szCs w:val="21"/>
                          </w:rPr>
                          <w:t>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生活废水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Cs w:val="21"/>
                          </w:rPr>
                        </w:pPr>
                        <w:r>
                          <w:rPr>
                            <w:rFonts w:hint="eastAsia"/>
                            <w:sz w:val="21"/>
                            <w:szCs w:val="21"/>
                          </w:rPr>
                          <w:t>建筑垃圾</w:t>
                        </w:r>
                      </w:p>
                    </w:txbxContent>
                  </v:textbox>
                </v:rect>
                <v:line id="直线 23" o:spid="_x0000_s1026" o:spt="20" style="position:absolute;left:2743200;top:623509;flip:y;height:204503;width:600;" filled="f" stroked="t" coordsize="21600,21600" o:gfxdata="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3wo3WAAAACAEAAA8AAAAAAAAAAQAgAAAAIgAAAGRycy9kb3du&#10;cmV2LnhtbFBLAQIUABQAAAAIAIdO4kDWJkNfAQIAAN4DAAAOAAAAAAAAAAEAIAAAACUBAABkcnMv&#10;ZTJvRG9jLnhtbFBLBQYAAAAABgAGAFkBAACYBQAAAAA=&#10;">
                  <v:fill on="f" focussize="0,0"/>
                  <v:stroke color="#000000" joinstyle="round" dashstyle="dashDot" endarrow="classic"/>
                  <v:imagedata o:title=""/>
                  <o:lock v:ext="edit" aspectratio="f"/>
                </v:line>
                <v:line id="直线 24" o:spid="_x0000_s1026" o:spt="20" style="position:absolute;left:2743200;top:1166416;height:1918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lKATXAAAACAEAAA8AAAAAAAAAAQAgAAAAIgAAAGRycy9kb3ducmV2LnhtbFBL&#10;AQIUABQAAAAIAIdO4kCr06Vy9wEAANUDAAAOAAAAAAAAAAEAIAAAACYBAABkcnMvZTJvRG9jLnht&#10;bFBLBQYAAAAABgAGAFkBAACPBQAAAAA=&#10;">
                  <v:fill on="f" focussize="0,0"/>
                  <v:stroke color="#000000" joinstyle="round" dashstyle="dashDot" endarrow="classic"/>
                  <v:imagedata o:title=""/>
                  <o:lock v:ext="edit" aspectratio="f"/>
                </v:line>
                <v:rect id="矩形 25" o:spid="_x0000_s1026" o:spt="1" style="position:absolute;left:2343100;top:1367719;height:571508;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TfF2QAA&#10;AAgBAAAPAAAAAAAAAAEAIAAAACIAAABkcnMvZG93bnJldi54bWxQSwECFAAUAAAACACHTuJA9ZIH&#10;VB0CAAAkBAAADgAAAAAAAAABACAAAAAoAQAAZHJzL2Uyb0RvYy54bWxQSwUGAAAAAAYABgBZAQAA&#10;t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bCs/>
                            <w:sz w:val="21"/>
                            <w:szCs w:val="21"/>
                          </w:rPr>
                          <w:t>装修废气</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施工噪声</w:t>
                        </w:r>
                      </w:p>
                    </w:txbxContent>
                  </v:textbox>
                </v:rect>
                <v:line id="直线 26" o:spid="_x0000_s1026" o:spt="20" style="position:absolute;left:3810000;top:1185517;height:1918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6UoBNcAAAAIAQAADwAAAAAAAAABACAAAAAiAAAAZHJzL2Rvd25yZXYueG1sUEsB&#10;AhQAFAAAAAgAh07iQC7R9R32AQAA1QMAAA4AAAAAAAAAAQAgAAAAJgEAAGRycy9lMm9Eb2MueG1s&#10;UEsFBgAAAAAGAAYAWQEAAI4FAAAAAA==&#10;">
                  <v:fill on="f" focussize="0,0"/>
                  <v:stroke color="#000000" joinstyle="round" dashstyle="dashDot" endarrow="classic"/>
                  <v:imagedata o:title=""/>
                  <o:lock v:ext="edit" aspectratio="f"/>
                </v:line>
                <v:rect id="矩形 27" o:spid="_x0000_s1026" o:spt="1" style="position:absolute;left:3276600;top:1367719;height:553108;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TfF2QAA&#10;AAgBAAAPAAAAAAAAAAEAIAAAACIAAABkcnMvZG93bnJldi54bWxQSwECFAAUAAAACACHTuJAYtz5&#10;jR0CAAAkBAAADgAAAAAAAAABACAAAAAoAQAAZHJzL2Uyb0RvYy54bWxQSwUGAAAAAAYABgBZAQAA&#10;tw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bCs/>
                            <w:sz w:val="21"/>
                            <w:szCs w:val="21"/>
                          </w:rPr>
                          <w:t>废弃物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噪声</w:t>
                        </w:r>
                      </w:p>
                    </w:txbxContent>
                  </v:textbox>
                </v:rect>
                <w10:wrap type="square"/>
              </v:group>
            </w:pict>
          </mc:Fallback>
        </mc:AlternateContent>
      </w:r>
      <w:r>
        <w:t>营运期生产工艺流程及产污环节</w:t>
      </w:r>
    </w:p>
    <w:p>
      <w:pPr>
        <w:rPr>
          <w:rFonts w:hint="eastAsia"/>
          <w:lang w:eastAsia="zh-CN"/>
        </w:rPr>
      </w:pPr>
      <w:r>
        <w:rPr>
          <w:rFonts w:hint="eastAsia"/>
          <w:lang w:eastAsia="zh-CN"/>
        </w:rPr>
        <w:t>项目猪舍地板为水泥漏缝板，水泥漏缝下面为1m深的刮粪池。猪只产生的粪尿通过水泥漏缝直接落入到各自的刮粪池中。猪粪尿通过重力作用（由地形落差产生），自流进入南侧配套的集污池内。</w:t>
      </w:r>
    </w:p>
    <w:p>
      <w:r>
        <w:rPr>
          <w:rFonts w:hint="eastAsia"/>
          <w:lang w:eastAsia="zh-CN"/>
        </w:rPr>
        <w:t>猪尿等</w:t>
      </w:r>
      <w:r>
        <w:rPr>
          <w:rFonts w:hint="eastAsia"/>
        </w:rPr>
        <w:t>养殖废水</w:t>
      </w:r>
      <w:r>
        <w:rPr>
          <w:rFonts w:hint="eastAsia"/>
          <w:lang w:eastAsia="zh-CN"/>
        </w:rPr>
        <w:t>采用厌氧发酵</w:t>
      </w:r>
      <w:r>
        <w:rPr>
          <w:rFonts w:hint="eastAsia"/>
          <w:lang w:val="en-US" w:eastAsia="zh-CN"/>
        </w:rPr>
        <w:t>+AO组合池废水处理</w:t>
      </w:r>
      <w:r>
        <w:rPr>
          <w:rFonts w:hint="eastAsia"/>
          <w:lang w:eastAsia="zh-CN"/>
        </w:rPr>
        <w:t>系统处理</w:t>
      </w:r>
      <w:r>
        <w:rPr>
          <w:rFonts w:hint="eastAsia"/>
        </w:rPr>
        <w:t>：</w:t>
      </w:r>
      <w:r>
        <w:rPr>
          <w:rFonts w:hint="eastAsia"/>
          <w:lang w:val="en-US" w:eastAsia="zh-CN"/>
        </w:rPr>
        <w:t>固液分离后的</w:t>
      </w:r>
      <w:r>
        <w:rPr>
          <w:rFonts w:hint="eastAsia"/>
        </w:rPr>
        <w:t>猪尿进入厌氧发酵</w:t>
      </w:r>
      <w:r>
        <w:rPr>
          <w:rFonts w:hint="eastAsia"/>
          <w:lang w:eastAsia="zh-CN"/>
        </w:rPr>
        <w:t>池</w:t>
      </w:r>
      <w:r>
        <w:rPr>
          <w:rFonts w:hint="eastAsia"/>
        </w:rPr>
        <w:t>发酵后</w:t>
      </w:r>
      <w:r>
        <w:rPr>
          <w:rFonts w:hint="eastAsia"/>
          <w:lang w:val="en-US" w:eastAsia="zh-CN"/>
        </w:rPr>
        <w:t>经AO组合池进行处理，处理后的废水</w:t>
      </w:r>
      <w:r>
        <w:rPr>
          <w:rFonts w:hint="eastAsia"/>
        </w:rPr>
        <w:t>进入容量</w:t>
      </w:r>
      <w:r>
        <w:rPr>
          <w:rFonts w:hint="eastAsia"/>
          <w:highlight w:val="none"/>
          <w:lang w:val="en-US" w:eastAsia="zh-CN"/>
        </w:rPr>
        <w:t>12000</w:t>
      </w:r>
      <w:r>
        <w:rPr>
          <w:rFonts w:hint="eastAsia"/>
          <w:highlight w:val="none"/>
        </w:rPr>
        <w:t>m</w:t>
      </w:r>
      <w:r>
        <w:rPr>
          <w:rFonts w:hint="eastAsia"/>
          <w:highlight w:val="none"/>
          <w:vertAlign w:val="superscript"/>
        </w:rPr>
        <w:t>3</w:t>
      </w:r>
      <w:r>
        <w:rPr>
          <w:rFonts w:hint="eastAsia"/>
          <w:highlight w:val="none"/>
        </w:rPr>
        <w:t>的沼液储存池</w:t>
      </w:r>
      <w:r>
        <w:rPr>
          <w:rFonts w:hint="eastAsia"/>
        </w:rPr>
        <w:t>，通过罐车运输沼液</w:t>
      </w:r>
      <w:r>
        <w:rPr>
          <w:rFonts w:hint="eastAsia"/>
          <w:lang w:eastAsia="zh-CN"/>
        </w:rPr>
        <w:t>回用于常德华诚现代农业开发有限公司</w:t>
      </w:r>
      <w:r>
        <w:rPr>
          <w:rFonts w:hint="eastAsia"/>
          <w:lang w:val="en-US" w:eastAsia="zh-CN"/>
        </w:rPr>
        <w:t>农业生产施肥</w:t>
      </w:r>
      <w:r>
        <w:t>。</w:t>
      </w:r>
    </w:p>
    <w:p>
      <w:r>
        <w:rPr>
          <w:rFonts w:hint="eastAsia"/>
          <w:lang w:eastAsia="zh-CN"/>
        </w:rPr>
        <w:t>猪场粪污采用堆肥</w:t>
      </w:r>
      <w:r>
        <w:rPr>
          <w:rFonts w:hint="eastAsia"/>
        </w:rPr>
        <w:t>发酵处理</w:t>
      </w:r>
      <w:r>
        <w:rPr>
          <w:rFonts w:hint="eastAsia"/>
          <w:lang w:eastAsia="zh-CN"/>
        </w:rPr>
        <w:t>，</w:t>
      </w:r>
      <w:r>
        <w:rPr>
          <w:rFonts w:hint="eastAsia"/>
        </w:rPr>
        <w:t>微生物发酵处理猪场粪污是一项集粪污减量化、无害化和资源化利用为一体的综合技术。采用该技术工艺具有占地面积小、投资较少、运行成本低和无臭味等优点，养猪场无需设置排污口，可实现粪污零排放，粪污经发酵处理后可全部转化为固态有机肥原料，实现变废为宝。</w:t>
      </w:r>
    </w:p>
    <w:p>
      <w:pPr>
        <w:sectPr>
          <w:pgSz w:w="11907" w:h="16840"/>
          <w:pgMar w:top="1531" w:right="1531" w:bottom="1531" w:left="1531" w:header="851" w:footer="992"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object>
          <v:shape id="_x0000_i1025" o:spt="75" type="#_x0000_t75" style="height:395.8pt;width:442.05pt;" o:ole="t" filled="f" o:preferrelative="t" stroked="f" coordsize="21600,21600">
            <v:path/>
            <v:fill on="f" focussize="0,0"/>
            <v:stroke on="f"/>
            <v:imagedata r:id="rId24" o:title=""/>
            <o:lock v:ext="edit" aspectratio="f"/>
            <w10:wrap type="none"/>
            <w10:anchorlock/>
          </v:shape>
          <o:OLEObject Type="Embed" ProgID="Visio.Drawing.15" ShapeID="_x0000_i1025" DrawAspect="Content" ObjectID="_1468075726" r:id="rId23">
            <o:LockedField>false</o:LockedField>
          </o:OLEObject>
        </w:objec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sz w:val="21"/>
          <w:szCs w:val="21"/>
          <w:lang w:val="en-US" w:eastAsia="zh-CN"/>
        </w:rPr>
      </w:pPr>
      <w:r>
        <w:rPr>
          <w:rFonts w:hint="eastAsia"/>
          <w:b/>
          <w:bCs/>
          <w:sz w:val="21"/>
          <w:szCs w:val="21"/>
          <w:lang w:eastAsia="zh-CN"/>
        </w:rPr>
        <w:t>图</w:t>
      </w:r>
      <w:r>
        <w:rPr>
          <w:rFonts w:hint="eastAsia"/>
          <w:b/>
          <w:bCs/>
          <w:sz w:val="21"/>
          <w:szCs w:val="21"/>
          <w:lang w:val="en-US" w:eastAsia="zh-CN"/>
        </w:rPr>
        <w:t>2.2-2  项目工艺流程及产污节点图</w:t>
      </w:r>
    </w:p>
    <w:p>
      <w:pPr>
        <w:bidi w:val="0"/>
        <w:rPr>
          <w:rFonts w:hint="eastAsia"/>
        </w:rPr>
      </w:pPr>
      <w:r>
        <w:rPr>
          <w:rFonts w:hint="eastAsia"/>
          <w:lang w:eastAsia="zh-CN"/>
        </w:rPr>
        <w:t>一、</w:t>
      </w:r>
      <w:r>
        <w:t>项目主要技术工艺参数：</w:t>
      </w:r>
    </w:p>
    <w:p>
      <w:r>
        <w:rPr>
          <w:rFonts w:hint="eastAsia"/>
        </w:rPr>
        <w:t>母猪场繁育工艺参数：</w:t>
      </w:r>
      <w:r>
        <w:t>母猪配种分娩率达</w:t>
      </w:r>
      <w:r>
        <w:rPr>
          <w:rFonts w:hint="eastAsia"/>
        </w:rPr>
        <w:t>90</w:t>
      </w:r>
      <w:r>
        <w:t>%以上，平均胎产活仔</w:t>
      </w:r>
      <w:r>
        <w:rPr>
          <w:rFonts w:hint="eastAsia"/>
        </w:rPr>
        <w:t>12</w:t>
      </w:r>
      <w:r>
        <w:t>头以上，哺乳成活率9</w:t>
      </w:r>
      <w:r>
        <w:rPr>
          <w:rFonts w:hint="eastAsia"/>
          <w:lang w:val="en-US" w:eastAsia="zh-CN"/>
        </w:rPr>
        <w:t>0</w:t>
      </w:r>
      <w:r>
        <w:t>%，2</w:t>
      </w:r>
      <w:r>
        <w:rPr>
          <w:rFonts w:hint="eastAsia"/>
          <w:lang w:val="en-US" w:eastAsia="zh-CN"/>
        </w:rPr>
        <w:t>8</w:t>
      </w:r>
      <w:r>
        <w:t>日龄断奶窝重达到6.5kg以上</w:t>
      </w:r>
      <w:r>
        <w:rPr>
          <w:rFonts w:hint="eastAsia"/>
          <w:lang w:eastAsia="zh-CN"/>
        </w:rPr>
        <w:t>，</w:t>
      </w:r>
      <w:r>
        <w:t>母猪年产窝数</w:t>
      </w:r>
      <w:r>
        <w:rPr>
          <w:rFonts w:hint="eastAsia"/>
        </w:rPr>
        <w:t>平均约</w:t>
      </w:r>
      <w:r>
        <w:t>2.</w:t>
      </w:r>
      <w:r>
        <w:rPr>
          <w:rFonts w:hint="eastAsia"/>
        </w:rPr>
        <w:t>2</w:t>
      </w:r>
      <w:r>
        <w:rPr>
          <w:rFonts w:hint="eastAsia"/>
          <w:lang w:val="en-US" w:eastAsia="zh-CN"/>
        </w:rPr>
        <w:t>3</w:t>
      </w:r>
      <w:r>
        <w:t>次。</w:t>
      </w:r>
    </w:p>
    <w:p>
      <w:r>
        <w:rPr>
          <w:rFonts w:hint="eastAsia"/>
        </w:rPr>
        <w:t>项目是饲养母猪生产仔猪，断奶</w:t>
      </w:r>
      <w:r>
        <w:rPr>
          <w:rFonts w:hint="eastAsia"/>
          <w:lang w:eastAsia="zh-CN"/>
        </w:rPr>
        <w:t>、保育后</w:t>
      </w:r>
      <w:r>
        <w:rPr>
          <w:rFonts w:hint="eastAsia"/>
        </w:rPr>
        <w:t>直接出售仔猪。主要技术工艺流程为：项目从国内引进优质父母代二元种猪进行繁殖生产，生产过程即引种</w:t>
      </w:r>
      <w:r>
        <w:t>—</w:t>
      </w:r>
      <w:r>
        <w:rPr>
          <w:rFonts w:hint="eastAsia"/>
        </w:rPr>
        <w:t>培育</w:t>
      </w:r>
      <w:r>
        <w:t>—</w:t>
      </w:r>
      <w:r>
        <w:rPr>
          <w:rFonts w:hint="eastAsia"/>
        </w:rPr>
        <w:t>选配</w:t>
      </w:r>
      <w:r>
        <w:t>—</w:t>
      </w:r>
      <w:r>
        <w:rPr>
          <w:rFonts w:hint="eastAsia"/>
        </w:rPr>
        <w:t>妊娠</w:t>
      </w:r>
      <w:r>
        <w:t>—</w:t>
      </w:r>
      <w:r>
        <w:rPr>
          <w:rFonts w:hint="eastAsia"/>
        </w:rPr>
        <w:t>分娩哺育</w:t>
      </w:r>
      <w:r>
        <w:t>—2</w:t>
      </w:r>
      <w:r>
        <w:rPr>
          <w:rFonts w:hint="eastAsia"/>
          <w:lang w:val="en-US" w:eastAsia="zh-CN"/>
        </w:rPr>
        <w:t>8</w:t>
      </w:r>
      <w:r>
        <w:rPr>
          <w:rFonts w:hint="eastAsia"/>
        </w:rPr>
        <w:t>日龄断奶</w:t>
      </w:r>
      <w:r>
        <w:rPr>
          <w:rFonts w:hint="eastAsia"/>
          <w:lang w:eastAsia="zh-CN"/>
        </w:rPr>
        <w:t>—</w:t>
      </w:r>
      <w:r>
        <w:rPr>
          <w:rFonts w:hint="eastAsia"/>
          <w:lang w:val="en-US" w:eastAsia="zh-CN"/>
        </w:rPr>
        <w:t>出售</w:t>
      </w:r>
      <w:r>
        <w:rPr>
          <w:rFonts w:hint="eastAsia"/>
        </w:rPr>
        <w:t>。</w:t>
      </w:r>
    </w:p>
    <w:p>
      <w:r>
        <w:rPr>
          <w:rFonts w:hint="eastAsia"/>
        </w:rPr>
        <w:t>本项目养殖生产工艺流程及产污节点见图</w:t>
      </w:r>
      <w:r>
        <w:rPr>
          <w:rFonts w:hint="eastAsia"/>
          <w:lang w:val="en-US" w:eastAsia="zh-CN"/>
        </w:rPr>
        <w:t>2.2-2</w:t>
      </w:r>
      <w:r>
        <w:rPr>
          <w:rFonts w:hint="eastAsia"/>
        </w:rPr>
        <w:t>。</w:t>
      </w:r>
    </w:p>
    <w:p>
      <w:r>
        <w:rPr>
          <w:rFonts w:hint="eastAsia"/>
        </w:rPr>
        <w:t>二、养殖工艺说明</w:t>
      </w:r>
    </w:p>
    <w:p>
      <w:r>
        <w:rPr>
          <w:rFonts w:hint="eastAsia"/>
        </w:rPr>
        <w:t>本项目采用集约化养猪工艺，集约化养猪的目的是要摆脱分散的、传统的季节性的生产方式，建立工厂化、程序化、常年均衡的养猪生产体系，从而达到生产的高水平和经营的高效益。</w:t>
      </w:r>
    </w:p>
    <w:p>
      <w:r>
        <w:rPr>
          <w:rFonts w:hint="eastAsia"/>
        </w:rPr>
        <w:t>（一）猪的饲养</w:t>
      </w:r>
    </w:p>
    <w:p>
      <w:pPr>
        <w:rPr>
          <w:rFonts w:hint="eastAsia"/>
        </w:rPr>
      </w:pPr>
      <w:r>
        <w:rPr>
          <w:rFonts w:hint="eastAsia"/>
        </w:rPr>
        <w:t>（1）种公猪及母猪饲养阶段</w:t>
      </w:r>
    </w:p>
    <w:p>
      <w:r>
        <w:rPr>
          <w:rFonts w:hint="eastAsia"/>
        </w:rPr>
        <w:t>种公猪的饲养：根据公猪的膘情投喂饲料，给予适当运动和光照，公猪舍做到夏防暑，冬防寒，室温保持在</w:t>
      </w:r>
      <w:r>
        <w:t>10</w:t>
      </w:r>
      <w:r>
        <w:rPr>
          <w:rFonts w:hint="eastAsia"/>
        </w:rPr>
        <w:t>℃</w:t>
      </w:r>
      <w:r>
        <w:t>~28</w:t>
      </w:r>
      <w:r>
        <w:rPr>
          <w:rFonts w:hint="eastAsia"/>
        </w:rPr>
        <w:t>℃，进行严格测定，选出最优秀的公猪，发现有遗传疾病和发育不良以及丧失繁殖能力的公猪及时淘汰。</w:t>
      </w:r>
    </w:p>
    <w:p>
      <w:r>
        <w:rPr>
          <w:rFonts w:hint="eastAsia"/>
        </w:rPr>
        <w:t>种母猪的饲养：根据母猪的膘情投喂饲料，保持八成膘。进行严格测定，选出最优秀的母猪，发现有遗传疾病和发育不良以及丧失繁殖能力的母猪及时淘汰。</w:t>
      </w:r>
    </w:p>
    <w:p>
      <w:r>
        <w:rPr>
          <w:rFonts w:hint="eastAsia"/>
        </w:rPr>
        <w:t>（2）配种妊娠阶段</w:t>
      </w:r>
    </w:p>
    <w:p>
      <w:r>
        <w:rPr>
          <w:rFonts w:hint="eastAsia"/>
        </w:rPr>
        <w:t>在此阶段母猪要完成配种并度过妊娠期。配种约需</w:t>
      </w:r>
      <w:r>
        <w:t>7</w:t>
      </w:r>
      <w:r>
        <w:rPr>
          <w:rFonts w:hint="eastAsia"/>
        </w:rPr>
        <w:t>天，妊娠期</w:t>
      </w:r>
      <w:r>
        <w:t>114</w:t>
      </w:r>
      <w:r>
        <w:rPr>
          <w:rFonts w:hint="eastAsia"/>
        </w:rPr>
        <w:t>天。空怀母猪在一周左右时间完成配种，确定妊娠后转入妊娠猪舍，没有配准的转入下批继续参加配种。母猪产前</w:t>
      </w:r>
      <w:r>
        <w:t>1d~3d</w:t>
      </w:r>
      <w:r>
        <w:rPr>
          <w:rFonts w:hint="eastAsia"/>
        </w:rPr>
        <w:t>要减料，保证饮水，怀孕母猪产前</w:t>
      </w:r>
      <w:r>
        <w:t>7d</w:t>
      </w:r>
      <w:r>
        <w:rPr>
          <w:rFonts w:hint="eastAsia"/>
        </w:rPr>
        <w:t>进入产床栏，临产前准备好接产用器械、药品和其它用具。</w:t>
      </w:r>
    </w:p>
    <w:p>
      <w:r>
        <w:rPr>
          <w:rFonts w:hint="eastAsia"/>
        </w:rPr>
        <w:t>（</w:t>
      </w:r>
      <w:r>
        <w:t>3</w:t>
      </w:r>
      <w:r>
        <w:rPr>
          <w:rFonts w:hint="eastAsia"/>
        </w:rPr>
        <w:t>）仔猪哺乳阶段</w:t>
      </w:r>
    </w:p>
    <w:p>
      <w:r>
        <w:rPr>
          <w:rFonts w:hint="eastAsia"/>
        </w:rPr>
        <w:t>同一周配准的母猪，要按预产期最早的母猪，提前一周同批进入产房，在此阶段要完成分娩和对仔猪的哺育，哺育期为</w:t>
      </w:r>
      <w:r>
        <w:t>4</w:t>
      </w:r>
      <w:r>
        <w:rPr>
          <w:rFonts w:hint="eastAsia"/>
        </w:rPr>
        <w:t>周，母猪总共在产房饲养</w:t>
      </w:r>
      <w:r>
        <w:t>5</w:t>
      </w:r>
      <w:r>
        <w:rPr>
          <w:rFonts w:hint="eastAsia"/>
        </w:rPr>
        <w:t>周，断奶后仔猪转入下一阶段饲养，母猪回到空怀母猪舍参加下一个繁殖周期的配种。仔猪出生后用经消毒的毛巾擦干口、鼻和体表的粘液，然后在离脐部</w:t>
      </w:r>
      <w:r>
        <w:t>4cm~5cm</w:t>
      </w:r>
      <w:r>
        <w:rPr>
          <w:rFonts w:hint="eastAsia"/>
        </w:rPr>
        <w:t>处剪断脐带，断端涂上碘酒，编上耳号。仔猪出生后要保证能及早吃到初乳和固定奶头，</w:t>
      </w:r>
      <w:r>
        <w:t>10d</w:t>
      </w:r>
      <w:r>
        <w:rPr>
          <w:rFonts w:hint="eastAsia"/>
        </w:rPr>
        <w:t>后开始补料。仔猪应供应充足的清洁饮水。在哺乳期间应注意控制仔猪黄白痢，具体做法是要搞好猪舍和猪体卫生；及时清除舍内粪尿和污水，并隔天对猪舍和猪体消毒</w:t>
      </w:r>
      <w:r>
        <w:t>1</w:t>
      </w:r>
      <w:r>
        <w:rPr>
          <w:rFonts w:hint="eastAsia"/>
        </w:rPr>
        <w:t>次，每</w:t>
      </w:r>
      <w:r>
        <w:t>3d</w:t>
      </w:r>
      <w:r>
        <w:rPr>
          <w:rFonts w:hint="eastAsia"/>
        </w:rPr>
        <w:t>对产仔舍周边环境消毒</w:t>
      </w:r>
      <w:r>
        <w:t>1</w:t>
      </w:r>
      <w:r>
        <w:rPr>
          <w:rFonts w:hint="eastAsia"/>
        </w:rPr>
        <w:t>次，做好养殖区的定期消毒工作。</w:t>
      </w:r>
    </w:p>
    <w:p>
      <w:r>
        <w:rPr>
          <w:rFonts w:hint="eastAsia"/>
        </w:rPr>
        <w:t>（二）消毒方案</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猪群的消毒分为定期消毒和空舍消毒。定期消毒是指带猪消毒、场区消毒和平时的一些规定性消毒。空舍消毒就是栋舍的猪全部转出或出栏后消毒。</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w:t>
      </w:r>
      <w:r>
        <w:t>1</w:t>
      </w:r>
      <w:r>
        <w:rPr>
          <w:rFonts w:hint="eastAsia"/>
        </w:rPr>
        <w:t>）空舍消毒遵循的程序：清扫、消毒、冲洗、熏蒸消毒</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①空舍后，彻底清除舍内的残料、垃圾及门窗尘埃等，并整理舍内用具。产房空舍后把小猪料槽集中到一起，保温箱的垫板立起来放在保温箱上便于清洗。</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②舍内设备、用具清洗，对所有的物体表面进行低压喷洒，浓度为</w:t>
      </w:r>
      <w:r>
        <w:t>2%-3%</w:t>
      </w:r>
      <w:r>
        <w:rPr>
          <w:rFonts w:hint="eastAsia"/>
        </w:rPr>
        <w:t>火碱，使其充分湿润，喷洒的范围包括地面、猪栏、各种用具等，浸润</w:t>
      </w:r>
      <w:r>
        <w:t>1</w:t>
      </w:r>
      <w:r>
        <w:rPr>
          <w:rFonts w:hint="eastAsia"/>
        </w:rPr>
        <w:t>小时后再用高压冲洗机彻底冲洗地面、食槽、猪栏等各种用具，直至干净清洁为止。在冲洗的同时，要注意产房的烤灯插座及各栋电源的开关及插座。</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③用广谱消毒药彻底消毒空舍所有表面、设备、用具，不留死角。消毒后通风干燥空置</w:t>
      </w:r>
      <w:r>
        <w:t>5-7</w:t>
      </w:r>
      <w:r>
        <w:rPr>
          <w:rFonts w:hint="eastAsia"/>
        </w:rPr>
        <w:t>天。</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④进猪前</w:t>
      </w:r>
      <w:r>
        <w:t>2</w:t>
      </w:r>
      <w:r>
        <w:rPr>
          <w:rFonts w:hint="eastAsia"/>
        </w:rPr>
        <w:t>天恢复舍内布置，并检查维修设备用具，维修好后再用广谱药消毒一次。</w:t>
      </w:r>
    </w:p>
    <w:p>
      <w:pPr>
        <w:keepNext w:val="0"/>
        <w:keepLines w:val="0"/>
        <w:pageBreakBefore w:val="0"/>
        <w:widowControl w:val="0"/>
        <w:kinsoku/>
        <w:wordWrap/>
        <w:overflowPunct/>
        <w:topLinePunct w:val="0"/>
        <w:autoSpaceDE/>
        <w:autoSpaceDN/>
        <w:bidi w:val="0"/>
        <w:adjustRightInd/>
        <w:snapToGrid/>
        <w:textAlignment w:val="auto"/>
      </w:pPr>
      <w:r>
        <w:rPr>
          <w:rFonts w:hint="eastAsia"/>
        </w:rPr>
        <w:t>（</w:t>
      </w:r>
      <w:r>
        <w:t>2</w:t>
      </w:r>
      <w:r>
        <w:rPr>
          <w:rFonts w:hint="eastAsia"/>
        </w:rPr>
        <w:t>）定期消毒</w:t>
      </w:r>
    </w:p>
    <w:p>
      <w:r>
        <w:rPr>
          <w:rFonts w:hint="eastAsia"/>
        </w:rPr>
        <w:t>①</w:t>
      </w:r>
      <w:r>
        <w:t>进入生产区的消毒池必须保持溶液的有效浓度，消毒池的氢氧化钠浓度达到3％，每隔三天换一次。</w:t>
      </w:r>
    </w:p>
    <w:p>
      <w:r>
        <w:rPr>
          <w:rFonts w:hint="eastAsia"/>
        </w:rPr>
        <w:t>②</w:t>
      </w:r>
      <w:r>
        <w:t>外出员工或场外人员进入生产区须经过“踏、照、洗、换”四步消毒程序方能进入场区，即踏火碱池或垫、照紫外线5-10分钟、进洗澡间洗澡、更换工作服和鞋。</w:t>
      </w:r>
    </w:p>
    <w:p>
      <w:r>
        <w:t>③进入场区的物品照紫外线30分钟后方可进生产区，不怕湿的物品用浸润或消毒后进入场区，或熏蒸一次。</w:t>
      </w:r>
    </w:p>
    <w:p>
      <w:r>
        <w:t>④外购猪车辆在装猪前严格喷雾消毒2次，装猪后对使用过的装猪台、秤、过道及时进行清理、冲洗、消毒。</w:t>
      </w:r>
    </w:p>
    <w:p>
      <w:r>
        <w:t>⑤各单元门口有消毒池，人员进出时，双脚必须踏入消毒池，消毒池必须保持溶液的有效浓度。</w:t>
      </w:r>
    </w:p>
    <w:p>
      <w:r>
        <w:t>⑥各栋舍内按规定打扫卫生后带猪喷雾消毒一次，外环境根据情况消毒，每周2次或每周3次或每周1次。舍外生产区、装猪台都要消毒不留死角。消毒药轮流交叉使用。</w:t>
      </w:r>
    </w:p>
    <w:p>
      <w:r>
        <w:rPr>
          <w:rFonts w:hint="eastAsia"/>
        </w:rPr>
        <w:t>（三）</w:t>
      </w:r>
      <w:r>
        <w:t>防疫</w:t>
      </w:r>
      <w:r>
        <w:rPr>
          <w:rFonts w:hint="eastAsia"/>
        </w:rPr>
        <w:t>制度</w:t>
      </w:r>
    </w:p>
    <w:p>
      <w:r>
        <w:rPr>
          <w:rFonts w:hint="eastAsia"/>
        </w:rPr>
        <w:t>仔猪</w:t>
      </w:r>
      <w:r>
        <w:t>20日龄后，颈部肌注一份猪瘟弱毒疫苗；种猪每隔半年肌注一次“三联苗”，每年春秋两季注射“口蹄疫”疫苗，种母猪于配种前5~6月龄时用“细小病毒”苗，进行免疫。</w:t>
      </w:r>
      <w:r>
        <w:rPr>
          <w:rFonts w:hint="eastAsia"/>
        </w:rPr>
        <w:t>防疫制度：</w:t>
      </w:r>
    </w:p>
    <w:p>
      <w:r>
        <w:rPr>
          <w:rFonts w:hint="eastAsia"/>
        </w:rPr>
        <w:t>①更衣换鞋制度：凡是进入饲养场院的工作人员，一律更衣换鞋；</w:t>
      </w:r>
    </w:p>
    <w:p>
      <w:r>
        <w:rPr>
          <w:rFonts w:hint="eastAsia"/>
        </w:rPr>
        <w:t>②消毒制度：凡进入饲养场的人和车辆等都需要经过消毒；</w:t>
      </w:r>
    </w:p>
    <w:p>
      <w:r>
        <w:rPr>
          <w:rFonts w:hint="eastAsia"/>
        </w:rPr>
        <w:t>③防疫隔离制度：凡新引进的猪种在厂外隔离二个月以上，隔离观察期间进行测温和血清学及微生物检查，确认健康无病方能进场。</w:t>
      </w:r>
    </w:p>
    <w:p>
      <w:r>
        <w:rPr>
          <w:rFonts w:hint="eastAsia"/>
        </w:rPr>
        <w:t>④免疫程序制度：制定一套合理的免疫程序和实验室检测制度，做到“以防为主、防治结合”。</w:t>
      </w:r>
    </w:p>
    <w:p>
      <w:r>
        <w:rPr>
          <w:rFonts w:hint="eastAsia"/>
        </w:rPr>
        <w:t>⑤诊疗程序程序制度：配备专职兽医，加强防治结合。要求兽医每天进入各畜禽舍观察畜禽群，发现病情做好记录并向技术部门备案，一旦发现疫情，做到早、严、快，并向上级部门回报。</w:t>
      </w:r>
    </w:p>
    <w:p>
      <w:r>
        <w:rPr>
          <w:rFonts w:hint="eastAsia"/>
        </w:rPr>
        <w:t>产生的医疗废弃物均通过外运至医疗垃圾回收站处理，养殖场不单独处理该类废弃物。</w:t>
      </w:r>
    </w:p>
    <w:p>
      <w:r>
        <w:rPr>
          <w:rFonts w:hint="eastAsia"/>
        </w:rPr>
        <w:t>（四）清粪工艺</w:t>
      </w:r>
    </w:p>
    <w:p>
      <w:pPr>
        <w:rPr>
          <w:rFonts w:hint="eastAsia" w:eastAsiaTheme="minorEastAsia"/>
          <w:lang w:eastAsia="zh-CN"/>
        </w:rPr>
      </w:pPr>
      <w:r>
        <w:rPr>
          <w:rFonts w:hint="eastAsia"/>
        </w:rPr>
        <w:t>项目猪舍均采用水泥漏缝地板铺设，猪饲养产生的粪尿通过水泥漏缝直接进入猪舍下面的刮粪池中，未自然漏入的少部分粪便，采用人工清理的方式，扫入猪舍地下刮粪池。</w:t>
      </w:r>
      <w:r>
        <w:t>尿及污水从下水道流出</w:t>
      </w:r>
      <w:r>
        <w:rPr>
          <w:rFonts w:hint="eastAsia"/>
          <w:lang w:eastAsia="zh-CN"/>
        </w:rPr>
        <w:t>进入集污池</w:t>
      </w:r>
      <w:r>
        <w:t>。</w:t>
      </w:r>
      <w:r>
        <w:rPr>
          <w:rFonts w:hint="eastAsia"/>
          <w:lang w:eastAsia="zh-CN"/>
        </w:rPr>
        <w:t>猪尿部分进入厌氧发酵</w:t>
      </w:r>
      <w:r>
        <w:rPr>
          <w:rFonts w:hint="eastAsia"/>
          <w:lang w:val="en-US" w:eastAsia="zh-CN"/>
        </w:rPr>
        <w:t>+AO组合池废水处理</w:t>
      </w:r>
      <w:r>
        <w:rPr>
          <w:rFonts w:hint="eastAsia"/>
          <w:lang w:eastAsia="zh-CN"/>
        </w:rPr>
        <w:t>系统</w:t>
      </w:r>
      <w:r>
        <w:rPr>
          <w:rFonts w:hint="eastAsia"/>
          <w:lang w:val="en-US" w:eastAsia="zh-CN"/>
        </w:rPr>
        <w:t>处理</w:t>
      </w:r>
      <w:r>
        <w:rPr>
          <w:rFonts w:hint="eastAsia"/>
          <w:lang w:eastAsia="zh-CN"/>
        </w:rPr>
        <w:t>，猪粪用于堆粪发酵。</w:t>
      </w:r>
    </w:p>
    <w:p>
      <w:pPr>
        <w:rPr>
          <w:highlight w:val="none"/>
        </w:rPr>
      </w:pPr>
      <w:r>
        <w:rPr>
          <w:rFonts w:hint="eastAsia"/>
          <w:highlight w:val="none"/>
        </w:rPr>
        <w:t>（五）</w:t>
      </w:r>
      <w:r>
        <w:rPr>
          <w:rFonts w:hint="eastAsia"/>
          <w:highlight w:val="none"/>
          <w:lang w:eastAsia="zh-CN"/>
        </w:rPr>
        <w:t>堆粪棚</w:t>
      </w:r>
      <w:r>
        <w:rPr>
          <w:rFonts w:hint="eastAsia"/>
          <w:highlight w:val="none"/>
        </w:rPr>
        <w:t>工艺操作流程</w:t>
      </w:r>
    </w:p>
    <w:p>
      <w:r>
        <w:rPr>
          <w:rFonts w:hint="eastAsia"/>
        </w:rPr>
        <w:t>本项目粪污均采用微生物</w:t>
      </w:r>
      <w:r>
        <w:rPr>
          <w:rFonts w:hint="eastAsia"/>
          <w:lang w:eastAsia="zh-CN"/>
        </w:rPr>
        <w:t>堆粪发酵</w:t>
      </w:r>
      <w:r>
        <w:rPr>
          <w:rFonts w:hint="eastAsia"/>
        </w:rPr>
        <w:t>处理，</w:t>
      </w:r>
      <w:r>
        <w:rPr>
          <w:rFonts w:hint="eastAsia"/>
          <w:lang w:eastAsia="zh-CN"/>
        </w:rPr>
        <w:t>堆粪棚</w:t>
      </w:r>
      <w:r>
        <w:rPr>
          <w:rFonts w:hint="eastAsia"/>
        </w:rPr>
        <w:t>采用钢架结构+阳光顶棚，四周设有帷幕，</w:t>
      </w:r>
      <w:r>
        <w:rPr>
          <w:rFonts w:hint="eastAsia"/>
          <w:lang w:eastAsia="zh-CN"/>
        </w:rPr>
        <w:t>堆粪棚占地面积约</w:t>
      </w:r>
      <w:r>
        <w:rPr>
          <w:rFonts w:hint="eastAsia"/>
          <w:lang w:val="en-US" w:eastAsia="zh-CN"/>
        </w:rPr>
        <w:t>426m</w:t>
      </w:r>
      <w:r>
        <w:rPr>
          <w:rFonts w:hint="eastAsia"/>
          <w:vertAlign w:val="superscript"/>
          <w:lang w:val="en-US" w:eastAsia="zh-CN"/>
        </w:rPr>
        <w:t>2</w:t>
      </w:r>
      <w:r>
        <w:rPr>
          <w:rFonts w:hint="eastAsia"/>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原料预处理</w:t>
      </w:r>
    </w:p>
    <w:p>
      <w:pPr>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目的:原料预处理的目的是调整物料的水分和碳氮比，同时添加菌种以促进发酵过程快速进行。</w:t>
      </w:r>
    </w:p>
    <w:p>
      <w:pPr>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过程:将主要的有机固体废弃物料和辅料按配料比例进行混合，微生物菌种储存在菌液罐中用小型计量泵加入，添加菌种以促进发酵过程快速进行。各种物料混合后由皮带输送机和自动布料系统运到发酵槽中。</w:t>
      </w:r>
    </w:p>
    <w:p>
      <w:pPr>
        <w:numPr>
          <w:ilvl w:val="0"/>
          <w:numId w:val="3"/>
        </w:numPr>
        <w:bidi w:val="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一</w:t>
      </w:r>
      <w:r>
        <w:rPr>
          <w:rFonts w:hint="default" w:ascii="Times New Roman" w:hAnsi="Times New Roman" w:eastAsia="宋体" w:cs="Times New Roman"/>
          <w:sz w:val="24"/>
          <w:szCs w:val="24"/>
        </w:rPr>
        <w:t>次发酵</w:t>
      </w:r>
    </w:p>
    <w:p>
      <w:pPr>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目的:好氧堆肥的目的是使废弃物中的挥发性物质降低，臭气减少，杀灭寄生虫卵和病原微生物，达到无害化目的。另外，通过堆肥发酵处理使有机物料含水率降低，有机物得到分解和矿化释放N、P、K、等养分，同时使有机物料的性质变得疏松、分散。</w:t>
      </w:r>
    </w:p>
    <w:p>
      <w:pPr>
        <w:bidi w:val="0"/>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过程:一方面通过安装在发酵槽底部的曝气系统采取强制通风方式供给氧气，避免堆肥过程形成厌氧环境，同时挥发水分;另一方面利用翻堆机通过翻拌作用使发酵物料充分混匀，水分快速挥发，同时发生物料的位移。一般情况下，堆肥周期为10-15天，堆肥温度可以上升至60-70°C。工艺控制中根据堆肥物料的温度、水分、氧含量等参数的变化，由控制系统开启鼓风机向发酵槽内曝气。经过一个周期的堆肥，发酵后的含水率大幅度降低(一般下降到40%左右)，由自动出料系统出料并运输至陈化车间</w:t>
      </w:r>
      <w:r>
        <w:rPr>
          <w:rFonts w:hint="eastAsia" w:ascii="Times New Roman" w:hAnsi="Times New Roman" w:eastAsia="宋体" w:cs="Times New Roman"/>
          <w:sz w:val="24"/>
          <w:szCs w:val="24"/>
          <w:lang w:eastAsia="zh-CN"/>
        </w:rPr>
        <w:t>。</w:t>
      </w:r>
    </w:p>
    <w:p>
      <w:pPr>
        <w:numPr>
          <w:ilvl w:val="0"/>
          <w:numId w:val="3"/>
        </w:numPr>
        <w:bidi w:val="0"/>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陈化</w:t>
      </w:r>
    </w:p>
    <w:p>
      <w:pPr>
        <w:bidi w:val="0"/>
        <w:rPr>
          <w:rFonts w:hint="default"/>
          <w:lang w:eastAsia="zh-CN"/>
        </w:rPr>
      </w:pPr>
      <w:r>
        <w:rPr>
          <w:rFonts w:hint="default"/>
        </w:rPr>
        <w:t>目的:经过第一次堆肥发酵后的有机固体废弃物尚未到达到完全腐熟，需要继续进行二次发酵。陈化的目的是将有机物中剩余大分子有机物被进一步分解、稳定、干燥，以满足后续制肥工艺的要求。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过程:采用天车抓斗(或铲车搬运)工艺进行陈化发酵。在陈化车间顶部安装天车、抓斗，通过抓斗定期搬运物料，能起到翻堆、透气等效果，堆料的温度会逐渐下降，稳定在40°C以下时，堆肥腐熟，形成腐殖质。一般情况下陈化周期约为15-20 天，可以根据肥料加工用料的特点对陈化的周期进行调整。</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制肥</w:t>
      </w:r>
    </w:p>
    <w:p>
      <w:pPr>
        <w:bidi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目的:堆肥要作为产品销售还应根据用途和市场需要进行加工，制肥的目的就是提高堆肥产品的肥效和商品性，进而提高综合经济效益。</w:t>
      </w:r>
    </w:p>
    <w:p>
      <w:pPr>
        <w:bidi w:val="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过程:发酵物料经配料系统配料后，由皮带输送机提升和输送后粉碎、筛分分级，筛上物返回到混合间配料，筛下粉状部分由皮带输送机输送进行包装，成品在成品库储存。</w:t>
      </w:r>
    </w:p>
    <w:p>
      <w:r>
        <w:rPr>
          <w:rFonts w:hint="eastAsia"/>
        </w:rPr>
        <w:t>（</w:t>
      </w:r>
      <w:r>
        <w:rPr>
          <w:rFonts w:hint="eastAsia"/>
          <w:lang w:val="en-US" w:eastAsia="zh-CN"/>
        </w:rPr>
        <w:t>5</w:t>
      </w:r>
      <w:r>
        <w:rPr>
          <w:rFonts w:hint="eastAsia"/>
        </w:rPr>
        <w:t>）注意事项</w:t>
      </w:r>
    </w:p>
    <w:p>
      <w:r>
        <w:rPr>
          <w:rFonts w:hint="eastAsia"/>
        </w:rPr>
        <w:t>①</w:t>
      </w:r>
      <w:r>
        <w:t>从源头上最大限度地减少粪污产生量。全场雨水、污水应彻底分流；采用全漏缝免冲洗清粪工艺；安装水位计饮水器或碗式饮水器代替鸭嘴式饮水器；清栏后，应用高压（200Pa左右）冲水枪冲洗；加强猪场用水管理，防止“跑、冒、滴、漏”现象发生。</w:t>
      </w:r>
    </w:p>
    <w:p>
      <w:r>
        <w:rPr>
          <w:rFonts w:hint="eastAsia"/>
        </w:rPr>
        <w:t>②</w:t>
      </w:r>
      <w:r>
        <w:t>严防发酵池渗漏。发酵池地面及墙体内侧面应作防渗漏处理，确保污水不渗出。</w:t>
      </w:r>
    </w:p>
    <w:p>
      <w:r>
        <w:rPr>
          <w:rFonts w:hint="eastAsia"/>
        </w:rPr>
        <w:t>③</w:t>
      </w:r>
      <w:r>
        <w:t>严格控制粪污喷洒量。发酵基质每日粪污喷淋量不得超过30kg/m</w:t>
      </w:r>
      <w:r>
        <w:rPr>
          <w:vertAlign w:val="superscript"/>
        </w:rPr>
        <w:t>3</w:t>
      </w:r>
      <w:r>
        <w:t>。</w:t>
      </w:r>
    </w:p>
    <w:p>
      <w:pPr>
        <w:rPr>
          <w:lang w:eastAsia="zh-CN"/>
        </w:rPr>
      </w:pPr>
      <w:r>
        <w:rPr>
          <w:rFonts w:hint="eastAsia"/>
          <w:lang w:eastAsia="zh-CN"/>
        </w:rPr>
        <w:t>（六</w:t>
      </w:r>
      <w:r>
        <w:rPr>
          <w:lang w:eastAsia="zh-CN"/>
        </w:rPr>
        <w:t>）沼气</w:t>
      </w:r>
    </w:p>
    <w:p>
      <w:pPr>
        <w:rPr>
          <w:lang w:eastAsia="zh-CN"/>
        </w:rPr>
      </w:pPr>
      <w:r>
        <w:rPr>
          <w:lang w:eastAsia="zh-CN"/>
        </w:rPr>
        <w:t>沼气发酵时由于微生物对蛋白质的分解会产生一定量 H</w:t>
      </w:r>
      <w:r>
        <w:rPr>
          <w:vertAlign w:val="subscript"/>
          <w:lang w:eastAsia="zh-CN"/>
        </w:rPr>
        <w:t>2</w:t>
      </w:r>
      <w:r>
        <w:rPr>
          <w:lang w:eastAsia="zh-CN"/>
        </w:rPr>
        <w:t>S气体进入沼气，其浓度范围在 1-12g/m</w:t>
      </w:r>
      <w:r>
        <w:rPr>
          <w:vertAlign w:val="superscript"/>
          <w:lang w:eastAsia="zh-CN"/>
        </w:rPr>
        <w:t>3</w:t>
      </w:r>
      <w:r>
        <w:rPr>
          <w:lang w:eastAsia="zh-CN"/>
        </w:rPr>
        <w:t>，大大超过 GB13621-92《人工煤气》20mg/m</w:t>
      </w:r>
      <w:r>
        <w:rPr>
          <w:vertAlign w:val="superscript"/>
          <w:lang w:eastAsia="zh-CN"/>
        </w:rPr>
        <w:t>3</w:t>
      </w:r>
      <w:r>
        <w:rPr>
          <w:lang w:eastAsia="zh-CN"/>
        </w:rPr>
        <w:t xml:space="preserve"> 的规定，若不先进行处理，直接燃烧，将会对周围环境造成一定危害。因此，沼气必须进行脱硫。</w:t>
      </w:r>
    </w:p>
    <w:p>
      <w:pPr>
        <w:rPr>
          <w:lang w:eastAsia="zh-CN"/>
        </w:rPr>
      </w:pPr>
      <w:r>
        <w:rPr>
          <w:lang w:eastAsia="zh-CN"/>
        </w:rPr>
        <w:t>该项目在对沼气进行净化时采用干法脱硫，脱硫工艺结构简单、技术成熟可靠，造价低，能满足项目沼气的脱硫需要。</w:t>
      </w:r>
    </w:p>
    <w:p>
      <w:pPr>
        <w:rPr>
          <w:lang w:eastAsia="zh-CN"/>
        </w:rPr>
      </w:pPr>
      <w:r>
        <w:rPr>
          <w:lang w:eastAsia="zh-CN"/>
        </w:rPr>
        <w:t xml:space="preserve">沼气干法脱硫原理：沼气中的有害物质主要是硫化氢，它对人体健康有相当大的危害，对管道阀门及应用设备有较强的腐蚀作用。本项目采用干法脱硫，其原理为在常温下含有硫化氢的沼气通过脱硫剂床层，沼气中的硫化氢与活性物质氧化铁接触，生成硫化铁和亚硫化铁，然后含有硫化物的脱硫剂与空气中的氧接触，当有水存在时，铁的硫化物又转化为氧化铁和单体硫。这种脱硫和再生过程可循环进行多次，直至氧化铁脱硫剂表面大部分被硫或其他杂质覆盖而失去活性为止。失去活性的氧化铁脱硫剂由厂家回收。沼气净化工艺流程见图 </w:t>
      </w:r>
      <w:r>
        <w:rPr>
          <w:rFonts w:hint="eastAsia"/>
          <w:lang w:val="en-US" w:eastAsia="zh-CN"/>
        </w:rPr>
        <w:t>2.2-3</w:t>
      </w:r>
      <w:r>
        <w:rPr>
          <w:lang w:eastAsia="zh-CN"/>
        </w:rPr>
        <w:t>。</w:t>
      </w:r>
    </w:p>
    <w:p>
      <w:pPr>
        <w:pStyle w:val="11"/>
        <w:bidi w:val="0"/>
        <w:rPr>
          <w:lang w:eastAsia="zh-CN"/>
        </w:rPr>
      </w:pPr>
      <w:r>
        <w:rPr>
          <w:lang w:eastAsia="zh-CN"/>
        </w:rPr>
        <w:pict>
          <v:group id="_x0000_s2059" o:spid="_x0000_s2059" o:spt="203" style="position:absolute;left:0pt;margin-left:4.05pt;margin-top:7pt;height:81.75pt;width:430.3pt;mso-wrap-distance-bottom:0pt;mso-wrap-distance-top:0pt;z-index:251666432;mso-width-relative:page;mso-height-relative:page;" coordorigin="3389,11520" coordsize="7200,1368" editas="canvas">
            <o:lock v:ext="edit"/>
            <v:shape id="_x0000_s2060" o:spid="_x0000_s2060" o:spt="75" type="#_x0000_t75" style="position:absolute;left:3389;top:11520;height:1368;width:7200;" filled="f" stroked="f" coordsize="21600,21600">
              <v:path/>
              <v:fill on="f" focussize="0,0"/>
              <v:stroke on="f"/>
              <v:imagedata o:title=""/>
              <o:lock v:ext="edit" text="t" aspectratio="t"/>
            </v:shape>
            <v:shape id="对象 2143" o:spid="_x0000_s2061" o:spt="75" type="#_x0000_t75" style="position:absolute;left:3410;top:11520;height:1368;width:7053;" o:ole="t" filled="f" o:preferrelative="t" stroked="f" coordsize="21600,21600">
              <v:path/>
              <v:fill on="f" focussize="0,0"/>
              <v:stroke on="f"/>
              <v:imagedata r:id="rId26" o:title=""/>
              <o:lock v:ext="edit" aspectratio="t"/>
            </v:shape>
            <w10:wrap type="topAndBottom"/>
          </v:group>
          <o:OLEObject Type="Embed" ProgID="Visio.Drawing.11" ShapeID="对象 2143" DrawAspect="Content" ObjectID="_1468075727" r:id="rId25">
            <o:LockedField>false</o:LockedField>
          </o:OLEObject>
        </w:pict>
      </w:r>
      <w:r>
        <w:rPr>
          <w:lang w:eastAsia="zh-CN"/>
        </w:rPr>
        <w:t>图</w:t>
      </w:r>
      <w:r>
        <w:rPr>
          <w:rFonts w:hint="eastAsia"/>
          <w:lang w:val="en-US" w:eastAsia="zh-CN"/>
        </w:rPr>
        <w:t xml:space="preserve">2.2-3 </w:t>
      </w:r>
      <w:r>
        <w:rPr>
          <w:lang w:eastAsia="zh-CN"/>
        </w:rPr>
        <w:tab/>
      </w:r>
      <w:r>
        <w:rPr>
          <w:lang w:eastAsia="zh-CN"/>
        </w:rPr>
        <w:t>沼气净化工艺流程图</w:t>
      </w:r>
    </w:p>
    <w:p>
      <w:pPr>
        <w:rPr>
          <w:lang w:eastAsia="zh-CN"/>
        </w:rPr>
      </w:pPr>
      <w:r>
        <w:rPr>
          <w:lang w:eastAsia="zh-CN"/>
        </w:rPr>
        <w:t>产生的沼气</w:t>
      </w:r>
      <w:r>
        <w:rPr>
          <w:rFonts w:hint="eastAsia"/>
          <w:lang w:eastAsia="zh-CN"/>
        </w:rPr>
        <w:t>高空燃烧外排</w:t>
      </w:r>
      <w:r>
        <w:rPr>
          <w:lang w:eastAsia="zh-CN"/>
        </w:rPr>
        <w:t>。</w:t>
      </w:r>
    </w:p>
    <w:p>
      <w:pPr>
        <w:pStyle w:val="4"/>
        <w:bidi w:val="0"/>
        <w:rPr>
          <w:highlight w:val="none"/>
        </w:rPr>
      </w:pPr>
      <w:bookmarkStart w:id="148" w:name="_Toc27948"/>
      <w:bookmarkStart w:id="149" w:name="_Toc375672001"/>
      <w:r>
        <w:rPr>
          <w:highlight w:val="none"/>
        </w:rPr>
        <w:t>水平衡分析</w:t>
      </w:r>
      <w:bookmarkEnd w:id="148"/>
    </w:p>
    <w:p>
      <w:r>
        <w:rPr>
          <w:rFonts w:hint="eastAsia"/>
        </w:rPr>
        <w:t>猪只的日饮用水量约为其体重的10%-15%，在猪的各个生产阶段的饮用量也有差别，本环评通过类比调查分析同类养殖项目，并结合当地实际情况，对原辅料和资源能源消耗情况进行量化，项目用水量参数见表</w:t>
      </w:r>
      <w:r>
        <w:rPr>
          <w:rFonts w:hint="eastAsia"/>
          <w:lang w:val="en-US" w:eastAsia="zh-CN"/>
        </w:rPr>
        <w:t>2.3-1</w:t>
      </w:r>
      <w:r>
        <w:rPr>
          <w:rFonts w:hint="eastAsia"/>
        </w:rPr>
        <w:t>。</w:t>
      </w:r>
    </w:p>
    <w:p>
      <w:pPr>
        <w:pStyle w:val="11"/>
        <w:rPr>
          <w:rFonts w:hint="default" w:eastAsiaTheme="minorEastAsia"/>
          <w:lang w:val="en-US" w:eastAsia="zh-CN"/>
        </w:rPr>
      </w:pPr>
      <w:r>
        <w:t xml:space="preserve">表2.3- </w:t>
      </w:r>
      <w:r>
        <w:fldChar w:fldCharType="begin"/>
      </w:r>
      <w:r>
        <w:instrText xml:space="preserve"> SEQ 表2.3- \* ARABIC </w:instrText>
      </w:r>
      <w:r>
        <w:fldChar w:fldCharType="separate"/>
      </w:r>
      <w:r>
        <w:t>1</w:t>
      </w:r>
      <w:r>
        <w:fldChar w:fldCharType="end"/>
      </w:r>
      <w:r>
        <w:rPr>
          <w:rFonts w:hint="eastAsia"/>
          <w:lang w:val="en-US" w:eastAsia="zh-CN"/>
        </w:rPr>
        <w:t xml:space="preserve">   </w:t>
      </w:r>
      <w:r>
        <w:rPr>
          <w:rFonts w:hint="eastAsia"/>
          <w:lang w:eastAsia="zh-CN"/>
        </w:rPr>
        <w:t>项目</w:t>
      </w:r>
      <w:r>
        <w:rPr>
          <w:rFonts w:hint="eastAsia"/>
        </w:rPr>
        <w:t>用水量参数表</w:t>
      </w:r>
    </w:p>
    <w:tbl>
      <w:tblPr>
        <w:tblStyle w:val="17"/>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63"/>
        <w:gridCol w:w="1388"/>
        <w:gridCol w:w="1589"/>
        <w:gridCol w:w="1738"/>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324" w:type="dxa"/>
            <w:gridSpan w:val="2"/>
            <w:vAlign w:val="center"/>
          </w:tcPr>
          <w:p>
            <w:pPr>
              <w:pStyle w:val="8"/>
              <w:bidi w:val="0"/>
            </w:pPr>
            <w:r>
              <w:rPr>
                <w:rFonts w:hint="eastAsia"/>
              </w:rPr>
              <w:t>用水种类</w:t>
            </w:r>
          </w:p>
        </w:tc>
        <w:tc>
          <w:tcPr>
            <w:tcW w:w="1388" w:type="dxa"/>
            <w:vAlign w:val="center"/>
          </w:tcPr>
          <w:p>
            <w:pPr>
              <w:pStyle w:val="8"/>
              <w:bidi w:val="0"/>
              <w:rPr>
                <w:rFonts w:hint="eastAsia" w:eastAsiaTheme="minorEastAsia"/>
                <w:lang w:val="en-US" w:eastAsia="zh-CN"/>
              </w:rPr>
            </w:pPr>
            <w:r>
              <w:rPr>
                <w:rFonts w:hint="eastAsia"/>
              </w:rPr>
              <w:t>数量</w:t>
            </w:r>
          </w:p>
        </w:tc>
        <w:tc>
          <w:tcPr>
            <w:tcW w:w="1589" w:type="dxa"/>
            <w:vAlign w:val="center"/>
          </w:tcPr>
          <w:p>
            <w:pPr>
              <w:pStyle w:val="8"/>
              <w:bidi w:val="0"/>
            </w:pPr>
            <w:r>
              <w:rPr>
                <w:rFonts w:hint="eastAsia"/>
              </w:rPr>
              <w:t>用水定额</w:t>
            </w:r>
          </w:p>
        </w:tc>
        <w:tc>
          <w:tcPr>
            <w:tcW w:w="1738" w:type="dxa"/>
            <w:vAlign w:val="center"/>
          </w:tcPr>
          <w:p>
            <w:pPr>
              <w:pStyle w:val="8"/>
              <w:bidi w:val="0"/>
            </w:pPr>
            <w:r>
              <w:rPr>
                <w:rFonts w:hint="eastAsia"/>
              </w:rPr>
              <w:t>日用水量（</w:t>
            </w:r>
            <w:r>
              <w:t>m³/d</w:t>
            </w:r>
            <w:r>
              <w:rPr>
                <w:rFonts w:hint="eastAsia"/>
              </w:rPr>
              <w:t>）</w:t>
            </w:r>
          </w:p>
        </w:tc>
        <w:tc>
          <w:tcPr>
            <w:tcW w:w="1698" w:type="dxa"/>
            <w:vAlign w:val="center"/>
          </w:tcPr>
          <w:p>
            <w:pPr>
              <w:pStyle w:val="8"/>
              <w:bidi w:val="0"/>
            </w:pPr>
            <w:r>
              <w:rPr>
                <w:rFonts w:hint="eastAsia"/>
              </w:rPr>
              <w:t>年用水量（</w:t>
            </w:r>
            <w:r>
              <w:t>m³/a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61" w:type="dxa"/>
            <w:vMerge w:val="restart"/>
            <w:vAlign w:val="center"/>
          </w:tcPr>
          <w:p>
            <w:pPr>
              <w:pStyle w:val="8"/>
              <w:bidi w:val="0"/>
            </w:pPr>
            <w:r>
              <w:rPr>
                <w:rFonts w:hint="eastAsia"/>
              </w:rPr>
              <w:t>养殖用水</w:t>
            </w:r>
          </w:p>
        </w:tc>
        <w:tc>
          <w:tcPr>
            <w:tcW w:w="1263" w:type="dxa"/>
            <w:vAlign w:val="center"/>
          </w:tcPr>
          <w:p>
            <w:pPr>
              <w:pStyle w:val="8"/>
              <w:bidi w:val="0"/>
            </w:pPr>
            <w:r>
              <w:rPr>
                <w:rFonts w:hint="eastAsia"/>
              </w:rPr>
              <w:t>母猪</w:t>
            </w:r>
          </w:p>
        </w:tc>
        <w:tc>
          <w:tcPr>
            <w:tcW w:w="1388"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4800</w:t>
            </w:r>
            <w:r>
              <w:rPr>
                <w:rFonts w:hint="eastAsia"/>
                <w:lang w:eastAsia="zh-CN"/>
              </w:rPr>
              <w:t>头</w:t>
            </w:r>
          </w:p>
        </w:tc>
        <w:tc>
          <w:tcPr>
            <w:tcW w:w="1589" w:type="dxa"/>
            <w:vAlign w:val="center"/>
          </w:tcPr>
          <w:p>
            <w:pPr>
              <w:pStyle w:val="8"/>
              <w:bidi w:val="0"/>
            </w:pPr>
            <w:r>
              <w:t>15</w:t>
            </w:r>
            <w:r>
              <w:rPr>
                <w:rFonts w:hint="eastAsia"/>
              </w:rPr>
              <w:t>（</w:t>
            </w:r>
            <w:r>
              <w:t>L/ d·</w:t>
            </w:r>
            <w:r>
              <w:rPr>
                <w:rFonts w:hint="eastAsia"/>
              </w:rPr>
              <w:t>头）</w:t>
            </w:r>
          </w:p>
        </w:tc>
        <w:tc>
          <w:tcPr>
            <w:tcW w:w="1738" w:type="dxa"/>
            <w:vAlign w:val="center"/>
          </w:tcPr>
          <w:p>
            <w:pPr>
              <w:pStyle w:val="8"/>
              <w:bidi w:val="0"/>
              <w:rPr>
                <w:rFonts w:hint="default"/>
                <w:lang w:val="en-US" w:eastAsia="zh-CN"/>
              </w:rPr>
            </w:pPr>
            <w:r>
              <w:rPr>
                <w:rFonts w:hint="eastAsia"/>
                <w:lang w:val="en-US" w:eastAsia="zh-CN"/>
              </w:rPr>
              <w:t>72</w:t>
            </w:r>
          </w:p>
        </w:tc>
        <w:tc>
          <w:tcPr>
            <w:tcW w:w="1698" w:type="dxa"/>
            <w:vAlign w:val="center"/>
          </w:tcPr>
          <w:p>
            <w:pPr>
              <w:pStyle w:val="8"/>
              <w:bidi w:val="0"/>
              <w:rPr>
                <w:rFonts w:hint="default"/>
                <w:lang w:val="en-US" w:eastAsia="zh-CN"/>
              </w:rPr>
            </w:pPr>
            <w:r>
              <w:rPr>
                <w:rFonts w:hint="eastAsia"/>
                <w:lang w:val="en-US" w:eastAsia="zh-CN"/>
              </w:rPr>
              <w:t>26280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61" w:type="dxa"/>
            <w:vMerge w:val="continue"/>
            <w:vAlign w:val="center"/>
          </w:tcPr>
          <w:p>
            <w:pPr>
              <w:pStyle w:val="8"/>
              <w:bidi w:val="0"/>
            </w:pPr>
          </w:p>
        </w:tc>
        <w:tc>
          <w:tcPr>
            <w:tcW w:w="1263" w:type="dxa"/>
            <w:vAlign w:val="center"/>
          </w:tcPr>
          <w:p>
            <w:pPr>
              <w:pStyle w:val="8"/>
              <w:bidi w:val="0"/>
            </w:pPr>
            <w:r>
              <w:rPr>
                <w:rFonts w:hint="eastAsia"/>
              </w:rPr>
              <w:t>公猪</w:t>
            </w:r>
          </w:p>
        </w:tc>
        <w:tc>
          <w:tcPr>
            <w:tcW w:w="1388"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158</w:t>
            </w:r>
            <w:r>
              <w:rPr>
                <w:rFonts w:hint="eastAsia"/>
                <w:lang w:eastAsia="zh-CN"/>
              </w:rPr>
              <w:t>头</w:t>
            </w:r>
          </w:p>
        </w:tc>
        <w:tc>
          <w:tcPr>
            <w:tcW w:w="1589" w:type="dxa"/>
            <w:vAlign w:val="center"/>
          </w:tcPr>
          <w:p>
            <w:pPr>
              <w:pStyle w:val="8"/>
              <w:bidi w:val="0"/>
            </w:pPr>
            <w:r>
              <w:t>12</w:t>
            </w:r>
            <w:r>
              <w:rPr>
                <w:rFonts w:hint="eastAsia"/>
              </w:rPr>
              <w:t>（</w:t>
            </w:r>
            <w:r>
              <w:t>L/ d·</w:t>
            </w:r>
            <w:r>
              <w:rPr>
                <w:rFonts w:hint="eastAsia"/>
              </w:rPr>
              <w:t>头）</w:t>
            </w:r>
          </w:p>
        </w:tc>
        <w:tc>
          <w:tcPr>
            <w:tcW w:w="1738" w:type="dxa"/>
            <w:vAlign w:val="center"/>
          </w:tcPr>
          <w:p>
            <w:pPr>
              <w:pStyle w:val="8"/>
              <w:bidi w:val="0"/>
              <w:rPr>
                <w:rFonts w:hint="default"/>
                <w:lang w:val="en-US" w:eastAsia="zh-CN"/>
              </w:rPr>
            </w:pPr>
            <w:r>
              <w:rPr>
                <w:rFonts w:hint="eastAsia"/>
                <w:lang w:val="en-US" w:eastAsia="zh-CN"/>
              </w:rPr>
              <w:t>18.96</w:t>
            </w:r>
          </w:p>
        </w:tc>
        <w:tc>
          <w:tcPr>
            <w:tcW w:w="1698" w:type="dxa"/>
            <w:vAlign w:val="center"/>
          </w:tcPr>
          <w:p>
            <w:pPr>
              <w:pStyle w:val="8"/>
              <w:bidi w:val="0"/>
              <w:rPr>
                <w:rFonts w:hint="default"/>
                <w:lang w:val="en-US" w:eastAsia="zh-CN"/>
              </w:rPr>
            </w:pPr>
            <w:r>
              <w:rPr>
                <w:rFonts w:hint="eastAsia"/>
                <w:lang w:val="en-US" w:eastAsia="zh-CN"/>
              </w:rPr>
              <w:t>6920.4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061" w:type="dxa"/>
            <w:vMerge w:val="continue"/>
            <w:vAlign w:val="center"/>
          </w:tcPr>
          <w:p>
            <w:pPr>
              <w:pStyle w:val="8"/>
              <w:bidi w:val="0"/>
            </w:pPr>
          </w:p>
        </w:tc>
        <w:tc>
          <w:tcPr>
            <w:tcW w:w="1263" w:type="dxa"/>
            <w:vAlign w:val="center"/>
          </w:tcPr>
          <w:p>
            <w:pPr>
              <w:pStyle w:val="8"/>
              <w:bidi w:val="0"/>
            </w:pPr>
            <w:r>
              <w:rPr>
                <w:rFonts w:hint="eastAsia"/>
                <w:lang w:eastAsia="zh-CN"/>
              </w:rPr>
              <w:t>哺乳</w:t>
            </w:r>
            <w:r>
              <w:rPr>
                <w:rFonts w:hint="eastAsia"/>
              </w:rPr>
              <w:t>仔猪</w:t>
            </w:r>
          </w:p>
        </w:tc>
        <w:tc>
          <w:tcPr>
            <w:tcW w:w="1388"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9853</w:t>
            </w:r>
            <w:r>
              <w:rPr>
                <w:rFonts w:hint="eastAsia"/>
                <w:lang w:eastAsia="zh-CN"/>
              </w:rPr>
              <w:t>头</w:t>
            </w:r>
          </w:p>
        </w:tc>
        <w:tc>
          <w:tcPr>
            <w:tcW w:w="1589" w:type="dxa"/>
            <w:vAlign w:val="center"/>
          </w:tcPr>
          <w:p>
            <w:pPr>
              <w:pStyle w:val="8"/>
              <w:bidi w:val="0"/>
            </w:pPr>
            <w:r>
              <w:rPr>
                <w:rFonts w:hint="eastAsia"/>
              </w:rPr>
              <w:t>4（</w:t>
            </w:r>
            <w:r>
              <w:t>L/ d·</w:t>
            </w:r>
            <w:r>
              <w:rPr>
                <w:rFonts w:hint="eastAsia"/>
              </w:rPr>
              <w:t>头）</w:t>
            </w:r>
          </w:p>
        </w:tc>
        <w:tc>
          <w:tcPr>
            <w:tcW w:w="1738" w:type="dxa"/>
            <w:vAlign w:val="center"/>
          </w:tcPr>
          <w:p>
            <w:pPr>
              <w:pStyle w:val="8"/>
              <w:bidi w:val="0"/>
              <w:rPr>
                <w:rFonts w:hint="default"/>
                <w:lang w:val="en-US" w:eastAsia="zh-CN"/>
              </w:rPr>
            </w:pPr>
            <w:r>
              <w:rPr>
                <w:rFonts w:hint="eastAsia"/>
                <w:lang w:val="en-US" w:eastAsia="zh-CN"/>
              </w:rPr>
              <w:t>39.41</w:t>
            </w:r>
          </w:p>
        </w:tc>
        <w:tc>
          <w:tcPr>
            <w:tcW w:w="1698" w:type="dxa"/>
            <w:vAlign w:val="center"/>
          </w:tcPr>
          <w:p>
            <w:pPr>
              <w:pStyle w:val="8"/>
              <w:bidi w:val="0"/>
              <w:rPr>
                <w:rFonts w:hint="default"/>
                <w:lang w:val="en-US" w:eastAsia="zh-CN"/>
              </w:rPr>
            </w:pPr>
            <w:r>
              <w:rPr>
                <w:rFonts w:hint="eastAsia"/>
                <w:lang w:val="en-US" w:eastAsia="zh-CN"/>
              </w:rPr>
              <w:t>14384.6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324" w:type="dxa"/>
            <w:gridSpan w:val="2"/>
            <w:vAlign w:val="center"/>
          </w:tcPr>
          <w:p>
            <w:pPr>
              <w:pStyle w:val="8"/>
              <w:bidi w:val="0"/>
            </w:pPr>
            <w:r>
              <w:rPr>
                <w:rFonts w:hint="eastAsia"/>
              </w:rPr>
              <w:t>员工生活用水</w:t>
            </w:r>
          </w:p>
        </w:tc>
        <w:tc>
          <w:tcPr>
            <w:tcW w:w="1388" w:type="dxa"/>
            <w:vAlign w:val="center"/>
          </w:tcPr>
          <w:p>
            <w:pPr>
              <w:pStyle w:val="8"/>
              <w:bidi w:val="0"/>
              <w:rPr>
                <w:rFonts w:hint="default" w:eastAsiaTheme="minorEastAsia"/>
                <w:lang w:val="en-US" w:eastAsia="zh-CN"/>
              </w:rPr>
            </w:pPr>
            <w:r>
              <w:rPr>
                <w:rFonts w:hint="eastAsia"/>
                <w:lang w:val="en-US" w:eastAsia="zh-CN"/>
              </w:rPr>
              <w:t>49</w:t>
            </w:r>
          </w:p>
        </w:tc>
        <w:tc>
          <w:tcPr>
            <w:tcW w:w="1589" w:type="dxa"/>
            <w:vAlign w:val="center"/>
          </w:tcPr>
          <w:p>
            <w:pPr>
              <w:pStyle w:val="8"/>
              <w:bidi w:val="0"/>
            </w:pPr>
            <w:r>
              <w:t>100</w:t>
            </w:r>
            <w:r>
              <w:rPr>
                <w:rFonts w:hint="eastAsia"/>
              </w:rPr>
              <w:t>（</w:t>
            </w:r>
            <w:r>
              <w:t>L/ d·</w:t>
            </w:r>
            <w:r>
              <w:rPr>
                <w:rFonts w:hint="eastAsia"/>
              </w:rPr>
              <w:t>人）</w:t>
            </w:r>
          </w:p>
        </w:tc>
        <w:tc>
          <w:tcPr>
            <w:tcW w:w="1738" w:type="dxa"/>
            <w:vAlign w:val="center"/>
          </w:tcPr>
          <w:p>
            <w:pPr>
              <w:pStyle w:val="8"/>
              <w:bidi w:val="0"/>
              <w:rPr>
                <w:rFonts w:hint="default" w:eastAsiaTheme="minorEastAsia"/>
                <w:lang w:val="en-US" w:eastAsia="zh-CN"/>
              </w:rPr>
            </w:pPr>
            <w:r>
              <w:rPr>
                <w:rFonts w:hint="eastAsia"/>
                <w:lang w:val="en-US" w:eastAsia="zh-CN"/>
              </w:rPr>
              <w:t>4.9</w:t>
            </w:r>
          </w:p>
        </w:tc>
        <w:tc>
          <w:tcPr>
            <w:tcW w:w="1698" w:type="dxa"/>
            <w:vAlign w:val="center"/>
          </w:tcPr>
          <w:p>
            <w:pPr>
              <w:pStyle w:val="8"/>
              <w:bidi w:val="0"/>
              <w:rPr>
                <w:rFonts w:hint="default" w:eastAsiaTheme="minorEastAsia"/>
                <w:lang w:val="en-US" w:eastAsia="zh-CN"/>
              </w:rPr>
            </w:pPr>
            <w:r>
              <w:rPr>
                <w:rFonts w:hint="eastAsia"/>
                <w:lang w:val="en-US" w:eastAsia="zh-CN"/>
              </w:rPr>
              <w:t>1788.5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324" w:type="dxa"/>
            <w:gridSpan w:val="2"/>
            <w:vAlign w:val="center"/>
          </w:tcPr>
          <w:p>
            <w:pPr>
              <w:pStyle w:val="8"/>
              <w:bidi w:val="0"/>
            </w:pPr>
            <w:r>
              <w:rPr>
                <w:rFonts w:hint="eastAsia"/>
              </w:rPr>
              <w:t>消毒冲洗水</w:t>
            </w:r>
          </w:p>
        </w:tc>
        <w:tc>
          <w:tcPr>
            <w:tcW w:w="1388" w:type="dxa"/>
            <w:vAlign w:val="center"/>
          </w:tcPr>
          <w:p>
            <w:pPr>
              <w:pStyle w:val="8"/>
              <w:bidi w:val="0"/>
            </w:pPr>
            <w:r>
              <w:rPr>
                <w:rFonts w:hint="eastAsia"/>
                <w:lang w:val="en-US" w:eastAsia="zh-CN"/>
              </w:rPr>
              <w:t>/</w:t>
            </w:r>
          </w:p>
        </w:tc>
        <w:tc>
          <w:tcPr>
            <w:tcW w:w="1589" w:type="dxa"/>
            <w:vAlign w:val="center"/>
          </w:tcPr>
          <w:p>
            <w:pPr>
              <w:pStyle w:val="8"/>
              <w:bidi w:val="0"/>
            </w:pPr>
            <w:r>
              <w:t>2m</w:t>
            </w:r>
            <w:r>
              <w:rPr>
                <w:vertAlign w:val="superscript"/>
              </w:rPr>
              <w:t>3</w:t>
            </w:r>
            <w:r>
              <w:t>/100m</w:t>
            </w:r>
            <w:r>
              <w:rPr>
                <w:vertAlign w:val="superscript"/>
              </w:rPr>
              <w:t>2</w:t>
            </w:r>
            <w:r>
              <w:t>·</w:t>
            </w:r>
            <w:r>
              <w:rPr>
                <w:rFonts w:hint="eastAsia"/>
              </w:rPr>
              <w:t>次</w:t>
            </w:r>
          </w:p>
        </w:tc>
        <w:tc>
          <w:tcPr>
            <w:tcW w:w="1738" w:type="dxa"/>
            <w:vAlign w:val="center"/>
          </w:tcPr>
          <w:p>
            <w:pPr>
              <w:pStyle w:val="8"/>
              <w:bidi w:val="0"/>
            </w:pPr>
            <w:r>
              <w:rPr>
                <w:rFonts w:hint="eastAsia"/>
                <w:lang w:val="en-US" w:eastAsia="zh-CN"/>
              </w:rPr>
              <w:t>432.3</w:t>
            </w:r>
            <w:r>
              <w:t>m</w:t>
            </w:r>
            <w:r>
              <w:rPr>
                <w:vertAlign w:val="superscript"/>
              </w:rPr>
              <w:t>3</w:t>
            </w:r>
            <w:r>
              <w:t>/次</w:t>
            </w:r>
          </w:p>
        </w:tc>
        <w:tc>
          <w:tcPr>
            <w:tcW w:w="1698" w:type="dxa"/>
            <w:vAlign w:val="center"/>
          </w:tcPr>
          <w:p>
            <w:pPr>
              <w:pStyle w:val="8"/>
              <w:bidi w:val="0"/>
              <w:rPr>
                <w:rFonts w:hint="default" w:eastAsiaTheme="minorEastAsia"/>
                <w:lang w:val="en-US" w:eastAsia="zh-CN"/>
              </w:rPr>
            </w:pPr>
            <w:r>
              <w:rPr>
                <w:rFonts w:hint="eastAsia"/>
                <w:lang w:val="en-US" w:eastAsia="zh-CN"/>
              </w:rPr>
              <w:t>2161.5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324" w:type="dxa"/>
            <w:gridSpan w:val="2"/>
            <w:vAlign w:val="center"/>
          </w:tcPr>
          <w:p>
            <w:pPr>
              <w:pStyle w:val="8"/>
              <w:bidi w:val="0"/>
            </w:pPr>
            <w:r>
              <w:rPr>
                <w:rFonts w:hint="eastAsia"/>
              </w:rPr>
              <w:t>水帘降温用水</w:t>
            </w:r>
          </w:p>
        </w:tc>
        <w:tc>
          <w:tcPr>
            <w:tcW w:w="1388" w:type="dxa"/>
            <w:vAlign w:val="center"/>
          </w:tcPr>
          <w:p>
            <w:pPr>
              <w:pStyle w:val="8"/>
              <w:bidi w:val="0"/>
            </w:pPr>
            <w:r>
              <w:t>90</w:t>
            </w:r>
            <w:r>
              <w:rPr>
                <w:rFonts w:hint="eastAsia"/>
              </w:rPr>
              <w:t>天</w:t>
            </w:r>
          </w:p>
        </w:tc>
        <w:tc>
          <w:tcPr>
            <w:tcW w:w="1589" w:type="dxa"/>
            <w:vAlign w:val="center"/>
          </w:tcPr>
          <w:p>
            <w:pPr>
              <w:pStyle w:val="8"/>
              <w:bidi w:val="0"/>
            </w:pPr>
            <w:r>
              <w:rPr>
                <w:rFonts w:hint="eastAsia"/>
                <w:lang w:val="en-US" w:eastAsia="zh-CN"/>
              </w:rPr>
              <w:t>16</w:t>
            </w:r>
            <w:r>
              <w:t>m</w:t>
            </w:r>
            <w:r>
              <w:rPr>
                <w:vertAlign w:val="superscript"/>
              </w:rPr>
              <w:t>3</w:t>
            </w:r>
            <w:r>
              <w:t>/</w:t>
            </w:r>
            <w:r>
              <w:rPr>
                <w:rFonts w:hint="eastAsia"/>
              </w:rPr>
              <w:t>天</w:t>
            </w:r>
          </w:p>
        </w:tc>
        <w:tc>
          <w:tcPr>
            <w:tcW w:w="1738" w:type="dxa"/>
            <w:vAlign w:val="center"/>
          </w:tcPr>
          <w:p>
            <w:pPr>
              <w:pStyle w:val="8"/>
              <w:bidi w:val="0"/>
              <w:rPr>
                <w:rFonts w:hint="default" w:eastAsiaTheme="minorEastAsia"/>
                <w:lang w:val="en-US" w:eastAsia="zh-CN"/>
              </w:rPr>
            </w:pPr>
            <w:r>
              <w:rPr>
                <w:rFonts w:hint="eastAsia"/>
                <w:lang w:val="en-US" w:eastAsia="zh-CN"/>
              </w:rPr>
              <w:t>16</w:t>
            </w:r>
          </w:p>
        </w:tc>
        <w:tc>
          <w:tcPr>
            <w:tcW w:w="1698" w:type="dxa"/>
            <w:vAlign w:val="center"/>
          </w:tcPr>
          <w:p>
            <w:pPr>
              <w:pStyle w:val="8"/>
              <w:bidi w:val="0"/>
              <w:rPr>
                <w:rFonts w:hint="default" w:eastAsiaTheme="minorEastAsia"/>
                <w:lang w:val="en-US" w:eastAsia="zh-CN"/>
              </w:rPr>
            </w:pPr>
            <w:r>
              <w:rPr>
                <w:rFonts w:hint="eastAsia"/>
                <w:lang w:val="en-US" w:eastAsia="zh-CN"/>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324" w:type="dxa"/>
            <w:gridSpan w:val="2"/>
            <w:vAlign w:val="center"/>
          </w:tcPr>
          <w:p>
            <w:pPr>
              <w:pStyle w:val="8"/>
              <w:bidi w:val="0"/>
            </w:pPr>
            <w:r>
              <w:rPr>
                <w:rFonts w:hint="eastAsia"/>
              </w:rPr>
              <w:t>合计（</w:t>
            </w:r>
            <w:r>
              <w:t>m³/a</w:t>
            </w:r>
            <w:r>
              <w:rPr>
                <w:rFonts w:hint="eastAsia"/>
              </w:rPr>
              <w:t>）</w:t>
            </w:r>
          </w:p>
        </w:tc>
        <w:tc>
          <w:tcPr>
            <w:tcW w:w="6413" w:type="dxa"/>
            <w:gridSpan w:val="4"/>
            <w:vAlign w:val="center"/>
          </w:tcPr>
          <w:p>
            <w:pPr>
              <w:pStyle w:val="8"/>
              <w:bidi w:val="0"/>
              <w:rPr>
                <w:rFonts w:hint="default" w:eastAsiaTheme="minorEastAsia"/>
                <w:lang w:val="en-US" w:eastAsia="zh-CN"/>
              </w:rPr>
            </w:pPr>
            <w:r>
              <w:rPr>
                <w:rFonts w:hint="eastAsia"/>
                <w:lang w:val="en-US" w:eastAsia="zh-CN"/>
              </w:rPr>
              <w:t>52975</w:t>
            </w:r>
          </w:p>
        </w:tc>
      </w:tr>
    </w:tbl>
    <w:p>
      <w:pPr>
        <w:rPr>
          <w:rFonts w:hint="eastAsia"/>
        </w:rPr>
      </w:pPr>
    </w:p>
    <w:p>
      <w:r>
        <w:t>项目水平衡见图</w:t>
      </w:r>
      <w:r>
        <w:rPr>
          <w:rFonts w:hint="eastAsia"/>
          <w:lang w:val="en-US" w:eastAsia="zh-CN"/>
        </w:rPr>
        <w:t>2.3-2</w:t>
      </w:r>
      <w: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object>
          <v:shape id="_x0000_i1026" o:spt="75" type="#_x0000_t75" style="height:230.7pt;width:442.05pt;" o:ole="t" filled="f" o:preferrelative="t" stroked="f" coordsize="21600,21600">
            <v:path/>
            <v:fill on="f" focussize="0,0"/>
            <v:stroke on="f"/>
            <v:imagedata r:id="rId28" o:title=""/>
            <o:lock v:ext="edit" aspectratio="f"/>
            <w10:wrap type="none"/>
            <w10:anchorlock/>
          </v:shape>
          <o:OLEObject Type="Embed" ProgID="Visio.Drawing.15" ShapeID="_x0000_i1026" DrawAspect="Content" ObjectID="_1468075728" r:id="rId27">
            <o:LockedField>false</o:LockedField>
          </o:OLEObject>
        </w:object>
      </w:r>
    </w:p>
    <w:p>
      <w:pPr>
        <w:jc w:val="center"/>
        <w:rPr>
          <w:rFonts w:hint="default" w:eastAsiaTheme="minorEastAsia"/>
          <w:lang w:val="en-US" w:eastAsia="zh-CN"/>
        </w:rPr>
      </w:pPr>
      <w:r>
        <w:rPr>
          <w:rStyle w:val="23"/>
          <w:rFonts w:hint="eastAsia"/>
          <w:lang w:eastAsia="zh-CN"/>
        </w:rPr>
        <w:t>图</w:t>
      </w:r>
      <w:r>
        <w:rPr>
          <w:rStyle w:val="23"/>
          <w:rFonts w:hint="eastAsia"/>
          <w:lang w:val="en-US" w:eastAsia="zh-CN"/>
        </w:rPr>
        <w:t>2.3-2  项目水平衡图</w:t>
      </w:r>
    </w:p>
    <w:p>
      <w:pPr>
        <w:pStyle w:val="4"/>
        <w:bidi w:val="0"/>
      </w:pPr>
      <w:bookmarkStart w:id="150" w:name="_Toc27630"/>
      <w:r>
        <w:t>污染源强分析</w:t>
      </w:r>
      <w:bookmarkEnd w:id="149"/>
      <w:bookmarkEnd w:id="150"/>
    </w:p>
    <w:p>
      <w:pPr>
        <w:pStyle w:val="5"/>
        <w:bidi w:val="0"/>
      </w:pPr>
      <w:r>
        <w:t>施工期污染源分析</w:t>
      </w:r>
    </w:p>
    <w:p>
      <w:r>
        <w:rPr>
          <w:rFonts w:hint="eastAsia"/>
        </w:rPr>
        <w:t>（一）废水污染源</w:t>
      </w:r>
    </w:p>
    <w:p>
      <w:r>
        <w:t>施工期污水主要来自两个方面，一是施工废水，二是施工人员的生活污水</w:t>
      </w:r>
      <w:r>
        <w:rPr>
          <w:rFonts w:hint="eastAsia"/>
        </w:rPr>
        <w:t>。</w:t>
      </w:r>
    </w:p>
    <w:p>
      <w:r>
        <w:t>施工废水主要是在混凝土灌注、施工设备的维修、冲洗、工程养护中产生。施工废水含有石油类和大量悬浮物，SS浓度约1000~6000mg/L，石油类为15mg/L。</w:t>
      </w:r>
      <w:r>
        <w:rPr>
          <w:rFonts w:hint="eastAsia"/>
        </w:rPr>
        <w:t>施工场地修建废水沉淀池，施工废水经沉淀处理后用于场地的洒水抑尘和车辆冲洗，不外排。</w:t>
      </w:r>
    </w:p>
    <w:p>
      <w:r>
        <w:t>生活废水主要是施工人员</w:t>
      </w:r>
      <w:r>
        <w:rPr>
          <w:rFonts w:hint="eastAsia"/>
        </w:rPr>
        <w:t>生活</w:t>
      </w:r>
      <w:r>
        <w:t>污水，主要污染物是COD</w:t>
      </w:r>
      <w:r>
        <w:rPr>
          <w:vertAlign w:val="subscript"/>
        </w:rPr>
        <w:t>Cr</w:t>
      </w:r>
      <w:r>
        <w:t>、BOD</w:t>
      </w:r>
      <w:r>
        <w:rPr>
          <w:vertAlign w:val="subscript"/>
        </w:rPr>
        <w:t>5</w:t>
      </w:r>
      <w:r>
        <w:t>、氨氮和动植物油等。项目</w:t>
      </w:r>
      <w:r>
        <w:rPr>
          <w:rFonts w:hint="eastAsia"/>
        </w:rPr>
        <w:t>工程</w:t>
      </w:r>
      <w:r>
        <w:t>共有施工人员约</w:t>
      </w:r>
      <w:r>
        <w:rPr>
          <w:rFonts w:hint="eastAsia"/>
          <w:lang w:val="en-US" w:eastAsia="zh-CN"/>
        </w:rPr>
        <w:t>50</w:t>
      </w:r>
      <w:r>
        <w:t>人，每天生活用水以100L/人计，生活污水按用水量的80%计，则生活污水的排放量为</w:t>
      </w:r>
      <w:r>
        <w:rPr>
          <w:rFonts w:hint="eastAsia"/>
          <w:lang w:val="en-US" w:eastAsia="zh-CN"/>
        </w:rPr>
        <w:t>5</w:t>
      </w:r>
      <w:r>
        <w:t>m</w:t>
      </w:r>
      <w:r>
        <w:rPr>
          <w:vertAlign w:val="superscript"/>
        </w:rPr>
        <w:t>3</w:t>
      </w:r>
      <w:r>
        <w:t>/d，施工期约12个月，生活</w:t>
      </w:r>
      <w:bookmarkStart w:id="151" w:name="_Hlt8614377"/>
      <w:bookmarkEnd w:id="151"/>
      <w:r>
        <w:t>废水产生量为</w:t>
      </w:r>
      <w:r>
        <w:rPr>
          <w:rFonts w:hint="eastAsia"/>
          <w:lang w:val="en-US" w:eastAsia="zh-CN"/>
        </w:rPr>
        <w:t>1500</w:t>
      </w:r>
      <w:r>
        <w:t>m</w:t>
      </w:r>
      <w:r>
        <w:rPr>
          <w:vertAlign w:val="superscript"/>
        </w:rPr>
        <w:t>3</w:t>
      </w:r>
      <w:r>
        <w:t>。</w:t>
      </w:r>
      <w:r>
        <w:rPr>
          <w:rFonts w:hint="eastAsia"/>
        </w:rPr>
        <w:t>化粪池处理后，用于周边</w:t>
      </w:r>
      <w:r>
        <w:rPr>
          <w:rFonts w:hint="eastAsia"/>
          <w:lang w:eastAsia="zh-CN"/>
        </w:rPr>
        <w:t>农田</w:t>
      </w:r>
      <w:r>
        <w:rPr>
          <w:rFonts w:hint="eastAsia"/>
        </w:rPr>
        <w:t>施肥，不外排。</w:t>
      </w:r>
    </w:p>
    <w:p>
      <w:r>
        <w:rPr>
          <w:rFonts w:hint="eastAsia"/>
        </w:rPr>
        <w:t>（二）废气污染源</w:t>
      </w:r>
    </w:p>
    <w:p>
      <w:r>
        <w:t>施工阶段的</w:t>
      </w:r>
      <w:r>
        <w:rPr>
          <w:rFonts w:hint="eastAsia"/>
        </w:rPr>
        <w:t>废气</w:t>
      </w:r>
      <w:r>
        <w:t>污染源主要来自</w:t>
      </w:r>
      <w:r>
        <w:rPr>
          <w:rFonts w:hint="eastAsia"/>
        </w:rPr>
        <w:t>施工场地的扬尘，包括</w:t>
      </w:r>
      <w:r>
        <w:t>土石方扬尘、运输建筑材料的扬尘</w:t>
      </w:r>
      <w:r>
        <w:rPr>
          <w:rFonts w:hint="eastAsia"/>
        </w:rPr>
        <w:t>，</w:t>
      </w:r>
      <w:r>
        <w:t>运输车辆的汽车尾气等。</w:t>
      </w:r>
    </w:p>
    <w:p>
      <w:r>
        <w:t>（1）</w:t>
      </w:r>
      <w:r>
        <w:rPr>
          <w:rFonts w:hint="eastAsia"/>
        </w:rPr>
        <w:t>施工扬尘</w:t>
      </w:r>
    </w:p>
    <w:p>
      <w:r>
        <w:t>在整个建设施工阶段，整地、打桩、建材的运输和装卸以及混凝土搅拌等施工作业过程都会产生扬尘。按起尘的原因可分为风力起尘和动力起尘。其中风力起尘主要是由于露天堆放的建材（如黄沙、水泥等）及裸露的施工区表层浮尘由于天气干燥及大风，产生风力扬尘；而动力起尘，主要是建材的装卸、搅拌的过程中，由于外力而产生的尘粒再悬浮而造成，其中施工及装卸车辆造成的扬尘最为严重。</w:t>
      </w:r>
    </w:p>
    <w:p>
      <w:r>
        <w:rPr>
          <w:rFonts w:hint="eastAsia"/>
        </w:rPr>
        <w:t>①</w:t>
      </w:r>
      <w:r>
        <w:t>风力起尘</w:t>
      </w:r>
    </w:p>
    <w:p>
      <w:r>
        <w:t>由于施工的需要，一些建材需露天堆放，一些施工点表层土壤需人工开挖、堆放，在气候干燥又有风的情况下，会产生扬尘，起尘量可按堆场起尘的经验公式计算：</w:t>
      </w:r>
    </w:p>
    <w:p>
      <w:r>
        <w:object>
          <v:shape id="_x0000_i1027" o:spt="75" type="#_x0000_t75" style="height:19.5pt;width:120.5pt;" o:ole="t" filled="f" o:preferrelative="t" stroked="f" coordsize="21600,21600">
            <v:path/>
            <v:fill on="f" focussize="0,0"/>
            <v:stroke on="f" joinstyle="miter"/>
            <v:imagedata r:id="rId30" o:title=""/>
            <o:lock v:ext="edit" aspectratio="t"/>
            <w10:wrap type="none"/>
            <w10:anchorlock/>
          </v:shape>
          <o:OLEObject Type="Embed" ProgID="Equation.3" ShapeID="_x0000_i1027" DrawAspect="Content" ObjectID="_1468075729" r:id="rId29">
            <o:LockedField>false</o:LockedField>
          </o:OLEObject>
        </w:object>
      </w:r>
    </w:p>
    <w:p>
      <w:r>
        <w:t>其中：</w:t>
      </w:r>
    </w:p>
    <w:p>
      <w:r>
        <w:t>Q——起尘量，kg/t·a；</w:t>
      </w:r>
    </w:p>
    <w:p>
      <w:r>
        <w:t>V50——距地面50m处风速，m/s；</w:t>
      </w:r>
    </w:p>
    <w:p>
      <w:r>
        <w:t>V0——起尘风速，m/s；</w:t>
      </w:r>
    </w:p>
    <w:p>
      <w:r>
        <w:t>W——尘粒的含水率，%；</w:t>
      </w:r>
    </w:p>
    <w:p>
      <w:r>
        <w:t>起尘量和含水率有关，因此，减少露天堆放和保证一定的含水率及减少裸露地面是减少风力起尘的有效手段。尘粒在空气中的传播扩散情况与风速等气象条件有关，也与尘粒本身的沉降速度有关。不同粒径的尘粒的沉降速度见表</w:t>
      </w:r>
      <w:r>
        <w:rPr>
          <w:rFonts w:hint="eastAsia"/>
          <w:lang w:val="en-US" w:eastAsia="zh-CN"/>
        </w:rPr>
        <w:t>2.4-1</w:t>
      </w:r>
      <w:r>
        <w:t>。</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1</w:t>
      </w:r>
      <w:r>
        <w:fldChar w:fldCharType="end"/>
      </w:r>
      <w:r>
        <w:rPr>
          <w:rFonts w:hint="eastAsia"/>
          <w:lang w:val="en-US" w:eastAsia="zh-CN"/>
        </w:rPr>
        <w:t xml:space="preserve"> </w:t>
      </w:r>
      <w:r>
        <w:t>不同粒径尘粒的沉降速度</w:t>
      </w:r>
      <w:r>
        <w:rPr>
          <w:rFonts w:hint="eastAsia"/>
          <w:lang w:val="en-US" w:eastAsia="zh-CN"/>
        </w:rPr>
        <w:t xml:space="preserve"> </w:t>
      </w:r>
    </w:p>
    <w:tbl>
      <w:tblPr>
        <w:tblStyle w:val="17"/>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907"/>
        <w:gridCol w:w="907"/>
        <w:gridCol w:w="907"/>
        <w:gridCol w:w="907"/>
        <w:gridCol w:w="907"/>
        <w:gridCol w:w="907"/>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405" w:type="dxa"/>
          </w:tcPr>
          <w:p>
            <w:pPr>
              <w:pStyle w:val="8"/>
              <w:bidi w:val="0"/>
            </w:pPr>
            <w:r>
              <w:t>粒径（微米）</w:t>
            </w:r>
          </w:p>
        </w:tc>
        <w:tc>
          <w:tcPr>
            <w:tcW w:w="907" w:type="dxa"/>
            <w:vAlign w:val="center"/>
          </w:tcPr>
          <w:p>
            <w:pPr>
              <w:pStyle w:val="8"/>
              <w:bidi w:val="0"/>
            </w:pPr>
            <w:r>
              <w:t>10</w:t>
            </w:r>
          </w:p>
        </w:tc>
        <w:tc>
          <w:tcPr>
            <w:tcW w:w="907" w:type="dxa"/>
            <w:vAlign w:val="center"/>
          </w:tcPr>
          <w:p>
            <w:pPr>
              <w:pStyle w:val="8"/>
              <w:bidi w:val="0"/>
            </w:pPr>
            <w:r>
              <w:t>20</w:t>
            </w:r>
          </w:p>
        </w:tc>
        <w:tc>
          <w:tcPr>
            <w:tcW w:w="907" w:type="dxa"/>
            <w:vAlign w:val="center"/>
          </w:tcPr>
          <w:p>
            <w:pPr>
              <w:pStyle w:val="8"/>
              <w:bidi w:val="0"/>
            </w:pPr>
            <w:r>
              <w:t>30</w:t>
            </w:r>
          </w:p>
        </w:tc>
        <w:tc>
          <w:tcPr>
            <w:tcW w:w="907" w:type="dxa"/>
            <w:vAlign w:val="center"/>
          </w:tcPr>
          <w:p>
            <w:pPr>
              <w:pStyle w:val="8"/>
              <w:bidi w:val="0"/>
            </w:pPr>
            <w:r>
              <w:t>40</w:t>
            </w:r>
          </w:p>
        </w:tc>
        <w:tc>
          <w:tcPr>
            <w:tcW w:w="907" w:type="dxa"/>
            <w:vAlign w:val="center"/>
          </w:tcPr>
          <w:p>
            <w:pPr>
              <w:pStyle w:val="8"/>
              <w:bidi w:val="0"/>
            </w:pPr>
            <w:r>
              <w:t>50</w:t>
            </w:r>
          </w:p>
        </w:tc>
        <w:tc>
          <w:tcPr>
            <w:tcW w:w="907" w:type="dxa"/>
            <w:vAlign w:val="center"/>
          </w:tcPr>
          <w:p>
            <w:pPr>
              <w:pStyle w:val="8"/>
              <w:bidi w:val="0"/>
            </w:pPr>
            <w:r>
              <w:t>60</w:t>
            </w:r>
          </w:p>
        </w:tc>
        <w:tc>
          <w:tcPr>
            <w:tcW w:w="907" w:type="dxa"/>
            <w:vAlign w:val="center"/>
          </w:tcPr>
          <w:p>
            <w:pPr>
              <w:pStyle w:val="8"/>
              <w:bidi w:val="0"/>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5" w:type="dxa"/>
          </w:tcPr>
          <w:p>
            <w:pPr>
              <w:pStyle w:val="8"/>
              <w:bidi w:val="0"/>
            </w:pPr>
            <w:r>
              <w:t>沉降速度（m/s）</w:t>
            </w:r>
          </w:p>
        </w:tc>
        <w:tc>
          <w:tcPr>
            <w:tcW w:w="907" w:type="dxa"/>
            <w:vAlign w:val="center"/>
          </w:tcPr>
          <w:p>
            <w:pPr>
              <w:pStyle w:val="8"/>
              <w:bidi w:val="0"/>
            </w:pPr>
            <w:r>
              <w:t>0.03</w:t>
            </w:r>
          </w:p>
        </w:tc>
        <w:tc>
          <w:tcPr>
            <w:tcW w:w="907" w:type="dxa"/>
            <w:vAlign w:val="center"/>
          </w:tcPr>
          <w:p>
            <w:pPr>
              <w:pStyle w:val="8"/>
              <w:bidi w:val="0"/>
            </w:pPr>
            <w:r>
              <w:t>0.012</w:t>
            </w:r>
          </w:p>
        </w:tc>
        <w:tc>
          <w:tcPr>
            <w:tcW w:w="907" w:type="dxa"/>
            <w:vAlign w:val="center"/>
          </w:tcPr>
          <w:p>
            <w:pPr>
              <w:pStyle w:val="8"/>
              <w:bidi w:val="0"/>
            </w:pPr>
            <w:r>
              <w:t>0.027</w:t>
            </w:r>
          </w:p>
        </w:tc>
        <w:tc>
          <w:tcPr>
            <w:tcW w:w="907" w:type="dxa"/>
            <w:vAlign w:val="center"/>
          </w:tcPr>
          <w:p>
            <w:pPr>
              <w:pStyle w:val="8"/>
              <w:bidi w:val="0"/>
            </w:pPr>
            <w:r>
              <w:t>0.048</w:t>
            </w:r>
          </w:p>
        </w:tc>
        <w:tc>
          <w:tcPr>
            <w:tcW w:w="907" w:type="dxa"/>
            <w:vAlign w:val="center"/>
          </w:tcPr>
          <w:p>
            <w:pPr>
              <w:pStyle w:val="8"/>
              <w:bidi w:val="0"/>
            </w:pPr>
            <w:r>
              <w:t>0.075</w:t>
            </w:r>
          </w:p>
        </w:tc>
        <w:tc>
          <w:tcPr>
            <w:tcW w:w="907" w:type="dxa"/>
            <w:vAlign w:val="center"/>
          </w:tcPr>
          <w:p>
            <w:pPr>
              <w:pStyle w:val="8"/>
              <w:bidi w:val="0"/>
            </w:pPr>
            <w:r>
              <w:t>0.108</w:t>
            </w:r>
          </w:p>
        </w:tc>
        <w:tc>
          <w:tcPr>
            <w:tcW w:w="907" w:type="dxa"/>
            <w:vAlign w:val="center"/>
          </w:tcPr>
          <w:p>
            <w:pPr>
              <w:pStyle w:val="8"/>
              <w:bidi w:val="0"/>
            </w:pPr>
            <w: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405" w:type="dxa"/>
          </w:tcPr>
          <w:p>
            <w:pPr>
              <w:pStyle w:val="8"/>
              <w:bidi w:val="0"/>
            </w:pPr>
            <w:r>
              <w:t>粒径（微米）</w:t>
            </w:r>
          </w:p>
        </w:tc>
        <w:tc>
          <w:tcPr>
            <w:tcW w:w="907" w:type="dxa"/>
            <w:vAlign w:val="center"/>
          </w:tcPr>
          <w:p>
            <w:pPr>
              <w:pStyle w:val="8"/>
              <w:bidi w:val="0"/>
            </w:pPr>
            <w:r>
              <w:t>80</w:t>
            </w:r>
          </w:p>
        </w:tc>
        <w:tc>
          <w:tcPr>
            <w:tcW w:w="907" w:type="dxa"/>
            <w:vAlign w:val="center"/>
          </w:tcPr>
          <w:p>
            <w:pPr>
              <w:pStyle w:val="8"/>
              <w:bidi w:val="0"/>
            </w:pPr>
            <w:r>
              <w:t>90</w:t>
            </w:r>
          </w:p>
        </w:tc>
        <w:tc>
          <w:tcPr>
            <w:tcW w:w="907" w:type="dxa"/>
            <w:vAlign w:val="center"/>
          </w:tcPr>
          <w:p>
            <w:pPr>
              <w:pStyle w:val="8"/>
              <w:bidi w:val="0"/>
            </w:pPr>
            <w:r>
              <w:t>100</w:t>
            </w:r>
          </w:p>
        </w:tc>
        <w:tc>
          <w:tcPr>
            <w:tcW w:w="907" w:type="dxa"/>
            <w:vAlign w:val="center"/>
          </w:tcPr>
          <w:p>
            <w:pPr>
              <w:pStyle w:val="8"/>
              <w:bidi w:val="0"/>
            </w:pPr>
            <w:r>
              <w:t>150</w:t>
            </w:r>
          </w:p>
        </w:tc>
        <w:tc>
          <w:tcPr>
            <w:tcW w:w="907" w:type="dxa"/>
            <w:vAlign w:val="center"/>
          </w:tcPr>
          <w:p>
            <w:pPr>
              <w:pStyle w:val="8"/>
              <w:bidi w:val="0"/>
            </w:pPr>
            <w:r>
              <w:t>200</w:t>
            </w:r>
          </w:p>
        </w:tc>
        <w:tc>
          <w:tcPr>
            <w:tcW w:w="907" w:type="dxa"/>
            <w:vAlign w:val="center"/>
          </w:tcPr>
          <w:p>
            <w:pPr>
              <w:pStyle w:val="8"/>
              <w:bidi w:val="0"/>
            </w:pPr>
            <w:r>
              <w:t>250</w:t>
            </w:r>
          </w:p>
        </w:tc>
        <w:tc>
          <w:tcPr>
            <w:tcW w:w="907" w:type="dxa"/>
            <w:vAlign w:val="center"/>
          </w:tcPr>
          <w:p>
            <w:pPr>
              <w:pStyle w:val="8"/>
              <w:bidi w:val="0"/>
            </w:pPr>
            <w: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5" w:type="dxa"/>
          </w:tcPr>
          <w:p>
            <w:pPr>
              <w:pStyle w:val="8"/>
              <w:bidi w:val="0"/>
            </w:pPr>
            <w:r>
              <w:t>沉降速度（m/s）</w:t>
            </w:r>
          </w:p>
        </w:tc>
        <w:tc>
          <w:tcPr>
            <w:tcW w:w="907" w:type="dxa"/>
            <w:vAlign w:val="center"/>
          </w:tcPr>
          <w:p>
            <w:pPr>
              <w:pStyle w:val="8"/>
              <w:bidi w:val="0"/>
            </w:pPr>
            <w:r>
              <w:t>0.158</w:t>
            </w:r>
          </w:p>
        </w:tc>
        <w:tc>
          <w:tcPr>
            <w:tcW w:w="907" w:type="dxa"/>
            <w:vAlign w:val="center"/>
          </w:tcPr>
          <w:p>
            <w:pPr>
              <w:pStyle w:val="8"/>
              <w:bidi w:val="0"/>
            </w:pPr>
            <w:r>
              <w:t>0.170</w:t>
            </w:r>
          </w:p>
        </w:tc>
        <w:tc>
          <w:tcPr>
            <w:tcW w:w="907" w:type="dxa"/>
            <w:vAlign w:val="center"/>
          </w:tcPr>
          <w:p>
            <w:pPr>
              <w:pStyle w:val="8"/>
              <w:bidi w:val="0"/>
            </w:pPr>
            <w:r>
              <w:t>0.182</w:t>
            </w:r>
          </w:p>
        </w:tc>
        <w:tc>
          <w:tcPr>
            <w:tcW w:w="907" w:type="dxa"/>
            <w:vAlign w:val="center"/>
          </w:tcPr>
          <w:p>
            <w:pPr>
              <w:pStyle w:val="8"/>
              <w:bidi w:val="0"/>
            </w:pPr>
            <w:r>
              <w:t>0.239</w:t>
            </w:r>
          </w:p>
        </w:tc>
        <w:tc>
          <w:tcPr>
            <w:tcW w:w="907" w:type="dxa"/>
            <w:vAlign w:val="center"/>
          </w:tcPr>
          <w:p>
            <w:pPr>
              <w:pStyle w:val="8"/>
              <w:bidi w:val="0"/>
            </w:pPr>
            <w:r>
              <w:t>0.804</w:t>
            </w:r>
          </w:p>
        </w:tc>
        <w:tc>
          <w:tcPr>
            <w:tcW w:w="907" w:type="dxa"/>
            <w:vAlign w:val="center"/>
          </w:tcPr>
          <w:p>
            <w:pPr>
              <w:pStyle w:val="8"/>
              <w:bidi w:val="0"/>
            </w:pPr>
            <w:r>
              <w:t>1.005</w:t>
            </w:r>
          </w:p>
        </w:tc>
        <w:tc>
          <w:tcPr>
            <w:tcW w:w="907" w:type="dxa"/>
            <w:vAlign w:val="center"/>
          </w:tcPr>
          <w:p>
            <w:pPr>
              <w:pStyle w:val="8"/>
              <w:bidi w:val="0"/>
            </w:pPr>
            <w: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05" w:type="dxa"/>
          </w:tcPr>
          <w:p>
            <w:pPr>
              <w:pStyle w:val="8"/>
              <w:bidi w:val="0"/>
            </w:pPr>
            <w:r>
              <w:t>粒径（微米）</w:t>
            </w:r>
          </w:p>
        </w:tc>
        <w:tc>
          <w:tcPr>
            <w:tcW w:w="907" w:type="dxa"/>
            <w:vAlign w:val="center"/>
          </w:tcPr>
          <w:p>
            <w:pPr>
              <w:pStyle w:val="8"/>
              <w:bidi w:val="0"/>
            </w:pPr>
            <w:r>
              <w:t>450</w:t>
            </w:r>
          </w:p>
        </w:tc>
        <w:tc>
          <w:tcPr>
            <w:tcW w:w="907" w:type="dxa"/>
            <w:vAlign w:val="center"/>
          </w:tcPr>
          <w:p>
            <w:pPr>
              <w:pStyle w:val="8"/>
              <w:bidi w:val="0"/>
            </w:pPr>
            <w:r>
              <w:t>550</w:t>
            </w:r>
          </w:p>
        </w:tc>
        <w:tc>
          <w:tcPr>
            <w:tcW w:w="907" w:type="dxa"/>
            <w:vAlign w:val="center"/>
          </w:tcPr>
          <w:p>
            <w:pPr>
              <w:pStyle w:val="8"/>
              <w:bidi w:val="0"/>
            </w:pPr>
            <w:r>
              <w:t>650</w:t>
            </w:r>
          </w:p>
        </w:tc>
        <w:tc>
          <w:tcPr>
            <w:tcW w:w="907" w:type="dxa"/>
            <w:vAlign w:val="center"/>
          </w:tcPr>
          <w:p>
            <w:pPr>
              <w:pStyle w:val="8"/>
              <w:bidi w:val="0"/>
            </w:pPr>
            <w:r>
              <w:t>750</w:t>
            </w:r>
          </w:p>
        </w:tc>
        <w:tc>
          <w:tcPr>
            <w:tcW w:w="907" w:type="dxa"/>
            <w:vAlign w:val="center"/>
          </w:tcPr>
          <w:p>
            <w:pPr>
              <w:pStyle w:val="8"/>
              <w:bidi w:val="0"/>
            </w:pPr>
            <w:r>
              <w:t>850</w:t>
            </w:r>
          </w:p>
        </w:tc>
        <w:tc>
          <w:tcPr>
            <w:tcW w:w="907" w:type="dxa"/>
            <w:vAlign w:val="center"/>
          </w:tcPr>
          <w:p>
            <w:pPr>
              <w:pStyle w:val="8"/>
              <w:bidi w:val="0"/>
            </w:pPr>
            <w:r>
              <w:t>950</w:t>
            </w:r>
          </w:p>
        </w:tc>
        <w:tc>
          <w:tcPr>
            <w:tcW w:w="907" w:type="dxa"/>
            <w:vAlign w:val="center"/>
          </w:tcPr>
          <w:p>
            <w:pPr>
              <w:pStyle w:val="8"/>
              <w:bidi w:val="0"/>
            </w:pPr>
            <w: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405" w:type="dxa"/>
          </w:tcPr>
          <w:p>
            <w:pPr>
              <w:pStyle w:val="8"/>
              <w:bidi w:val="0"/>
            </w:pPr>
            <w:r>
              <w:t>沉降速度（m/s）</w:t>
            </w:r>
          </w:p>
        </w:tc>
        <w:tc>
          <w:tcPr>
            <w:tcW w:w="907" w:type="dxa"/>
            <w:vAlign w:val="center"/>
          </w:tcPr>
          <w:p>
            <w:pPr>
              <w:pStyle w:val="8"/>
              <w:bidi w:val="0"/>
            </w:pPr>
            <w:r>
              <w:t>2.211</w:t>
            </w:r>
          </w:p>
        </w:tc>
        <w:tc>
          <w:tcPr>
            <w:tcW w:w="907" w:type="dxa"/>
            <w:vAlign w:val="center"/>
          </w:tcPr>
          <w:p>
            <w:pPr>
              <w:pStyle w:val="8"/>
              <w:bidi w:val="0"/>
            </w:pPr>
            <w:r>
              <w:t>2.614</w:t>
            </w:r>
          </w:p>
        </w:tc>
        <w:tc>
          <w:tcPr>
            <w:tcW w:w="907" w:type="dxa"/>
            <w:vAlign w:val="center"/>
          </w:tcPr>
          <w:p>
            <w:pPr>
              <w:pStyle w:val="8"/>
              <w:bidi w:val="0"/>
            </w:pPr>
            <w:r>
              <w:t>3.016</w:t>
            </w:r>
          </w:p>
        </w:tc>
        <w:tc>
          <w:tcPr>
            <w:tcW w:w="907" w:type="dxa"/>
            <w:vAlign w:val="center"/>
          </w:tcPr>
          <w:p>
            <w:pPr>
              <w:pStyle w:val="8"/>
              <w:bidi w:val="0"/>
            </w:pPr>
            <w:r>
              <w:t>3.418</w:t>
            </w:r>
          </w:p>
        </w:tc>
        <w:tc>
          <w:tcPr>
            <w:tcW w:w="907" w:type="dxa"/>
            <w:vAlign w:val="center"/>
          </w:tcPr>
          <w:p>
            <w:pPr>
              <w:pStyle w:val="8"/>
              <w:bidi w:val="0"/>
            </w:pPr>
            <w:r>
              <w:t>3.820</w:t>
            </w:r>
          </w:p>
        </w:tc>
        <w:tc>
          <w:tcPr>
            <w:tcW w:w="907" w:type="dxa"/>
            <w:vAlign w:val="center"/>
          </w:tcPr>
          <w:p>
            <w:pPr>
              <w:pStyle w:val="8"/>
              <w:bidi w:val="0"/>
            </w:pPr>
            <w:r>
              <w:t>4.222</w:t>
            </w:r>
          </w:p>
        </w:tc>
        <w:tc>
          <w:tcPr>
            <w:tcW w:w="907" w:type="dxa"/>
            <w:vAlign w:val="center"/>
          </w:tcPr>
          <w:p>
            <w:pPr>
              <w:pStyle w:val="8"/>
              <w:bidi w:val="0"/>
            </w:pPr>
            <w:r>
              <w:t>4.624</w:t>
            </w:r>
          </w:p>
        </w:tc>
      </w:tr>
    </w:tbl>
    <w:p/>
    <w:p>
      <w:r>
        <w:t>由表</w:t>
      </w:r>
      <w:r>
        <w:rPr>
          <w:rFonts w:hint="eastAsia"/>
          <w:lang w:val="en-US" w:eastAsia="zh-CN"/>
        </w:rPr>
        <w:t>2.4-1</w:t>
      </w:r>
      <w:r>
        <w:t>可知，尘粒的沉降速度随粒径的增大而迅速增大。当粒径为250μm时，沉降速度为1.005m/s，因此可以认为当尘粒大于250μm时，主要影响范围在扬尘点下风向近距离范围内，而真正对外环境产生影响的是一些微小尘粒。根据现场的气候情况不同，其影响范围也有所不同。根据澧县气象资料</w:t>
      </w:r>
      <w:r>
        <w:rPr>
          <w:rFonts w:hint="eastAsia"/>
        </w:rPr>
        <w:t>，</w:t>
      </w:r>
      <w:r>
        <w:t>全年主导风向为NNE，因此施工扬尘主要影响西南偏西区域，项目拟建</w:t>
      </w:r>
      <w:r>
        <w:rPr>
          <w:rFonts w:hint="eastAsia"/>
        </w:rPr>
        <w:t>地周边均为山林，</w:t>
      </w:r>
      <w:r>
        <w:t>居民</w:t>
      </w:r>
      <w:r>
        <w:rPr>
          <w:rFonts w:hint="eastAsia"/>
          <w:lang w:eastAsia="zh-CN"/>
        </w:rPr>
        <w:t>较少其主要为东北侧天子山居民</w:t>
      </w:r>
      <w:r>
        <w:rPr>
          <w:rFonts w:hint="eastAsia"/>
        </w:rPr>
        <w:t>，施工扬尘对外环境</w:t>
      </w:r>
      <w:r>
        <w:t>影响</w:t>
      </w:r>
      <w:r>
        <w:rPr>
          <w:rFonts w:hint="eastAsia"/>
        </w:rPr>
        <w:t>较小</w:t>
      </w:r>
      <w:r>
        <w:t>。</w:t>
      </w:r>
    </w:p>
    <w:p>
      <w:r>
        <w:rPr>
          <w:rFonts w:hint="eastAsia"/>
        </w:rPr>
        <w:t>②</w:t>
      </w:r>
      <w:r>
        <w:t>车辆行驶的动力起尘</w:t>
      </w:r>
    </w:p>
    <w:p>
      <w:r>
        <w:t>据有关文献报道，车辆行驶产生的扬尘占总扬尘的60%以上，车辆行驶产生的扬尘，在尘土完全干燥情况下，可按下列经验公式计算：</w:t>
      </w:r>
    </w:p>
    <w:p>
      <w:r>
        <w:object>
          <v:shape id="_x0000_i1028" o:spt="75" type="#_x0000_t75" style="height:24.5pt;width:154pt;" o:ole="t" filled="f" o:preferrelative="t" stroked="f" coordsize="21600,21600">
            <v:path/>
            <v:fill on="f" focussize="0,0"/>
            <v:stroke on="f" joinstyle="miter"/>
            <v:imagedata r:id="rId32" o:title=""/>
            <o:lock v:ext="edit" aspectratio="t"/>
            <w10:wrap type="none"/>
            <w10:anchorlock/>
          </v:shape>
          <o:OLEObject Type="Embed" ProgID="Equation.3" ShapeID="_x0000_i1028" DrawAspect="Content" ObjectID="_1468075730" r:id="rId31">
            <o:LockedField>false</o:LockedField>
          </o:OLEObject>
        </w:object>
      </w:r>
    </w:p>
    <w:p>
      <w:r>
        <w:t>其中：</w:t>
      </w:r>
    </w:p>
    <w:p>
      <w:r>
        <w:t>Q——汽车行驶时的扬尘，kg/km·辆；</w:t>
      </w:r>
    </w:p>
    <w:p>
      <w:r>
        <w:t>V——汽车车速，km/h；</w:t>
      </w:r>
    </w:p>
    <w:p>
      <w:r>
        <w:t>W——汽车载重量，t；</w:t>
      </w:r>
    </w:p>
    <w:p>
      <w:r>
        <w:t>P——道路表面粉尘量，kg/m</w:t>
      </w:r>
      <w:r>
        <w:rPr>
          <w:vertAlign w:val="superscript"/>
        </w:rPr>
        <w:t>2</w:t>
      </w:r>
      <w:r>
        <w:t>。</w:t>
      </w:r>
    </w:p>
    <w:p>
      <w:r>
        <w:t>表</w:t>
      </w:r>
      <w:r>
        <w:rPr>
          <w:rFonts w:hint="eastAsia"/>
          <w:lang w:val="en-US" w:eastAsia="zh-CN"/>
        </w:rPr>
        <w:t>2.4-2</w:t>
      </w:r>
      <w:r>
        <w:t>中为一辆10t卡车，通过长度为1km的一段路面时，路面不同清洁程度，不同行驶速度情况下的扬尘量。由此可见，在路面同样清洁程度下，车速越快，扬尘量越大；而在同样车速情况下，路面越脏，扬尘量越大。</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2</w:t>
      </w:r>
      <w:r>
        <w:fldChar w:fldCharType="end"/>
      </w:r>
      <w:r>
        <w:rPr>
          <w:rFonts w:hint="eastAsia"/>
          <w:lang w:val="en-US" w:eastAsia="zh-CN"/>
        </w:rPr>
        <w:t xml:space="preserve">  </w:t>
      </w:r>
      <w:r>
        <w:t>在不同车速和地面清洁程度的汽车扬尘单位：kg/km·辆</w:t>
      </w:r>
    </w:p>
    <w:tbl>
      <w:tblPr>
        <w:tblStyle w:val="17"/>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169"/>
        <w:gridCol w:w="1169"/>
        <w:gridCol w:w="1170"/>
        <w:gridCol w:w="1169"/>
        <w:gridCol w:w="1169"/>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723" w:type="dxa"/>
            <w:tcBorders>
              <w:tl2br w:val="single" w:color="auto" w:sz="4" w:space="0"/>
            </w:tcBorders>
          </w:tcPr>
          <w:p>
            <w:pPr>
              <w:pStyle w:val="8"/>
              <w:bidi w:val="0"/>
            </w:pPr>
            <w:r>
              <w:t xml:space="preserve">       P</w:t>
            </w:r>
          </w:p>
          <w:p>
            <w:pPr>
              <w:pStyle w:val="8"/>
              <w:bidi w:val="0"/>
              <w:jc w:val="both"/>
            </w:pPr>
            <w:r>
              <w:t>车速</w:t>
            </w:r>
          </w:p>
        </w:tc>
        <w:tc>
          <w:tcPr>
            <w:tcW w:w="1169" w:type="dxa"/>
            <w:vAlign w:val="center"/>
          </w:tcPr>
          <w:p>
            <w:pPr>
              <w:pStyle w:val="8"/>
              <w:bidi w:val="0"/>
            </w:pPr>
            <w:r>
              <w:t>0.1</w:t>
            </w:r>
          </w:p>
        </w:tc>
        <w:tc>
          <w:tcPr>
            <w:tcW w:w="1169" w:type="dxa"/>
            <w:vAlign w:val="center"/>
          </w:tcPr>
          <w:p>
            <w:pPr>
              <w:pStyle w:val="8"/>
              <w:bidi w:val="0"/>
            </w:pPr>
            <w:r>
              <w:t>0.2</w:t>
            </w:r>
          </w:p>
        </w:tc>
        <w:tc>
          <w:tcPr>
            <w:tcW w:w="1170" w:type="dxa"/>
            <w:vAlign w:val="center"/>
          </w:tcPr>
          <w:p>
            <w:pPr>
              <w:pStyle w:val="8"/>
              <w:bidi w:val="0"/>
            </w:pPr>
            <w:r>
              <w:t>0.3</w:t>
            </w:r>
          </w:p>
        </w:tc>
        <w:tc>
          <w:tcPr>
            <w:tcW w:w="1169" w:type="dxa"/>
            <w:vAlign w:val="center"/>
          </w:tcPr>
          <w:p>
            <w:pPr>
              <w:pStyle w:val="8"/>
              <w:bidi w:val="0"/>
            </w:pPr>
            <w:r>
              <w:t>0.4</w:t>
            </w:r>
          </w:p>
        </w:tc>
        <w:tc>
          <w:tcPr>
            <w:tcW w:w="1169" w:type="dxa"/>
            <w:vAlign w:val="center"/>
          </w:tcPr>
          <w:p>
            <w:pPr>
              <w:pStyle w:val="8"/>
              <w:bidi w:val="0"/>
            </w:pPr>
            <w:r>
              <w:t>0.5</w:t>
            </w:r>
          </w:p>
        </w:tc>
        <w:tc>
          <w:tcPr>
            <w:tcW w:w="1170" w:type="dxa"/>
            <w:vAlign w:val="center"/>
          </w:tcPr>
          <w:p>
            <w:pPr>
              <w:pStyle w:val="8"/>
              <w:bidi w:val="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723" w:type="dxa"/>
          </w:tcPr>
          <w:p>
            <w:pPr>
              <w:pStyle w:val="8"/>
              <w:bidi w:val="0"/>
            </w:pPr>
            <w:r>
              <w:t>5(km/h)</w:t>
            </w:r>
          </w:p>
        </w:tc>
        <w:tc>
          <w:tcPr>
            <w:tcW w:w="1169" w:type="dxa"/>
            <w:vAlign w:val="center"/>
          </w:tcPr>
          <w:p>
            <w:pPr>
              <w:pStyle w:val="8"/>
              <w:bidi w:val="0"/>
            </w:pPr>
            <w:r>
              <w:t>0.051</w:t>
            </w:r>
          </w:p>
        </w:tc>
        <w:tc>
          <w:tcPr>
            <w:tcW w:w="1169" w:type="dxa"/>
            <w:vAlign w:val="center"/>
          </w:tcPr>
          <w:p>
            <w:pPr>
              <w:pStyle w:val="8"/>
              <w:bidi w:val="0"/>
            </w:pPr>
            <w:r>
              <w:t>0.086</w:t>
            </w:r>
          </w:p>
        </w:tc>
        <w:tc>
          <w:tcPr>
            <w:tcW w:w="1170" w:type="dxa"/>
            <w:vAlign w:val="center"/>
          </w:tcPr>
          <w:p>
            <w:pPr>
              <w:pStyle w:val="8"/>
              <w:bidi w:val="0"/>
            </w:pPr>
            <w:r>
              <w:t>0.116</w:t>
            </w:r>
          </w:p>
        </w:tc>
        <w:tc>
          <w:tcPr>
            <w:tcW w:w="1169" w:type="dxa"/>
            <w:vAlign w:val="center"/>
          </w:tcPr>
          <w:p>
            <w:pPr>
              <w:pStyle w:val="8"/>
              <w:bidi w:val="0"/>
            </w:pPr>
            <w:r>
              <w:t>0.144</w:t>
            </w:r>
          </w:p>
        </w:tc>
        <w:tc>
          <w:tcPr>
            <w:tcW w:w="1169" w:type="dxa"/>
            <w:vAlign w:val="center"/>
          </w:tcPr>
          <w:p>
            <w:pPr>
              <w:pStyle w:val="8"/>
              <w:bidi w:val="0"/>
            </w:pPr>
            <w:r>
              <w:t>0.171</w:t>
            </w:r>
          </w:p>
        </w:tc>
        <w:tc>
          <w:tcPr>
            <w:tcW w:w="1170" w:type="dxa"/>
            <w:vAlign w:val="center"/>
          </w:tcPr>
          <w:p>
            <w:pPr>
              <w:pStyle w:val="8"/>
              <w:bidi w:val="0"/>
            </w:pPr>
            <w: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23" w:type="dxa"/>
          </w:tcPr>
          <w:p>
            <w:pPr>
              <w:pStyle w:val="8"/>
              <w:bidi w:val="0"/>
            </w:pPr>
            <w:r>
              <w:t>10(km/h)</w:t>
            </w:r>
          </w:p>
        </w:tc>
        <w:tc>
          <w:tcPr>
            <w:tcW w:w="1169" w:type="dxa"/>
            <w:vAlign w:val="center"/>
          </w:tcPr>
          <w:p>
            <w:pPr>
              <w:pStyle w:val="8"/>
              <w:bidi w:val="0"/>
            </w:pPr>
            <w:r>
              <w:t>0.102</w:t>
            </w:r>
          </w:p>
        </w:tc>
        <w:tc>
          <w:tcPr>
            <w:tcW w:w="1169" w:type="dxa"/>
            <w:vAlign w:val="center"/>
          </w:tcPr>
          <w:p>
            <w:pPr>
              <w:pStyle w:val="8"/>
              <w:bidi w:val="0"/>
            </w:pPr>
            <w:r>
              <w:t>0.171</w:t>
            </w:r>
          </w:p>
        </w:tc>
        <w:tc>
          <w:tcPr>
            <w:tcW w:w="1170" w:type="dxa"/>
            <w:vAlign w:val="center"/>
          </w:tcPr>
          <w:p>
            <w:pPr>
              <w:pStyle w:val="8"/>
              <w:bidi w:val="0"/>
            </w:pPr>
            <w:r>
              <w:t>0.232</w:t>
            </w:r>
          </w:p>
        </w:tc>
        <w:tc>
          <w:tcPr>
            <w:tcW w:w="1169" w:type="dxa"/>
            <w:vAlign w:val="center"/>
          </w:tcPr>
          <w:p>
            <w:pPr>
              <w:pStyle w:val="8"/>
              <w:bidi w:val="0"/>
            </w:pPr>
            <w:r>
              <w:t>0.289</w:t>
            </w:r>
          </w:p>
        </w:tc>
        <w:tc>
          <w:tcPr>
            <w:tcW w:w="1169" w:type="dxa"/>
            <w:vAlign w:val="center"/>
          </w:tcPr>
          <w:p>
            <w:pPr>
              <w:pStyle w:val="8"/>
              <w:bidi w:val="0"/>
            </w:pPr>
            <w:r>
              <w:t>0.341</w:t>
            </w:r>
          </w:p>
        </w:tc>
        <w:tc>
          <w:tcPr>
            <w:tcW w:w="1170" w:type="dxa"/>
            <w:vAlign w:val="center"/>
          </w:tcPr>
          <w:p>
            <w:pPr>
              <w:pStyle w:val="8"/>
              <w:bidi w:val="0"/>
            </w:pPr>
            <w: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23" w:type="dxa"/>
          </w:tcPr>
          <w:p>
            <w:pPr>
              <w:pStyle w:val="8"/>
              <w:bidi w:val="0"/>
            </w:pPr>
            <w:r>
              <w:t>15(km/h)</w:t>
            </w:r>
          </w:p>
        </w:tc>
        <w:tc>
          <w:tcPr>
            <w:tcW w:w="1169" w:type="dxa"/>
            <w:vAlign w:val="center"/>
          </w:tcPr>
          <w:p>
            <w:pPr>
              <w:pStyle w:val="8"/>
              <w:bidi w:val="0"/>
            </w:pPr>
            <w:r>
              <w:t>0.153</w:t>
            </w:r>
          </w:p>
        </w:tc>
        <w:tc>
          <w:tcPr>
            <w:tcW w:w="1169" w:type="dxa"/>
            <w:vAlign w:val="center"/>
          </w:tcPr>
          <w:p>
            <w:pPr>
              <w:pStyle w:val="8"/>
              <w:bidi w:val="0"/>
            </w:pPr>
            <w:r>
              <w:t>0.257</w:t>
            </w:r>
          </w:p>
        </w:tc>
        <w:tc>
          <w:tcPr>
            <w:tcW w:w="1170" w:type="dxa"/>
            <w:vAlign w:val="center"/>
          </w:tcPr>
          <w:p>
            <w:pPr>
              <w:pStyle w:val="8"/>
              <w:bidi w:val="0"/>
            </w:pPr>
            <w:r>
              <w:t>0.349</w:t>
            </w:r>
          </w:p>
        </w:tc>
        <w:tc>
          <w:tcPr>
            <w:tcW w:w="1169" w:type="dxa"/>
            <w:vAlign w:val="center"/>
          </w:tcPr>
          <w:p>
            <w:pPr>
              <w:pStyle w:val="8"/>
              <w:bidi w:val="0"/>
            </w:pPr>
            <w:r>
              <w:t>0.433</w:t>
            </w:r>
          </w:p>
        </w:tc>
        <w:tc>
          <w:tcPr>
            <w:tcW w:w="1169" w:type="dxa"/>
            <w:vAlign w:val="center"/>
          </w:tcPr>
          <w:p>
            <w:pPr>
              <w:pStyle w:val="8"/>
              <w:bidi w:val="0"/>
            </w:pPr>
            <w:r>
              <w:t>0.512</w:t>
            </w:r>
          </w:p>
        </w:tc>
        <w:tc>
          <w:tcPr>
            <w:tcW w:w="1170" w:type="dxa"/>
            <w:vAlign w:val="center"/>
          </w:tcPr>
          <w:p>
            <w:pPr>
              <w:pStyle w:val="8"/>
              <w:bidi w:val="0"/>
            </w:pPr>
            <w: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23" w:type="dxa"/>
          </w:tcPr>
          <w:p>
            <w:pPr>
              <w:pStyle w:val="8"/>
              <w:bidi w:val="0"/>
            </w:pPr>
            <w:r>
              <w:t>20(km/h)</w:t>
            </w:r>
          </w:p>
        </w:tc>
        <w:tc>
          <w:tcPr>
            <w:tcW w:w="1169" w:type="dxa"/>
            <w:vAlign w:val="center"/>
          </w:tcPr>
          <w:p>
            <w:pPr>
              <w:pStyle w:val="8"/>
              <w:bidi w:val="0"/>
            </w:pPr>
            <w:r>
              <w:t>0.255</w:t>
            </w:r>
          </w:p>
        </w:tc>
        <w:tc>
          <w:tcPr>
            <w:tcW w:w="1169" w:type="dxa"/>
            <w:vAlign w:val="center"/>
          </w:tcPr>
          <w:p>
            <w:pPr>
              <w:pStyle w:val="8"/>
              <w:bidi w:val="0"/>
            </w:pPr>
            <w:r>
              <w:t>0.429</w:t>
            </w:r>
          </w:p>
        </w:tc>
        <w:tc>
          <w:tcPr>
            <w:tcW w:w="1170" w:type="dxa"/>
            <w:vAlign w:val="center"/>
          </w:tcPr>
          <w:p>
            <w:pPr>
              <w:pStyle w:val="8"/>
              <w:bidi w:val="0"/>
            </w:pPr>
            <w:r>
              <w:t>0.582</w:t>
            </w:r>
          </w:p>
        </w:tc>
        <w:tc>
          <w:tcPr>
            <w:tcW w:w="1169" w:type="dxa"/>
            <w:vAlign w:val="center"/>
          </w:tcPr>
          <w:p>
            <w:pPr>
              <w:pStyle w:val="8"/>
              <w:bidi w:val="0"/>
            </w:pPr>
            <w:r>
              <w:t>0.722</w:t>
            </w:r>
          </w:p>
        </w:tc>
        <w:tc>
          <w:tcPr>
            <w:tcW w:w="1169" w:type="dxa"/>
            <w:vAlign w:val="center"/>
          </w:tcPr>
          <w:p>
            <w:pPr>
              <w:pStyle w:val="8"/>
              <w:bidi w:val="0"/>
            </w:pPr>
            <w:r>
              <w:t>0.853</w:t>
            </w:r>
          </w:p>
        </w:tc>
        <w:tc>
          <w:tcPr>
            <w:tcW w:w="1170" w:type="dxa"/>
            <w:vAlign w:val="center"/>
          </w:tcPr>
          <w:p>
            <w:pPr>
              <w:pStyle w:val="8"/>
              <w:bidi w:val="0"/>
            </w:pPr>
            <w:r>
              <w:t>1.435</w:t>
            </w:r>
          </w:p>
        </w:tc>
      </w:tr>
    </w:tbl>
    <w:p>
      <w:r>
        <w:t>（</w:t>
      </w:r>
      <w:r>
        <w:rPr>
          <w:rFonts w:hint="eastAsia"/>
        </w:rPr>
        <w:t>2</w:t>
      </w:r>
      <w:r>
        <w:t>）</w:t>
      </w:r>
      <w:r>
        <w:rPr>
          <w:rFonts w:hint="eastAsia"/>
        </w:rPr>
        <w:t>车辆运输尾气</w:t>
      </w:r>
    </w:p>
    <w:p>
      <w:r>
        <w:t>施工车辆、挖土机等因燃油产生的二氧化硫、氮氧化物、一氧化碳、烃类等污染物。这种污染源较分散且为流动性，污染物排放量不大，表现为间歇性特征，根据类似项目施工现场监测结果，在距离现场污染源100m处CO、NO</w:t>
      </w:r>
      <w:r>
        <w:rPr>
          <w:vertAlign w:val="subscript"/>
        </w:rPr>
        <w:t>2</w:t>
      </w:r>
      <w:r>
        <w:t>小时平均浓度分别为0.2mg/m</w:t>
      </w:r>
      <w:r>
        <w:rPr>
          <w:vertAlign w:val="superscript"/>
        </w:rPr>
        <w:t>3</w:t>
      </w:r>
      <w:r>
        <w:t>和0.11mg/m</w:t>
      </w:r>
      <w:r>
        <w:rPr>
          <w:vertAlign w:val="superscript"/>
        </w:rPr>
        <w:t>3</w:t>
      </w:r>
      <w:r>
        <w:t>；日平均浓度分别为0.13mg/m</w:t>
      </w:r>
      <w:r>
        <w:rPr>
          <w:vertAlign w:val="superscript"/>
        </w:rPr>
        <w:t>3</w:t>
      </w:r>
      <w:r>
        <w:t>和0.062mg/m</w:t>
      </w:r>
      <w:r>
        <w:rPr>
          <w:vertAlign w:val="superscript"/>
        </w:rPr>
        <w:t>3</w:t>
      </w:r>
      <w:r>
        <w:t>。</w:t>
      </w:r>
    </w:p>
    <w:p>
      <w:r>
        <w:t>（</w:t>
      </w:r>
      <w:r>
        <w:rPr>
          <w:rFonts w:hint="eastAsia"/>
        </w:rPr>
        <w:t>3</w:t>
      </w:r>
      <w:r>
        <w:t>）</w:t>
      </w:r>
      <w:r>
        <w:rPr>
          <w:rFonts w:hint="eastAsia"/>
        </w:rPr>
        <w:t>装修废气</w:t>
      </w:r>
    </w:p>
    <w:p>
      <w:r>
        <w:t>装修废气主要来自于房屋装修阶段，该废气的排放属无组织排放，其主要污染因子为二甲苯、甲苯、氨气和甲醛等，此外还有极少量的汽油、丁醇和丙醇等。</w:t>
      </w:r>
      <w:r>
        <w:rPr>
          <w:rFonts w:hint="eastAsia"/>
        </w:rPr>
        <w:t>本项目办公综合楼需进行简单</w:t>
      </w:r>
      <w:r>
        <w:t>装修，</w:t>
      </w:r>
      <w:r>
        <w:rPr>
          <w:rFonts w:hint="eastAsia"/>
        </w:rPr>
        <w:t>装修面积较小，</w:t>
      </w:r>
      <w:r>
        <w:t>因此，对周围环境的影响较</w:t>
      </w:r>
      <w:r>
        <w:rPr>
          <w:rFonts w:hint="eastAsia"/>
        </w:rPr>
        <w:t>小</w:t>
      </w:r>
      <w:r>
        <w:t>。本次评价只对该废气作一般性分析。</w:t>
      </w:r>
    </w:p>
    <w:p>
      <w:r>
        <w:t>（三）噪声污染源</w:t>
      </w:r>
    </w:p>
    <w:p>
      <w:r>
        <w:t>建设期噪声主要来自施工机械噪声、施工作业噪声和运输车辆噪声。施工机械噪声由施工机械造成，如挖土机械、打桩机械、混泥土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r>
        <w:t>建设期主要施工机械设备的噪声源强见表</w:t>
      </w:r>
      <w:r>
        <w:rPr>
          <w:rFonts w:hint="eastAsia"/>
          <w:lang w:val="en-US" w:eastAsia="zh-CN"/>
        </w:rPr>
        <w:t>2.4-3</w:t>
      </w:r>
      <w:r>
        <w:t>，当多台机械设备同时作业时，产生噪声叠加，根据类比调查，叠加后的噪声增加3~8dB，一般不会超过10dB。物料运输车辆类型及其声级值见表</w:t>
      </w:r>
      <w:r>
        <w:rPr>
          <w:rFonts w:hint="eastAsia"/>
          <w:lang w:val="en-US" w:eastAsia="zh-CN"/>
        </w:rPr>
        <w:t>2.4-4</w:t>
      </w:r>
      <w:r>
        <w:t>。</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3</w:t>
      </w:r>
      <w:r>
        <w:fldChar w:fldCharType="end"/>
      </w:r>
      <w:r>
        <w:rPr>
          <w:rFonts w:hint="eastAsia"/>
          <w:lang w:val="en-US" w:eastAsia="zh-CN"/>
        </w:rPr>
        <w:t xml:space="preserve">  </w:t>
      </w:r>
      <w:r>
        <w:t>施工期噪声声源强度表</w:t>
      </w:r>
    </w:p>
    <w:tbl>
      <w:tblPr>
        <w:tblStyle w:val="17"/>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1"/>
        <w:gridCol w:w="3781"/>
        <w:gridCol w:w="2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Align w:val="center"/>
          </w:tcPr>
          <w:p>
            <w:pPr>
              <w:pStyle w:val="8"/>
              <w:bidi w:val="0"/>
            </w:pPr>
            <w:r>
              <w:t>施工阶段</w:t>
            </w:r>
          </w:p>
        </w:tc>
        <w:tc>
          <w:tcPr>
            <w:tcW w:w="3781" w:type="dxa"/>
            <w:vAlign w:val="center"/>
          </w:tcPr>
          <w:p>
            <w:pPr>
              <w:pStyle w:val="8"/>
              <w:bidi w:val="0"/>
            </w:pPr>
            <w:r>
              <w:t>声源</w:t>
            </w:r>
          </w:p>
        </w:tc>
        <w:tc>
          <w:tcPr>
            <w:tcW w:w="2547" w:type="dxa"/>
            <w:vAlign w:val="center"/>
          </w:tcPr>
          <w:p>
            <w:pPr>
              <w:pStyle w:val="8"/>
              <w:bidi w:val="0"/>
            </w:pPr>
            <w:r>
              <w:t>声源强度[dB]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restart"/>
            <w:vAlign w:val="center"/>
          </w:tcPr>
          <w:p>
            <w:pPr>
              <w:pStyle w:val="8"/>
              <w:bidi w:val="0"/>
            </w:pPr>
            <w:r>
              <w:t>土石方阶段</w:t>
            </w:r>
          </w:p>
        </w:tc>
        <w:tc>
          <w:tcPr>
            <w:tcW w:w="3781" w:type="dxa"/>
          </w:tcPr>
          <w:p>
            <w:pPr>
              <w:pStyle w:val="8"/>
              <w:bidi w:val="0"/>
            </w:pPr>
            <w:r>
              <w:t>挖土机</w:t>
            </w:r>
          </w:p>
        </w:tc>
        <w:tc>
          <w:tcPr>
            <w:tcW w:w="2547" w:type="dxa"/>
          </w:tcPr>
          <w:p>
            <w:pPr>
              <w:pStyle w:val="8"/>
              <w:bidi w:val="0"/>
            </w:pPr>
            <w:r>
              <w:t>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bidi w:val="0"/>
            </w:pPr>
          </w:p>
        </w:tc>
        <w:tc>
          <w:tcPr>
            <w:tcW w:w="3781" w:type="dxa"/>
          </w:tcPr>
          <w:p>
            <w:pPr>
              <w:pStyle w:val="8"/>
              <w:bidi w:val="0"/>
            </w:pPr>
            <w:r>
              <w:t>装卸机</w:t>
            </w:r>
          </w:p>
        </w:tc>
        <w:tc>
          <w:tcPr>
            <w:tcW w:w="2547" w:type="dxa"/>
          </w:tcPr>
          <w:p>
            <w:pPr>
              <w:pStyle w:val="8"/>
              <w:bidi w:val="0"/>
            </w:pPr>
            <w:r>
              <w:t>75~90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bidi w:val="0"/>
            </w:pPr>
          </w:p>
        </w:tc>
        <w:tc>
          <w:tcPr>
            <w:tcW w:w="3781" w:type="dxa"/>
          </w:tcPr>
          <w:p>
            <w:pPr>
              <w:pStyle w:val="8"/>
              <w:bidi w:val="0"/>
            </w:pPr>
            <w:r>
              <w:t>挖掘机</w:t>
            </w:r>
          </w:p>
        </w:tc>
        <w:tc>
          <w:tcPr>
            <w:tcW w:w="2547" w:type="dxa"/>
          </w:tcPr>
          <w:p>
            <w:pPr>
              <w:pStyle w:val="8"/>
              <w:bidi w:val="0"/>
            </w:pPr>
            <w: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bidi w:val="0"/>
            </w:pPr>
          </w:p>
        </w:tc>
        <w:tc>
          <w:tcPr>
            <w:tcW w:w="3781" w:type="dxa"/>
          </w:tcPr>
          <w:p>
            <w:pPr>
              <w:pStyle w:val="8"/>
              <w:bidi w:val="0"/>
            </w:pPr>
            <w:r>
              <w:t>压缩机</w:t>
            </w:r>
          </w:p>
        </w:tc>
        <w:tc>
          <w:tcPr>
            <w:tcW w:w="2547" w:type="dxa"/>
          </w:tcPr>
          <w:p>
            <w:pPr>
              <w:pStyle w:val="8"/>
              <w:bidi w:val="0"/>
            </w:pPr>
            <w:r>
              <w:t>75~88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restart"/>
            <w:vAlign w:val="center"/>
          </w:tcPr>
          <w:p>
            <w:pPr>
              <w:pStyle w:val="8"/>
              <w:bidi w:val="0"/>
            </w:pPr>
            <w:r>
              <w:t>底板与结构阶段</w:t>
            </w:r>
          </w:p>
        </w:tc>
        <w:tc>
          <w:tcPr>
            <w:tcW w:w="3781" w:type="dxa"/>
          </w:tcPr>
          <w:p>
            <w:pPr>
              <w:pStyle w:val="8"/>
              <w:bidi w:val="0"/>
            </w:pPr>
            <w:r>
              <w:t>混凝土输送泵</w:t>
            </w:r>
          </w:p>
        </w:tc>
        <w:tc>
          <w:tcPr>
            <w:tcW w:w="2547" w:type="dxa"/>
          </w:tcPr>
          <w:p>
            <w:pPr>
              <w:pStyle w:val="8"/>
              <w:bidi w:val="0"/>
            </w:pPr>
            <w: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bidi w:val="0"/>
            </w:pPr>
          </w:p>
        </w:tc>
        <w:tc>
          <w:tcPr>
            <w:tcW w:w="3781" w:type="dxa"/>
          </w:tcPr>
          <w:p>
            <w:pPr>
              <w:pStyle w:val="8"/>
              <w:bidi w:val="0"/>
            </w:pPr>
            <w:r>
              <w:t>振捣器</w:t>
            </w:r>
          </w:p>
        </w:tc>
        <w:tc>
          <w:tcPr>
            <w:tcW w:w="2547" w:type="dxa"/>
          </w:tcPr>
          <w:p>
            <w:pPr>
              <w:pStyle w:val="8"/>
              <w:bidi w:val="0"/>
            </w:pPr>
            <w: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bidi w:val="0"/>
            </w:pPr>
          </w:p>
        </w:tc>
        <w:tc>
          <w:tcPr>
            <w:tcW w:w="3781" w:type="dxa"/>
          </w:tcPr>
          <w:p>
            <w:pPr>
              <w:pStyle w:val="8"/>
              <w:bidi w:val="0"/>
            </w:pPr>
            <w:r>
              <w:t>电焊机</w:t>
            </w:r>
          </w:p>
        </w:tc>
        <w:tc>
          <w:tcPr>
            <w:tcW w:w="2547" w:type="dxa"/>
          </w:tcPr>
          <w:p>
            <w:pPr>
              <w:pStyle w:val="8"/>
              <w:bidi w:val="0"/>
            </w:pPr>
            <w:r>
              <w:t>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bidi w:val="0"/>
            </w:pPr>
          </w:p>
        </w:tc>
        <w:tc>
          <w:tcPr>
            <w:tcW w:w="3781" w:type="dxa"/>
          </w:tcPr>
          <w:p>
            <w:pPr>
              <w:pStyle w:val="8"/>
              <w:bidi w:val="0"/>
            </w:pPr>
            <w:r>
              <w:t>空压机</w:t>
            </w:r>
          </w:p>
        </w:tc>
        <w:tc>
          <w:tcPr>
            <w:tcW w:w="2547" w:type="dxa"/>
          </w:tcPr>
          <w:p>
            <w:pPr>
              <w:pStyle w:val="8"/>
              <w:bidi w:val="0"/>
            </w:pPr>
            <w: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restart"/>
            <w:vAlign w:val="center"/>
          </w:tcPr>
          <w:p>
            <w:pPr>
              <w:pStyle w:val="8"/>
              <w:bidi w:val="0"/>
            </w:pPr>
            <w:r>
              <w:t>装修、安装</w:t>
            </w:r>
          </w:p>
          <w:p>
            <w:pPr>
              <w:pStyle w:val="8"/>
              <w:bidi w:val="0"/>
            </w:pPr>
            <w:r>
              <w:t>阶段</w:t>
            </w:r>
          </w:p>
        </w:tc>
        <w:tc>
          <w:tcPr>
            <w:tcW w:w="3781" w:type="dxa"/>
          </w:tcPr>
          <w:p>
            <w:pPr>
              <w:pStyle w:val="8"/>
              <w:bidi w:val="0"/>
            </w:pPr>
            <w:r>
              <w:t>电钻</w:t>
            </w:r>
          </w:p>
        </w:tc>
        <w:tc>
          <w:tcPr>
            <w:tcW w:w="2547" w:type="dxa"/>
          </w:tcPr>
          <w:p>
            <w:pPr>
              <w:pStyle w:val="8"/>
              <w:bidi w:val="0"/>
            </w:pPr>
            <w:r>
              <w:t>100~105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bidi w:val="0"/>
            </w:pPr>
          </w:p>
        </w:tc>
        <w:tc>
          <w:tcPr>
            <w:tcW w:w="3781" w:type="dxa"/>
          </w:tcPr>
          <w:p>
            <w:pPr>
              <w:pStyle w:val="8"/>
              <w:bidi w:val="0"/>
            </w:pPr>
            <w:r>
              <w:t>无齿锯</w:t>
            </w:r>
          </w:p>
        </w:tc>
        <w:tc>
          <w:tcPr>
            <w:tcW w:w="2547" w:type="dxa"/>
          </w:tcPr>
          <w:p>
            <w:pPr>
              <w:pStyle w:val="8"/>
              <w:bidi w:val="0"/>
            </w:pPr>
            <w: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bidi w:val="0"/>
            </w:pPr>
          </w:p>
        </w:tc>
        <w:tc>
          <w:tcPr>
            <w:tcW w:w="3781" w:type="dxa"/>
          </w:tcPr>
          <w:p>
            <w:pPr>
              <w:pStyle w:val="8"/>
              <w:bidi w:val="0"/>
            </w:pPr>
            <w:r>
              <w:t>混凝土搅拌机（沙浆混合用）</w:t>
            </w:r>
          </w:p>
        </w:tc>
        <w:tc>
          <w:tcPr>
            <w:tcW w:w="2547" w:type="dxa"/>
          </w:tcPr>
          <w:p>
            <w:pPr>
              <w:pStyle w:val="8"/>
              <w:bidi w:val="0"/>
            </w:pPr>
            <w: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2431" w:type="dxa"/>
            <w:vMerge w:val="continue"/>
          </w:tcPr>
          <w:p>
            <w:pPr>
              <w:pStyle w:val="8"/>
              <w:bidi w:val="0"/>
            </w:pPr>
          </w:p>
        </w:tc>
        <w:tc>
          <w:tcPr>
            <w:tcW w:w="3781" w:type="dxa"/>
          </w:tcPr>
          <w:p>
            <w:pPr>
              <w:pStyle w:val="8"/>
              <w:bidi w:val="0"/>
            </w:pPr>
            <w:r>
              <w:t>角向磨光机</w:t>
            </w:r>
          </w:p>
        </w:tc>
        <w:tc>
          <w:tcPr>
            <w:tcW w:w="2547" w:type="dxa"/>
          </w:tcPr>
          <w:p>
            <w:pPr>
              <w:pStyle w:val="8"/>
              <w:bidi w:val="0"/>
            </w:pPr>
            <w:r>
              <w:t>100~115</w:t>
            </w:r>
          </w:p>
        </w:tc>
      </w:tr>
    </w:tbl>
    <w:p>
      <w:pPr>
        <w:pStyle w:val="11"/>
      </w:pP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4</w:t>
      </w:r>
      <w:r>
        <w:fldChar w:fldCharType="end"/>
      </w:r>
      <w:r>
        <w:rPr>
          <w:rFonts w:hint="eastAsia"/>
          <w:lang w:val="en-US" w:eastAsia="zh-CN"/>
        </w:rPr>
        <w:t xml:space="preserve">  </w:t>
      </w:r>
      <w:r>
        <w:t>交通运输车辆噪声</w:t>
      </w:r>
    </w:p>
    <w:tbl>
      <w:tblPr>
        <w:tblStyle w:val="17"/>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2664"/>
        <w:gridCol w:w="2400"/>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84" w:type="dxa"/>
            <w:vAlign w:val="center"/>
          </w:tcPr>
          <w:p>
            <w:pPr>
              <w:pStyle w:val="8"/>
              <w:bidi w:val="0"/>
            </w:pPr>
            <w:r>
              <w:t>施工阶段</w:t>
            </w:r>
          </w:p>
        </w:tc>
        <w:tc>
          <w:tcPr>
            <w:tcW w:w="2664" w:type="dxa"/>
            <w:vAlign w:val="center"/>
          </w:tcPr>
          <w:p>
            <w:pPr>
              <w:pStyle w:val="8"/>
              <w:bidi w:val="0"/>
            </w:pPr>
            <w:r>
              <w:t>运输内容</w:t>
            </w:r>
          </w:p>
        </w:tc>
        <w:tc>
          <w:tcPr>
            <w:tcW w:w="2400" w:type="dxa"/>
            <w:vAlign w:val="center"/>
          </w:tcPr>
          <w:p>
            <w:pPr>
              <w:pStyle w:val="8"/>
              <w:bidi w:val="0"/>
            </w:pPr>
            <w:r>
              <w:t>车辆类型</w:t>
            </w:r>
          </w:p>
        </w:tc>
        <w:tc>
          <w:tcPr>
            <w:tcW w:w="1851" w:type="dxa"/>
            <w:vAlign w:val="center"/>
          </w:tcPr>
          <w:p>
            <w:pPr>
              <w:pStyle w:val="8"/>
              <w:bidi w:val="0"/>
            </w:pPr>
            <w:r>
              <w:t>声源强度（dB）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84" w:type="dxa"/>
            <w:vAlign w:val="center"/>
          </w:tcPr>
          <w:p>
            <w:pPr>
              <w:pStyle w:val="8"/>
              <w:bidi w:val="0"/>
            </w:pPr>
            <w:r>
              <w:t>土方阶段</w:t>
            </w:r>
          </w:p>
        </w:tc>
        <w:tc>
          <w:tcPr>
            <w:tcW w:w="2664" w:type="dxa"/>
            <w:vAlign w:val="center"/>
          </w:tcPr>
          <w:p>
            <w:pPr>
              <w:pStyle w:val="8"/>
              <w:bidi w:val="0"/>
            </w:pPr>
            <w:r>
              <w:t>弃土外运</w:t>
            </w:r>
          </w:p>
        </w:tc>
        <w:tc>
          <w:tcPr>
            <w:tcW w:w="2400" w:type="dxa"/>
            <w:vAlign w:val="center"/>
          </w:tcPr>
          <w:p>
            <w:pPr>
              <w:pStyle w:val="8"/>
              <w:bidi w:val="0"/>
            </w:pPr>
            <w:r>
              <w:t>大型载重车</w:t>
            </w:r>
          </w:p>
        </w:tc>
        <w:tc>
          <w:tcPr>
            <w:tcW w:w="1851" w:type="dxa"/>
            <w:vAlign w:val="center"/>
          </w:tcPr>
          <w:p>
            <w:pPr>
              <w:pStyle w:val="8"/>
              <w:bidi w:val="0"/>
            </w:pPr>
            <w:r>
              <w:t>84~89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84" w:type="dxa"/>
            <w:vAlign w:val="center"/>
          </w:tcPr>
          <w:p>
            <w:pPr>
              <w:pStyle w:val="8"/>
              <w:bidi w:val="0"/>
            </w:pPr>
            <w:r>
              <w:t>底板及结构阶段</w:t>
            </w:r>
          </w:p>
        </w:tc>
        <w:tc>
          <w:tcPr>
            <w:tcW w:w="2664" w:type="dxa"/>
            <w:vAlign w:val="center"/>
          </w:tcPr>
          <w:p>
            <w:pPr>
              <w:pStyle w:val="8"/>
              <w:bidi w:val="0"/>
            </w:pPr>
            <w:r>
              <w:t>钢筋、商品混凝土</w:t>
            </w:r>
          </w:p>
        </w:tc>
        <w:tc>
          <w:tcPr>
            <w:tcW w:w="2400" w:type="dxa"/>
            <w:vAlign w:val="center"/>
          </w:tcPr>
          <w:p>
            <w:pPr>
              <w:pStyle w:val="8"/>
              <w:bidi w:val="0"/>
            </w:pPr>
            <w:r>
              <w:t>混凝土罐车、载重车</w:t>
            </w:r>
          </w:p>
        </w:tc>
        <w:tc>
          <w:tcPr>
            <w:tcW w:w="1851" w:type="dxa"/>
            <w:vAlign w:val="center"/>
          </w:tcPr>
          <w:p>
            <w:pPr>
              <w:pStyle w:val="8"/>
              <w:bidi w:val="0"/>
            </w:pPr>
            <w: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84" w:type="dxa"/>
            <w:vAlign w:val="center"/>
          </w:tcPr>
          <w:p>
            <w:pPr>
              <w:pStyle w:val="8"/>
              <w:bidi w:val="0"/>
            </w:pPr>
            <w:r>
              <w:t>装修阶段</w:t>
            </w:r>
          </w:p>
        </w:tc>
        <w:tc>
          <w:tcPr>
            <w:tcW w:w="2664" w:type="dxa"/>
            <w:vAlign w:val="center"/>
          </w:tcPr>
          <w:p>
            <w:pPr>
              <w:pStyle w:val="8"/>
              <w:bidi w:val="0"/>
            </w:pPr>
            <w:r>
              <w:t>各种装修材料及必备设备</w:t>
            </w:r>
          </w:p>
        </w:tc>
        <w:tc>
          <w:tcPr>
            <w:tcW w:w="2400" w:type="dxa"/>
            <w:vAlign w:val="center"/>
          </w:tcPr>
          <w:p>
            <w:pPr>
              <w:pStyle w:val="8"/>
              <w:bidi w:val="0"/>
            </w:pPr>
            <w:r>
              <w:t>轻型载重卡车</w:t>
            </w:r>
          </w:p>
        </w:tc>
        <w:tc>
          <w:tcPr>
            <w:tcW w:w="1851" w:type="dxa"/>
            <w:vAlign w:val="center"/>
          </w:tcPr>
          <w:p>
            <w:pPr>
              <w:pStyle w:val="8"/>
              <w:bidi w:val="0"/>
            </w:pPr>
            <w:r>
              <w:t>75~80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t>（四）固体废物污染源</w:t>
      </w:r>
    </w:p>
    <w:p>
      <w:r>
        <w:t>施工期的固废主要为</w:t>
      </w:r>
      <w:r>
        <w:rPr>
          <w:rFonts w:hint="eastAsia"/>
        </w:rPr>
        <w:t>施工场地土方开挖产生废弃土方、建筑物的修筑产生</w:t>
      </w:r>
      <w:r>
        <w:t>各种建筑垃圾和施工人员产生的生活垃圾等。</w:t>
      </w:r>
    </w:p>
    <w:p>
      <w:r>
        <w:rPr>
          <w:rFonts w:hint="eastAsia"/>
          <w:lang w:eastAsia="zh-CN"/>
        </w:rPr>
        <w:t>（</w:t>
      </w:r>
      <w:r>
        <w:rPr>
          <w:rFonts w:hint="eastAsia"/>
          <w:lang w:val="en-US" w:eastAsia="zh-CN"/>
        </w:rPr>
        <w:t>1</w:t>
      </w:r>
      <w:r>
        <w:rPr>
          <w:rFonts w:hint="eastAsia"/>
          <w:lang w:eastAsia="zh-CN"/>
        </w:rPr>
        <w:t>）</w:t>
      </w:r>
      <w:r>
        <w:rPr>
          <w:rFonts w:hint="eastAsia"/>
        </w:rPr>
        <w:t>土石方量</w:t>
      </w:r>
    </w:p>
    <w:p>
      <w:r>
        <w:rPr>
          <w:rFonts w:hint="eastAsia"/>
        </w:rPr>
        <w:t>本项目由于猪舍、办公楼等构筑物的修筑，产生一定量的挖方，约为</w:t>
      </w:r>
      <w:r>
        <w:rPr>
          <w:rFonts w:hint="eastAsia"/>
          <w:lang w:val="en-US" w:eastAsia="zh-CN"/>
        </w:rPr>
        <w:t>8000</w:t>
      </w:r>
      <w:r>
        <w:rPr>
          <w:rFonts w:hint="eastAsia"/>
        </w:rPr>
        <w:t>m</w:t>
      </w:r>
      <w:r>
        <w:rPr>
          <w:rFonts w:hint="eastAsia"/>
          <w:vertAlign w:val="superscript"/>
        </w:rPr>
        <w:t>3</w:t>
      </w:r>
      <w:r>
        <w:rPr>
          <w:rFonts w:hint="eastAsia"/>
        </w:rPr>
        <w:t>，由于项目建设场地</w:t>
      </w:r>
      <w:r>
        <w:rPr>
          <w:rFonts w:hint="eastAsia"/>
          <w:lang w:eastAsia="zh-CN"/>
        </w:rPr>
        <w:t>较平整</w:t>
      </w:r>
      <w:r>
        <w:rPr>
          <w:rFonts w:hint="eastAsia"/>
        </w:rPr>
        <w:t>，产生的挖方量均用于场地平整，以及进场道路的修筑，无弃方产生。</w:t>
      </w:r>
    </w:p>
    <w:p>
      <w:r>
        <w:rPr>
          <w:rFonts w:hint="eastAsia"/>
        </w:rPr>
        <w:t>（2）建筑垃圾</w:t>
      </w:r>
    </w:p>
    <w:p>
      <w:pPr>
        <w:rPr>
          <w:highlight w:val="none"/>
        </w:rPr>
      </w:pPr>
      <w:r>
        <w:t>本项目施工过程中建材损耗产生垃圾、装修产生建筑垃圾等，包括砂土、石块、水泥、碎木料、锯木屑、废金属、钢筋、铁丝等杂物。根据类比调查，每m</w:t>
      </w:r>
      <w:r>
        <w:rPr>
          <w:vertAlign w:val="superscript"/>
        </w:rPr>
        <w:t>2</w:t>
      </w:r>
      <w:r>
        <w:t>建筑面积产生建筑垃圾按0.0</w:t>
      </w:r>
      <w:r>
        <w:rPr>
          <w:rFonts w:hint="eastAsia"/>
        </w:rPr>
        <w:t>2t</w:t>
      </w:r>
      <w:r>
        <w:t>，</w:t>
      </w:r>
      <w:r>
        <w:rPr>
          <w:highlight w:val="none"/>
        </w:rPr>
        <w:t>预计本</w:t>
      </w:r>
      <w:r>
        <w:rPr>
          <w:rFonts w:hint="eastAsia"/>
          <w:highlight w:val="none"/>
        </w:rPr>
        <w:t>项目工程建筑面积</w:t>
      </w:r>
      <w:r>
        <w:rPr>
          <w:rFonts w:hint="eastAsia"/>
          <w:highlight w:val="none"/>
          <w:lang w:eastAsia="zh-CN"/>
        </w:rPr>
        <w:t>约</w:t>
      </w:r>
      <w:r>
        <w:rPr>
          <w:rFonts w:hint="eastAsia"/>
          <w:highlight w:val="none"/>
        </w:rPr>
        <w:t>为</w:t>
      </w:r>
      <w:r>
        <w:rPr>
          <w:rFonts w:hint="eastAsia"/>
          <w:highlight w:val="none"/>
          <w:lang w:val="en-US" w:eastAsia="zh-CN"/>
        </w:rPr>
        <w:t>23913</w:t>
      </w:r>
      <w:r>
        <w:rPr>
          <w:highlight w:val="none"/>
        </w:rPr>
        <w:t>m</w:t>
      </w:r>
      <w:r>
        <w:rPr>
          <w:highlight w:val="none"/>
          <w:vertAlign w:val="superscript"/>
        </w:rPr>
        <w:t>2</w:t>
      </w:r>
      <w:r>
        <w:rPr>
          <w:rFonts w:hint="eastAsia"/>
          <w:highlight w:val="none"/>
          <w:vertAlign w:val="baseline"/>
          <w:lang w:eastAsia="zh-CN"/>
        </w:rPr>
        <w:t>，则产生的建筑垃圾为</w:t>
      </w:r>
      <w:r>
        <w:rPr>
          <w:rFonts w:hint="eastAsia"/>
          <w:highlight w:val="none"/>
          <w:vertAlign w:val="baseline"/>
          <w:lang w:val="en-US" w:eastAsia="zh-CN"/>
        </w:rPr>
        <w:t>478t</w:t>
      </w:r>
      <w:r>
        <w:rPr>
          <w:highlight w:val="none"/>
        </w:rPr>
        <w:t>。</w:t>
      </w:r>
    </w:p>
    <w:p>
      <w:r>
        <w:rPr>
          <w:rFonts w:hint="eastAsia"/>
          <w:lang w:eastAsia="zh-CN"/>
        </w:rPr>
        <w:t>（</w:t>
      </w:r>
      <w:r>
        <w:rPr>
          <w:rFonts w:hint="eastAsia"/>
          <w:lang w:val="en-US" w:eastAsia="zh-CN"/>
        </w:rPr>
        <w:t>3</w:t>
      </w:r>
      <w:r>
        <w:rPr>
          <w:rFonts w:hint="eastAsia"/>
          <w:lang w:eastAsia="zh-CN"/>
        </w:rPr>
        <w:t>）</w:t>
      </w:r>
      <w:r>
        <w:rPr>
          <w:rFonts w:hint="eastAsia"/>
        </w:rPr>
        <w:t>生活垃圾</w:t>
      </w:r>
    </w:p>
    <w:p>
      <w:r>
        <w:t>生活垃圾以人均每天产生</w:t>
      </w:r>
      <w:r>
        <w:rPr>
          <w:rFonts w:hint="eastAsia"/>
        </w:rPr>
        <w:t>0.5</w:t>
      </w:r>
      <w:r>
        <w:t>kg计算，</w:t>
      </w:r>
      <w:r>
        <w:rPr>
          <w:rFonts w:hint="eastAsia"/>
        </w:rPr>
        <w:t>工程</w:t>
      </w:r>
      <w:r>
        <w:t>施工人数按</w:t>
      </w:r>
      <w:r>
        <w:rPr>
          <w:rFonts w:hint="eastAsia"/>
          <w:lang w:val="en-US" w:eastAsia="zh-CN"/>
        </w:rPr>
        <w:t>50</w:t>
      </w:r>
      <w:r>
        <w:t>人计，施工期以12个月计，则产生的生活垃圾约</w:t>
      </w:r>
      <w:r>
        <w:rPr>
          <w:rFonts w:hint="eastAsia"/>
          <w:lang w:val="en-US" w:eastAsia="zh-CN"/>
        </w:rPr>
        <w:t>7.5</w:t>
      </w:r>
      <w:r>
        <w:t>t。</w:t>
      </w:r>
    </w:p>
    <w:p>
      <w:r>
        <w:rPr>
          <w:rFonts w:hint="eastAsia"/>
        </w:rPr>
        <w:t>（五）生态影响源</w:t>
      </w:r>
    </w:p>
    <w:p>
      <w:r>
        <w:rPr>
          <w:rFonts w:hint="eastAsia"/>
        </w:rPr>
        <w:t>项目建设地原为山地，主要指被为茶树、樟树、杉树以及杂草等，</w:t>
      </w:r>
      <w:r>
        <w:t>无珍稀类、濒危</w:t>
      </w:r>
      <w:r>
        <w:rPr>
          <w:rFonts w:hint="eastAsia"/>
        </w:rPr>
        <w:t>野生</w:t>
      </w:r>
      <w:r>
        <w:t>动植物</w:t>
      </w:r>
      <w:r>
        <w:rPr>
          <w:rFonts w:hint="eastAsia"/>
        </w:rPr>
        <w:t>。在场地开挖及土地平整过程会破坏现有植被。</w:t>
      </w:r>
      <w:r>
        <w:t>土地平整、开挖土临时堆放以及开挖面土壤抗蚀能力降低，会产生水土流失，受暴雨冲击时会更严重。</w:t>
      </w:r>
    </w:p>
    <w:p>
      <w:pPr>
        <w:pStyle w:val="5"/>
        <w:bidi w:val="0"/>
      </w:pPr>
      <w:r>
        <w:t>营运期污染源分析</w:t>
      </w:r>
    </w:p>
    <w:p>
      <w:pPr>
        <w:pStyle w:val="6"/>
        <w:bidi w:val="0"/>
      </w:pPr>
      <w:r>
        <w:t>废水污染源</w:t>
      </w:r>
    </w:p>
    <w:p>
      <w:r>
        <w:rPr>
          <w:rFonts w:hint="eastAsia"/>
        </w:rPr>
        <w:t>项目营运期间用水主要为养殖用水、猪舍消毒用水、员工生活用水以及夏季水帘降温用水，其中水帘降温用水循环使用，只定期补充，不产生废水。猪只消毒采用喷雾形式，地面不形成径流，不产生废水。本项目废水主要为养殖废水、猪舍消毒冲洗废水、员工生活废水。由于各养殖场因生产方式和管理水平不同，用水量和废水排放量均存在较大差异。评价在走访踏勘、实地监测的基础上，查阅了大量文献资料来确定本项目的水污染源强。</w:t>
      </w:r>
    </w:p>
    <w:p>
      <w:r>
        <w:t>（1）养殖废水</w:t>
      </w:r>
    </w:p>
    <w:p>
      <w:r>
        <w:t>生猪养殖的</w:t>
      </w:r>
      <w:r>
        <w:rPr>
          <w:rFonts w:hint="eastAsia"/>
        </w:rPr>
        <w:t>废水</w:t>
      </w:r>
      <w:r>
        <w:t>主要污染来源于生猪产生的尿液。此部分废水有机物浓度高、悬浮物多、氨氮含量高、臭味大</w:t>
      </w:r>
      <w:r>
        <w:rPr>
          <w:rFonts w:hint="eastAsia"/>
        </w:rPr>
        <w:t>。本项目产生的猪粪尿从水泥漏缝直接落入猪舍下面的集污池，不采用水冲粪，项目属于干清粪情形，根据《第一次全国污染源普查畜禽养殖业产排污系数与排污系数手册》中南地区母猪、公猪尿的产生量系数取5.65L</w:t>
      </w:r>
      <w:r>
        <w:t>/头·d</w:t>
      </w:r>
      <w:r>
        <w:rPr>
          <w:rFonts w:hint="eastAsia"/>
        </w:rPr>
        <w:t>，仔猪猪尿的产生量系数取0.3 L</w:t>
      </w:r>
      <w:r>
        <w:t>/头·d</w:t>
      </w:r>
      <w:r>
        <w:rPr>
          <w:rFonts w:hint="eastAsia"/>
        </w:rPr>
        <w:t>。项目猪尿的产生情况见下表。</w:t>
      </w:r>
    </w:p>
    <w:p>
      <w:pPr>
        <w:pStyle w:val="11"/>
      </w:pPr>
    </w:p>
    <w:p>
      <w:pPr>
        <w:pStyle w:val="11"/>
      </w:pPr>
    </w:p>
    <w:p>
      <w:pPr>
        <w:pStyle w:val="11"/>
      </w:pPr>
    </w:p>
    <w:p>
      <w:pPr>
        <w:pStyle w:val="11"/>
      </w:pP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5</w:t>
      </w:r>
      <w:r>
        <w:fldChar w:fldCharType="end"/>
      </w:r>
      <w:r>
        <w:rPr>
          <w:rFonts w:hint="eastAsia"/>
          <w:lang w:val="en-US" w:eastAsia="zh-CN"/>
        </w:rPr>
        <w:t xml:space="preserve">  </w:t>
      </w:r>
      <w:r>
        <w:t>猪群</w:t>
      </w:r>
      <w:r>
        <w:rPr>
          <w:rFonts w:hint="eastAsia"/>
        </w:rPr>
        <w:t>猪尿</w:t>
      </w:r>
      <w:r>
        <w:t>的产生</w:t>
      </w:r>
      <w:r>
        <w:rPr>
          <w:rFonts w:hint="eastAsia"/>
        </w:rPr>
        <w:t>量</w:t>
      </w:r>
    </w:p>
    <w:tbl>
      <w:tblPr>
        <w:tblStyle w:val="17"/>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758"/>
        <w:gridCol w:w="1757"/>
        <w:gridCol w:w="1757"/>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28" w:type="dxa"/>
            <w:vAlign w:val="center"/>
          </w:tcPr>
          <w:p>
            <w:pPr>
              <w:pStyle w:val="8"/>
              <w:bidi w:val="0"/>
            </w:pPr>
            <w:r>
              <w:t>猪群结构</w:t>
            </w:r>
          </w:p>
        </w:tc>
        <w:tc>
          <w:tcPr>
            <w:tcW w:w="1758" w:type="dxa"/>
            <w:vAlign w:val="center"/>
          </w:tcPr>
          <w:p>
            <w:pPr>
              <w:pStyle w:val="8"/>
              <w:bidi w:val="0"/>
            </w:pPr>
            <w:r>
              <w:rPr>
                <w:rFonts w:hint="eastAsia"/>
              </w:rPr>
              <w:t>存栏</w:t>
            </w:r>
            <w:r>
              <w:t>数量</w:t>
            </w:r>
          </w:p>
          <w:p>
            <w:pPr>
              <w:pStyle w:val="8"/>
              <w:bidi w:val="0"/>
            </w:pPr>
            <w:r>
              <w:t>（头）</w:t>
            </w:r>
          </w:p>
        </w:tc>
        <w:tc>
          <w:tcPr>
            <w:tcW w:w="1757" w:type="dxa"/>
            <w:vAlign w:val="center"/>
          </w:tcPr>
          <w:p>
            <w:pPr>
              <w:pStyle w:val="8"/>
              <w:bidi w:val="0"/>
            </w:pPr>
            <w:r>
              <w:t>猪排</w:t>
            </w:r>
            <w:r>
              <w:rPr>
                <w:rFonts w:hint="eastAsia"/>
              </w:rPr>
              <w:t>尿系数</w:t>
            </w:r>
          </w:p>
          <w:p>
            <w:pPr>
              <w:pStyle w:val="8"/>
              <w:bidi w:val="0"/>
            </w:pPr>
            <w:r>
              <w:t>（</w:t>
            </w:r>
            <w:r>
              <w:rPr>
                <w:rFonts w:hint="eastAsia"/>
              </w:rPr>
              <w:t>L</w:t>
            </w:r>
            <w:r>
              <w:t>/头·d）</w:t>
            </w:r>
          </w:p>
        </w:tc>
        <w:tc>
          <w:tcPr>
            <w:tcW w:w="1757" w:type="dxa"/>
            <w:vAlign w:val="center"/>
          </w:tcPr>
          <w:p>
            <w:pPr>
              <w:pStyle w:val="8"/>
              <w:bidi w:val="0"/>
            </w:pPr>
            <w:r>
              <w:t>日排</w:t>
            </w:r>
            <w:r>
              <w:rPr>
                <w:rFonts w:hint="eastAsia"/>
              </w:rPr>
              <w:t>尿</w:t>
            </w:r>
            <w:r>
              <w:t>量</w:t>
            </w:r>
          </w:p>
          <w:p>
            <w:pPr>
              <w:pStyle w:val="8"/>
              <w:bidi w:val="0"/>
            </w:pPr>
            <w:r>
              <w:t>（m</w:t>
            </w:r>
            <w:r>
              <w:rPr>
                <w:vertAlign w:val="superscript"/>
              </w:rPr>
              <w:t>3</w:t>
            </w:r>
            <w:r>
              <w:t>/d）</w:t>
            </w:r>
          </w:p>
        </w:tc>
        <w:tc>
          <w:tcPr>
            <w:tcW w:w="1759" w:type="dxa"/>
            <w:vAlign w:val="center"/>
          </w:tcPr>
          <w:p>
            <w:pPr>
              <w:pStyle w:val="8"/>
              <w:bidi w:val="0"/>
            </w:pPr>
            <w:r>
              <w:t>年排</w:t>
            </w:r>
            <w:r>
              <w:rPr>
                <w:rFonts w:hint="eastAsia"/>
              </w:rPr>
              <w:t>尿</w:t>
            </w:r>
            <w:r>
              <w:t>量</w:t>
            </w:r>
          </w:p>
          <w:p>
            <w:pPr>
              <w:pStyle w:val="8"/>
              <w:bidi w:val="0"/>
            </w:pPr>
            <w:r>
              <w:t>（m</w:t>
            </w:r>
            <w:r>
              <w:rPr>
                <w:vertAlign w:val="superscript"/>
              </w:rPr>
              <w:t>3</w:t>
            </w: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28"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种母猪</w:t>
            </w:r>
          </w:p>
        </w:tc>
        <w:tc>
          <w:tcPr>
            <w:tcW w:w="1758"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4800</w:t>
            </w:r>
          </w:p>
        </w:tc>
        <w:tc>
          <w:tcPr>
            <w:tcW w:w="1757" w:type="dxa"/>
            <w:vAlign w:val="center"/>
          </w:tcPr>
          <w:p>
            <w:pPr>
              <w:pStyle w:val="8"/>
              <w:bidi w:val="0"/>
            </w:pPr>
            <w:r>
              <w:rPr>
                <w:rFonts w:hint="eastAsia"/>
              </w:rPr>
              <w:t>5.65</w:t>
            </w:r>
          </w:p>
        </w:tc>
        <w:tc>
          <w:tcPr>
            <w:tcW w:w="1757" w:type="dxa"/>
            <w:vAlign w:val="center"/>
          </w:tcPr>
          <w:p>
            <w:pPr>
              <w:pStyle w:val="8"/>
              <w:bidi w:val="0"/>
              <w:rPr>
                <w:rFonts w:hint="eastAsia"/>
                <w:lang w:val="en-US" w:eastAsia="zh-CN"/>
              </w:rPr>
            </w:pPr>
            <w:r>
              <w:rPr>
                <w:rFonts w:hint="eastAsia"/>
                <w:lang w:val="en-US" w:eastAsia="zh-CN"/>
              </w:rPr>
              <w:t>27.12</w:t>
            </w:r>
          </w:p>
        </w:tc>
        <w:tc>
          <w:tcPr>
            <w:tcW w:w="1759" w:type="dxa"/>
            <w:vAlign w:val="center"/>
          </w:tcPr>
          <w:p>
            <w:pPr>
              <w:pStyle w:val="8"/>
              <w:bidi w:val="0"/>
              <w:rPr>
                <w:rFonts w:hint="eastAsia"/>
                <w:lang w:val="en-US" w:eastAsia="zh-CN"/>
              </w:rPr>
            </w:pPr>
            <w:r>
              <w:rPr>
                <w:rFonts w:hint="eastAsia"/>
                <w:lang w:val="en-US" w:eastAsia="zh-CN"/>
              </w:rPr>
              <w:t>9898.8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28"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种公猪</w:t>
            </w:r>
          </w:p>
        </w:tc>
        <w:tc>
          <w:tcPr>
            <w:tcW w:w="1758"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158</w:t>
            </w:r>
          </w:p>
        </w:tc>
        <w:tc>
          <w:tcPr>
            <w:tcW w:w="1757" w:type="dxa"/>
            <w:vAlign w:val="center"/>
          </w:tcPr>
          <w:p>
            <w:pPr>
              <w:pStyle w:val="8"/>
              <w:bidi w:val="0"/>
            </w:pPr>
            <w:r>
              <w:rPr>
                <w:rFonts w:hint="eastAsia"/>
              </w:rPr>
              <w:t>5.65</w:t>
            </w:r>
          </w:p>
        </w:tc>
        <w:tc>
          <w:tcPr>
            <w:tcW w:w="1757" w:type="dxa"/>
            <w:vAlign w:val="center"/>
          </w:tcPr>
          <w:p>
            <w:pPr>
              <w:pStyle w:val="8"/>
              <w:bidi w:val="0"/>
              <w:rPr>
                <w:rFonts w:hint="eastAsia"/>
                <w:lang w:val="en-US" w:eastAsia="zh-CN"/>
              </w:rPr>
            </w:pPr>
            <w:r>
              <w:rPr>
                <w:rFonts w:hint="eastAsia"/>
                <w:lang w:val="en-US" w:eastAsia="zh-CN"/>
              </w:rPr>
              <w:t>0.89</w:t>
            </w:r>
          </w:p>
        </w:tc>
        <w:tc>
          <w:tcPr>
            <w:tcW w:w="1759" w:type="dxa"/>
            <w:vAlign w:val="center"/>
          </w:tcPr>
          <w:p>
            <w:pPr>
              <w:pStyle w:val="8"/>
              <w:bidi w:val="0"/>
              <w:rPr>
                <w:rFonts w:hint="eastAsia"/>
                <w:lang w:val="en-US" w:eastAsia="zh-CN"/>
              </w:rPr>
            </w:pPr>
            <w:r>
              <w:rPr>
                <w:rFonts w:hint="eastAsia"/>
                <w:lang w:val="en-US" w:eastAsia="zh-CN"/>
              </w:rPr>
              <w:t>325.84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28"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哺</w:t>
            </w:r>
            <w:r>
              <w:rPr>
                <w:rFonts w:hint="eastAsia"/>
                <w:lang w:eastAsia="zh-CN"/>
              </w:rPr>
              <w:t>乳</w:t>
            </w:r>
            <w:r>
              <w:rPr>
                <w:rFonts w:hint="eastAsia"/>
              </w:rPr>
              <w:t>仔猪</w:t>
            </w:r>
          </w:p>
        </w:tc>
        <w:tc>
          <w:tcPr>
            <w:tcW w:w="1758"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9853</w:t>
            </w:r>
          </w:p>
        </w:tc>
        <w:tc>
          <w:tcPr>
            <w:tcW w:w="1757" w:type="dxa"/>
            <w:vAlign w:val="center"/>
          </w:tcPr>
          <w:p>
            <w:pPr>
              <w:pStyle w:val="8"/>
              <w:bidi w:val="0"/>
            </w:pPr>
            <w:r>
              <w:rPr>
                <w:rFonts w:hint="eastAsia"/>
              </w:rPr>
              <w:t>0.3</w:t>
            </w:r>
          </w:p>
        </w:tc>
        <w:tc>
          <w:tcPr>
            <w:tcW w:w="1757" w:type="dxa"/>
            <w:vAlign w:val="center"/>
          </w:tcPr>
          <w:p>
            <w:pPr>
              <w:pStyle w:val="8"/>
              <w:bidi w:val="0"/>
              <w:rPr>
                <w:rFonts w:hint="eastAsia"/>
                <w:lang w:val="en-US" w:eastAsia="zh-CN"/>
              </w:rPr>
            </w:pPr>
            <w:r>
              <w:rPr>
                <w:rFonts w:hint="eastAsia"/>
                <w:lang w:val="en-US" w:eastAsia="zh-CN"/>
              </w:rPr>
              <w:t>2.96</w:t>
            </w:r>
          </w:p>
        </w:tc>
        <w:tc>
          <w:tcPr>
            <w:tcW w:w="1759" w:type="dxa"/>
            <w:vAlign w:val="center"/>
          </w:tcPr>
          <w:p>
            <w:pPr>
              <w:pStyle w:val="8"/>
              <w:bidi w:val="0"/>
              <w:rPr>
                <w:rFonts w:hint="eastAsia"/>
                <w:lang w:val="en-US" w:eastAsia="zh-CN"/>
              </w:rPr>
            </w:pPr>
            <w:r>
              <w:rPr>
                <w:rFonts w:hint="eastAsia"/>
                <w:lang w:val="en-US" w:eastAsia="zh-CN"/>
              </w:rPr>
              <w:t>1078.9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328" w:type="dxa"/>
            <w:vAlign w:val="center"/>
          </w:tcPr>
          <w:p>
            <w:pPr>
              <w:pStyle w:val="8"/>
              <w:bidi w:val="0"/>
            </w:pPr>
            <w:r>
              <w:rPr>
                <w:rFonts w:hint="eastAsia"/>
              </w:rPr>
              <w:t>合计</w:t>
            </w:r>
          </w:p>
        </w:tc>
        <w:tc>
          <w:tcPr>
            <w:tcW w:w="1758" w:type="dxa"/>
            <w:vAlign w:val="center"/>
          </w:tcPr>
          <w:p>
            <w:pPr>
              <w:pStyle w:val="8"/>
              <w:bidi w:val="0"/>
            </w:pPr>
          </w:p>
        </w:tc>
        <w:tc>
          <w:tcPr>
            <w:tcW w:w="1757" w:type="dxa"/>
            <w:vAlign w:val="center"/>
          </w:tcPr>
          <w:p>
            <w:pPr>
              <w:pStyle w:val="8"/>
              <w:bidi w:val="0"/>
            </w:pPr>
          </w:p>
        </w:tc>
        <w:tc>
          <w:tcPr>
            <w:tcW w:w="1757" w:type="dxa"/>
            <w:vAlign w:val="center"/>
          </w:tcPr>
          <w:p>
            <w:pPr>
              <w:pStyle w:val="8"/>
              <w:bidi w:val="0"/>
              <w:rPr>
                <w:rFonts w:hint="default"/>
                <w:lang w:val="en-US" w:eastAsia="zh-CN"/>
              </w:rPr>
            </w:pPr>
            <w:r>
              <w:rPr>
                <w:rFonts w:hint="eastAsia"/>
                <w:lang w:val="en-US" w:eastAsia="zh-CN"/>
              </w:rPr>
              <w:t>30.97</w:t>
            </w:r>
          </w:p>
        </w:tc>
        <w:tc>
          <w:tcPr>
            <w:tcW w:w="1759" w:type="dxa"/>
            <w:vAlign w:val="center"/>
          </w:tcPr>
          <w:p>
            <w:pPr>
              <w:pStyle w:val="8"/>
              <w:bidi w:val="0"/>
              <w:rPr>
                <w:rFonts w:hint="default"/>
                <w:lang w:val="en-US" w:eastAsia="zh-CN"/>
              </w:rPr>
            </w:pPr>
            <w:r>
              <w:rPr>
                <w:rFonts w:hint="eastAsia"/>
                <w:lang w:val="en-US" w:eastAsia="zh-CN"/>
              </w:rPr>
              <w:t>11303.5</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t>根据</w:t>
      </w:r>
      <w:r>
        <w:rPr>
          <w:rFonts w:hint="eastAsia"/>
        </w:rPr>
        <w:t>上表计算结果可知：</w:t>
      </w:r>
      <w:r>
        <w:rPr>
          <w:rFonts w:hint="eastAsia"/>
          <w:lang w:eastAsia="zh-CN"/>
        </w:rPr>
        <w:t>项目</w:t>
      </w:r>
      <w:r>
        <w:rPr>
          <w:rFonts w:hint="eastAsia"/>
        </w:rPr>
        <w:t>猪尿产生量</w:t>
      </w:r>
      <w:r>
        <w:rPr>
          <w:rFonts w:hint="eastAsia"/>
          <w:lang w:val="en-US" w:eastAsia="zh-CN"/>
        </w:rPr>
        <w:t>11303.5</w:t>
      </w:r>
      <w:r>
        <w:t>m</w:t>
      </w:r>
      <w:r>
        <w:rPr>
          <w:vertAlign w:val="superscript"/>
        </w:rPr>
        <w:t>3</w:t>
      </w:r>
      <w:r>
        <w:t>/a；参照《畜禽养殖业污染治理工程技术导则》（HJ497-2009）中附录A，</w:t>
      </w:r>
      <w:r>
        <w:rPr>
          <w:rFonts w:hint="eastAsia"/>
        </w:rPr>
        <w:t>以及</w:t>
      </w:r>
      <w:r>
        <w:t>参照</w:t>
      </w:r>
      <w:r>
        <w:rPr>
          <w:rFonts w:hint="eastAsia"/>
        </w:rPr>
        <w:t>《规模畜禽养殖场污染防治最佳可行性技术指南（试行）》</w:t>
      </w:r>
      <w:r>
        <w:t>（HJ-BAT-10）</w:t>
      </w:r>
      <w:r>
        <w:rPr>
          <w:rFonts w:hint="eastAsia"/>
        </w:rPr>
        <w:t>表2和类比同类工程，本项目</w:t>
      </w:r>
      <w:r>
        <w:t>猪尿</w:t>
      </w:r>
      <w:r>
        <w:rPr>
          <w:rFonts w:hint="eastAsia"/>
        </w:rPr>
        <w:t>废水中主要污染物为</w:t>
      </w:r>
      <w:r>
        <w:t>CODcr、氨氮、TN、TP，产生浓度分别取为：</w:t>
      </w:r>
      <w:r>
        <w:rPr>
          <w:rFonts w:hint="eastAsia"/>
        </w:rPr>
        <w:t>2640</w:t>
      </w:r>
      <w:r>
        <w:t>mg/L、</w:t>
      </w:r>
      <w:r>
        <w:rPr>
          <w:rFonts w:hint="eastAsia"/>
        </w:rPr>
        <w:t>590</w:t>
      </w:r>
      <w:r>
        <w:t xml:space="preserve"> mg/L、</w:t>
      </w:r>
      <w:r>
        <w:rPr>
          <w:rFonts w:hint="eastAsia"/>
        </w:rPr>
        <w:t>8</w:t>
      </w:r>
      <w:r>
        <w:t>70 mg/L、</w:t>
      </w:r>
      <w:r>
        <w:rPr>
          <w:rFonts w:hint="eastAsia"/>
        </w:rPr>
        <w:t>127</w:t>
      </w:r>
      <w:r>
        <w:t xml:space="preserve"> mg/L，</w:t>
      </w:r>
      <w:r>
        <w:rPr>
          <w:rFonts w:hint="eastAsia"/>
        </w:rPr>
        <w:t>则项目</w:t>
      </w:r>
      <w:r>
        <w:t>CODcr、氨氮、TN、TP</w:t>
      </w:r>
      <w:r>
        <w:rPr>
          <w:rFonts w:hint="eastAsia"/>
        </w:rPr>
        <w:t>产生量分别为：</w:t>
      </w:r>
      <w:r>
        <w:rPr>
          <w:rFonts w:hint="eastAsia"/>
          <w:lang w:val="en-US" w:eastAsia="zh-CN"/>
        </w:rPr>
        <w:t>29.84</w:t>
      </w:r>
      <w:r>
        <w:rPr>
          <w:rFonts w:hint="eastAsia"/>
        </w:rPr>
        <w:t>t/a、</w:t>
      </w:r>
      <w:r>
        <w:rPr>
          <w:rFonts w:hint="eastAsia"/>
          <w:lang w:val="en-US" w:eastAsia="zh-CN"/>
        </w:rPr>
        <w:t>6.67</w:t>
      </w:r>
      <w:r>
        <w:rPr>
          <w:rFonts w:hint="eastAsia"/>
        </w:rPr>
        <w:t>t/a、</w:t>
      </w:r>
      <w:r>
        <w:rPr>
          <w:rFonts w:hint="eastAsia"/>
          <w:lang w:val="en-US" w:eastAsia="zh-CN"/>
        </w:rPr>
        <w:t>9.83</w:t>
      </w:r>
      <w:r>
        <w:rPr>
          <w:rFonts w:hint="eastAsia"/>
        </w:rPr>
        <w:t>t/a、</w:t>
      </w:r>
      <w:r>
        <w:rPr>
          <w:rFonts w:hint="eastAsia"/>
          <w:lang w:val="en-US" w:eastAsia="zh-CN"/>
        </w:rPr>
        <w:t>1.44</w:t>
      </w:r>
      <w:r>
        <w:rPr>
          <w:rFonts w:hint="eastAsia"/>
        </w:rPr>
        <w:t>t/a。</w:t>
      </w:r>
    </w:p>
    <w:p>
      <w:pPr>
        <w:rPr>
          <w:rFonts w:hint="eastAsia" w:eastAsiaTheme="minorEastAsia"/>
          <w:lang w:eastAsia="zh-CN"/>
        </w:rPr>
      </w:pPr>
      <w:r>
        <w:rPr>
          <w:rFonts w:hint="eastAsia"/>
        </w:rPr>
        <w:t>猪尿通过水泥漏缝直接落入猪舍下面的</w:t>
      </w:r>
      <w:r>
        <w:rPr>
          <w:rFonts w:hint="eastAsia"/>
          <w:lang w:eastAsia="zh-CN"/>
        </w:rPr>
        <w:t>刮粪</w:t>
      </w:r>
      <w:r>
        <w:rPr>
          <w:rFonts w:hint="eastAsia"/>
        </w:rPr>
        <w:t>池中，</w:t>
      </w:r>
      <w:r>
        <w:rPr>
          <w:rFonts w:hint="eastAsia"/>
          <w:lang w:eastAsia="zh-CN"/>
        </w:rPr>
        <w:t>自流进入</w:t>
      </w:r>
      <w:r>
        <w:rPr>
          <w:rFonts w:hint="eastAsia"/>
          <w:lang w:val="en-US" w:eastAsia="zh-CN"/>
        </w:rPr>
        <w:t>西</w:t>
      </w:r>
      <w:r>
        <w:rPr>
          <w:rFonts w:hint="eastAsia"/>
          <w:lang w:eastAsia="zh-CN"/>
        </w:rPr>
        <w:t>南</w:t>
      </w:r>
      <w:r>
        <w:rPr>
          <w:rFonts w:hint="eastAsia"/>
          <w:lang w:val="en-US" w:eastAsia="zh-CN"/>
        </w:rPr>
        <w:t>区环保区</w:t>
      </w:r>
      <w:r>
        <w:rPr>
          <w:rFonts w:hint="eastAsia"/>
          <w:lang w:eastAsia="zh-CN"/>
        </w:rPr>
        <w:t>的</w:t>
      </w:r>
      <w:r>
        <w:rPr>
          <w:rFonts w:hint="eastAsia"/>
          <w:lang w:val="en-US" w:eastAsia="zh-CN"/>
        </w:rPr>
        <w:t>格栅</w:t>
      </w:r>
      <w:r>
        <w:rPr>
          <w:rFonts w:hint="eastAsia"/>
        </w:rPr>
        <w:t>集污池中，</w:t>
      </w:r>
      <w:r>
        <w:rPr>
          <w:rFonts w:hint="eastAsia"/>
          <w:lang w:val="en-US" w:eastAsia="zh-CN"/>
        </w:rPr>
        <w:t>固液分离后经</w:t>
      </w:r>
      <w:r>
        <w:rPr>
          <w:rFonts w:hint="eastAsia"/>
          <w:lang w:eastAsia="zh-CN"/>
        </w:rPr>
        <w:t>厌氧</w:t>
      </w:r>
      <w:r>
        <w:rPr>
          <w:rFonts w:hint="eastAsia"/>
          <w:lang w:val="en-US" w:eastAsia="zh-CN"/>
        </w:rPr>
        <w:t>发酵+AO池处理</w:t>
      </w:r>
      <w:r>
        <w:rPr>
          <w:rFonts w:hint="eastAsia"/>
          <w:lang w:eastAsia="zh-CN"/>
        </w:rPr>
        <w:t>后暂存沼液池，最后用于常德华诚现代农业开发有限公司</w:t>
      </w:r>
      <w:r>
        <w:rPr>
          <w:rFonts w:hint="eastAsia"/>
          <w:lang w:val="en-US" w:eastAsia="zh-CN"/>
        </w:rPr>
        <w:t>的农业生产施肥</w:t>
      </w:r>
      <w:r>
        <w:rPr>
          <w:rFonts w:hint="eastAsia"/>
          <w:lang w:eastAsia="zh-CN"/>
        </w:rPr>
        <w:t>。</w:t>
      </w:r>
    </w:p>
    <w:p>
      <w:r>
        <w:t>（2）</w:t>
      </w:r>
      <w:r>
        <w:rPr>
          <w:rFonts w:hint="eastAsia"/>
        </w:rPr>
        <w:t>猪舍消毒废水</w:t>
      </w:r>
    </w:p>
    <w:p>
      <w:r>
        <w:t>建设单位定期对猪舍进行消毒以防止病变，</w:t>
      </w:r>
      <w:r>
        <w:rPr>
          <w:rFonts w:hint="eastAsia"/>
        </w:rPr>
        <w:t>带猪消毒一般采用喷嘴向猪舍喷雾，单次喷雾消毒的用水量较少，在消毒过程中水份直接挥发，在地面不会形成径流，基本上没有废水产生。</w:t>
      </w:r>
    </w:p>
    <w:p>
      <w:pPr>
        <w:rPr>
          <w:rFonts w:hint="eastAsia" w:eastAsiaTheme="minorEastAsia"/>
          <w:lang w:eastAsia="zh-CN"/>
        </w:rPr>
      </w:pPr>
      <w:r>
        <w:t>空舍消毒是指整栋猪舍的猪全部出栏后，采用消毒液对整栋猪舍进行冲洗。本环评按每栋猪舍一年平均空舍消毒</w:t>
      </w:r>
      <w:r>
        <w:rPr>
          <w:rFonts w:hint="eastAsia"/>
          <w:lang w:val="en-US" w:eastAsia="zh-CN"/>
        </w:rPr>
        <w:t>5</w:t>
      </w:r>
      <w:r>
        <w:t>次计，类比同类项目，冲洗用水量按2m</w:t>
      </w:r>
      <w:r>
        <w:rPr>
          <w:vertAlign w:val="superscript"/>
        </w:rPr>
        <w:t>3</w:t>
      </w:r>
      <w:r>
        <w:t>/100m</w:t>
      </w:r>
      <w:r>
        <w:rPr>
          <w:vertAlign w:val="superscript"/>
        </w:rPr>
        <w:t>2</w:t>
      </w:r>
      <w:r>
        <w:t>·次计，项目</w:t>
      </w:r>
      <w:r>
        <w:rPr>
          <w:rFonts w:hint="eastAsia"/>
          <w:lang w:eastAsia="zh-CN"/>
        </w:rPr>
        <w:t>猪舍</w:t>
      </w:r>
      <w:r>
        <w:t>面积为</w:t>
      </w:r>
      <w:r>
        <w:rPr>
          <w:rFonts w:hint="eastAsia"/>
          <w:lang w:val="en-US" w:eastAsia="zh-CN"/>
        </w:rPr>
        <w:t>21614</w:t>
      </w:r>
      <w:r>
        <w:t>m</w:t>
      </w:r>
      <w:r>
        <w:rPr>
          <w:vertAlign w:val="superscript"/>
        </w:rPr>
        <w:t>2</w:t>
      </w:r>
      <w:r>
        <w:t>，猪舍出栏全部冲洗一次用水量为</w:t>
      </w:r>
      <w:r>
        <w:rPr>
          <w:rFonts w:hint="eastAsia"/>
          <w:lang w:val="en-US" w:eastAsia="zh-CN"/>
        </w:rPr>
        <w:t>432.3</w:t>
      </w:r>
      <w:r>
        <w:t>m</w:t>
      </w:r>
      <w:r>
        <w:rPr>
          <w:vertAlign w:val="superscript"/>
        </w:rPr>
        <w:t>3</w:t>
      </w:r>
      <w:r>
        <w:t>/次，年用水量为</w:t>
      </w:r>
      <w:r>
        <w:rPr>
          <w:rFonts w:hint="eastAsia"/>
          <w:lang w:val="en-US" w:eastAsia="zh-CN"/>
        </w:rPr>
        <w:t>2161.5</w:t>
      </w:r>
      <w:r>
        <w:t>m</w:t>
      </w:r>
      <w:r>
        <w:rPr>
          <w:vertAlign w:val="superscript"/>
        </w:rPr>
        <w:t>3</w:t>
      </w:r>
      <w:r>
        <w:t>/a，废水产生系数取0.</w:t>
      </w:r>
      <w:r>
        <w:rPr>
          <w:rFonts w:hint="eastAsia"/>
        </w:rPr>
        <w:t>9</w:t>
      </w:r>
      <w:r>
        <w:t>，则项目冲洗废水产生量为</w:t>
      </w:r>
      <w:r>
        <w:rPr>
          <w:rFonts w:hint="eastAsia"/>
          <w:lang w:val="en-US" w:eastAsia="zh-CN"/>
        </w:rPr>
        <w:t>1945.4</w:t>
      </w:r>
      <w:r>
        <w:rPr>
          <w:rFonts w:hint="eastAsia"/>
        </w:rPr>
        <w:t>m</w:t>
      </w:r>
      <w:r>
        <w:rPr>
          <w:vertAlign w:val="superscript"/>
        </w:rPr>
        <w:t>3</w:t>
      </w:r>
      <w:r>
        <w:t>/a</w:t>
      </w:r>
      <w:r>
        <w:rPr>
          <w:rFonts w:hint="eastAsia"/>
          <w:lang w:eastAsia="zh-CN"/>
        </w:rPr>
        <w:t>。</w:t>
      </w:r>
    </w:p>
    <w:p>
      <w:r>
        <w:t>参照《畜禽养殖业污染治理工程技术导则》（HJ497-2009）附录A</w:t>
      </w:r>
      <w:r>
        <w:rPr>
          <w:rFonts w:hint="eastAsia"/>
        </w:rPr>
        <w:t>中干清粪工艺</w:t>
      </w:r>
      <w:r>
        <w:t>，猪舍消毒冲洗废水主要污染物为CODcr、氨氮、TN、TP，产生浓度分别为：2640mg/L、261 mg/L、370 mg/L、43.5 mg/L，则</w:t>
      </w:r>
      <w:r>
        <w:rPr>
          <w:rFonts w:hint="eastAsia"/>
        </w:rPr>
        <w:t>项目</w:t>
      </w:r>
      <w:r>
        <w:rPr>
          <w:rFonts w:hint="eastAsia"/>
          <w:lang w:eastAsia="zh-CN"/>
        </w:rPr>
        <w:t>消毒废水</w:t>
      </w:r>
      <w:r>
        <w:t>CODcr、氨氮、TN、TP</w:t>
      </w:r>
      <w:r>
        <w:rPr>
          <w:rFonts w:hint="eastAsia"/>
        </w:rPr>
        <w:t>产生量分别为：</w:t>
      </w:r>
      <w:r>
        <w:rPr>
          <w:rFonts w:hint="eastAsia"/>
          <w:lang w:val="en-US" w:eastAsia="zh-CN"/>
        </w:rPr>
        <w:t>5.14</w:t>
      </w:r>
      <w:r>
        <w:t>t/a</w:t>
      </w:r>
      <w:r>
        <w:rPr>
          <w:rFonts w:hint="eastAsia"/>
        </w:rPr>
        <w:t>、</w:t>
      </w:r>
      <w:r>
        <w:rPr>
          <w:rFonts w:hint="eastAsia"/>
          <w:lang w:val="en-US" w:eastAsia="zh-CN"/>
        </w:rPr>
        <w:t>0.51</w:t>
      </w:r>
      <w:r>
        <w:t>t/a</w:t>
      </w:r>
      <w:r>
        <w:rPr>
          <w:rFonts w:hint="eastAsia"/>
        </w:rPr>
        <w:t>、</w:t>
      </w:r>
      <w:r>
        <w:rPr>
          <w:rFonts w:hint="eastAsia"/>
          <w:lang w:val="en-US" w:eastAsia="zh-CN"/>
        </w:rPr>
        <w:t>0.72</w:t>
      </w:r>
      <w:r>
        <w:t>t/a</w:t>
      </w:r>
      <w:r>
        <w:rPr>
          <w:rFonts w:hint="eastAsia"/>
        </w:rPr>
        <w:t>、0.0</w:t>
      </w:r>
      <w:r>
        <w:rPr>
          <w:rFonts w:hint="eastAsia"/>
          <w:lang w:val="en-US" w:eastAsia="zh-CN"/>
        </w:rPr>
        <w:t>8</w:t>
      </w:r>
      <w:r>
        <w:t>t/a</w:t>
      </w:r>
      <w:r>
        <w:rPr>
          <w:rFonts w:hint="eastAsia"/>
        </w:rPr>
        <w:t>。</w:t>
      </w:r>
    </w:p>
    <w:p>
      <w:r>
        <w:rPr>
          <w:rFonts w:hint="eastAsia"/>
        </w:rPr>
        <w:t>猪舍空栏冲洗水直接进入</w:t>
      </w:r>
      <w:r>
        <w:rPr>
          <w:rFonts w:hint="eastAsia"/>
          <w:lang w:eastAsia="zh-CN"/>
        </w:rPr>
        <w:t>集污池</w:t>
      </w:r>
      <w:r>
        <w:rPr>
          <w:rFonts w:hint="eastAsia"/>
        </w:rPr>
        <w:t>中，</w:t>
      </w:r>
      <w:r>
        <w:rPr>
          <w:rFonts w:hint="eastAsia"/>
          <w:lang w:eastAsia="zh-CN"/>
        </w:rPr>
        <w:t>通过活塞控制进入</w:t>
      </w:r>
      <w:r>
        <w:rPr>
          <w:rFonts w:hint="eastAsia"/>
          <w:lang w:val="en-US" w:eastAsia="zh-CN"/>
        </w:rPr>
        <w:t>废水处理系统</w:t>
      </w:r>
      <w:r>
        <w:rPr>
          <w:rFonts w:hint="eastAsia"/>
          <w:lang w:eastAsia="zh-CN"/>
        </w:rPr>
        <w:t>。</w:t>
      </w:r>
    </w:p>
    <w:p>
      <w:r>
        <w:t>（3）生活废水</w:t>
      </w:r>
    </w:p>
    <w:p>
      <w:r>
        <w:t>项目建成后劳动定员</w:t>
      </w:r>
      <w:r>
        <w:rPr>
          <w:rFonts w:hint="eastAsia"/>
        </w:rPr>
        <w:t>为</w:t>
      </w:r>
      <w:r>
        <w:rPr>
          <w:rFonts w:hint="eastAsia"/>
          <w:lang w:val="en-US" w:eastAsia="zh-CN"/>
        </w:rPr>
        <w:t>49</w:t>
      </w:r>
      <w:r>
        <w:rPr>
          <w:rFonts w:hint="eastAsia"/>
        </w:rPr>
        <w:t>人</w:t>
      </w:r>
      <w:r>
        <w:t>，均在场内食宿，用水量按每人每天100L计算，员工生活用水量为</w:t>
      </w:r>
      <w:r>
        <w:rPr>
          <w:rFonts w:hint="eastAsia"/>
          <w:lang w:val="en-US" w:eastAsia="zh-CN"/>
        </w:rPr>
        <w:t>1788.5</w:t>
      </w:r>
      <w:r>
        <w:t>m</w:t>
      </w:r>
      <w:r>
        <w:rPr>
          <w:vertAlign w:val="superscript"/>
        </w:rPr>
        <w:t>3</w:t>
      </w:r>
      <w:r>
        <w:t>/</w:t>
      </w:r>
      <w:r>
        <w:rPr>
          <w:rFonts w:hint="eastAsia"/>
        </w:rPr>
        <w:t>a（</w:t>
      </w:r>
      <w:r>
        <w:rPr>
          <w:rFonts w:hint="eastAsia"/>
          <w:lang w:val="en-US" w:eastAsia="zh-CN"/>
        </w:rPr>
        <w:t>4.9</w:t>
      </w:r>
      <w:r>
        <w:t>m</w:t>
      </w:r>
      <w:r>
        <w:rPr>
          <w:vertAlign w:val="superscript"/>
        </w:rPr>
        <w:t>3</w:t>
      </w:r>
      <w:r>
        <w:t>/</w:t>
      </w:r>
      <w:r>
        <w:rPr>
          <w:rFonts w:hint="eastAsia"/>
        </w:rPr>
        <w:t>d）</w:t>
      </w:r>
      <w:r>
        <w:t>，废水排放系数取0.8，废水排放量为</w:t>
      </w:r>
      <w:r>
        <w:rPr>
          <w:rFonts w:hint="eastAsia"/>
          <w:lang w:val="en-US" w:eastAsia="zh-CN"/>
        </w:rPr>
        <w:t>1430.8</w:t>
      </w:r>
      <w:r>
        <w:t>m</w:t>
      </w:r>
      <w:r>
        <w:rPr>
          <w:vertAlign w:val="superscript"/>
        </w:rPr>
        <w:t>3</w:t>
      </w:r>
      <w:r>
        <w:t>/d。</w:t>
      </w:r>
    </w:p>
    <w:p>
      <w:r>
        <w:t>生活废水中主要污染物为CODCr、氨氮</w:t>
      </w:r>
      <w:r>
        <w:rPr>
          <w:rFonts w:hint="eastAsia"/>
        </w:rPr>
        <w:t>、总氮、总磷</w:t>
      </w:r>
      <w:r>
        <w:t>等，类比同类生活污水水质，CODCr、氨氮</w:t>
      </w:r>
      <w:r>
        <w:rPr>
          <w:rFonts w:hint="eastAsia"/>
        </w:rPr>
        <w:t>、总氮、总磷</w:t>
      </w:r>
      <w:r>
        <w:t>初始浓度分别为</w:t>
      </w:r>
      <w:r>
        <w:rPr>
          <w:rFonts w:hint="eastAsia"/>
          <w:lang w:val="en-US" w:eastAsia="zh-CN"/>
        </w:rPr>
        <w:t>30</w:t>
      </w:r>
      <w:r>
        <w:t>0mg/L、</w:t>
      </w:r>
      <w:r>
        <w:rPr>
          <w:rFonts w:hint="eastAsia"/>
        </w:rPr>
        <w:t>3</w:t>
      </w:r>
      <w:r>
        <w:t>0mg/L、</w:t>
      </w:r>
      <w:r>
        <w:rPr>
          <w:rFonts w:hint="eastAsia"/>
        </w:rPr>
        <w:t>5</w:t>
      </w:r>
      <w:r>
        <w:t>0mg/L、</w:t>
      </w:r>
      <w:r>
        <w:rPr>
          <w:rFonts w:hint="eastAsia"/>
        </w:rPr>
        <w:t>5</w:t>
      </w:r>
      <w:r>
        <w:t>mg/L，废水中CODCr、氨氮</w:t>
      </w:r>
      <w:r>
        <w:rPr>
          <w:rFonts w:hint="eastAsia"/>
        </w:rPr>
        <w:t>、总氮、总磷</w:t>
      </w:r>
      <w:r>
        <w:t>产生量为</w:t>
      </w:r>
      <w:r>
        <w:rPr>
          <w:rFonts w:hint="eastAsia"/>
        </w:rPr>
        <w:t>分别为：0.</w:t>
      </w:r>
      <w:r>
        <w:rPr>
          <w:rFonts w:hint="eastAsia"/>
          <w:lang w:val="en-US" w:eastAsia="zh-CN"/>
        </w:rPr>
        <w:t>429</w:t>
      </w:r>
      <w:r>
        <w:t xml:space="preserve"> t/a</w:t>
      </w:r>
      <w:r>
        <w:rPr>
          <w:rFonts w:hint="eastAsia"/>
        </w:rPr>
        <w:t>、0.0</w:t>
      </w:r>
      <w:r>
        <w:rPr>
          <w:rFonts w:hint="eastAsia"/>
          <w:lang w:val="en-US" w:eastAsia="zh-CN"/>
        </w:rPr>
        <w:t>43</w:t>
      </w:r>
      <w:r>
        <w:t xml:space="preserve"> t/a</w:t>
      </w:r>
      <w:r>
        <w:rPr>
          <w:rFonts w:hint="eastAsia"/>
        </w:rPr>
        <w:t>、0.0</w:t>
      </w:r>
      <w:r>
        <w:rPr>
          <w:rFonts w:hint="eastAsia"/>
          <w:lang w:val="en-US" w:eastAsia="zh-CN"/>
        </w:rPr>
        <w:t>72</w:t>
      </w:r>
      <w:r>
        <w:t xml:space="preserve"> t/a</w:t>
      </w:r>
      <w:r>
        <w:rPr>
          <w:rFonts w:hint="eastAsia"/>
        </w:rPr>
        <w:t>、0.00</w:t>
      </w:r>
      <w:r>
        <w:rPr>
          <w:rFonts w:hint="eastAsia"/>
          <w:lang w:val="en-US" w:eastAsia="zh-CN"/>
        </w:rPr>
        <w:t>7</w:t>
      </w:r>
      <w:r>
        <w:t xml:space="preserve"> t/a</w:t>
      </w:r>
      <w:r>
        <w:rPr>
          <w:rFonts w:hint="eastAsia"/>
        </w:rPr>
        <w:t>。</w:t>
      </w:r>
    </w:p>
    <w:p>
      <w:r>
        <w:rPr>
          <w:rFonts w:hint="eastAsia"/>
        </w:rPr>
        <w:t>生活废水经生活楼的化粪池后，</w:t>
      </w:r>
      <w:r>
        <w:rPr>
          <w:rFonts w:hint="eastAsia"/>
          <w:lang w:eastAsia="zh-CN"/>
        </w:rPr>
        <w:t>进入</w:t>
      </w:r>
      <w:r>
        <w:rPr>
          <w:rFonts w:hint="eastAsia"/>
          <w:lang w:val="en-US" w:eastAsia="zh-CN"/>
        </w:rPr>
        <w:t>废水处理系统</w:t>
      </w:r>
      <w:r>
        <w:rPr>
          <w:rFonts w:hint="eastAsia"/>
        </w:rPr>
        <w:t>。</w:t>
      </w:r>
    </w:p>
    <w:p>
      <w:r>
        <w:rPr>
          <w:rFonts w:hint="eastAsia"/>
        </w:rPr>
        <w:t>综上所述，项目废水产生量</w:t>
      </w:r>
      <w:r>
        <w:t>为</w:t>
      </w:r>
      <w:r>
        <w:rPr>
          <w:rFonts w:hint="eastAsia"/>
          <w:lang w:val="en-US" w:eastAsia="zh-CN"/>
        </w:rPr>
        <w:t>14679.7</w:t>
      </w:r>
      <w:r>
        <w:t>m</w:t>
      </w:r>
      <w:r>
        <w:rPr>
          <w:vertAlign w:val="superscript"/>
        </w:rPr>
        <w:t>3</w:t>
      </w:r>
      <w:r>
        <w:t>/a，</w:t>
      </w:r>
      <w:r>
        <w:rPr>
          <w:rFonts w:hint="eastAsia"/>
        </w:rPr>
        <w:t>项目废水进入</w:t>
      </w:r>
      <w:r>
        <w:rPr>
          <w:rFonts w:hint="eastAsia"/>
          <w:lang w:val="en-US" w:eastAsia="zh-CN"/>
        </w:rPr>
        <w:t>废水处理系统处理后</w:t>
      </w:r>
      <w:r>
        <w:rPr>
          <w:rFonts w:hint="eastAsia"/>
          <w:lang w:eastAsia="zh-CN"/>
        </w:rPr>
        <w:t>用于常德华诚现代农业开发有限公司</w:t>
      </w:r>
      <w:r>
        <w:rPr>
          <w:rFonts w:hint="eastAsia"/>
          <w:lang w:val="en-US" w:eastAsia="zh-CN"/>
        </w:rPr>
        <w:t>农业生产施肥</w:t>
      </w:r>
      <w:r>
        <w:rPr>
          <w:rFonts w:hint="eastAsia"/>
        </w:rPr>
        <w:t>，无废水外排水环境。</w:t>
      </w:r>
    </w:p>
    <w:p>
      <w:pPr>
        <w:pStyle w:val="6"/>
        <w:bidi w:val="0"/>
      </w:pPr>
      <w:r>
        <w:t>废气污染源</w:t>
      </w:r>
    </w:p>
    <w:p>
      <w:r>
        <w:t>项目养殖过程产生的</w:t>
      </w:r>
      <w:r>
        <w:rPr>
          <w:rFonts w:hint="eastAsia"/>
        </w:rPr>
        <w:t>废气有猪舍及其集污池、发酵床产生的恶臭气体，备用发电机烟气以及食堂产生的油烟废气</w:t>
      </w:r>
      <w:r>
        <w:t>。</w:t>
      </w:r>
    </w:p>
    <w:p>
      <w:r>
        <w:t>（1）恶臭</w:t>
      </w:r>
      <w:r>
        <w:rPr>
          <w:rFonts w:hint="eastAsia"/>
        </w:rPr>
        <w:t>气体</w:t>
      </w:r>
    </w:p>
    <w:p>
      <w:r>
        <w:rPr>
          <w:rFonts w:hint="eastAsia"/>
        </w:rPr>
        <w:t>①猪舍臭气</w:t>
      </w:r>
    </w:p>
    <w:p>
      <w:r>
        <w:rPr>
          <w:rFonts w:hint="eastAsia"/>
        </w:rPr>
        <w:t>养殖场</w:t>
      </w:r>
      <w:r>
        <w:t>恶臭主要来源于猪场中含蛋白质的废弃物（包括粪、尿、皮肤、毛、饲料）的厌氧分解存所产生的臭气，</w:t>
      </w:r>
      <w:r>
        <w:rPr>
          <w:rFonts w:hint="eastAsia"/>
        </w:rPr>
        <w:t>此外，猪只消化道排出气体、皮脂腺和汗腺的分泌物、粘附在体表的污物、畜体外激素也会散发出猪特有的难闻气味。</w:t>
      </w:r>
      <w:r>
        <w:t>根据有关资料介绍，引起猪场恶臭的物质经鉴定有160种以上化合物。包括多种挥发性有机酸类、醇类、醛类、碳酰类、酯类、胺类、硫化物、硫醇、氨、二氧化氮、二氧化硫以及含氮杂环类物质。其中主要有四大类化合物：挥发性脂肪酸，酚类化合物，吲哚，沼气。</w:t>
      </w:r>
      <w:r>
        <w:rPr>
          <w:rFonts w:hint="eastAsia"/>
        </w:rPr>
        <w:t>相关研究表明，</w:t>
      </w:r>
      <w:r>
        <w:t>养殖场</w:t>
      </w:r>
      <w:r>
        <w:rPr>
          <w:rFonts w:hint="eastAsia"/>
        </w:rPr>
        <w:t>恶臭气体主要成份为</w:t>
      </w:r>
      <w:r>
        <w:t>NH</w:t>
      </w:r>
      <w:r>
        <w:rPr>
          <w:vertAlign w:val="subscript"/>
        </w:rPr>
        <w:t>3</w:t>
      </w:r>
      <w:r>
        <w:t>和H</w:t>
      </w:r>
      <w:r>
        <w:rPr>
          <w:vertAlign w:val="subscript"/>
        </w:rPr>
        <w:t>2</w:t>
      </w:r>
      <w:r>
        <w:t>S。由于NH</w:t>
      </w:r>
      <w:r>
        <w:rPr>
          <w:vertAlign w:val="subscript"/>
        </w:rPr>
        <w:t>3</w:t>
      </w:r>
      <w:r>
        <w:t>、H</w:t>
      </w:r>
      <w:r>
        <w:rPr>
          <w:vertAlign w:val="subscript"/>
        </w:rPr>
        <w:t>2</w:t>
      </w:r>
      <w:r>
        <w:t>S属于无组织排放源，难以进行准确定量分析，因此采用类比方法或采用经验系数对NH</w:t>
      </w:r>
      <w:r>
        <w:rPr>
          <w:vertAlign w:val="subscript"/>
        </w:rPr>
        <w:t>3</w:t>
      </w:r>
      <w:r>
        <w:t>、H</w:t>
      </w:r>
      <w:r>
        <w:rPr>
          <w:vertAlign w:val="subscript"/>
        </w:rPr>
        <w:t>2</w:t>
      </w:r>
      <w:r>
        <w:t>S的产生量进行估算具有较强的实用性和推广价值。</w:t>
      </w:r>
    </w:p>
    <w:p>
      <w:r>
        <w:t>根据孙艳青，张潞，李万庆等发布在《环境污染防治技术研究与开发：中国环境科学学会学术年会论文集》（2010: 3237－3238）上的《养猪场恶臭影响量化分析及控制对策研究》论文中发布的研究结论：仔猪NH</w:t>
      </w:r>
      <w:r>
        <w:rPr>
          <w:vertAlign w:val="subscript"/>
        </w:rPr>
        <w:t>3</w:t>
      </w:r>
      <w:r>
        <w:t>排放量为0.6~0.8g/头·d、H</w:t>
      </w:r>
      <w:r>
        <w:rPr>
          <w:vertAlign w:val="subscript"/>
        </w:rPr>
        <w:t>2</w:t>
      </w:r>
      <w:r>
        <w:t>S为0.2g/头·d；中猪NH</w:t>
      </w:r>
      <w:r>
        <w:rPr>
          <w:vertAlign w:val="subscript"/>
        </w:rPr>
        <w:t>3</w:t>
      </w:r>
      <w:r>
        <w:t>排放量为1.9～2.1 g /头·d，H</w:t>
      </w:r>
      <w:r>
        <w:rPr>
          <w:vertAlign w:val="subscript"/>
        </w:rPr>
        <w:t>2</w:t>
      </w:r>
      <w:r>
        <w:t>S0.3 g /头·d，大猪的NH</w:t>
      </w:r>
      <w:r>
        <w:rPr>
          <w:vertAlign w:val="subscript"/>
        </w:rPr>
        <w:t>3</w:t>
      </w:r>
      <w:r>
        <w:t>排放量为5.</w:t>
      </w:r>
      <w:r>
        <w:rPr>
          <w:rFonts w:hint="eastAsia"/>
        </w:rPr>
        <w:t>3</w:t>
      </w:r>
      <w:r>
        <w:t>～5.7 g /头·d、H</w:t>
      </w:r>
      <w:r>
        <w:rPr>
          <w:vertAlign w:val="subscript"/>
        </w:rPr>
        <w:t>2</w:t>
      </w:r>
      <w:r>
        <w:t>S氢0.5g /头·d，母猪NH</w:t>
      </w:r>
      <w:r>
        <w:rPr>
          <w:vertAlign w:val="subscript"/>
        </w:rPr>
        <w:t>3</w:t>
      </w:r>
      <w:r>
        <w:t>5.3 g/头·d、H</w:t>
      </w:r>
      <w:r>
        <w:rPr>
          <w:vertAlign w:val="subscript"/>
        </w:rPr>
        <w:t>2</w:t>
      </w:r>
      <w:r>
        <w:t>S0.8 g/头·d。本项目猪舍散发的恶臭情况见表</w:t>
      </w:r>
      <w:r>
        <w:rPr>
          <w:rFonts w:hint="eastAsia"/>
          <w:lang w:val="en-US" w:eastAsia="zh-CN"/>
        </w:rPr>
        <w:t>2.4-6</w:t>
      </w:r>
      <w:r>
        <w:t>。</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6</w:t>
      </w:r>
      <w:r>
        <w:fldChar w:fldCharType="end"/>
      </w:r>
      <w:r>
        <w:rPr>
          <w:rFonts w:hint="eastAsia"/>
          <w:lang w:val="en-US" w:eastAsia="zh-CN"/>
        </w:rPr>
        <w:t xml:space="preserve">  </w:t>
      </w:r>
      <w:r>
        <w:rPr>
          <w:rFonts w:hint="eastAsia"/>
        </w:rPr>
        <w:t>猪场恶臭产生情况一览表</w:t>
      </w:r>
      <w:r>
        <w:rPr>
          <w:rFonts w:hint="eastAsia"/>
          <w:lang w:val="en-US" w:eastAsia="zh-CN"/>
        </w:rPr>
        <w:t xml:space="preserve"> </w:t>
      </w:r>
    </w:p>
    <w:tbl>
      <w:tblPr>
        <w:tblStyle w:val="17"/>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136"/>
        <w:gridCol w:w="1421"/>
        <w:gridCol w:w="1201"/>
        <w:gridCol w:w="962"/>
        <w:gridCol w:w="838"/>
        <w:gridCol w:w="996"/>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512" w:type="dxa"/>
            <w:vMerge w:val="restart"/>
            <w:vAlign w:val="center"/>
          </w:tcPr>
          <w:p>
            <w:pPr>
              <w:pStyle w:val="8"/>
              <w:bidi w:val="0"/>
            </w:pPr>
            <w:r>
              <w:t>项目</w:t>
            </w:r>
          </w:p>
        </w:tc>
        <w:tc>
          <w:tcPr>
            <w:tcW w:w="2557" w:type="dxa"/>
            <w:gridSpan w:val="2"/>
            <w:vAlign w:val="center"/>
          </w:tcPr>
          <w:p>
            <w:pPr>
              <w:pStyle w:val="8"/>
              <w:bidi w:val="0"/>
            </w:pPr>
            <w:r>
              <w:t>恶臭产生系数（g/头·d）</w:t>
            </w:r>
          </w:p>
        </w:tc>
        <w:tc>
          <w:tcPr>
            <w:tcW w:w="1201" w:type="dxa"/>
            <w:vMerge w:val="restart"/>
            <w:vAlign w:val="center"/>
          </w:tcPr>
          <w:p>
            <w:pPr>
              <w:pStyle w:val="8"/>
              <w:bidi w:val="0"/>
            </w:pPr>
            <w:r>
              <w:t>存栏量（头）</w:t>
            </w:r>
          </w:p>
        </w:tc>
        <w:tc>
          <w:tcPr>
            <w:tcW w:w="1800" w:type="dxa"/>
            <w:gridSpan w:val="2"/>
            <w:vAlign w:val="center"/>
          </w:tcPr>
          <w:p>
            <w:pPr>
              <w:pStyle w:val="8"/>
              <w:bidi w:val="0"/>
            </w:pPr>
            <w:r>
              <w:t>日产生量（kg/d）</w:t>
            </w:r>
          </w:p>
        </w:tc>
        <w:tc>
          <w:tcPr>
            <w:tcW w:w="2007" w:type="dxa"/>
            <w:gridSpan w:val="2"/>
            <w:vAlign w:val="center"/>
          </w:tcPr>
          <w:p>
            <w:pPr>
              <w:pStyle w:val="8"/>
              <w:bidi w:val="0"/>
            </w:pPr>
            <w:r>
              <w:t>年产生量（t/a）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512" w:type="dxa"/>
            <w:vMerge w:val="continue"/>
            <w:vAlign w:val="center"/>
          </w:tcPr>
          <w:p>
            <w:pPr>
              <w:pStyle w:val="8"/>
              <w:bidi w:val="0"/>
            </w:pPr>
          </w:p>
        </w:tc>
        <w:tc>
          <w:tcPr>
            <w:tcW w:w="1136" w:type="dxa"/>
            <w:vAlign w:val="center"/>
          </w:tcPr>
          <w:p>
            <w:pPr>
              <w:pStyle w:val="8"/>
              <w:bidi w:val="0"/>
            </w:pPr>
            <w:r>
              <w:t>NH</w:t>
            </w:r>
            <w:r>
              <w:rPr>
                <w:vertAlign w:val="subscript"/>
              </w:rPr>
              <w:t>3</w:t>
            </w:r>
          </w:p>
        </w:tc>
        <w:tc>
          <w:tcPr>
            <w:tcW w:w="1421" w:type="dxa"/>
            <w:vAlign w:val="center"/>
          </w:tcPr>
          <w:p>
            <w:pPr>
              <w:pStyle w:val="8"/>
              <w:bidi w:val="0"/>
            </w:pPr>
            <w:r>
              <w:t>H</w:t>
            </w:r>
            <w:r>
              <w:rPr>
                <w:vertAlign w:val="subscript"/>
              </w:rPr>
              <w:t>2</w:t>
            </w:r>
            <w:r>
              <w:t>S</w:t>
            </w:r>
          </w:p>
        </w:tc>
        <w:tc>
          <w:tcPr>
            <w:tcW w:w="1201" w:type="dxa"/>
            <w:vMerge w:val="continue"/>
            <w:vAlign w:val="center"/>
          </w:tcPr>
          <w:p>
            <w:pPr>
              <w:pStyle w:val="8"/>
              <w:bidi w:val="0"/>
            </w:pPr>
          </w:p>
        </w:tc>
        <w:tc>
          <w:tcPr>
            <w:tcW w:w="962" w:type="dxa"/>
            <w:vAlign w:val="center"/>
          </w:tcPr>
          <w:p>
            <w:pPr>
              <w:pStyle w:val="8"/>
              <w:bidi w:val="0"/>
            </w:pPr>
            <w:r>
              <w:t>NH</w:t>
            </w:r>
            <w:r>
              <w:rPr>
                <w:vertAlign w:val="subscript"/>
              </w:rPr>
              <w:t>3</w:t>
            </w:r>
          </w:p>
        </w:tc>
        <w:tc>
          <w:tcPr>
            <w:tcW w:w="838" w:type="dxa"/>
            <w:vAlign w:val="center"/>
          </w:tcPr>
          <w:p>
            <w:pPr>
              <w:pStyle w:val="8"/>
              <w:bidi w:val="0"/>
            </w:pPr>
            <w:r>
              <w:t>H</w:t>
            </w:r>
            <w:r>
              <w:rPr>
                <w:vertAlign w:val="subscript"/>
              </w:rPr>
              <w:t>2</w:t>
            </w:r>
            <w:r>
              <w:t>S</w:t>
            </w:r>
          </w:p>
        </w:tc>
        <w:tc>
          <w:tcPr>
            <w:tcW w:w="996" w:type="dxa"/>
            <w:vAlign w:val="center"/>
          </w:tcPr>
          <w:p>
            <w:pPr>
              <w:pStyle w:val="8"/>
              <w:bidi w:val="0"/>
            </w:pPr>
            <w:r>
              <w:t>NH</w:t>
            </w:r>
            <w:r>
              <w:rPr>
                <w:vertAlign w:val="subscript"/>
              </w:rPr>
              <w:t>3</w:t>
            </w:r>
          </w:p>
        </w:tc>
        <w:tc>
          <w:tcPr>
            <w:tcW w:w="1011" w:type="dxa"/>
            <w:vAlign w:val="center"/>
          </w:tcPr>
          <w:p>
            <w:pPr>
              <w:pStyle w:val="8"/>
              <w:bidi w:val="0"/>
            </w:pPr>
            <w:r>
              <w:t>H</w:t>
            </w:r>
            <w:r>
              <w:rPr>
                <w:vertAlign w:val="subscript"/>
              </w:rPr>
              <w:t>2</w:t>
            </w:r>
            <w: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512" w:type="dxa"/>
            <w:vAlign w:val="center"/>
          </w:tcPr>
          <w:p>
            <w:pPr>
              <w:pStyle w:val="8"/>
              <w:bidi w:val="0"/>
            </w:pPr>
            <w:r>
              <w:t>母猪</w:t>
            </w:r>
          </w:p>
        </w:tc>
        <w:tc>
          <w:tcPr>
            <w:tcW w:w="1136" w:type="dxa"/>
            <w:vAlign w:val="center"/>
          </w:tcPr>
          <w:p>
            <w:pPr>
              <w:pStyle w:val="8"/>
              <w:bidi w:val="0"/>
            </w:pPr>
            <w:r>
              <w:t>5.3</w:t>
            </w:r>
          </w:p>
        </w:tc>
        <w:tc>
          <w:tcPr>
            <w:tcW w:w="1421" w:type="dxa"/>
            <w:vAlign w:val="center"/>
          </w:tcPr>
          <w:p>
            <w:pPr>
              <w:pStyle w:val="8"/>
              <w:bidi w:val="0"/>
            </w:pPr>
            <w:r>
              <w:t>0.8</w:t>
            </w:r>
          </w:p>
        </w:tc>
        <w:tc>
          <w:tcPr>
            <w:tcW w:w="1201"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4800</w:t>
            </w:r>
          </w:p>
        </w:tc>
        <w:tc>
          <w:tcPr>
            <w:tcW w:w="962" w:type="dxa"/>
            <w:vAlign w:val="center"/>
          </w:tcPr>
          <w:p>
            <w:pPr>
              <w:pStyle w:val="8"/>
              <w:bidi w:val="0"/>
              <w:rPr>
                <w:rFonts w:hint="eastAsia"/>
                <w:lang w:val="en-US" w:eastAsia="zh-CN"/>
              </w:rPr>
            </w:pPr>
            <w:r>
              <w:rPr>
                <w:rFonts w:hint="eastAsia"/>
                <w:lang w:val="en-US" w:eastAsia="zh-CN"/>
              </w:rPr>
              <w:t>25.44</w:t>
            </w:r>
          </w:p>
        </w:tc>
        <w:tc>
          <w:tcPr>
            <w:tcW w:w="838" w:type="dxa"/>
            <w:vAlign w:val="center"/>
          </w:tcPr>
          <w:p>
            <w:pPr>
              <w:pStyle w:val="8"/>
              <w:bidi w:val="0"/>
              <w:rPr>
                <w:rFonts w:hint="eastAsia"/>
                <w:lang w:val="en-US" w:eastAsia="zh-CN"/>
              </w:rPr>
            </w:pPr>
            <w:r>
              <w:rPr>
                <w:rFonts w:hint="eastAsia"/>
                <w:lang w:val="en-US" w:eastAsia="zh-CN"/>
              </w:rPr>
              <w:t>3.84</w:t>
            </w:r>
          </w:p>
        </w:tc>
        <w:tc>
          <w:tcPr>
            <w:tcW w:w="996" w:type="dxa"/>
            <w:vAlign w:val="center"/>
          </w:tcPr>
          <w:p>
            <w:pPr>
              <w:pStyle w:val="8"/>
              <w:bidi w:val="0"/>
              <w:rPr>
                <w:rFonts w:hint="eastAsia"/>
                <w:lang w:val="en-US" w:eastAsia="zh-CN"/>
              </w:rPr>
            </w:pPr>
            <w:r>
              <w:rPr>
                <w:rFonts w:hint="eastAsia"/>
                <w:lang w:val="en-US" w:eastAsia="zh-CN"/>
              </w:rPr>
              <w:t xml:space="preserve">9.2856 </w:t>
            </w:r>
          </w:p>
        </w:tc>
        <w:tc>
          <w:tcPr>
            <w:tcW w:w="1011" w:type="dxa"/>
            <w:vAlign w:val="center"/>
          </w:tcPr>
          <w:p>
            <w:pPr>
              <w:pStyle w:val="8"/>
              <w:bidi w:val="0"/>
              <w:rPr>
                <w:rFonts w:hint="eastAsia"/>
                <w:lang w:val="en-US" w:eastAsia="zh-CN"/>
              </w:rPr>
            </w:pPr>
            <w:r>
              <w:rPr>
                <w:rFonts w:hint="eastAsia"/>
                <w:lang w:val="en-US" w:eastAsia="zh-CN"/>
              </w:rPr>
              <w:t xml:space="preserve">1.4016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512" w:type="dxa"/>
            <w:vAlign w:val="center"/>
          </w:tcPr>
          <w:p>
            <w:pPr>
              <w:pStyle w:val="8"/>
              <w:bidi w:val="0"/>
            </w:pPr>
            <w:r>
              <w:t>公猪</w:t>
            </w:r>
          </w:p>
        </w:tc>
        <w:tc>
          <w:tcPr>
            <w:tcW w:w="1136" w:type="dxa"/>
            <w:vAlign w:val="center"/>
          </w:tcPr>
          <w:p>
            <w:pPr>
              <w:pStyle w:val="8"/>
              <w:bidi w:val="0"/>
            </w:pPr>
            <w:r>
              <w:t>5.3</w:t>
            </w:r>
          </w:p>
        </w:tc>
        <w:tc>
          <w:tcPr>
            <w:tcW w:w="1421" w:type="dxa"/>
            <w:vAlign w:val="center"/>
          </w:tcPr>
          <w:p>
            <w:pPr>
              <w:pStyle w:val="8"/>
              <w:bidi w:val="0"/>
            </w:pPr>
            <w:r>
              <w:t>0.5</w:t>
            </w:r>
          </w:p>
        </w:tc>
        <w:tc>
          <w:tcPr>
            <w:tcW w:w="1201"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158</w:t>
            </w:r>
          </w:p>
        </w:tc>
        <w:tc>
          <w:tcPr>
            <w:tcW w:w="962" w:type="dxa"/>
            <w:vAlign w:val="center"/>
          </w:tcPr>
          <w:p>
            <w:pPr>
              <w:pStyle w:val="8"/>
              <w:bidi w:val="0"/>
              <w:rPr>
                <w:rFonts w:hint="eastAsia"/>
                <w:lang w:val="en-US" w:eastAsia="zh-CN"/>
              </w:rPr>
            </w:pPr>
            <w:r>
              <w:rPr>
                <w:rFonts w:hint="eastAsia"/>
                <w:lang w:val="en-US" w:eastAsia="zh-CN"/>
              </w:rPr>
              <w:t>0.8374</w:t>
            </w:r>
          </w:p>
        </w:tc>
        <w:tc>
          <w:tcPr>
            <w:tcW w:w="838" w:type="dxa"/>
            <w:vAlign w:val="center"/>
          </w:tcPr>
          <w:p>
            <w:pPr>
              <w:pStyle w:val="8"/>
              <w:bidi w:val="0"/>
              <w:rPr>
                <w:rFonts w:hint="eastAsia"/>
                <w:lang w:val="en-US" w:eastAsia="zh-CN"/>
              </w:rPr>
            </w:pPr>
            <w:r>
              <w:rPr>
                <w:rFonts w:hint="eastAsia"/>
                <w:lang w:val="en-US" w:eastAsia="zh-CN"/>
              </w:rPr>
              <w:t>0.079</w:t>
            </w:r>
          </w:p>
        </w:tc>
        <w:tc>
          <w:tcPr>
            <w:tcW w:w="996" w:type="dxa"/>
            <w:vAlign w:val="center"/>
          </w:tcPr>
          <w:p>
            <w:pPr>
              <w:pStyle w:val="8"/>
              <w:bidi w:val="0"/>
              <w:rPr>
                <w:rFonts w:hint="eastAsia"/>
                <w:lang w:val="en-US" w:eastAsia="zh-CN"/>
              </w:rPr>
            </w:pPr>
            <w:r>
              <w:rPr>
                <w:rFonts w:hint="eastAsia"/>
                <w:lang w:val="en-US" w:eastAsia="zh-CN"/>
              </w:rPr>
              <w:t xml:space="preserve">0.3057 </w:t>
            </w:r>
          </w:p>
        </w:tc>
        <w:tc>
          <w:tcPr>
            <w:tcW w:w="1011" w:type="dxa"/>
            <w:vAlign w:val="center"/>
          </w:tcPr>
          <w:p>
            <w:pPr>
              <w:pStyle w:val="8"/>
              <w:bidi w:val="0"/>
              <w:rPr>
                <w:rFonts w:hint="eastAsia"/>
                <w:lang w:val="en-US" w:eastAsia="zh-CN"/>
              </w:rPr>
            </w:pPr>
            <w:r>
              <w:rPr>
                <w:rFonts w:hint="eastAsia"/>
                <w:lang w:val="en-US" w:eastAsia="zh-CN"/>
              </w:rPr>
              <w:t xml:space="preserve">0.0288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512" w:type="dxa"/>
            <w:vAlign w:val="center"/>
          </w:tcPr>
          <w:p>
            <w:pPr>
              <w:pStyle w:val="8"/>
              <w:bidi w:val="0"/>
            </w:pPr>
            <w:r>
              <w:t>哺乳仔猪</w:t>
            </w:r>
          </w:p>
        </w:tc>
        <w:tc>
          <w:tcPr>
            <w:tcW w:w="1136" w:type="dxa"/>
            <w:vAlign w:val="center"/>
          </w:tcPr>
          <w:p>
            <w:pPr>
              <w:pStyle w:val="8"/>
              <w:bidi w:val="0"/>
            </w:pPr>
            <w:r>
              <w:t>0.7</w:t>
            </w:r>
          </w:p>
        </w:tc>
        <w:tc>
          <w:tcPr>
            <w:tcW w:w="1421" w:type="dxa"/>
            <w:vAlign w:val="center"/>
          </w:tcPr>
          <w:p>
            <w:pPr>
              <w:pStyle w:val="8"/>
              <w:bidi w:val="0"/>
            </w:pPr>
            <w:r>
              <w:t>0.2</w:t>
            </w:r>
          </w:p>
        </w:tc>
        <w:tc>
          <w:tcPr>
            <w:tcW w:w="1201"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9853</w:t>
            </w:r>
          </w:p>
        </w:tc>
        <w:tc>
          <w:tcPr>
            <w:tcW w:w="962" w:type="dxa"/>
            <w:vAlign w:val="center"/>
          </w:tcPr>
          <w:p>
            <w:pPr>
              <w:pStyle w:val="8"/>
              <w:bidi w:val="0"/>
              <w:rPr>
                <w:rFonts w:hint="eastAsia"/>
                <w:lang w:val="en-US" w:eastAsia="zh-CN"/>
              </w:rPr>
            </w:pPr>
            <w:r>
              <w:rPr>
                <w:rFonts w:hint="eastAsia"/>
                <w:lang w:val="en-US" w:eastAsia="zh-CN"/>
              </w:rPr>
              <w:t>6.8971</w:t>
            </w:r>
          </w:p>
        </w:tc>
        <w:tc>
          <w:tcPr>
            <w:tcW w:w="838" w:type="dxa"/>
            <w:vAlign w:val="center"/>
          </w:tcPr>
          <w:p>
            <w:pPr>
              <w:pStyle w:val="8"/>
              <w:bidi w:val="0"/>
              <w:rPr>
                <w:rFonts w:hint="eastAsia"/>
                <w:lang w:val="en-US" w:eastAsia="zh-CN"/>
              </w:rPr>
            </w:pPr>
            <w:r>
              <w:rPr>
                <w:rFonts w:hint="eastAsia"/>
                <w:lang w:val="en-US" w:eastAsia="zh-CN"/>
              </w:rPr>
              <w:t>1.9706</w:t>
            </w:r>
          </w:p>
        </w:tc>
        <w:tc>
          <w:tcPr>
            <w:tcW w:w="996" w:type="dxa"/>
            <w:vAlign w:val="center"/>
          </w:tcPr>
          <w:p>
            <w:pPr>
              <w:pStyle w:val="8"/>
              <w:bidi w:val="0"/>
              <w:rPr>
                <w:rFonts w:hint="eastAsia"/>
                <w:lang w:val="en-US" w:eastAsia="zh-CN"/>
              </w:rPr>
            </w:pPr>
            <w:r>
              <w:rPr>
                <w:rFonts w:hint="eastAsia"/>
                <w:lang w:val="en-US" w:eastAsia="zh-CN"/>
              </w:rPr>
              <w:t xml:space="preserve">2.5174 </w:t>
            </w:r>
          </w:p>
        </w:tc>
        <w:tc>
          <w:tcPr>
            <w:tcW w:w="1011" w:type="dxa"/>
            <w:vAlign w:val="center"/>
          </w:tcPr>
          <w:p>
            <w:pPr>
              <w:pStyle w:val="8"/>
              <w:bidi w:val="0"/>
              <w:rPr>
                <w:rFonts w:hint="eastAsia"/>
                <w:lang w:val="en-US" w:eastAsia="zh-CN"/>
              </w:rPr>
            </w:pPr>
            <w:r>
              <w:rPr>
                <w:rFonts w:hint="eastAsia"/>
                <w:lang w:val="en-US" w:eastAsia="zh-CN"/>
              </w:rPr>
              <w:t xml:space="preserve">0.7193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270" w:type="dxa"/>
            <w:gridSpan w:val="4"/>
            <w:vAlign w:val="center"/>
          </w:tcPr>
          <w:p>
            <w:pPr>
              <w:pStyle w:val="8"/>
              <w:bidi w:val="0"/>
            </w:pPr>
            <w:r>
              <w:rPr>
                <w:rFonts w:hint="eastAsia"/>
              </w:rPr>
              <w:t>总计</w:t>
            </w:r>
          </w:p>
        </w:tc>
        <w:tc>
          <w:tcPr>
            <w:tcW w:w="962" w:type="dxa"/>
            <w:vAlign w:val="center"/>
          </w:tcPr>
          <w:p>
            <w:pPr>
              <w:pStyle w:val="8"/>
              <w:bidi w:val="0"/>
              <w:rPr>
                <w:rFonts w:hint="eastAsia"/>
                <w:lang w:val="en-US" w:eastAsia="zh-CN"/>
              </w:rPr>
            </w:pPr>
          </w:p>
        </w:tc>
        <w:tc>
          <w:tcPr>
            <w:tcW w:w="838" w:type="dxa"/>
            <w:vAlign w:val="center"/>
          </w:tcPr>
          <w:p>
            <w:pPr>
              <w:pStyle w:val="8"/>
              <w:bidi w:val="0"/>
              <w:rPr>
                <w:rFonts w:hint="eastAsia"/>
                <w:lang w:val="en-US" w:eastAsia="zh-CN"/>
              </w:rPr>
            </w:pPr>
          </w:p>
        </w:tc>
        <w:tc>
          <w:tcPr>
            <w:tcW w:w="996" w:type="dxa"/>
            <w:vAlign w:val="center"/>
          </w:tcPr>
          <w:p>
            <w:pPr>
              <w:pStyle w:val="8"/>
              <w:bidi w:val="0"/>
              <w:rPr>
                <w:rFonts w:hint="eastAsia"/>
                <w:lang w:val="en-US" w:eastAsia="zh-CN"/>
              </w:rPr>
            </w:pPr>
            <w:r>
              <w:rPr>
                <w:rFonts w:hint="eastAsia"/>
                <w:lang w:val="en-US" w:eastAsia="zh-CN"/>
              </w:rPr>
              <w:t xml:space="preserve">12.1087 </w:t>
            </w:r>
          </w:p>
        </w:tc>
        <w:tc>
          <w:tcPr>
            <w:tcW w:w="1011" w:type="dxa"/>
            <w:vAlign w:val="center"/>
          </w:tcPr>
          <w:p>
            <w:pPr>
              <w:pStyle w:val="8"/>
              <w:bidi w:val="0"/>
              <w:rPr>
                <w:rFonts w:hint="eastAsia"/>
                <w:lang w:val="en-US" w:eastAsia="zh-CN"/>
              </w:rPr>
            </w:pPr>
            <w:r>
              <w:rPr>
                <w:rFonts w:hint="eastAsia"/>
                <w:lang w:val="en-US" w:eastAsia="zh-CN"/>
              </w:rPr>
              <w:t xml:space="preserve">2.1497 </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②</w:t>
      </w:r>
      <w:r>
        <w:rPr>
          <w:rFonts w:hint="eastAsia"/>
          <w:lang w:eastAsia="zh-CN"/>
        </w:rPr>
        <w:t>堆粪棚</w:t>
      </w:r>
      <w:r>
        <w:rPr>
          <w:rFonts w:hint="eastAsia"/>
        </w:rPr>
        <w:t>臭气</w:t>
      </w:r>
    </w:p>
    <w:p>
      <w:pPr>
        <w:bidi w:val="0"/>
      </w:pPr>
      <w:r>
        <w:rPr>
          <w:rFonts w:hint="eastAsia"/>
        </w:rPr>
        <w:t>项目建设一座</w:t>
      </w:r>
      <w:r>
        <w:rPr>
          <w:rFonts w:hint="eastAsia"/>
          <w:lang w:eastAsia="zh-CN"/>
        </w:rPr>
        <w:t>堆粪棚</w:t>
      </w:r>
      <w:r>
        <w:rPr>
          <w:rFonts w:hint="eastAsia"/>
        </w:rPr>
        <w:t>处理产生的猪粪，占地面积约为</w:t>
      </w:r>
      <w:r>
        <w:rPr>
          <w:rFonts w:hint="eastAsia"/>
          <w:lang w:val="en-US" w:eastAsia="zh-CN"/>
        </w:rPr>
        <w:t>426</w:t>
      </w:r>
      <w:r>
        <w:rPr>
          <w:rFonts w:hint="eastAsia"/>
        </w:rPr>
        <w:t>m</w:t>
      </w:r>
      <w:r>
        <w:rPr>
          <w:rFonts w:hint="eastAsia"/>
          <w:vertAlign w:val="superscript"/>
        </w:rPr>
        <w:t>2</w:t>
      </w:r>
      <w:r>
        <w:rPr>
          <w:rFonts w:hint="eastAsia"/>
        </w:rPr>
        <w:t>，主要臭气污染物为</w:t>
      </w:r>
      <w:r>
        <w:t>NH</w:t>
      </w:r>
      <w:r>
        <w:rPr>
          <w:vertAlign w:val="subscript"/>
        </w:rPr>
        <w:t>3</w:t>
      </w:r>
      <w:r>
        <w:t>、H</w:t>
      </w:r>
      <w:r>
        <w:rPr>
          <w:vertAlign w:val="subscript"/>
        </w:rPr>
        <w:t>2</w:t>
      </w:r>
      <w:r>
        <w:t>S，粪便的降解过程以好氧发酵为主导，并伴有厌氧发酵和兼性厌氧发酵。</w:t>
      </w:r>
      <w:r>
        <w:rPr>
          <w:rFonts w:hint="eastAsia"/>
        </w:rPr>
        <w:t>类比同类养殖项目，</w:t>
      </w:r>
      <w:r>
        <w:t>NH</w:t>
      </w:r>
      <w:r>
        <w:rPr>
          <w:vertAlign w:val="subscript"/>
        </w:rPr>
        <w:t>3</w:t>
      </w:r>
      <w:r>
        <w:t>的平均产生源强一般为</w:t>
      </w:r>
      <w:r>
        <w:rPr>
          <w:rFonts w:hint="eastAsia"/>
        </w:rPr>
        <w:t>1mg/（m</w:t>
      </w:r>
      <w:r>
        <w:rPr>
          <w:rFonts w:hint="eastAsia"/>
          <w:vertAlign w:val="superscript"/>
        </w:rPr>
        <w:t>2</w:t>
      </w:r>
      <w:r>
        <w:rPr>
          <w:rFonts w:hint="eastAsia"/>
        </w:rPr>
        <w:t>·h），</w:t>
      </w:r>
      <w:r>
        <w:t>H</w:t>
      </w:r>
      <w:r>
        <w:rPr>
          <w:vertAlign w:val="subscript"/>
        </w:rPr>
        <w:t>2</w:t>
      </w:r>
      <w:r>
        <w:t>S的平均产生源强一般为</w:t>
      </w:r>
      <w:r>
        <w:rPr>
          <w:rFonts w:hint="eastAsia"/>
        </w:rPr>
        <w:t>0.18mg/（m</w:t>
      </w:r>
      <w:r>
        <w:rPr>
          <w:rFonts w:hint="eastAsia"/>
          <w:vertAlign w:val="superscript"/>
        </w:rPr>
        <w:t>2</w:t>
      </w:r>
      <w:r>
        <w:rPr>
          <w:rFonts w:hint="eastAsia"/>
        </w:rPr>
        <w:t>·h），</w:t>
      </w:r>
      <w:r>
        <w:rPr>
          <w:rFonts w:hint="eastAsia"/>
          <w:lang w:eastAsia="zh-CN"/>
        </w:rPr>
        <w:t>堆粪棚</w:t>
      </w:r>
      <w:r>
        <w:rPr>
          <w:rFonts w:hint="eastAsia"/>
        </w:rPr>
        <w:t>为钢棚式结构，难以收集，微生物发酵产生的臭气均以无组织形式排放。</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7</w:t>
      </w:r>
      <w:r>
        <w:fldChar w:fldCharType="end"/>
      </w:r>
      <w:r>
        <w:rPr>
          <w:rFonts w:hint="eastAsia"/>
          <w:lang w:val="en-US" w:eastAsia="zh-CN"/>
        </w:rPr>
        <w:t xml:space="preserve">   </w:t>
      </w:r>
      <w:r>
        <w:rPr>
          <w:rFonts w:hint="eastAsia"/>
        </w:rPr>
        <w:t>猪场恶臭源强产生情况统计表</w:t>
      </w:r>
    </w:p>
    <w:tbl>
      <w:tblPr>
        <w:tblStyle w:val="17"/>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605"/>
        <w:gridCol w:w="1004"/>
        <w:gridCol w:w="1286"/>
        <w:gridCol w:w="1001"/>
        <w:gridCol w:w="858"/>
        <w:gridCol w:w="858"/>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60" w:type="dxa"/>
            <w:vMerge w:val="restart"/>
            <w:vAlign w:val="center"/>
          </w:tcPr>
          <w:p>
            <w:pPr>
              <w:pStyle w:val="8"/>
              <w:bidi w:val="0"/>
            </w:pPr>
            <w:r>
              <w:t>项目</w:t>
            </w:r>
          </w:p>
        </w:tc>
        <w:tc>
          <w:tcPr>
            <w:tcW w:w="2609" w:type="dxa"/>
            <w:gridSpan w:val="2"/>
            <w:vAlign w:val="center"/>
          </w:tcPr>
          <w:p>
            <w:pPr>
              <w:pStyle w:val="8"/>
              <w:bidi w:val="0"/>
            </w:pPr>
            <w:r>
              <w:t>恶臭产生系数（g/d·</w:t>
            </w:r>
            <w:r>
              <w:rPr>
                <w:rFonts w:hint="eastAsia"/>
              </w:rPr>
              <w:t>m</w:t>
            </w:r>
            <w:r>
              <w:rPr>
                <w:rFonts w:hint="eastAsia"/>
                <w:vertAlign w:val="superscript"/>
              </w:rPr>
              <w:t>2</w:t>
            </w:r>
            <w:r>
              <w:t>）</w:t>
            </w:r>
          </w:p>
        </w:tc>
        <w:tc>
          <w:tcPr>
            <w:tcW w:w="1286" w:type="dxa"/>
            <w:vMerge w:val="restart"/>
            <w:vAlign w:val="center"/>
          </w:tcPr>
          <w:p>
            <w:pPr>
              <w:pStyle w:val="8"/>
              <w:bidi w:val="0"/>
            </w:pPr>
            <w:r>
              <w:rPr>
                <w:rFonts w:hint="eastAsia"/>
              </w:rPr>
              <w:t>面积m</w:t>
            </w:r>
            <w:r>
              <w:rPr>
                <w:rFonts w:hint="eastAsia"/>
                <w:vertAlign w:val="superscript"/>
              </w:rPr>
              <w:t>2</w:t>
            </w:r>
          </w:p>
        </w:tc>
        <w:tc>
          <w:tcPr>
            <w:tcW w:w="1859" w:type="dxa"/>
            <w:gridSpan w:val="2"/>
            <w:vAlign w:val="center"/>
          </w:tcPr>
          <w:p>
            <w:pPr>
              <w:pStyle w:val="8"/>
              <w:bidi w:val="0"/>
            </w:pPr>
            <w:r>
              <w:t>日产生量（g/d）</w:t>
            </w:r>
          </w:p>
        </w:tc>
        <w:tc>
          <w:tcPr>
            <w:tcW w:w="2024" w:type="dxa"/>
            <w:gridSpan w:val="2"/>
            <w:vAlign w:val="center"/>
          </w:tcPr>
          <w:p>
            <w:pPr>
              <w:pStyle w:val="8"/>
              <w:bidi w:val="0"/>
            </w:pPr>
            <w:r>
              <w:t>年产生量（</w:t>
            </w:r>
            <w:r>
              <w:rPr>
                <w:rFonts w:hint="eastAsia"/>
                <w:lang w:val="en-US" w:eastAsia="zh-CN"/>
              </w:rPr>
              <w:t>t</w:t>
            </w:r>
            <w: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360" w:type="dxa"/>
            <w:vMerge w:val="continue"/>
            <w:vAlign w:val="center"/>
          </w:tcPr>
          <w:p>
            <w:pPr>
              <w:pStyle w:val="8"/>
              <w:bidi w:val="0"/>
            </w:pPr>
          </w:p>
        </w:tc>
        <w:tc>
          <w:tcPr>
            <w:tcW w:w="1605" w:type="dxa"/>
            <w:vAlign w:val="center"/>
          </w:tcPr>
          <w:p>
            <w:pPr>
              <w:pStyle w:val="8"/>
              <w:bidi w:val="0"/>
            </w:pPr>
            <w:r>
              <w:t>NH</w:t>
            </w:r>
            <w:r>
              <w:rPr>
                <w:vertAlign w:val="subscript"/>
              </w:rPr>
              <w:t>3</w:t>
            </w:r>
          </w:p>
        </w:tc>
        <w:tc>
          <w:tcPr>
            <w:tcW w:w="1004" w:type="dxa"/>
            <w:vAlign w:val="center"/>
          </w:tcPr>
          <w:p>
            <w:pPr>
              <w:pStyle w:val="8"/>
              <w:bidi w:val="0"/>
            </w:pPr>
            <w:r>
              <w:t>H</w:t>
            </w:r>
            <w:r>
              <w:rPr>
                <w:vertAlign w:val="subscript"/>
              </w:rPr>
              <w:t>2</w:t>
            </w:r>
            <w:r>
              <w:t>S</w:t>
            </w:r>
          </w:p>
        </w:tc>
        <w:tc>
          <w:tcPr>
            <w:tcW w:w="1286" w:type="dxa"/>
            <w:vMerge w:val="continue"/>
            <w:vAlign w:val="center"/>
          </w:tcPr>
          <w:p>
            <w:pPr>
              <w:pStyle w:val="8"/>
              <w:bidi w:val="0"/>
            </w:pPr>
          </w:p>
        </w:tc>
        <w:tc>
          <w:tcPr>
            <w:tcW w:w="1001" w:type="dxa"/>
            <w:vAlign w:val="center"/>
          </w:tcPr>
          <w:p>
            <w:pPr>
              <w:pStyle w:val="8"/>
              <w:bidi w:val="0"/>
            </w:pPr>
            <w:r>
              <w:t>NH</w:t>
            </w:r>
            <w:r>
              <w:rPr>
                <w:vertAlign w:val="subscript"/>
              </w:rPr>
              <w:t>3</w:t>
            </w:r>
          </w:p>
        </w:tc>
        <w:tc>
          <w:tcPr>
            <w:tcW w:w="858" w:type="dxa"/>
            <w:vAlign w:val="center"/>
          </w:tcPr>
          <w:p>
            <w:pPr>
              <w:pStyle w:val="8"/>
              <w:bidi w:val="0"/>
            </w:pPr>
            <w:r>
              <w:t>H</w:t>
            </w:r>
            <w:r>
              <w:rPr>
                <w:vertAlign w:val="subscript"/>
              </w:rPr>
              <w:t>2</w:t>
            </w:r>
            <w:r>
              <w:t>S</w:t>
            </w:r>
          </w:p>
        </w:tc>
        <w:tc>
          <w:tcPr>
            <w:tcW w:w="858" w:type="dxa"/>
            <w:vAlign w:val="center"/>
          </w:tcPr>
          <w:p>
            <w:pPr>
              <w:pStyle w:val="8"/>
              <w:bidi w:val="0"/>
            </w:pPr>
            <w:r>
              <w:t>NH</w:t>
            </w:r>
            <w:r>
              <w:rPr>
                <w:vertAlign w:val="subscript"/>
              </w:rPr>
              <w:t>3</w:t>
            </w:r>
          </w:p>
        </w:tc>
        <w:tc>
          <w:tcPr>
            <w:tcW w:w="1166" w:type="dxa"/>
            <w:vAlign w:val="center"/>
          </w:tcPr>
          <w:p>
            <w:pPr>
              <w:pStyle w:val="8"/>
              <w:bidi w:val="0"/>
            </w:pPr>
            <w:r>
              <w:t>H</w:t>
            </w:r>
            <w:r>
              <w:rPr>
                <w:vertAlign w:val="subscript"/>
              </w:rPr>
              <w:t>2</w:t>
            </w:r>
            <w: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360" w:type="dxa"/>
            <w:vAlign w:val="center"/>
          </w:tcPr>
          <w:p>
            <w:pPr>
              <w:pStyle w:val="8"/>
              <w:bidi w:val="0"/>
              <w:rPr>
                <w:rFonts w:hint="default" w:eastAsiaTheme="minorEastAsia"/>
                <w:lang w:val="en-US" w:eastAsia="zh-CN"/>
              </w:rPr>
            </w:pPr>
            <w:r>
              <w:rPr>
                <w:rFonts w:hint="eastAsia"/>
                <w:lang w:val="en-US" w:eastAsia="zh-CN"/>
              </w:rPr>
              <w:t>堆粪棚</w:t>
            </w:r>
          </w:p>
        </w:tc>
        <w:tc>
          <w:tcPr>
            <w:tcW w:w="1605" w:type="dxa"/>
            <w:vAlign w:val="center"/>
          </w:tcPr>
          <w:p>
            <w:pPr>
              <w:pStyle w:val="8"/>
              <w:bidi w:val="0"/>
            </w:pPr>
            <w:r>
              <w:rPr>
                <w:rFonts w:hint="eastAsia"/>
              </w:rPr>
              <w:t>0.024</w:t>
            </w:r>
          </w:p>
        </w:tc>
        <w:tc>
          <w:tcPr>
            <w:tcW w:w="1004" w:type="dxa"/>
            <w:vAlign w:val="center"/>
          </w:tcPr>
          <w:p>
            <w:pPr>
              <w:pStyle w:val="8"/>
              <w:bidi w:val="0"/>
            </w:pPr>
            <w:r>
              <w:rPr>
                <w:rFonts w:hint="eastAsia"/>
              </w:rPr>
              <w:t>0.004</w:t>
            </w:r>
          </w:p>
        </w:tc>
        <w:tc>
          <w:tcPr>
            <w:tcW w:w="1286" w:type="dxa"/>
            <w:vAlign w:val="center"/>
          </w:tcPr>
          <w:p>
            <w:pPr>
              <w:pStyle w:val="8"/>
              <w:bidi w:val="0"/>
              <w:rPr>
                <w:rFonts w:hint="default"/>
                <w:lang w:val="en-US"/>
              </w:rPr>
            </w:pPr>
            <w:r>
              <w:rPr>
                <w:rFonts w:hint="eastAsia"/>
                <w:lang w:val="en-US" w:eastAsia="zh-CN"/>
              </w:rPr>
              <w:t>426</w:t>
            </w:r>
          </w:p>
        </w:tc>
        <w:tc>
          <w:tcPr>
            <w:tcW w:w="1001" w:type="dxa"/>
            <w:vAlign w:val="center"/>
          </w:tcPr>
          <w:p>
            <w:pPr>
              <w:pStyle w:val="8"/>
              <w:bidi w:val="0"/>
              <w:rPr>
                <w:rFonts w:hint="default" w:eastAsiaTheme="minorEastAsia"/>
                <w:lang w:val="en-US" w:eastAsia="zh-CN"/>
              </w:rPr>
            </w:pPr>
            <w:r>
              <w:rPr>
                <w:rFonts w:hint="eastAsia"/>
                <w:lang w:val="en-US" w:eastAsia="zh-CN"/>
              </w:rPr>
              <w:t>10.464</w:t>
            </w:r>
          </w:p>
        </w:tc>
        <w:tc>
          <w:tcPr>
            <w:tcW w:w="858" w:type="dxa"/>
            <w:vAlign w:val="center"/>
          </w:tcPr>
          <w:p>
            <w:pPr>
              <w:pStyle w:val="8"/>
              <w:bidi w:val="0"/>
              <w:rPr>
                <w:rFonts w:hint="default" w:eastAsiaTheme="minorEastAsia"/>
                <w:lang w:val="en-US" w:eastAsia="zh-CN"/>
              </w:rPr>
            </w:pPr>
            <w:r>
              <w:rPr>
                <w:rFonts w:hint="eastAsia"/>
                <w:lang w:val="en-US" w:eastAsia="zh-CN"/>
              </w:rPr>
              <w:t>1.704</w:t>
            </w:r>
          </w:p>
        </w:tc>
        <w:tc>
          <w:tcPr>
            <w:tcW w:w="858" w:type="dxa"/>
            <w:vAlign w:val="center"/>
          </w:tcPr>
          <w:p>
            <w:pPr>
              <w:pStyle w:val="8"/>
              <w:bidi w:val="0"/>
              <w:rPr>
                <w:rFonts w:hint="default" w:eastAsiaTheme="minorEastAsia"/>
                <w:lang w:val="en-US" w:eastAsia="zh-CN"/>
              </w:rPr>
            </w:pPr>
            <w:r>
              <w:rPr>
                <w:rFonts w:hint="eastAsia"/>
                <w:lang w:val="en-US" w:eastAsia="zh-CN"/>
              </w:rPr>
              <w:t>0.0038</w:t>
            </w:r>
          </w:p>
        </w:tc>
        <w:tc>
          <w:tcPr>
            <w:tcW w:w="1166" w:type="dxa"/>
            <w:vAlign w:val="center"/>
          </w:tcPr>
          <w:p>
            <w:pPr>
              <w:pStyle w:val="8"/>
              <w:bidi w:val="0"/>
              <w:rPr>
                <w:rFonts w:hint="default" w:eastAsiaTheme="minorEastAsia"/>
                <w:lang w:val="en-US" w:eastAsia="zh-CN"/>
              </w:rPr>
            </w:pPr>
            <w:r>
              <w:rPr>
                <w:rFonts w:hint="eastAsia"/>
                <w:lang w:val="en-US" w:eastAsia="zh-CN"/>
              </w:rPr>
              <w:t>0.0006</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③集污池</w:t>
      </w:r>
      <w:r>
        <w:rPr>
          <w:rFonts w:hint="eastAsia"/>
          <w:lang w:eastAsia="zh-CN"/>
        </w:rPr>
        <w:t>、厌氧发酵系统</w:t>
      </w:r>
      <w:r>
        <w:rPr>
          <w:rFonts w:hint="eastAsia"/>
        </w:rPr>
        <w:t>恶臭</w:t>
      </w:r>
    </w:p>
    <w:p>
      <w:r>
        <w:rPr>
          <w:rFonts w:hint="eastAsia"/>
        </w:rPr>
        <w:t>集污池采取地下式钢砼结构，根据2014年12月发行的《江西科学》上登录的黄贞岚等人编写的《养猪场项目环境影响评价中应关注的问题》中的研究结论，猪粪暂存场的NH</w:t>
      </w:r>
      <w:r>
        <w:rPr>
          <w:rFonts w:hint="eastAsia"/>
          <w:vertAlign w:val="subscript"/>
        </w:rPr>
        <w:t>3</w:t>
      </w:r>
      <w:r>
        <w:rPr>
          <w:rFonts w:hint="eastAsia"/>
        </w:rPr>
        <w:t>平均排放浓度约为4.35g/m</w:t>
      </w:r>
      <w:r>
        <w:rPr>
          <w:rFonts w:hint="eastAsia"/>
          <w:vertAlign w:val="superscript"/>
        </w:rPr>
        <w:t>2</w:t>
      </w:r>
      <w:r>
        <w:rPr>
          <w:rFonts w:hint="eastAsia"/>
        </w:rPr>
        <w:t>·d，本项目集污池恶臭参照猪粪暂存场源强进行分析。本项目集污池面积为</w:t>
      </w:r>
      <w:r>
        <w:rPr>
          <w:rFonts w:hint="eastAsia"/>
          <w:lang w:val="en-US" w:eastAsia="zh-CN"/>
        </w:rPr>
        <w:t>65</w:t>
      </w:r>
      <w:r>
        <w:rPr>
          <w:rFonts w:hint="eastAsia"/>
        </w:rPr>
        <w:t>m</w:t>
      </w:r>
      <w:r>
        <w:rPr>
          <w:rFonts w:hint="eastAsia"/>
          <w:vertAlign w:val="superscript"/>
        </w:rPr>
        <w:t>2</w:t>
      </w:r>
      <w:r>
        <w:rPr>
          <w:rFonts w:hint="eastAsia"/>
        </w:rPr>
        <w:t>，</w:t>
      </w:r>
      <w:r>
        <w:rPr>
          <w:rFonts w:hint="eastAsia"/>
          <w:lang w:eastAsia="zh-CN"/>
        </w:rPr>
        <w:t>厌氧发酵</w:t>
      </w:r>
      <w:r>
        <w:rPr>
          <w:rFonts w:hint="eastAsia"/>
          <w:lang w:val="en-US" w:eastAsia="zh-CN"/>
        </w:rPr>
        <w:t>灌</w:t>
      </w:r>
      <w:r>
        <w:rPr>
          <w:rFonts w:hint="eastAsia"/>
        </w:rPr>
        <w:t>和沼液储存池的面积</w:t>
      </w:r>
      <w:r>
        <w:rPr>
          <w:rFonts w:hint="eastAsia"/>
          <w:lang w:eastAsia="zh-CN"/>
        </w:rPr>
        <w:t>约</w:t>
      </w:r>
      <w:r>
        <w:rPr>
          <w:rFonts w:hint="eastAsia"/>
        </w:rPr>
        <w:t>为</w:t>
      </w:r>
      <w:r>
        <w:rPr>
          <w:rFonts w:hint="eastAsia"/>
          <w:lang w:val="en-US" w:eastAsia="zh-CN"/>
        </w:rPr>
        <w:t>3542</w:t>
      </w:r>
      <w:r>
        <w:rPr>
          <w:rFonts w:hint="eastAsia"/>
        </w:rPr>
        <w:t>m</w:t>
      </w:r>
      <w:r>
        <w:rPr>
          <w:rFonts w:hint="eastAsia"/>
          <w:vertAlign w:val="superscript"/>
        </w:rPr>
        <w:t>2</w:t>
      </w:r>
      <w:r>
        <w:rPr>
          <w:rFonts w:hint="eastAsia"/>
        </w:rPr>
        <w:t>（</w:t>
      </w:r>
      <w:r>
        <w:rPr>
          <w:rFonts w:hint="eastAsia"/>
          <w:lang w:eastAsia="zh-CN"/>
        </w:rPr>
        <w:t>厌氧罐</w:t>
      </w:r>
      <w:r>
        <w:rPr>
          <w:rFonts w:hint="eastAsia"/>
        </w:rPr>
        <w:t>容积</w:t>
      </w:r>
      <w:r>
        <w:rPr>
          <w:rFonts w:hint="eastAsia"/>
          <w:lang w:val="en-US" w:eastAsia="zh-CN"/>
        </w:rPr>
        <w:t>4000</w:t>
      </w:r>
      <w:r>
        <w:rPr>
          <w:rFonts w:hint="eastAsia"/>
        </w:rPr>
        <w:t>m</w:t>
      </w:r>
      <w:r>
        <w:rPr>
          <w:rFonts w:hint="eastAsia"/>
          <w:vertAlign w:val="superscript"/>
        </w:rPr>
        <w:t>3</w:t>
      </w:r>
      <w:r>
        <w:rPr>
          <w:rFonts w:hint="eastAsia"/>
        </w:rPr>
        <w:t>，h=</w:t>
      </w:r>
      <w:r>
        <w:rPr>
          <w:rFonts w:hint="eastAsia"/>
          <w:lang w:val="en-US" w:eastAsia="zh-CN"/>
        </w:rPr>
        <w:t>6</w:t>
      </w:r>
      <w:r>
        <w:rPr>
          <w:rFonts w:hint="eastAsia"/>
        </w:rPr>
        <w:t>m</w:t>
      </w:r>
      <w:r>
        <w:rPr>
          <w:rFonts w:hint="eastAsia"/>
          <w:lang w:eastAsia="zh-CN"/>
        </w:rPr>
        <w:t>；沼液储存池的有效容积</w:t>
      </w:r>
      <w:r>
        <w:rPr>
          <w:rFonts w:hint="eastAsia"/>
          <w:lang w:val="en-US" w:eastAsia="zh-CN"/>
        </w:rPr>
        <w:t>12000</w:t>
      </w:r>
      <w:r>
        <w:rPr>
          <w:rFonts w:hint="eastAsia"/>
        </w:rPr>
        <w:t>m</w:t>
      </w:r>
      <w:r>
        <w:rPr>
          <w:rFonts w:hint="eastAsia"/>
          <w:vertAlign w:val="superscript"/>
        </w:rPr>
        <w:t>3</w:t>
      </w:r>
      <w:r>
        <w:rPr>
          <w:rFonts w:hint="eastAsia"/>
          <w:vertAlign w:val="baseline"/>
          <w:lang w:eastAsia="zh-CN"/>
        </w:rPr>
        <w:t>，</w:t>
      </w:r>
      <w:r>
        <w:rPr>
          <w:rFonts w:hint="eastAsia"/>
          <w:vertAlign w:val="baseline"/>
          <w:lang w:val="en-US" w:eastAsia="zh-CN"/>
        </w:rPr>
        <w:t>h=5</w:t>
      </w:r>
      <w:r>
        <w:rPr>
          <w:rFonts w:hint="eastAsia"/>
        </w:rPr>
        <w:t>m），则</w:t>
      </w:r>
      <w:r>
        <w:rPr>
          <w:rFonts w:hint="eastAsia"/>
          <w:lang w:eastAsia="zh-CN"/>
        </w:rPr>
        <w:t>项目</w:t>
      </w:r>
      <w:r>
        <w:rPr>
          <w:rFonts w:hint="eastAsia"/>
        </w:rPr>
        <w:t>废气中NH</w:t>
      </w:r>
      <w:r>
        <w:rPr>
          <w:rFonts w:hint="eastAsia"/>
          <w:vertAlign w:val="subscript"/>
        </w:rPr>
        <w:t>3</w:t>
      </w:r>
      <w:r>
        <w:rPr>
          <w:rFonts w:hint="eastAsia"/>
        </w:rPr>
        <w:t>排放浓度为</w:t>
      </w:r>
      <w:r>
        <w:rPr>
          <w:rFonts w:hint="eastAsia"/>
          <w:lang w:val="en-US" w:eastAsia="zh-CN"/>
        </w:rPr>
        <w:t>5.727</w:t>
      </w:r>
      <w:r>
        <w:rPr>
          <w:rFonts w:hint="eastAsia"/>
        </w:rPr>
        <w:t>t/a，H</w:t>
      </w:r>
      <w:r>
        <w:rPr>
          <w:rFonts w:hint="eastAsia"/>
          <w:vertAlign w:val="subscript"/>
        </w:rPr>
        <w:t>2</w:t>
      </w:r>
      <w:r>
        <w:rPr>
          <w:rFonts w:hint="eastAsia"/>
        </w:rPr>
        <w:t>S按NH</w:t>
      </w:r>
      <w:r>
        <w:rPr>
          <w:rFonts w:hint="eastAsia"/>
          <w:vertAlign w:val="subscript"/>
        </w:rPr>
        <w:t>3</w:t>
      </w:r>
      <w:r>
        <w:rPr>
          <w:rFonts w:hint="eastAsia"/>
        </w:rPr>
        <w:t>的二十五分之一计，则H</w:t>
      </w:r>
      <w:r>
        <w:rPr>
          <w:rFonts w:hint="eastAsia"/>
          <w:vertAlign w:val="subscript"/>
        </w:rPr>
        <w:t>2</w:t>
      </w:r>
      <w:r>
        <w:rPr>
          <w:rFonts w:hint="eastAsia"/>
        </w:rPr>
        <w:t>S排放浓度为</w:t>
      </w:r>
      <w:r>
        <w:rPr>
          <w:rFonts w:hint="eastAsia"/>
          <w:lang w:val="en-US" w:eastAsia="zh-CN"/>
        </w:rPr>
        <w:t>0.229</w:t>
      </w:r>
      <w:r>
        <w:rPr>
          <w:rFonts w:hint="eastAsia"/>
        </w:rPr>
        <w:t>t/a。则猪场恶臭产生情况统计见下表</w:t>
      </w:r>
      <w:r>
        <w:rPr>
          <w:rFonts w:hint="eastAsia"/>
          <w:lang w:val="en-US" w:eastAsia="zh-CN"/>
        </w:rPr>
        <w:t>2.4-8</w:t>
      </w:r>
      <w:r>
        <w:rPr>
          <w:rFonts w:hint="eastAsia"/>
        </w:rPr>
        <w:t>。</w:t>
      </w:r>
    </w:p>
    <w:p>
      <w:r>
        <w:rPr>
          <w:rFonts w:hint="eastAsia"/>
        </w:rPr>
        <w:t>本项目采用综合除臭措施和管理措施予以控制臭气影响，对猪舍采用喷洒生物除臭剂（</w:t>
      </w:r>
      <w:r>
        <w:t>EM</w:t>
      </w:r>
      <w:r>
        <w:rPr>
          <w:rFonts w:hint="eastAsia"/>
        </w:rPr>
        <w:t>制剂）、将复合微生物饲料添加剂直接添加到饲料中合理调整饲料营养结构、通风等措施，可降低猪场这些有害气体挥发量，净化空气。并在猪舍周边大量种植绿化植物吸收有害气体，减轻恶臭异味的作用。根据中国养猪行业网上</w:t>
      </w:r>
      <w:r>
        <w:t>2015</w:t>
      </w:r>
      <w:r>
        <w:rPr>
          <w:rFonts w:hint="eastAsia"/>
        </w:rPr>
        <w:t>年发布的《养猪场中恶臭控制及其处理技术》，</w:t>
      </w:r>
      <w:r>
        <w:t>EM</w:t>
      </w:r>
      <w:r>
        <w:rPr>
          <w:rFonts w:hint="eastAsia"/>
        </w:rPr>
        <w:t>制剂是一种新型的复合微生物制剂，其可增加猪消化道内有益微生物的数量，调节体内的微生物生态平衡</w:t>
      </w:r>
      <w:r>
        <w:rPr>
          <w:rFonts w:hint="eastAsia"/>
          <w:lang w:eastAsia="zh-CN"/>
        </w:rPr>
        <w:t>、</w:t>
      </w:r>
      <w:r>
        <w:rPr>
          <w:rFonts w:hint="eastAsia"/>
        </w:rPr>
        <w:t>防治仔猪下痢，促进生长发育，提高猪的饲料转化率，减少肠道内氨､吲哚等恶臭物质的产生｡据北京市环境保护监测中心对</w:t>
      </w:r>
      <w:r>
        <w:t>EM</w:t>
      </w:r>
      <w:r>
        <w:rPr>
          <w:rFonts w:hint="eastAsia"/>
        </w:rPr>
        <w:t>除臭效果进行测试的结果表明使用</w:t>
      </w:r>
      <w:r>
        <w:t>EM</w:t>
      </w:r>
      <w:r>
        <w:rPr>
          <w:rFonts w:hint="eastAsia"/>
        </w:rPr>
        <w:t>一个月后，恶臭浓度下降了</w:t>
      </w:r>
      <w:r>
        <w:t>97.7%</w:t>
      </w:r>
      <w:r>
        <w:rPr>
          <w:rFonts w:hint="eastAsia"/>
        </w:rPr>
        <w:t>。</w:t>
      </w:r>
    </w:p>
    <w:p>
      <w:r>
        <w:rPr>
          <w:rFonts w:hint="eastAsia"/>
        </w:rPr>
        <w:t>项目猪舍臭气主要通过对栏舍地面以下的干湿分离区进行抽风收集并进入猪舍两端的水帘风机、合理搭配饲料、及时清理栏舍、喷洒除臭剂、加强通风等措施进行控制，本项目保守估计，在采取以上措施后，猪舍恶臭源强下降量按97</w:t>
      </w:r>
      <w:r>
        <w:t>%</w:t>
      </w:r>
      <w:r>
        <w:rPr>
          <w:rFonts w:hint="eastAsia"/>
        </w:rPr>
        <w:t>计算，集污池和堆粪棚恶臭采用封闭结构，喷洒除臭剂，恶臭源下降按</w:t>
      </w:r>
      <w:r>
        <w:rPr>
          <w:rFonts w:hint="eastAsia"/>
          <w:lang w:val="en-US" w:eastAsia="zh-CN"/>
        </w:rPr>
        <w:t>8</w:t>
      </w:r>
      <w:r>
        <w:rPr>
          <w:rFonts w:hint="eastAsia"/>
        </w:rPr>
        <w:t>0%计。</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8</w:t>
      </w:r>
      <w:r>
        <w:fldChar w:fldCharType="end"/>
      </w:r>
      <w:r>
        <w:rPr>
          <w:rFonts w:hint="eastAsia"/>
          <w:lang w:val="en-US" w:eastAsia="zh-CN"/>
        </w:rPr>
        <w:t xml:space="preserve">   </w:t>
      </w:r>
      <w:r>
        <w:rPr>
          <w:rFonts w:hint="eastAsia"/>
        </w:rPr>
        <w:t>猪场恶臭气体排放情况统计表</w:t>
      </w:r>
    </w:p>
    <w:tbl>
      <w:tblPr>
        <w:tblStyle w:val="17"/>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513"/>
        <w:gridCol w:w="1294"/>
        <w:gridCol w:w="1213"/>
        <w:gridCol w:w="1325"/>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642" w:type="dxa"/>
            <w:gridSpan w:val="2"/>
            <w:vMerge w:val="restart"/>
            <w:vAlign w:val="center"/>
          </w:tcPr>
          <w:p>
            <w:pPr>
              <w:pStyle w:val="8"/>
              <w:bidi w:val="0"/>
            </w:pPr>
            <w:r>
              <w:t>项目</w:t>
            </w:r>
          </w:p>
        </w:tc>
        <w:tc>
          <w:tcPr>
            <w:tcW w:w="2507" w:type="dxa"/>
            <w:gridSpan w:val="2"/>
            <w:vAlign w:val="center"/>
          </w:tcPr>
          <w:p>
            <w:pPr>
              <w:pStyle w:val="8"/>
              <w:bidi w:val="0"/>
            </w:pPr>
            <w:r>
              <w:rPr>
                <w:rFonts w:hint="eastAsia"/>
                <w:lang w:eastAsia="zh-CN"/>
              </w:rPr>
              <w:t>年产生</w:t>
            </w:r>
            <w:r>
              <w:t>（t/a）</w:t>
            </w:r>
          </w:p>
        </w:tc>
        <w:tc>
          <w:tcPr>
            <w:tcW w:w="2629" w:type="dxa"/>
            <w:gridSpan w:val="2"/>
            <w:vAlign w:val="center"/>
          </w:tcPr>
          <w:p>
            <w:pPr>
              <w:pStyle w:val="8"/>
              <w:bidi w:val="0"/>
            </w:pPr>
            <w: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3642" w:type="dxa"/>
            <w:gridSpan w:val="2"/>
            <w:vMerge w:val="continue"/>
            <w:vAlign w:val="center"/>
          </w:tcPr>
          <w:p>
            <w:pPr>
              <w:pStyle w:val="8"/>
              <w:bidi w:val="0"/>
            </w:pPr>
          </w:p>
        </w:tc>
        <w:tc>
          <w:tcPr>
            <w:tcW w:w="1294" w:type="dxa"/>
            <w:vAlign w:val="center"/>
          </w:tcPr>
          <w:p>
            <w:pPr>
              <w:pStyle w:val="8"/>
              <w:bidi w:val="0"/>
            </w:pPr>
            <w:r>
              <w:t>NH</w:t>
            </w:r>
            <w:r>
              <w:rPr>
                <w:vertAlign w:val="subscript"/>
              </w:rPr>
              <w:t>3</w:t>
            </w:r>
          </w:p>
        </w:tc>
        <w:tc>
          <w:tcPr>
            <w:tcW w:w="1213" w:type="dxa"/>
            <w:vAlign w:val="center"/>
          </w:tcPr>
          <w:p>
            <w:pPr>
              <w:pStyle w:val="8"/>
              <w:bidi w:val="0"/>
            </w:pPr>
            <w:r>
              <w:t>H</w:t>
            </w:r>
            <w:r>
              <w:rPr>
                <w:vertAlign w:val="subscript"/>
              </w:rPr>
              <w:t>2</w:t>
            </w:r>
            <w:r>
              <w:t>S</w:t>
            </w:r>
          </w:p>
        </w:tc>
        <w:tc>
          <w:tcPr>
            <w:tcW w:w="1325" w:type="dxa"/>
            <w:vAlign w:val="center"/>
          </w:tcPr>
          <w:p>
            <w:pPr>
              <w:pStyle w:val="8"/>
              <w:bidi w:val="0"/>
            </w:pPr>
            <w:r>
              <w:t>NH</w:t>
            </w:r>
            <w:r>
              <w:rPr>
                <w:vertAlign w:val="subscript"/>
              </w:rPr>
              <w:t>3</w:t>
            </w:r>
          </w:p>
        </w:tc>
        <w:tc>
          <w:tcPr>
            <w:tcW w:w="1304" w:type="dxa"/>
            <w:vAlign w:val="center"/>
          </w:tcPr>
          <w:p>
            <w:pPr>
              <w:pStyle w:val="8"/>
              <w:bidi w:val="0"/>
            </w:pPr>
            <w:r>
              <w:t>H</w:t>
            </w:r>
            <w:r>
              <w:rPr>
                <w:vertAlign w:val="subscript"/>
              </w:rPr>
              <w:t>2</w:t>
            </w:r>
            <w: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29" w:type="dxa"/>
            <w:vMerge w:val="restart"/>
            <w:vAlign w:val="center"/>
          </w:tcPr>
          <w:p>
            <w:pPr>
              <w:pStyle w:val="8"/>
              <w:bidi w:val="0"/>
            </w:pPr>
            <w:r>
              <w:t>面源</w:t>
            </w:r>
          </w:p>
        </w:tc>
        <w:tc>
          <w:tcPr>
            <w:tcW w:w="2513" w:type="dxa"/>
            <w:vAlign w:val="center"/>
          </w:tcPr>
          <w:p>
            <w:pPr>
              <w:pStyle w:val="8"/>
              <w:bidi w:val="0"/>
            </w:pPr>
            <w:r>
              <w:rPr>
                <w:rFonts w:hint="eastAsia"/>
              </w:rPr>
              <w:t>猪舍</w:t>
            </w:r>
          </w:p>
        </w:tc>
        <w:tc>
          <w:tcPr>
            <w:tcW w:w="1294"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 xml:space="preserve">12.1087 </w:t>
            </w:r>
          </w:p>
        </w:tc>
        <w:tc>
          <w:tcPr>
            <w:tcW w:w="1213"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 xml:space="preserve">2.1497 </w:t>
            </w:r>
          </w:p>
        </w:tc>
        <w:tc>
          <w:tcPr>
            <w:tcW w:w="1325" w:type="dxa"/>
            <w:vAlign w:val="center"/>
          </w:tcPr>
          <w:p>
            <w:pPr>
              <w:pStyle w:val="8"/>
              <w:bidi w:val="0"/>
              <w:rPr>
                <w:rFonts w:hint="default"/>
                <w:lang w:val="en-US" w:eastAsia="zh-CN"/>
              </w:rPr>
            </w:pPr>
            <w:r>
              <w:rPr>
                <w:rFonts w:hint="eastAsia"/>
                <w:lang w:val="en-US" w:eastAsia="zh-CN"/>
              </w:rPr>
              <w:t>0.3633</w:t>
            </w:r>
          </w:p>
        </w:tc>
        <w:tc>
          <w:tcPr>
            <w:tcW w:w="1304" w:type="dxa"/>
            <w:vAlign w:val="center"/>
          </w:tcPr>
          <w:p>
            <w:pPr>
              <w:pStyle w:val="8"/>
              <w:bidi w:val="0"/>
              <w:rPr>
                <w:rFonts w:hint="default"/>
                <w:lang w:val="en-US" w:eastAsia="zh-CN"/>
              </w:rPr>
            </w:pPr>
            <w:r>
              <w:rPr>
                <w:rFonts w:hint="eastAsia"/>
                <w:lang w:val="en-US" w:eastAsia="zh-CN"/>
              </w:rPr>
              <w:t>0.0645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29" w:type="dxa"/>
            <w:vMerge w:val="continue"/>
            <w:vAlign w:val="center"/>
          </w:tcPr>
          <w:p>
            <w:pPr>
              <w:pStyle w:val="8"/>
              <w:bidi w:val="0"/>
            </w:pPr>
          </w:p>
        </w:tc>
        <w:tc>
          <w:tcPr>
            <w:tcW w:w="2513" w:type="dxa"/>
            <w:vAlign w:val="center"/>
          </w:tcPr>
          <w:p>
            <w:pPr>
              <w:pStyle w:val="8"/>
              <w:bidi w:val="0"/>
              <w:rPr>
                <w:rFonts w:hint="eastAsia" w:eastAsiaTheme="minorEastAsia"/>
                <w:lang w:eastAsia="zh-CN"/>
              </w:rPr>
            </w:pPr>
            <w:r>
              <w:rPr>
                <w:rFonts w:hint="eastAsia"/>
                <w:lang w:eastAsia="zh-CN"/>
              </w:rPr>
              <w:t>堆粪棚</w:t>
            </w:r>
          </w:p>
        </w:tc>
        <w:tc>
          <w:tcPr>
            <w:tcW w:w="1294"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0.0038</w:t>
            </w:r>
          </w:p>
        </w:tc>
        <w:tc>
          <w:tcPr>
            <w:tcW w:w="1213"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0.0006</w:t>
            </w:r>
          </w:p>
        </w:tc>
        <w:tc>
          <w:tcPr>
            <w:tcW w:w="1325" w:type="dxa"/>
            <w:vAlign w:val="center"/>
          </w:tcPr>
          <w:p>
            <w:pPr>
              <w:pStyle w:val="8"/>
              <w:bidi w:val="0"/>
              <w:rPr>
                <w:rFonts w:hint="default"/>
                <w:lang w:val="en-US" w:eastAsia="zh-CN"/>
              </w:rPr>
            </w:pPr>
            <w:r>
              <w:rPr>
                <w:rFonts w:hint="eastAsia"/>
                <w:lang w:val="en-US" w:eastAsia="zh-CN"/>
              </w:rPr>
              <w:t>0.0008</w:t>
            </w:r>
          </w:p>
        </w:tc>
        <w:tc>
          <w:tcPr>
            <w:tcW w:w="1304" w:type="dxa"/>
            <w:vAlign w:val="center"/>
          </w:tcPr>
          <w:p>
            <w:pPr>
              <w:pStyle w:val="8"/>
              <w:bidi w:val="0"/>
              <w:rPr>
                <w:rFonts w:hint="default"/>
                <w:lang w:val="en-US" w:eastAsia="zh-CN"/>
              </w:rPr>
            </w:pPr>
            <w:r>
              <w:rPr>
                <w:rFonts w:hint="eastAsia"/>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29" w:type="dxa"/>
            <w:vMerge w:val="continue"/>
            <w:vAlign w:val="center"/>
          </w:tcPr>
          <w:p>
            <w:pPr>
              <w:pStyle w:val="8"/>
              <w:bidi w:val="0"/>
            </w:pPr>
          </w:p>
        </w:tc>
        <w:tc>
          <w:tcPr>
            <w:tcW w:w="2513" w:type="dxa"/>
            <w:vAlign w:val="center"/>
          </w:tcPr>
          <w:p>
            <w:pPr>
              <w:pStyle w:val="8"/>
              <w:bidi w:val="0"/>
              <w:rPr>
                <w:rFonts w:hint="eastAsia" w:eastAsiaTheme="minorEastAsia"/>
                <w:lang w:eastAsia="zh-CN"/>
              </w:rPr>
            </w:pPr>
            <w:r>
              <w:rPr>
                <w:rFonts w:hint="eastAsia"/>
              </w:rPr>
              <w:t>集污池</w:t>
            </w:r>
            <w:r>
              <w:rPr>
                <w:rFonts w:hint="eastAsia"/>
                <w:lang w:eastAsia="zh-CN"/>
              </w:rPr>
              <w:t>、发酵系统</w:t>
            </w:r>
          </w:p>
        </w:tc>
        <w:tc>
          <w:tcPr>
            <w:tcW w:w="1294" w:type="dxa"/>
            <w:vAlign w:val="center"/>
          </w:tcPr>
          <w:p>
            <w:pPr>
              <w:pStyle w:val="8"/>
              <w:bidi w:val="0"/>
              <w:rPr>
                <w:rFonts w:hint="default" w:eastAsiaTheme="minorEastAsia"/>
                <w:lang w:val="en-US" w:eastAsia="zh-CN"/>
              </w:rPr>
            </w:pPr>
            <w:r>
              <w:rPr>
                <w:rFonts w:hint="eastAsia"/>
                <w:lang w:val="en-US" w:eastAsia="zh-CN"/>
              </w:rPr>
              <w:t>5.727</w:t>
            </w:r>
          </w:p>
        </w:tc>
        <w:tc>
          <w:tcPr>
            <w:tcW w:w="1213" w:type="dxa"/>
            <w:vAlign w:val="center"/>
          </w:tcPr>
          <w:p>
            <w:pPr>
              <w:pStyle w:val="8"/>
              <w:bidi w:val="0"/>
              <w:rPr>
                <w:rFonts w:hint="default" w:eastAsiaTheme="minorEastAsia"/>
                <w:lang w:val="en-US" w:eastAsia="zh-CN"/>
              </w:rPr>
            </w:pPr>
            <w:r>
              <w:rPr>
                <w:rFonts w:hint="eastAsia"/>
                <w:lang w:val="en-US" w:eastAsia="zh-CN"/>
              </w:rPr>
              <w:t>0.229</w:t>
            </w:r>
          </w:p>
        </w:tc>
        <w:tc>
          <w:tcPr>
            <w:tcW w:w="1325" w:type="dxa"/>
            <w:vAlign w:val="center"/>
          </w:tcPr>
          <w:p>
            <w:pPr>
              <w:pStyle w:val="8"/>
              <w:bidi w:val="0"/>
              <w:rPr>
                <w:rFonts w:hint="default"/>
                <w:lang w:val="en-US" w:eastAsia="zh-CN"/>
              </w:rPr>
            </w:pPr>
            <w:r>
              <w:rPr>
                <w:rFonts w:hint="eastAsia"/>
                <w:lang w:val="en-US" w:eastAsia="zh-CN"/>
              </w:rPr>
              <w:t>1.1454</w:t>
            </w:r>
          </w:p>
        </w:tc>
        <w:tc>
          <w:tcPr>
            <w:tcW w:w="1304" w:type="dxa"/>
            <w:vAlign w:val="center"/>
          </w:tcPr>
          <w:p>
            <w:pPr>
              <w:pStyle w:val="8"/>
              <w:bidi w:val="0"/>
              <w:rPr>
                <w:rFonts w:hint="default"/>
                <w:lang w:val="en-US" w:eastAsia="zh-CN"/>
              </w:rPr>
            </w:pPr>
            <w:r>
              <w:rPr>
                <w:rFonts w:hint="eastAsia"/>
                <w:lang w:val="en-US" w:eastAsia="zh-CN"/>
              </w:rPr>
              <w:t>0.0458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129" w:type="dxa"/>
            <w:vMerge w:val="continue"/>
            <w:vAlign w:val="center"/>
          </w:tcPr>
          <w:p>
            <w:pPr>
              <w:pStyle w:val="8"/>
              <w:bidi w:val="0"/>
            </w:pPr>
          </w:p>
        </w:tc>
        <w:tc>
          <w:tcPr>
            <w:tcW w:w="2513" w:type="dxa"/>
            <w:vAlign w:val="center"/>
          </w:tcPr>
          <w:p>
            <w:pPr>
              <w:pStyle w:val="8"/>
              <w:bidi w:val="0"/>
            </w:pPr>
            <w:r>
              <w:rPr>
                <w:rFonts w:hint="eastAsia"/>
                <w:lang w:eastAsia="zh-CN"/>
              </w:rPr>
              <w:t>合</w:t>
            </w:r>
            <w:r>
              <w:t>计</w:t>
            </w:r>
          </w:p>
        </w:tc>
        <w:tc>
          <w:tcPr>
            <w:tcW w:w="1294" w:type="dxa"/>
            <w:vAlign w:val="center"/>
          </w:tcPr>
          <w:p>
            <w:pPr>
              <w:pStyle w:val="8"/>
              <w:bidi w:val="0"/>
              <w:rPr>
                <w:rFonts w:hint="eastAsia"/>
                <w:lang w:val="en-US" w:eastAsia="zh-CN"/>
              </w:rPr>
            </w:pPr>
            <w:r>
              <w:rPr>
                <w:rFonts w:hint="eastAsia"/>
                <w:lang w:val="en-US" w:eastAsia="zh-CN"/>
              </w:rPr>
              <w:t>17.8395</w:t>
            </w:r>
          </w:p>
        </w:tc>
        <w:tc>
          <w:tcPr>
            <w:tcW w:w="1213" w:type="dxa"/>
            <w:vAlign w:val="center"/>
          </w:tcPr>
          <w:p>
            <w:pPr>
              <w:pStyle w:val="8"/>
              <w:bidi w:val="0"/>
              <w:rPr>
                <w:rFonts w:hint="default"/>
                <w:lang w:val="en-US" w:eastAsia="zh-CN"/>
              </w:rPr>
            </w:pPr>
            <w:r>
              <w:rPr>
                <w:rFonts w:hint="eastAsia"/>
                <w:lang w:val="en-US" w:eastAsia="zh-CN"/>
              </w:rPr>
              <w:t>2.3793</w:t>
            </w:r>
          </w:p>
        </w:tc>
        <w:tc>
          <w:tcPr>
            <w:tcW w:w="1325" w:type="dxa"/>
            <w:vAlign w:val="center"/>
          </w:tcPr>
          <w:p>
            <w:pPr>
              <w:pStyle w:val="8"/>
              <w:bidi w:val="0"/>
              <w:rPr>
                <w:rFonts w:hint="default"/>
                <w:lang w:val="en-US" w:eastAsia="zh-CN"/>
              </w:rPr>
            </w:pPr>
            <w:r>
              <w:rPr>
                <w:rFonts w:hint="eastAsia"/>
                <w:lang w:val="en-US" w:eastAsia="zh-CN"/>
              </w:rPr>
              <w:t>1.5095</w:t>
            </w:r>
          </w:p>
        </w:tc>
        <w:tc>
          <w:tcPr>
            <w:tcW w:w="1304" w:type="dxa"/>
            <w:vAlign w:val="center"/>
          </w:tcPr>
          <w:p>
            <w:pPr>
              <w:pStyle w:val="8"/>
              <w:bidi w:val="0"/>
              <w:rPr>
                <w:rFonts w:hint="default"/>
                <w:lang w:val="en-US" w:eastAsia="zh-CN"/>
              </w:rPr>
            </w:pPr>
            <w:r>
              <w:rPr>
                <w:rFonts w:hint="eastAsia"/>
                <w:lang w:val="en-US" w:eastAsia="zh-CN"/>
              </w:rPr>
              <w:t>0.1104</w:t>
            </w:r>
          </w:p>
        </w:tc>
      </w:tr>
    </w:tbl>
    <w:p>
      <w:r>
        <w:t>（</w:t>
      </w:r>
      <w:r>
        <w:rPr>
          <w:rFonts w:hint="eastAsia"/>
          <w:lang w:val="en-US" w:eastAsia="zh-CN"/>
        </w:rPr>
        <w:t>2</w:t>
      </w:r>
      <w:r>
        <w:t>）</w:t>
      </w:r>
      <w:r>
        <w:rPr>
          <w:rFonts w:hint="eastAsia"/>
        </w:rPr>
        <w:t>发电机烟气</w:t>
      </w:r>
    </w:p>
    <w:p>
      <w:r>
        <w:t>项目建成后，</w:t>
      </w:r>
      <w:r>
        <w:rPr>
          <w:rFonts w:hint="eastAsia"/>
        </w:rPr>
        <w:t>各</w:t>
      </w:r>
      <w:r>
        <w:t>采用</w:t>
      </w:r>
      <w:r>
        <w:rPr>
          <w:rFonts w:hint="eastAsia"/>
          <w:lang w:val="en-US" w:eastAsia="zh-CN"/>
        </w:rPr>
        <w:t>2</w:t>
      </w:r>
      <w:r>
        <w:t>台功率为200KW的备用柴油发电机作为备用电源供电，澧县</w:t>
      </w:r>
      <w:r>
        <w:rPr>
          <w:rFonts w:hint="eastAsia"/>
          <w:lang w:eastAsia="zh-CN"/>
        </w:rPr>
        <w:t>澧南镇</w:t>
      </w:r>
      <w:r>
        <w:t>供电比较正常，备用发电机使用次数不多，</w:t>
      </w:r>
      <w:r>
        <w:rPr>
          <w:rFonts w:hint="eastAsia"/>
        </w:rPr>
        <w:t>柴油发电机工作时，排放的污染物主要为：烟尘、</w:t>
      </w:r>
      <w:r>
        <w:t>NO</w:t>
      </w:r>
      <w:r>
        <w:rPr>
          <w:vertAlign w:val="subscript"/>
        </w:rPr>
        <w:t>X</w:t>
      </w:r>
      <w:r>
        <w:t>、CO及SO</w:t>
      </w:r>
      <w:r>
        <w:rPr>
          <w:vertAlign w:val="subscript"/>
        </w:rPr>
        <w:t>2</w:t>
      </w:r>
      <w:r>
        <w:t>。项目发电机使用时间不</w:t>
      </w:r>
      <w:r>
        <w:rPr>
          <w:rFonts w:hint="eastAsia"/>
        </w:rPr>
        <w:t>确</w:t>
      </w:r>
      <w:r>
        <w:t>定，本次评价将不进行定量分析。</w:t>
      </w:r>
    </w:p>
    <w:p>
      <w:r>
        <w:rPr>
          <w:rFonts w:hint="eastAsia"/>
          <w:lang w:eastAsia="zh-CN"/>
        </w:rPr>
        <w:t>（</w:t>
      </w:r>
      <w:r>
        <w:rPr>
          <w:rFonts w:hint="eastAsia"/>
          <w:lang w:val="en-US" w:eastAsia="zh-CN"/>
        </w:rPr>
        <w:t>3</w:t>
      </w:r>
      <w:r>
        <w:rPr>
          <w:rFonts w:hint="eastAsia"/>
          <w:lang w:eastAsia="zh-CN"/>
        </w:rPr>
        <w:t>）</w:t>
      </w:r>
      <w:r>
        <w:rPr>
          <w:rFonts w:hint="eastAsia"/>
        </w:rPr>
        <w:t>食堂油烟</w:t>
      </w:r>
    </w:p>
    <w:p>
      <w:r>
        <w:rPr>
          <w:rFonts w:hint="eastAsia"/>
        </w:rPr>
        <w:t>本项目厨房采用液化石油气为燃料，为清洁能源，厨房废气主要为厨房油烟。食物在烹饪、加工过程中将挥发出油脂、有机质及热分解或裂解产物，产生油烟废气。</w:t>
      </w:r>
      <w:r>
        <w:t>人均食用油用量约30g/人•d。本项目每天就餐人数约</w:t>
      </w:r>
      <w:r>
        <w:rPr>
          <w:rFonts w:hint="eastAsia"/>
          <w:lang w:val="en-US" w:eastAsia="zh-CN"/>
        </w:rPr>
        <w:t>49</w:t>
      </w:r>
      <w:r>
        <w:rPr>
          <w:rFonts w:hint="eastAsia"/>
        </w:rPr>
        <w:t>人</w:t>
      </w:r>
      <w:r>
        <w:t>，则项目日耗油量为</w:t>
      </w:r>
      <w:r>
        <w:rPr>
          <w:rFonts w:hint="eastAsia"/>
          <w:lang w:val="en-US" w:eastAsia="zh-CN"/>
        </w:rPr>
        <w:t>1.47</w:t>
      </w:r>
      <w:r>
        <w:t>kg/d，年耗油为</w:t>
      </w:r>
      <w:r>
        <w:rPr>
          <w:rFonts w:hint="eastAsia"/>
          <w:lang w:val="en-US" w:eastAsia="zh-CN"/>
        </w:rPr>
        <w:t>536.55kg</w:t>
      </w:r>
      <w:r>
        <w:t>，油烟挥发量</w:t>
      </w:r>
      <w:r>
        <w:rPr>
          <w:rFonts w:hint="eastAsia"/>
        </w:rPr>
        <w:t>一般为食用油用量的2%-4%，本项目取最大值</w:t>
      </w:r>
      <w:r>
        <w:rPr>
          <w:rFonts w:hint="eastAsia"/>
          <w:lang w:val="en-US" w:eastAsia="zh-CN"/>
        </w:rPr>
        <w:t>3</w:t>
      </w:r>
      <w:r>
        <w:t>%，经估算，项目日产生油烟量为</w:t>
      </w:r>
      <w:r>
        <w:rPr>
          <w:rFonts w:hint="eastAsia"/>
          <w:lang w:val="en-US" w:eastAsia="zh-CN"/>
        </w:rPr>
        <w:t>44.1</w:t>
      </w:r>
      <w:r>
        <w:t>g/d，年产生油烟量为</w:t>
      </w:r>
      <w:r>
        <w:rPr>
          <w:rFonts w:hint="eastAsia"/>
          <w:lang w:val="en-US" w:eastAsia="zh-CN"/>
        </w:rPr>
        <w:t>16.09</w:t>
      </w:r>
      <w:r>
        <w:t>kg/a</w:t>
      </w:r>
      <w:r>
        <w:rPr>
          <w:rFonts w:hint="eastAsia"/>
        </w:rPr>
        <w:t>，</w:t>
      </w:r>
      <w:r>
        <w:t>抽烟机风量以</w:t>
      </w:r>
      <w:r>
        <w:rPr>
          <w:rFonts w:hint="eastAsia"/>
          <w:lang w:val="en-US" w:eastAsia="zh-CN"/>
        </w:rPr>
        <w:t>3</w:t>
      </w:r>
      <w:r>
        <w:t>000m</w:t>
      </w:r>
      <w:r>
        <w:rPr>
          <w:vertAlign w:val="superscript"/>
        </w:rPr>
        <w:t>3</w:t>
      </w:r>
      <w:r>
        <w:t>/h计，</w:t>
      </w:r>
      <w:r>
        <w:rPr>
          <w:rFonts w:hint="eastAsia"/>
        </w:rPr>
        <w:t>每天工作</w:t>
      </w:r>
      <w:r>
        <w:rPr>
          <w:rFonts w:hint="eastAsia"/>
          <w:lang w:val="en-US" w:eastAsia="zh-CN"/>
        </w:rPr>
        <w:t>3</w:t>
      </w:r>
      <w:r>
        <w:t>h</w:t>
      </w:r>
      <w:r>
        <w:rPr>
          <w:rFonts w:hint="eastAsia"/>
        </w:rPr>
        <w:t>，年工作365天，则油烟的产生浓度为</w:t>
      </w:r>
      <w:r>
        <w:rPr>
          <w:rFonts w:hint="eastAsia"/>
          <w:lang w:val="en-US" w:eastAsia="zh-CN"/>
        </w:rPr>
        <w:t>4.9</w:t>
      </w:r>
      <w:r>
        <w:t>mg/m</w:t>
      </w:r>
      <w:r>
        <w:rPr>
          <w:vertAlign w:val="superscript"/>
        </w:rPr>
        <w:t>3</w:t>
      </w:r>
      <w:r>
        <w:t>。</w:t>
      </w:r>
    </w:p>
    <w:p>
      <w:r>
        <w:t>治理措施：安装油烟去除率不低于8</w:t>
      </w:r>
      <w:r>
        <w:rPr>
          <w:rFonts w:hint="eastAsia"/>
          <w:lang w:val="en-US" w:eastAsia="zh-CN"/>
        </w:rPr>
        <w:t>0</w:t>
      </w:r>
      <w:r>
        <w:t>%的油烟净化器，</w:t>
      </w:r>
      <w:r>
        <w:rPr>
          <w:rFonts w:hint="eastAsia"/>
        </w:rPr>
        <w:t>则项目油烟</w:t>
      </w:r>
      <w:r>
        <w:t>排放浓度</w:t>
      </w:r>
      <w:r>
        <w:rPr>
          <w:rFonts w:hint="eastAsia"/>
        </w:rPr>
        <w:t>为：</w:t>
      </w:r>
      <w:r>
        <w:rPr>
          <w:rFonts w:hint="eastAsia"/>
          <w:lang w:val="en-US" w:eastAsia="zh-CN"/>
        </w:rPr>
        <w:t>0.98</w:t>
      </w:r>
      <w:r>
        <w:t>mg/m</w:t>
      </w:r>
      <w:r>
        <w:rPr>
          <w:vertAlign w:val="superscript"/>
        </w:rPr>
        <w:t>3</w:t>
      </w:r>
      <w:r>
        <w:rPr>
          <w:rFonts w:hint="eastAsia"/>
        </w:rPr>
        <w:t>，排放量为：0.00</w:t>
      </w:r>
      <w:r>
        <w:rPr>
          <w:rFonts w:hint="eastAsia"/>
          <w:lang w:val="en-US" w:eastAsia="zh-CN"/>
        </w:rPr>
        <w:t>3</w:t>
      </w:r>
      <w:r>
        <w:rPr>
          <w:rFonts w:hint="eastAsia"/>
        </w:rPr>
        <w:t>t/a。</w:t>
      </w:r>
      <w:r>
        <w:t>经净化后的食堂烟气从专用烟道排出。</w:t>
      </w:r>
    </w:p>
    <w:p>
      <w:r>
        <w:rPr>
          <w:rFonts w:hint="eastAsia"/>
        </w:rPr>
        <w:t>（</w:t>
      </w:r>
      <w:r>
        <w:rPr>
          <w:rFonts w:hint="eastAsia"/>
          <w:lang w:val="en-US" w:eastAsia="zh-CN"/>
        </w:rPr>
        <w:t>4</w:t>
      </w:r>
      <w:r>
        <w:rPr>
          <w:rFonts w:hint="eastAsia"/>
        </w:rPr>
        <w:t>）</w:t>
      </w:r>
      <w:r>
        <w:rPr>
          <w:rFonts w:hint="eastAsia"/>
          <w:lang w:eastAsia="zh-CN"/>
        </w:rPr>
        <w:t>厌氧发酵</w:t>
      </w:r>
      <w:r>
        <w:rPr>
          <w:rFonts w:hint="eastAsia"/>
          <w:lang w:val="en-US" w:eastAsia="zh-CN"/>
        </w:rPr>
        <w:t>+AO组合池废水处理</w:t>
      </w:r>
      <w:r>
        <w:rPr>
          <w:rFonts w:hint="eastAsia"/>
          <w:lang w:eastAsia="zh-CN"/>
        </w:rPr>
        <w:t>系统</w:t>
      </w:r>
    </w:p>
    <w:p>
      <w:r>
        <w:rPr>
          <w:rFonts w:hint="eastAsia"/>
          <w:lang w:eastAsia="zh-CN"/>
        </w:rPr>
        <w:t>项目配备厌氧发酵</w:t>
      </w:r>
      <w:r>
        <w:rPr>
          <w:rFonts w:hint="eastAsia"/>
          <w:lang w:val="en-US" w:eastAsia="zh-CN"/>
        </w:rPr>
        <w:t>罐</w:t>
      </w:r>
      <w:r>
        <w:rPr>
          <w:rFonts w:hint="eastAsia"/>
          <w:lang w:eastAsia="zh-CN"/>
        </w:rPr>
        <w:t>处理厂区污水，厂区污水经自流进入格栅集污池，集污池内的粪污经干湿分离后进入厌氧发酵</w:t>
      </w:r>
      <w:r>
        <w:rPr>
          <w:rFonts w:hint="eastAsia"/>
          <w:lang w:val="en-US" w:eastAsia="zh-CN"/>
        </w:rPr>
        <w:t>罐</w:t>
      </w:r>
      <w:r>
        <w:rPr>
          <w:rFonts w:hint="eastAsia"/>
          <w:lang w:eastAsia="zh-CN"/>
        </w:rPr>
        <w:t>发酵，</w:t>
      </w:r>
      <w:r>
        <w:rPr>
          <w:rFonts w:hint="eastAsia"/>
          <w:lang w:val="en-US" w:eastAsia="zh-CN"/>
        </w:rPr>
        <w:t>厌氧发酵后进入AO组合池，处理后进入沼液塘</w:t>
      </w:r>
      <w:r>
        <w:rPr>
          <w:rFonts w:hint="eastAsia"/>
          <w:lang w:eastAsia="zh-CN"/>
        </w:rPr>
        <w:t>。</w:t>
      </w:r>
      <w:r>
        <w:t>厌氧发酵</w:t>
      </w:r>
      <w:r>
        <w:rPr>
          <w:rFonts w:hint="eastAsia"/>
          <w:lang w:val="en-US" w:eastAsia="zh-CN"/>
        </w:rPr>
        <w:t>罐</w:t>
      </w:r>
      <w:r>
        <w:rPr>
          <w:rFonts w:hint="eastAsia"/>
          <w:lang w:eastAsia="zh-CN"/>
        </w:rPr>
        <w:t>有效容积</w:t>
      </w:r>
      <w:r>
        <w:rPr>
          <w:rFonts w:hint="eastAsia"/>
          <w:lang w:val="en-US" w:eastAsia="zh-CN"/>
        </w:rPr>
        <w:t>40</w:t>
      </w:r>
      <w:r>
        <w:t>0m</w:t>
      </w:r>
      <w:r>
        <w:rPr>
          <w:vertAlign w:val="superscript"/>
        </w:rPr>
        <w:t>3</w:t>
      </w:r>
      <w:r>
        <w:t>，</w:t>
      </w:r>
      <w:r>
        <w:rPr>
          <w:rFonts w:hint="eastAsia"/>
        </w:rPr>
        <w:t>沼液贮存池</w:t>
      </w:r>
      <w:r>
        <w:rPr>
          <w:rFonts w:hint="eastAsia"/>
          <w:lang w:val="en-US" w:eastAsia="zh-CN"/>
        </w:rPr>
        <w:t>12000</w:t>
      </w:r>
      <w:r>
        <w:t>m</w:t>
      </w:r>
      <w:r>
        <w:rPr>
          <w:vertAlign w:val="superscript"/>
        </w:rPr>
        <w:t>3</w:t>
      </w:r>
      <w:r>
        <w:rPr>
          <w:rFonts w:hint="eastAsia"/>
        </w:rPr>
        <w:t>，沼气</w:t>
      </w:r>
      <w:r>
        <w:rPr>
          <w:rFonts w:hint="eastAsia"/>
          <w:lang w:eastAsia="zh-CN"/>
        </w:rPr>
        <w:t>经</w:t>
      </w:r>
      <w:r>
        <w:t>净化</w:t>
      </w:r>
      <w:r>
        <w:rPr>
          <w:rFonts w:hint="eastAsia"/>
          <w:lang w:eastAsia="zh-CN"/>
        </w:rPr>
        <w:t>后燃烧高空排放</w:t>
      </w:r>
      <w:r>
        <w:t>。</w:t>
      </w:r>
    </w:p>
    <w:p>
      <w:r>
        <w:rPr>
          <w:rFonts w:hint="eastAsia" w:ascii="宋体" w:hAnsi="宋体" w:eastAsia="宋体" w:cs="宋体"/>
          <w:lang w:eastAsia="zh-CN"/>
        </w:rPr>
        <w:t>①</w:t>
      </w:r>
      <w:r>
        <w:t>沼气的产生</w:t>
      </w:r>
    </w:p>
    <w:p>
      <w:r>
        <w:t>项目运营后，</w:t>
      </w:r>
      <w:r>
        <w:rPr>
          <w:rFonts w:hint="eastAsia"/>
          <w:lang w:eastAsia="zh-CN"/>
        </w:rPr>
        <w:t>项目</w:t>
      </w:r>
      <w:r>
        <w:t>猪舍及粪铲冲洗废水、猪尿和员工生活废水经过厌氧发酵产生沼气。</w:t>
      </w:r>
      <w:r>
        <w:rPr>
          <w:rFonts w:hint="eastAsia"/>
          <w:lang w:eastAsia="zh-CN"/>
        </w:rPr>
        <w:t>项目废水</w:t>
      </w:r>
      <w:r>
        <w:rPr>
          <w:rFonts w:hint="eastAsia"/>
          <w:lang w:val="en-US" w:eastAsia="zh-CN"/>
        </w:rPr>
        <w:t>COD的产生量约35.409t/a，</w:t>
      </w:r>
      <w:r>
        <w:rPr>
          <w:rFonts w:hint="eastAsia"/>
          <w:lang w:eastAsia="zh-CN"/>
        </w:rPr>
        <w:t>厌氧罐</w:t>
      </w:r>
      <w:r>
        <w:t>COD去除效率约为70%，则</w:t>
      </w:r>
      <w:r>
        <w:rPr>
          <w:rFonts w:hint="eastAsia"/>
          <w:lang w:eastAsia="zh-CN"/>
        </w:rPr>
        <w:t>厌氧罐</w:t>
      </w:r>
      <w:r>
        <w:t>中COD去除量为</w:t>
      </w:r>
      <w:r>
        <w:rPr>
          <w:rFonts w:hint="eastAsia"/>
          <w:lang w:val="en-US" w:eastAsia="zh-CN"/>
        </w:rPr>
        <w:t>24.786</w:t>
      </w:r>
      <w:r>
        <w:t>t/</w:t>
      </w:r>
      <w:r>
        <w:rPr>
          <w:rFonts w:hint="eastAsia"/>
          <w:lang w:val="en-US" w:eastAsia="zh-CN"/>
        </w:rPr>
        <w:t>a（0.068</w:t>
      </w:r>
      <w:r>
        <w:t>t/</w:t>
      </w:r>
      <w:r>
        <w:rPr>
          <w:rFonts w:hint="eastAsia"/>
          <w:lang w:val="en-US" w:eastAsia="zh-CN"/>
        </w:rPr>
        <w:t>d）</w:t>
      </w:r>
      <w:r>
        <w:t>，</w:t>
      </w:r>
      <w:r>
        <w:rPr>
          <w:rFonts w:hint="eastAsia"/>
        </w:rPr>
        <w:t>根据《规模化畜禽养殖场沼气工程设计规范》（NY/T1222-2006）</w:t>
      </w:r>
      <w:r>
        <w:rPr>
          <w:rFonts w:hint="eastAsia"/>
          <w:lang w:eastAsia="zh-CN"/>
        </w:rPr>
        <w:t>甲烷产生率为</w:t>
      </w:r>
      <w:r>
        <w:rPr>
          <w:rFonts w:hint="eastAsia"/>
          <w:lang w:val="en-US" w:eastAsia="zh-CN"/>
        </w:rPr>
        <w:t>0.35</w:t>
      </w:r>
      <w:r>
        <w:t>m</w:t>
      </w:r>
      <w:r>
        <w:rPr>
          <w:vertAlign w:val="superscript"/>
        </w:rPr>
        <w:t>3</w:t>
      </w:r>
      <w:r>
        <w:t>/kgCOD，沼气产生率为0.5</w:t>
      </w:r>
      <w:r>
        <w:rPr>
          <w:rFonts w:hint="eastAsia"/>
          <w:lang w:val="en-US" w:eastAsia="zh-CN"/>
        </w:rPr>
        <w:t>7</w:t>
      </w:r>
      <w:r>
        <w:t>m</w:t>
      </w:r>
      <w:r>
        <w:rPr>
          <w:vertAlign w:val="superscript"/>
        </w:rPr>
        <w:t>3</w:t>
      </w:r>
      <w:r>
        <w:t>/kgCOD，则本项目沼气产生量为</w:t>
      </w:r>
      <w:r>
        <w:rPr>
          <w:rFonts w:hint="eastAsia"/>
          <w:lang w:val="en-US" w:eastAsia="zh-CN"/>
        </w:rPr>
        <w:t>38.76</w:t>
      </w:r>
      <w:r>
        <w:t>m</w:t>
      </w:r>
      <w:r>
        <w:rPr>
          <w:vertAlign w:val="superscript"/>
        </w:rPr>
        <w:t>3</w:t>
      </w:r>
      <w:r>
        <w:t>/d（</w:t>
      </w:r>
      <w:r>
        <w:rPr>
          <w:rFonts w:hint="eastAsia"/>
          <w:lang w:val="en-US" w:eastAsia="zh-CN"/>
        </w:rPr>
        <w:t>14147.4</w:t>
      </w:r>
      <w:r>
        <w:t>m</w:t>
      </w:r>
      <w:r>
        <w:rPr>
          <w:vertAlign w:val="superscript"/>
        </w:rPr>
        <w:t>3</w:t>
      </w:r>
      <w:r>
        <w:t>/a）。本项目产生的沼气成分见表</w:t>
      </w:r>
      <w:r>
        <w:rPr>
          <w:rFonts w:hint="eastAsia"/>
          <w:lang w:val="en-US" w:eastAsia="zh-CN"/>
        </w:rPr>
        <w:t>2.4-9</w:t>
      </w:r>
      <w:r>
        <w:t>。</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9</w:t>
      </w:r>
      <w:r>
        <w:fldChar w:fldCharType="end"/>
      </w:r>
      <w:r>
        <w:rPr>
          <w:rFonts w:hint="eastAsia"/>
          <w:lang w:val="en-US" w:eastAsia="zh-CN"/>
        </w:rPr>
        <w:t xml:space="preserve">  </w:t>
      </w:r>
      <w:r>
        <w:t>沼气成分</w:t>
      </w:r>
    </w:p>
    <w:tbl>
      <w:tblPr>
        <w:tblStyle w:val="17"/>
        <w:tblW w:w="9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1341"/>
        <w:gridCol w:w="1341"/>
        <w:gridCol w:w="750"/>
        <w:gridCol w:w="750"/>
        <w:gridCol w:w="941"/>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344" w:type="dxa"/>
            <w:shd w:val="clear" w:color="auto" w:fill="auto"/>
          </w:tcPr>
          <w:p>
            <w:pPr>
              <w:pStyle w:val="8"/>
              <w:bidi w:val="0"/>
            </w:pPr>
            <w:r>
              <w:t>成分</w:t>
            </w:r>
          </w:p>
        </w:tc>
        <w:tc>
          <w:tcPr>
            <w:tcW w:w="1341" w:type="dxa"/>
            <w:shd w:val="clear" w:color="auto" w:fill="auto"/>
          </w:tcPr>
          <w:p>
            <w:pPr>
              <w:pStyle w:val="8"/>
              <w:bidi w:val="0"/>
            </w:pPr>
            <w:r>
              <w:t>CH</w:t>
            </w:r>
            <w:r>
              <w:rPr>
                <w:vertAlign w:val="subscript"/>
              </w:rPr>
              <w:t>4</w:t>
            </w:r>
          </w:p>
        </w:tc>
        <w:tc>
          <w:tcPr>
            <w:tcW w:w="1341" w:type="dxa"/>
            <w:shd w:val="clear" w:color="auto" w:fill="auto"/>
          </w:tcPr>
          <w:p>
            <w:pPr>
              <w:pStyle w:val="8"/>
              <w:bidi w:val="0"/>
            </w:pPr>
            <w:r>
              <w:t>CO</w:t>
            </w:r>
            <w:r>
              <w:rPr>
                <w:vertAlign w:val="subscript"/>
              </w:rPr>
              <w:t>2</w:t>
            </w:r>
          </w:p>
        </w:tc>
        <w:tc>
          <w:tcPr>
            <w:tcW w:w="750" w:type="dxa"/>
            <w:shd w:val="clear" w:color="auto" w:fill="auto"/>
          </w:tcPr>
          <w:p>
            <w:pPr>
              <w:pStyle w:val="8"/>
              <w:bidi w:val="0"/>
            </w:pPr>
            <w:r>
              <w:t>N</w:t>
            </w:r>
            <w:r>
              <w:rPr>
                <w:vertAlign w:val="subscript"/>
              </w:rPr>
              <w:t>2</w:t>
            </w:r>
          </w:p>
        </w:tc>
        <w:tc>
          <w:tcPr>
            <w:tcW w:w="750" w:type="dxa"/>
            <w:shd w:val="clear" w:color="auto" w:fill="auto"/>
          </w:tcPr>
          <w:p>
            <w:pPr>
              <w:pStyle w:val="8"/>
              <w:bidi w:val="0"/>
            </w:pPr>
            <w:r>
              <w:t>H</w:t>
            </w:r>
            <w:r>
              <w:rPr>
                <w:vertAlign w:val="subscript"/>
              </w:rPr>
              <w:t>2</w:t>
            </w:r>
          </w:p>
        </w:tc>
        <w:tc>
          <w:tcPr>
            <w:tcW w:w="941" w:type="dxa"/>
            <w:shd w:val="clear" w:color="auto" w:fill="auto"/>
          </w:tcPr>
          <w:p>
            <w:pPr>
              <w:pStyle w:val="8"/>
              <w:bidi w:val="0"/>
            </w:pPr>
            <w:r>
              <w:t>O</w:t>
            </w:r>
            <w:r>
              <w:rPr>
                <w:vertAlign w:val="subscript"/>
              </w:rPr>
              <w:t>2</w:t>
            </w:r>
          </w:p>
        </w:tc>
        <w:tc>
          <w:tcPr>
            <w:tcW w:w="1669" w:type="dxa"/>
            <w:shd w:val="clear" w:color="auto" w:fill="auto"/>
          </w:tcPr>
          <w:p>
            <w:pPr>
              <w:pStyle w:val="8"/>
              <w:bidi w:val="0"/>
            </w:pPr>
            <w:r>
              <w:t>H</w:t>
            </w:r>
            <w:r>
              <w:rPr>
                <w:vertAlign w:val="subscript"/>
              </w:rPr>
              <w:t>2</w:t>
            </w:r>
            <w: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344" w:type="dxa"/>
            <w:shd w:val="clear" w:color="auto" w:fill="auto"/>
          </w:tcPr>
          <w:p>
            <w:pPr>
              <w:pStyle w:val="8"/>
              <w:bidi w:val="0"/>
            </w:pPr>
            <w:r>
              <w:t>含量（体积分数）</w:t>
            </w:r>
          </w:p>
        </w:tc>
        <w:tc>
          <w:tcPr>
            <w:tcW w:w="1341" w:type="dxa"/>
            <w:shd w:val="clear" w:color="auto" w:fill="auto"/>
          </w:tcPr>
          <w:p>
            <w:pPr>
              <w:pStyle w:val="8"/>
              <w:bidi w:val="0"/>
            </w:pPr>
            <w:r>
              <w:t>50%~80%</w:t>
            </w:r>
          </w:p>
        </w:tc>
        <w:tc>
          <w:tcPr>
            <w:tcW w:w="1341" w:type="dxa"/>
            <w:shd w:val="clear" w:color="auto" w:fill="auto"/>
          </w:tcPr>
          <w:p>
            <w:pPr>
              <w:pStyle w:val="8"/>
              <w:bidi w:val="0"/>
            </w:pPr>
            <w:r>
              <w:t>20%~40%</w:t>
            </w:r>
          </w:p>
        </w:tc>
        <w:tc>
          <w:tcPr>
            <w:tcW w:w="750" w:type="dxa"/>
            <w:shd w:val="clear" w:color="auto" w:fill="auto"/>
          </w:tcPr>
          <w:p>
            <w:pPr>
              <w:pStyle w:val="8"/>
              <w:bidi w:val="0"/>
            </w:pPr>
            <w:r>
              <w:t>&lt;5%</w:t>
            </w:r>
          </w:p>
        </w:tc>
        <w:tc>
          <w:tcPr>
            <w:tcW w:w="750" w:type="dxa"/>
            <w:shd w:val="clear" w:color="auto" w:fill="auto"/>
          </w:tcPr>
          <w:p>
            <w:pPr>
              <w:pStyle w:val="8"/>
              <w:bidi w:val="0"/>
            </w:pPr>
            <w:r>
              <w:t>&lt;1%</w:t>
            </w:r>
          </w:p>
        </w:tc>
        <w:tc>
          <w:tcPr>
            <w:tcW w:w="941" w:type="dxa"/>
            <w:shd w:val="clear" w:color="auto" w:fill="auto"/>
          </w:tcPr>
          <w:p>
            <w:pPr>
              <w:pStyle w:val="8"/>
              <w:bidi w:val="0"/>
            </w:pPr>
            <w:r>
              <w:t>&lt;0.4%</w:t>
            </w:r>
          </w:p>
        </w:tc>
        <w:tc>
          <w:tcPr>
            <w:tcW w:w="1669" w:type="dxa"/>
            <w:shd w:val="clear" w:color="auto" w:fill="auto"/>
          </w:tcPr>
          <w:p>
            <w:pPr>
              <w:pStyle w:val="8"/>
              <w:bidi w:val="0"/>
            </w:pPr>
            <w:r>
              <w:t>0.05%~0.1%</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t>②沼气脱硫</w:t>
      </w:r>
    </w:p>
    <w:p>
      <w:r>
        <w:t>有机物发酵时，由于微生物对蛋白质的分解会产生一定量的H</w:t>
      </w:r>
      <w:r>
        <w:rPr>
          <w:vertAlign w:val="subscript"/>
        </w:rPr>
        <w:t>2</w:t>
      </w:r>
      <w:r>
        <w:t>S气体进入沼气，其浓度范围一般在1-12g/m</w:t>
      </w:r>
      <w:r>
        <w:rPr>
          <w:vertAlign w:val="superscript"/>
        </w:rPr>
        <w:t>3</w:t>
      </w:r>
      <w:r>
        <w:t>，若不先进行处理，而是直接作为燃料燃烧，将会对周围环境造成一定危害，直接限制沼气的利用范围。此外，硫化氢是一种酸性气体对环境、设备、管道以及仪表等产生污染和腐蚀的影响，故无论是直接用于燃烧或沼气发电，为延长设备的使用寿命，在输气管路中必须安装脱硫器，对沼气进行必要的脱硫净化处理。根据《规模化畜禽养殖场沼气工程设计规范（NY/T 1222-2006）》，项目在对沼气进行净化时采用干法一级脱硫，即沼气中的硫化氢与活性物质氧化铁接触，生成硫化铁和亚硫化铁，然后含有硫化物的脱硫剂与空气中的氧接触，当有水存在时，铁的硫化物又转化为氧化铁和单体硫。该方法脱硫工艺结构简单、技术成熟可靠，造价低，脱硫效率达80%左右，能满足项目沼气的脱硫需要。</w:t>
      </w:r>
    </w:p>
    <w:p>
      <w:r>
        <w:t>③沼气燃烧废气产生情况</w:t>
      </w:r>
    </w:p>
    <w:p>
      <w:r>
        <w:rPr>
          <w:rFonts w:hint="eastAsia"/>
        </w:rPr>
        <w:t>本项目沼气经脱硫后</w:t>
      </w:r>
      <w:r>
        <w:rPr>
          <w:rFonts w:hint="eastAsia"/>
          <w:lang w:eastAsia="zh-CN"/>
        </w:rPr>
        <w:t>燃烧</w:t>
      </w:r>
      <w:r>
        <w:rPr>
          <w:rFonts w:hint="eastAsia"/>
        </w:rPr>
        <w:t>。</w:t>
      </w:r>
    </w:p>
    <w:p>
      <w:r>
        <w:rPr>
          <w:rFonts w:hint="eastAsia"/>
          <w:lang w:eastAsia="zh-CN"/>
        </w:rPr>
        <w:t>沼气</w:t>
      </w:r>
      <w:r>
        <w:t>燃烧时产生</w:t>
      </w:r>
      <w:r>
        <w:rPr>
          <w:rFonts w:hint="eastAsia"/>
          <w:lang w:eastAsia="zh-CN"/>
        </w:rPr>
        <w:t>的</w:t>
      </w:r>
      <w:r>
        <w:t>废气，主要污染物有SO</w:t>
      </w:r>
      <w:r>
        <w:rPr>
          <w:vertAlign w:val="subscript"/>
        </w:rPr>
        <w:t>2</w:t>
      </w:r>
      <w:r>
        <w:t>和NOx。</w:t>
      </w:r>
    </w:p>
    <w:p>
      <w:r>
        <w:t>本项目收集的沼气属清洁燃料，基本不含灰份，含有极少量N</w:t>
      </w:r>
      <w:r>
        <w:rPr>
          <w:vertAlign w:val="subscript"/>
        </w:rPr>
        <w:t>2</w:t>
      </w:r>
      <w:r>
        <w:t>和H</w:t>
      </w:r>
      <w:r>
        <w:rPr>
          <w:vertAlign w:val="subscript"/>
        </w:rPr>
        <w:t>2</w:t>
      </w:r>
      <w:r>
        <w:t>S。根据四川省化学研究所测定的数据，沼气CH</w:t>
      </w:r>
      <w:r>
        <w:rPr>
          <w:vertAlign w:val="subscript"/>
        </w:rPr>
        <w:t>4</w:t>
      </w:r>
      <w:r>
        <w:t>含量为61.9%、CO</w:t>
      </w:r>
      <w:r>
        <w:rPr>
          <w:vertAlign w:val="subscript"/>
        </w:rPr>
        <w:t>2</w:t>
      </w:r>
      <w:r>
        <w:t>含量为35.77%、H</w:t>
      </w:r>
      <w:r>
        <w:rPr>
          <w:vertAlign w:val="subscript"/>
        </w:rPr>
        <w:t>2</w:t>
      </w:r>
      <w:r>
        <w:t>S含量为0.034%、N</w:t>
      </w:r>
      <w:r>
        <w:rPr>
          <w:vertAlign w:val="subscript"/>
        </w:rPr>
        <w:t>2</w:t>
      </w:r>
      <w:r>
        <w:t>1.88%、O</w:t>
      </w:r>
      <w:r>
        <w:rPr>
          <w:vertAlign w:val="subscript"/>
        </w:rPr>
        <w:t>2</w:t>
      </w:r>
      <w:r>
        <w:t>0.23%。以上均为体积百分比。CH</w:t>
      </w:r>
      <w:r>
        <w:rPr>
          <w:vertAlign w:val="subscript"/>
        </w:rPr>
        <w:t>4</w:t>
      </w:r>
      <w:r>
        <w:t>燃烧后变为CO</w:t>
      </w:r>
      <w:r>
        <w:rPr>
          <w:vertAlign w:val="subscript"/>
        </w:rPr>
        <w:t>2</w:t>
      </w:r>
      <w:r>
        <w:t>和H</w:t>
      </w:r>
      <w:r>
        <w:rPr>
          <w:vertAlign w:val="subscript"/>
        </w:rPr>
        <w:t>2</w:t>
      </w:r>
      <w:r>
        <w:t>O，H</w:t>
      </w:r>
      <w:r>
        <w:rPr>
          <w:vertAlign w:val="subscript"/>
        </w:rPr>
        <w:t>2</w:t>
      </w:r>
      <w:r>
        <w:t>S和N</w:t>
      </w:r>
      <w:r>
        <w:rPr>
          <w:vertAlign w:val="subscript"/>
        </w:rPr>
        <w:t>2</w:t>
      </w:r>
      <w:r>
        <w:t>则通过燃烧产生SO</w:t>
      </w:r>
      <w:r>
        <w:rPr>
          <w:vertAlign w:val="subscript"/>
        </w:rPr>
        <w:t>2</w:t>
      </w:r>
      <w:r>
        <w:t>和NOx两种二次污染物。</w:t>
      </w:r>
    </w:p>
    <w:p>
      <w:r>
        <w:t>沼气经过气体净化装置后，H</w:t>
      </w:r>
      <w:r>
        <w:rPr>
          <w:vertAlign w:val="subscript"/>
        </w:rPr>
        <w:t>2</w:t>
      </w:r>
      <w:r>
        <w:t>S将得到进一步去除，净化脱硫工艺流程见图</w:t>
      </w:r>
      <w:r>
        <w:rPr>
          <w:rFonts w:hint="eastAsia"/>
          <w:lang w:val="en-US" w:eastAsia="zh-CN"/>
        </w:rPr>
        <w:t>2.4-7</w:t>
      </w:r>
      <w:r>
        <w:t>。根据《规模化畜禽养殖场沼气工程设计规范》的要求，沼气经净化后硫化氢含量必须小于20mg/m</w:t>
      </w:r>
      <w:r>
        <w:rPr>
          <w:vertAlign w:val="superscript"/>
        </w:rPr>
        <w:t>3</w:t>
      </w:r>
      <w:r>
        <w:t>，同时为减少NOx产生量，采用低氮燃烧技术，建议发电采用烟气再循环燃烧法，工艺流程见图</w:t>
      </w:r>
      <w:r>
        <w:rPr>
          <w:rFonts w:hint="eastAsia"/>
        </w:rPr>
        <w:t>3.4</w:t>
      </w:r>
      <w:r>
        <w:t>-2。参照《第一次全国污染源普查工业污染源产排污系数手册》等相关排污手册，燃烧废气产生量约24.55Nm</w:t>
      </w:r>
      <w:r>
        <w:rPr>
          <w:vertAlign w:val="superscript"/>
        </w:rPr>
        <w:t>3</w:t>
      </w:r>
      <w:r>
        <w:t>/m</w:t>
      </w:r>
      <w:r>
        <w:rPr>
          <w:vertAlign w:val="superscript"/>
        </w:rPr>
        <w:t>3</w:t>
      </w:r>
      <w:r>
        <w:t>燃料，NOx（以NO</w:t>
      </w:r>
      <w:r>
        <w:rPr>
          <w:vertAlign w:val="subscript"/>
        </w:rPr>
        <w:t>2</w:t>
      </w:r>
      <w:r>
        <w:t>计）的产生量约1.66g/m</w:t>
      </w:r>
      <w:r>
        <w:rPr>
          <w:vertAlign w:val="superscript"/>
        </w:rPr>
        <w:t>3</w:t>
      </w:r>
      <w:r>
        <w:t>燃料，同时沼气中H</w:t>
      </w:r>
      <w:r>
        <w:rPr>
          <w:vertAlign w:val="subscript"/>
        </w:rPr>
        <w:t>2</w:t>
      </w:r>
      <w:r>
        <w:t>S燃烧后产生的SO</w:t>
      </w:r>
      <w:r>
        <w:rPr>
          <w:vertAlign w:val="subscript"/>
        </w:rPr>
        <w:t>2</w:t>
      </w:r>
      <w:r>
        <w:t>极少，以其全部转化计算。根据《环境保护实用数据手册》中各种燃料燃烧时产生污染物系数和本项目沼气的含硫量可知：沼气燃烧时会产生SO</w:t>
      </w:r>
      <w:r>
        <w:rPr>
          <w:vertAlign w:val="subscript"/>
        </w:rPr>
        <w:t>2</w:t>
      </w:r>
      <w:r>
        <w:t>与NOx，按每立方米沼气产生SO</w:t>
      </w:r>
      <w:r>
        <w:rPr>
          <w:vertAlign w:val="subscript"/>
        </w:rPr>
        <w:t>2</w:t>
      </w:r>
      <w:r>
        <w:t>0.02g；每立方米沼气产生NOx</w:t>
      </w:r>
      <w:r>
        <w:rPr>
          <w:rFonts w:hint="eastAsia"/>
        </w:rPr>
        <w:t>1.66</w:t>
      </w:r>
      <w:r>
        <w:t>g计算。本项目沼气</w:t>
      </w:r>
      <w:r>
        <w:rPr>
          <w:rFonts w:hint="eastAsia"/>
          <w:lang w:val="en-US" w:eastAsia="zh-CN"/>
        </w:rPr>
        <w:t>14147.4</w:t>
      </w:r>
      <w:r>
        <w:t>m</w:t>
      </w:r>
      <w:r>
        <w:rPr>
          <w:vertAlign w:val="superscript"/>
        </w:rPr>
        <w:t>3</w:t>
      </w:r>
      <w:r>
        <w:t>/a</w:t>
      </w:r>
      <w:r>
        <w:rPr>
          <w:rFonts w:hint="eastAsia"/>
        </w:rPr>
        <w:t>，</w:t>
      </w:r>
      <w:r>
        <w:t>完全燃烧后产生SO</w:t>
      </w:r>
      <w:r>
        <w:rPr>
          <w:vertAlign w:val="subscript"/>
        </w:rPr>
        <w:t>2</w:t>
      </w:r>
      <w:r>
        <w:t>约0.</w:t>
      </w:r>
      <w:r>
        <w:rPr>
          <w:rFonts w:hint="eastAsia"/>
          <w:lang w:val="en-US" w:eastAsia="zh-CN"/>
        </w:rPr>
        <w:t>0003t</w:t>
      </w:r>
      <w:r>
        <w:t>/a</w:t>
      </w:r>
      <w:r>
        <w:rPr>
          <w:rFonts w:hint="eastAsia"/>
          <w:lang w:eastAsia="zh-CN"/>
        </w:rPr>
        <w:t>、</w:t>
      </w:r>
      <w:r>
        <w:t>NOx</w:t>
      </w:r>
      <w:r>
        <w:rPr>
          <w:rFonts w:hint="eastAsia"/>
          <w:lang w:val="en-US" w:eastAsia="zh-CN"/>
        </w:rPr>
        <w:t>0.0235t</w:t>
      </w:r>
      <w:r>
        <w:t>/a</w:t>
      </w:r>
      <w:r>
        <w:rPr>
          <w:rFonts w:hint="eastAsia"/>
          <w:lang w:eastAsia="zh-CN"/>
        </w:rPr>
        <w:t>，</w:t>
      </w:r>
      <w:r>
        <w:t>则SO</w:t>
      </w:r>
      <w:r>
        <w:rPr>
          <w:vertAlign w:val="subscript"/>
        </w:rPr>
        <w:t>2</w:t>
      </w:r>
      <w:r>
        <w:t>产生浓度为</w:t>
      </w:r>
      <w:r>
        <w:rPr>
          <w:rFonts w:hint="eastAsia"/>
        </w:rPr>
        <w:t>0.8</w:t>
      </w:r>
      <w:r>
        <w:t>mg/m</w:t>
      </w:r>
      <w:r>
        <w:rPr>
          <w:vertAlign w:val="superscript"/>
        </w:rPr>
        <w:t>3</w:t>
      </w:r>
      <w:r>
        <w:rPr>
          <w:rFonts w:hint="eastAsia"/>
          <w:vertAlign w:val="baseline"/>
          <w:lang w:eastAsia="zh-CN"/>
        </w:rPr>
        <w:t>、</w:t>
      </w:r>
      <w:r>
        <w:t>NOx产生浓度为</w:t>
      </w:r>
      <w:r>
        <w:rPr>
          <w:rFonts w:hint="eastAsia"/>
        </w:rPr>
        <w:t>67.</w:t>
      </w:r>
      <w:r>
        <w:rPr>
          <w:rFonts w:hint="eastAsia"/>
          <w:lang w:val="en-US" w:eastAsia="zh-CN"/>
        </w:rPr>
        <w:t>4</w:t>
      </w:r>
      <w:r>
        <w:t>mg/m</w:t>
      </w:r>
      <w:r>
        <w:rPr>
          <w:vertAlign w:val="superscript"/>
        </w:rPr>
        <w:t>3</w:t>
      </w:r>
      <w:r>
        <w:t>，</w:t>
      </w:r>
      <w:r>
        <w:rPr>
          <w:rFonts w:hint="eastAsia"/>
        </w:rPr>
        <w:t>燃烧尾气执行</w:t>
      </w:r>
      <w:r>
        <w:t>《大气污染物</w:t>
      </w:r>
      <w:r>
        <w:rPr>
          <w:rFonts w:hint="eastAsia"/>
          <w:lang w:eastAsia="zh-CN"/>
        </w:rPr>
        <w:t>综合</w:t>
      </w:r>
      <w:r>
        <w:t>排放标准》（GB</w:t>
      </w:r>
      <w:r>
        <w:rPr>
          <w:rFonts w:hint="eastAsia"/>
          <w:lang w:val="en-US" w:eastAsia="zh-CN"/>
        </w:rPr>
        <w:t>16297</w:t>
      </w:r>
      <w:r>
        <w:t>-</w:t>
      </w:r>
      <w:r>
        <w:rPr>
          <w:rFonts w:hint="eastAsia"/>
          <w:lang w:val="en-US" w:eastAsia="zh-CN"/>
        </w:rPr>
        <w:t>1996</w:t>
      </w:r>
      <w:r>
        <w:t>）</w:t>
      </w:r>
      <w:r>
        <w:rPr>
          <w:rFonts w:hint="eastAsia"/>
          <w:lang w:eastAsia="zh-CN"/>
        </w:rPr>
        <w:t>新建二级</w:t>
      </w:r>
      <w:r>
        <w:t>排放标准要求中的相关标准。本项目</w:t>
      </w:r>
      <w:r>
        <w:rPr>
          <w:rFonts w:hint="eastAsia"/>
          <w:lang w:eastAsia="zh-CN"/>
        </w:rPr>
        <w:t>沼气</w:t>
      </w:r>
      <w:r>
        <w:t>燃烧产生的大气污染物见表</w:t>
      </w:r>
      <w:r>
        <w:rPr>
          <w:rFonts w:hint="eastAsia"/>
          <w:lang w:val="en-US" w:eastAsia="zh-CN"/>
        </w:rPr>
        <w:t>2.4-10</w:t>
      </w:r>
      <w:r>
        <w:t>。</w:t>
      </w:r>
    </w:p>
    <w:p/>
    <w:p>
      <w:pPr>
        <w:jc w:val="center"/>
      </w:pPr>
      <w:r>
        <w:drawing>
          <wp:inline distT="0" distB="0" distL="114300" distR="114300">
            <wp:extent cx="4771390" cy="1114425"/>
            <wp:effectExtent l="0" t="0" r="10160" b="9525"/>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33"/>
                    <a:stretch>
                      <a:fillRect/>
                    </a:stretch>
                  </pic:blipFill>
                  <pic:spPr>
                    <a:xfrm>
                      <a:off x="0" y="0"/>
                      <a:ext cx="4771390" cy="1114425"/>
                    </a:xfrm>
                    <a:prstGeom prst="rect">
                      <a:avLst/>
                    </a:prstGeom>
                    <a:noFill/>
                    <a:ln>
                      <a:noFill/>
                    </a:ln>
                  </pic:spPr>
                </pic:pic>
              </a:graphicData>
            </a:graphic>
          </wp:inline>
        </w:drawing>
      </w:r>
    </w:p>
    <w:p>
      <w:pPr>
        <w:pStyle w:val="11"/>
        <w:bidi w:val="0"/>
      </w:pPr>
      <w:r>
        <w:rPr>
          <w:rFonts w:hint="eastAsia"/>
        </w:rPr>
        <w:t>图</w:t>
      </w:r>
      <w:r>
        <w:rPr>
          <w:rFonts w:hint="eastAsia"/>
          <w:lang w:val="en-US" w:eastAsia="zh-CN"/>
        </w:rPr>
        <w:t>2.4-7</w:t>
      </w:r>
      <w:r>
        <w:rPr>
          <w:rFonts w:hint="eastAsia"/>
        </w:rPr>
        <w:t xml:space="preserve">  沼气净化脱硫工艺流程图</w:t>
      </w:r>
    </w:p>
    <w:p>
      <w:pPr>
        <w:jc w:val="center"/>
      </w:pPr>
      <w:r>
        <w:drawing>
          <wp:inline distT="0" distB="0" distL="114300" distR="114300">
            <wp:extent cx="2856865" cy="1143000"/>
            <wp:effectExtent l="0" t="0" r="635" b="0"/>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34"/>
                    <a:stretch>
                      <a:fillRect/>
                    </a:stretch>
                  </pic:blipFill>
                  <pic:spPr>
                    <a:xfrm>
                      <a:off x="0" y="0"/>
                      <a:ext cx="2856865" cy="1143000"/>
                    </a:xfrm>
                    <a:prstGeom prst="rect">
                      <a:avLst/>
                    </a:prstGeom>
                    <a:noFill/>
                    <a:ln>
                      <a:noFill/>
                    </a:ln>
                  </pic:spPr>
                </pic:pic>
              </a:graphicData>
            </a:graphic>
          </wp:inline>
        </w:drawing>
      </w:r>
    </w:p>
    <w:p>
      <w:pPr>
        <w:pStyle w:val="11"/>
        <w:bidi w:val="0"/>
      </w:pPr>
      <w:r>
        <w:rPr>
          <w:rFonts w:hint="eastAsia"/>
        </w:rPr>
        <w:t>图</w:t>
      </w:r>
      <w:r>
        <w:rPr>
          <w:rFonts w:hint="eastAsia"/>
          <w:lang w:val="en-US" w:eastAsia="zh-CN"/>
        </w:rPr>
        <w:t>2.4-8</w:t>
      </w:r>
      <w:r>
        <w:rPr>
          <w:rFonts w:hint="eastAsia"/>
        </w:rPr>
        <w:t xml:space="preserve">  低氮燃烧技术工艺流程图</w:t>
      </w:r>
    </w:p>
    <w:p>
      <w:r>
        <w:t xml:space="preserve"> </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10</w:t>
      </w:r>
      <w:r>
        <w:fldChar w:fldCharType="end"/>
      </w:r>
      <w:r>
        <w:rPr>
          <w:rFonts w:hint="eastAsia"/>
          <w:lang w:val="en-US" w:eastAsia="zh-CN"/>
        </w:rPr>
        <w:t xml:space="preserve">  </w:t>
      </w:r>
      <w:r>
        <w:t>沼气燃烧废气产排情况</w:t>
      </w:r>
    </w:p>
    <w:tbl>
      <w:tblPr>
        <w:tblStyle w:val="17"/>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03"/>
        <w:gridCol w:w="1425"/>
        <w:gridCol w:w="1288"/>
        <w:gridCol w:w="1440"/>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76" w:type="dxa"/>
            <w:vAlign w:val="center"/>
          </w:tcPr>
          <w:p>
            <w:pPr>
              <w:pStyle w:val="8"/>
              <w:bidi w:val="0"/>
            </w:pPr>
            <w:r>
              <w:t>污染源</w:t>
            </w:r>
          </w:p>
        </w:tc>
        <w:tc>
          <w:tcPr>
            <w:tcW w:w="1303" w:type="dxa"/>
            <w:vAlign w:val="center"/>
          </w:tcPr>
          <w:p>
            <w:pPr>
              <w:pStyle w:val="8"/>
              <w:bidi w:val="0"/>
            </w:pPr>
            <w:r>
              <w:t>产生浓度</w:t>
            </w:r>
          </w:p>
          <w:p>
            <w:pPr>
              <w:pStyle w:val="8"/>
              <w:bidi w:val="0"/>
            </w:pPr>
            <w:r>
              <w:t>（mg/m</w:t>
            </w:r>
            <w:r>
              <w:rPr>
                <w:vertAlign w:val="superscript"/>
              </w:rPr>
              <w:t>3</w:t>
            </w:r>
            <w:r>
              <w:t>）</w:t>
            </w:r>
          </w:p>
        </w:tc>
        <w:tc>
          <w:tcPr>
            <w:tcW w:w="1425" w:type="dxa"/>
            <w:vAlign w:val="center"/>
          </w:tcPr>
          <w:p>
            <w:pPr>
              <w:pStyle w:val="8"/>
              <w:bidi w:val="0"/>
            </w:pPr>
            <w:r>
              <w:t>产生量</w:t>
            </w:r>
          </w:p>
        </w:tc>
        <w:tc>
          <w:tcPr>
            <w:tcW w:w="1288" w:type="dxa"/>
            <w:vAlign w:val="center"/>
          </w:tcPr>
          <w:p>
            <w:pPr>
              <w:pStyle w:val="8"/>
              <w:bidi w:val="0"/>
            </w:pPr>
            <w:r>
              <w:t>排放浓度</w:t>
            </w:r>
          </w:p>
          <w:p>
            <w:pPr>
              <w:pStyle w:val="8"/>
              <w:bidi w:val="0"/>
            </w:pPr>
            <w:r>
              <w:t>（mg/m</w:t>
            </w:r>
            <w:r>
              <w:rPr>
                <w:vertAlign w:val="superscript"/>
              </w:rPr>
              <w:t>3</w:t>
            </w:r>
            <w:r>
              <w:t>）</w:t>
            </w:r>
          </w:p>
        </w:tc>
        <w:tc>
          <w:tcPr>
            <w:tcW w:w="1440" w:type="dxa"/>
            <w:vAlign w:val="center"/>
          </w:tcPr>
          <w:p>
            <w:pPr>
              <w:pStyle w:val="8"/>
              <w:bidi w:val="0"/>
            </w:pPr>
            <w:r>
              <w:t>排放量</w:t>
            </w:r>
          </w:p>
        </w:tc>
        <w:tc>
          <w:tcPr>
            <w:tcW w:w="2285" w:type="dxa"/>
            <w:vAlign w:val="center"/>
          </w:tcPr>
          <w:p>
            <w:pPr>
              <w:pStyle w:val="8"/>
              <w:bidi w:val="0"/>
            </w:pPr>
            <w: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6" w:type="dxa"/>
            <w:vAlign w:val="center"/>
          </w:tcPr>
          <w:p>
            <w:pPr>
              <w:pStyle w:val="8"/>
              <w:bidi w:val="0"/>
            </w:pPr>
            <w:r>
              <w:t>烟气</w:t>
            </w:r>
          </w:p>
        </w:tc>
        <w:tc>
          <w:tcPr>
            <w:tcW w:w="1303" w:type="dxa"/>
            <w:vAlign w:val="center"/>
          </w:tcPr>
          <w:p>
            <w:pPr>
              <w:pStyle w:val="8"/>
              <w:bidi w:val="0"/>
            </w:pPr>
            <w:r>
              <w:t>-</w:t>
            </w:r>
          </w:p>
        </w:tc>
        <w:tc>
          <w:tcPr>
            <w:tcW w:w="1425" w:type="dxa"/>
            <w:vAlign w:val="center"/>
          </w:tcPr>
          <w:p>
            <w:pPr>
              <w:pStyle w:val="8"/>
              <w:bidi w:val="0"/>
            </w:pPr>
            <w:r>
              <w:rPr>
                <w:rFonts w:hint="eastAsia"/>
                <w:lang w:val="en-US" w:eastAsia="zh-CN"/>
              </w:rPr>
              <w:t>34.73</w:t>
            </w:r>
            <w:r>
              <w:t>万Nm</w:t>
            </w:r>
            <w:r>
              <w:rPr>
                <w:vertAlign w:val="superscript"/>
              </w:rPr>
              <w:t>3</w:t>
            </w:r>
            <w:r>
              <w:t>/a</w:t>
            </w:r>
          </w:p>
        </w:tc>
        <w:tc>
          <w:tcPr>
            <w:tcW w:w="1288" w:type="dxa"/>
            <w:vAlign w:val="center"/>
          </w:tcPr>
          <w:p>
            <w:pPr>
              <w:pStyle w:val="8"/>
              <w:bidi w:val="0"/>
            </w:pPr>
            <w:r>
              <w:t>-</w:t>
            </w:r>
          </w:p>
        </w:tc>
        <w:tc>
          <w:tcPr>
            <w:tcW w:w="1440" w:type="dxa"/>
            <w:vAlign w:val="center"/>
          </w:tcPr>
          <w:p>
            <w:pPr>
              <w:pStyle w:val="8"/>
              <w:bidi w:val="0"/>
            </w:pPr>
            <w:r>
              <w:rPr>
                <w:rFonts w:hint="eastAsia"/>
                <w:lang w:val="en-US" w:eastAsia="zh-CN"/>
              </w:rPr>
              <w:t>34.73</w:t>
            </w:r>
            <w:r>
              <w:t>万Nm</w:t>
            </w:r>
            <w:r>
              <w:rPr>
                <w:vertAlign w:val="superscript"/>
              </w:rPr>
              <w:t>3</w:t>
            </w:r>
            <w:r>
              <w:t>/a</w:t>
            </w:r>
          </w:p>
        </w:tc>
        <w:tc>
          <w:tcPr>
            <w:tcW w:w="2285" w:type="dxa"/>
            <w:vMerge w:val="restart"/>
            <w:vAlign w:val="center"/>
          </w:tcPr>
          <w:p>
            <w:pPr>
              <w:pStyle w:val="8"/>
              <w:bidi w:val="0"/>
            </w:pPr>
            <w:r>
              <w:t>有组织排放</w:t>
            </w:r>
          </w:p>
          <w:p>
            <w:pPr>
              <w:pStyle w:val="8"/>
              <w:bidi w:val="0"/>
            </w:pPr>
            <w:r>
              <w:t>排气筒高度15m，1个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6" w:type="dxa"/>
            <w:vAlign w:val="center"/>
          </w:tcPr>
          <w:p>
            <w:pPr>
              <w:pStyle w:val="8"/>
              <w:bidi w:val="0"/>
            </w:pPr>
            <w:r>
              <w:t>NO</w:t>
            </w:r>
            <w:r>
              <w:rPr>
                <w:vertAlign w:val="subscript"/>
              </w:rPr>
              <w:t>x</w:t>
            </w:r>
          </w:p>
        </w:tc>
        <w:tc>
          <w:tcPr>
            <w:tcW w:w="1303"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67</w:t>
            </w:r>
            <w:r>
              <w:rPr>
                <w:rFonts w:hint="eastAsia"/>
                <w:lang w:val="en-US" w:eastAsia="zh-CN"/>
              </w:rPr>
              <w:t>.66</w:t>
            </w:r>
            <w:r>
              <w:t>mg/m</w:t>
            </w:r>
            <w:r>
              <w:rPr>
                <w:vertAlign w:val="superscript"/>
              </w:rPr>
              <w:t>3</w:t>
            </w:r>
          </w:p>
        </w:tc>
        <w:tc>
          <w:tcPr>
            <w:tcW w:w="1425" w:type="dxa"/>
            <w:vAlign w:val="center"/>
          </w:tcPr>
          <w:p>
            <w:pPr>
              <w:pStyle w:val="8"/>
              <w:bidi w:val="0"/>
            </w:pPr>
            <w:r>
              <w:t>0.0</w:t>
            </w:r>
            <w:r>
              <w:rPr>
                <w:rFonts w:hint="eastAsia"/>
                <w:lang w:val="en-US" w:eastAsia="zh-CN"/>
              </w:rPr>
              <w:t>235</w:t>
            </w:r>
            <w:r>
              <w:t>t/a</w:t>
            </w:r>
          </w:p>
        </w:tc>
        <w:tc>
          <w:tcPr>
            <w:tcW w:w="1288"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67</w:t>
            </w:r>
            <w:r>
              <w:rPr>
                <w:rFonts w:hint="eastAsia"/>
                <w:lang w:val="en-US" w:eastAsia="zh-CN"/>
              </w:rPr>
              <w:t>.66</w:t>
            </w:r>
            <w:r>
              <w:t>mg/m</w:t>
            </w:r>
            <w:r>
              <w:rPr>
                <w:vertAlign w:val="superscript"/>
              </w:rPr>
              <w:t>3</w:t>
            </w:r>
          </w:p>
        </w:tc>
        <w:tc>
          <w:tcPr>
            <w:tcW w:w="1440"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0.0</w:t>
            </w:r>
            <w:r>
              <w:rPr>
                <w:rFonts w:hint="eastAsia"/>
                <w:lang w:val="en-US" w:eastAsia="zh-CN"/>
              </w:rPr>
              <w:t>235</w:t>
            </w:r>
            <w:r>
              <w:t>t/a</w:t>
            </w:r>
          </w:p>
        </w:tc>
        <w:tc>
          <w:tcPr>
            <w:tcW w:w="2285"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76" w:type="dxa"/>
            <w:vAlign w:val="center"/>
          </w:tcPr>
          <w:p>
            <w:pPr>
              <w:pStyle w:val="8"/>
              <w:bidi w:val="0"/>
            </w:pPr>
            <w:r>
              <w:t>SO</w:t>
            </w:r>
            <w:r>
              <w:rPr>
                <w:vertAlign w:val="subscript"/>
              </w:rPr>
              <w:t>2</w:t>
            </w:r>
          </w:p>
        </w:tc>
        <w:tc>
          <w:tcPr>
            <w:tcW w:w="1303"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0.8</w:t>
            </w:r>
            <w:r>
              <w:rPr>
                <w:rFonts w:hint="eastAsia"/>
                <w:lang w:val="en-US" w:eastAsia="zh-CN"/>
              </w:rPr>
              <w:t>6</w:t>
            </w:r>
            <w:r>
              <w:t>mg/m</w:t>
            </w:r>
            <w:r>
              <w:rPr>
                <w:vertAlign w:val="superscript"/>
              </w:rPr>
              <w:t>3</w:t>
            </w:r>
          </w:p>
        </w:tc>
        <w:tc>
          <w:tcPr>
            <w:tcW w:w="1425" w:type="dxa"/>
            <w:vAlign w:val="center"/>
          </w:tcPr>
          <w:p>
            <w:pPr>
              <w:pStyle w:val="8"/>
              <w:bidi w:val="0"/>
            </w:pPr>
            <w:r>
              <w:t>0.000</w:t>
            </w:r>
            <w:r>
              <w:rPr>
                <w:rFonts w:hint="eastAsia"/>
                <w:lang w:val="en-US" w:eastAsia="zh-CN"/>
              </w:rPr>
              <w:t>3</w:t>
            </w:r>
            <w:r>
              <w:t>t/a</w:t>
            </w:r>
          </w:p>
        </w:tc>
        <w:tc>
          <w:tcPr>
            <w:tcW w:w="1288"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0.8</w:t>
            </w:r>
            <w:r>
              <w:rPr>
                <w:rFonts w:hint="eastAsia"/>
                <w:lang w:val="en-US" w:eastAsia="zh-CN"/>
              </w:rPr>
              <w:t>6</w:t>
            </w:r>
            <w:r>
              <w:t>mg/m</w:t>
            </w:r>
            <w:r>
              <w:rPr>
                <w:vertAlign w:val="superscript"/>
              </w:rPr>
              <w:t>3</w:t>
            </w:r>
          </w:p>
        </w:tc>
        <w:tc>
          <w:tcPr>
            <w:tcW w:w="1440"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0.000</w:t>
            </w:r>
            <w:r>
              <w:rPr>
                <w:rFonts w:hint="eastAsia"/>
                <w:lang w:val="en-US" w:eastAsia="zh-CN"/>
              </w:rPr>
              <w:t>3</w:t>
            </w:r>
            <w:r>
              <w:t>t/a</w:t>
            </w:r>
          </w:p>
        </w:tc>
        <w:tc>
          <w:tcPr>
            <w:tcW w:w="2285" w:type="dxa"/>
            <w:vMerge w:val="continue"/>
            <w:vAlign w:val="center"/>
          </w:tcPr>
          <w:p>
            <w:pPr>
              <w:pStyle w:val="8"/>
              <w:bidi w:val="0"/>
            </w:pPr>
          </w:p>
        </w:tc>
      </w:tr>
    </w:tbl>
    <w:p>
      <w:r>
        <w:rPr>
          <w:rFonts w:hint="eastAsia"/>
        </w:rPr>
        <w:t xml:space="preserve">    </w:t>
      </w:r>
      <w:r>
        <w:rPr>
          <w:rFonts w:hint="eastAsia"/>
          <w:sz w:val="21"/>
          <w:szCs w:val="21"/>
        </w:rPr>
        <w:t>注：NO</w:t>
      </w:r>
      <w:r>
        <w:rPr>
          <w:rFonts w:hint="eastAsia"/>
          <w:sz w:val="21"/>
          <w:szCs w:val="21"/>
          <w:vertAlign w:val="subscript"/>
        </w:rPr>
        <w:t>x</w:t>
      </w:r>
      <w:r>
        <w:rPr>
          <w:rFonts w:hint="eastAsia"/>
          <w:sz w:val="21"/>
          <w:szCs w:val="21"/>
        </w:rPr>
        <w:t>以NO</w:t>
      </w:r>
      <w:r>
        <w:rPr>
          <w:rFonts w:hint="eastAsia"/>
          <w:sz w:val="21"/>
          <w:szCs w:val="21"/>
          <w:vertAlign w:val="subscript"/>
        </w:rPr>
        <w:t>2</w:t>
      </w:r>
      <w:r>
        <w:rPr>
          <w:rFonts w:hint="eastAsia"/>
          <w:sz w:val="21"/>
          <w:szCs w:val="21"/>
        </w:rPr>
        <w:t>计</w:t>
      </w:r>
      <w:r>
        <w:rPr>
          <w:rFonts w:hint="eastAsia"/>
        </w:rPr>
        <w:t>。</w:t>
      </w:r>
    </w:p>
    <w:p>
      <w:r>
        <w:t>（</w:t>
      </w:r>
      <w:r>
        <w:rPr>
          <w:rFonts w:hint="eastAsia"/>
        </w:rPr>
        <w:t>6</w:t>
      </w:r>
      <w:r>
        <w:t>）</w:t>
      </w:r>
      <w:r>
        <w:rPr>
          <w:rFonts w:hint="eastAsia"/>
        </w:rPr>
        <w:t>废气污染源汇总</w:t>
      </w:r>
    </w:p>
    <w:p>
      <w:r>
        <w:rPr>
          <w:rFonts w:hint="eastAsia"/>
        </w:rPr>
        <w:t>项目主要废气污染源汇总情况见表</w:t>
      </w:r>
      <w:r>
        <w:rPr>
          <w:rFonts w:hint="eastAsia"/>
          <w:lang w:val="en-US" w:eastAsia="zh-CN"/>
        </w:rPr>
        <w:t>2.4</w:t>
      </w:r>
      <w:r>
        <w:t>-</w:t>
      </w:r>
      <w:r>
        <w:rPr>
          <w:rFonts w:hint="eastAsia"/>
        </w:rPr>
        <w:t>1</w:t>
      </w:r>
      <w:r>
        <w:rPr>
          <w:rFonts w:hint="eastAsia"/>
          <w:lang w:val="en-US" w:eastAsia="zh-CN"/>
        </w:rPr>
        <w:t>1</w:t>
      </w:r>
      <w:r>
        <w:rPr>
          <w:rFonts w:hint="eastAsia"/>
        </w:rPr>
        <w:t>：</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11</w:t>
      </w:r>
      <w:r>
        <w:fldChar w:fldCharType="end"/>
      </w:r>
      <w:r>
        <w:rPr>
          <w:rFonts w:hint="eastAsia"/>
          <w:lang w:val="en-US" w:eastAsia="zh-CN"/>
        </w:rPr>
        <w:t xml:space="preserve">  </w:t>
      </w:r>
      <w:r>
        <w:rPr>
          <w:rFonts w:hint="eastAsia"/>
        </w:rPr>
        <w:t>项目废气污染源汇总</w:t>
      </w:r>
    </w:p>
    <w:tbl>
      <w:tblPr>
        <w:tblStyle w:val="17"/>
        <w:tblW w:w="8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366"/>
        <w:gridCol w:w="987"/>
        <w:gridCol w:w="1005"/>
        <w:gridCol w:w="980"/>
        <w:gridCol w:w="1135"/>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994" w:type="dxa"/>
            <w:vAlign w:val="center"/>
          </w:tcPr>
          <w:p>
            <w:pPr>
              <w:pStyle w:val="8"/>
              <w:bidi w:val="0"/>
            </w:pPr>
            <w:r>
              <w:rPr>
                <w:rFonts w:hint="eastAsia"/>
              </w:rPr>
              <w:t>污染源</w:t>
            </w:r>
          </w:p>
        </w:tc>
        <w:tc>
          <w:tcPr>
            <w:tcW w:w="1366" w:type="dxa"/>
            <w:vAlign w:val="center"/>
          </w:tcPr>
          <w:p>
            <w:pPr>
              <w:pStyle w:val="8"/>
              <w:bidi w:val="0"/>
            </w:pPr>
            <w:r>
              <w:rPr>
                <w:rFonts w:hint="eastAsia"/>
              </w:rPr>
              <w:t>污染物名称</w:t>
            </w:r>
          </w:p>
        </w:tc>
        <w:tc>
          <w:tcPr>
            <w:tcW w:w="987" w:type="dxa"/>
            <w:vAlign w:val="center"/>
          </w:tcPr>
          <w:p>
            <w:pPr>
              <w:pStyle w:val="8"/>
              <w:bidi w:val="0"/>
            </w:pPr>
            <w:r>
              <w:rPr>
                <w:rFonts w:hint="eastAsia"/>
              </w:rPr>
              <w:t>产生量</w:t>
            </w:r>
            <w:r>
              <w:t>t/a</w:t>
            </w:r>
          </w:p>
        </w:tc>
        <w:tc>
          <w:tcPr>
            <w:tcW w:w="1005" w:type="dxa"/>
            <w:vAlign w:val="center"/>
          </w:tcPr>
          <w:p>
            <w:pPr>
              <w:pStyle w:val="8"/>
              <w:bidi w:val="0"/>
            </w:pPr>
            <w:r>
              <w:rPr>
                <w:rFonts w:hint="eastAsia"/>
              </w:rPr>
              <w:t>产生浓度</w:t>
            </w:r>
          </w:p>
          <w:p>
            <w:pPr>
              <w:pStyle w:val="8"/>
              <w:bidi w:val="0"/>
            </w:pPr>
            <w:r>
              <w:t>mg/m</w:t>
            </w:r>
            <w:r>
              <w:rPr>
                <w:vertAlign w:val="superscript"/>
              </w:rPr>
              <w:t>3</w:t>
            </w:r>
          </w:p>
        </w:tc>
        <w:tc>
          <w:tcPr>
            <w:tcW w:w="980" w:type="dxa"/>
            <w:vAlign w:val="center"/>
          </w:tcPr>
          <w:p>
            <w:pPr>
              <w:pStyle w:val="8"/>
              <w:bidi w:val="0"/>
            </w:pPr>
            <w:r>
              <w:rPr>
                <w:rFonts w:hint="eastAsia"/>
              </w:rPr>
              <w:t>排放量</w:t>
            </w:r>
          </w:p>
          <w:p>
            <w:pPr>
              <w:pStyle w:val="8"/>
              <w:bidi w:val="0"/>
            </w:pPr>
            <w:r>
              <w:t>t/a</w:t>
            </w:r>
          </w:p>
        </w:tc>
        <w:tc>
          <w:tcPr>
            <w:tcW w:w="1135" w:type="dxa"/>
            <w:vAlign w:val="center"/>
          </w:tcPr>
          <w:p>
            <w:pPr>
              <w:pStyle w:val="8"/>
              <w:bidi w:val="0"/>
            </w:pPr>
            <w:r>
              <w:rPr>
                <w:rFonts w:hint="eastAsia"/>
              </w:rPr>
              <w:t>排放浓度</w:t>
            </w:r>
            <w:r>
              <w:t>mg/m</w:t>
            </w:r>
            <w:r>
              <w:rPr>
                <w:vertAlign w:val="superscript"/>
              </w:rPr>
              <w:t>3</w:t>
            </w:r>
          </w:p>
        </w:tc>
        <w:tc>
          <w:tcPr>
            <w:tcW w:w="2269" w:type="dxa"/>
            <w:vAlign w:val="center"/>
          </w:tcPr>
          <w:p>
            <w:pPr>
              <w:pStyle w:val="8"/>
              <w:bidi w:val="0"/>
            </w:pPr>
            <w:r>
              <w:rPr>
                <w:rFonts w:hint="eastAsia"/>
              </w:rPr>
              <w:t>处理措施及去向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94" w:type="dxa"/>
            <w:vMerge w:val="restart"/>
            <w:vAlign w:val="center"/>
          </w:tcPr>
          <w:p>
            <w:pPr>
              <w:pStyle w:val="8"/>
              <w:bidi w:val="0"/>
            </w:pPr>
            <w:r>
              <w:rPr>
                <w:rFonts w:hint="eastAsia"/>
              </w:rPr>
              <w:t>面源</w:t>
            </w:r>
          </w:p>
        </w:tc>
        <w:tc>
          <w:tcPr>
            <w:tcW w:w="1366" w:type="dxa"/>
            <w:vAlign w:val="center"/>
          </w:tcPr>
          <w:p>
            <w:pPr>
              <w:pStyle w:val="8"/>
              <w:bidi w:val="0"/>
            </w:pPr>
            <w:r>
              <w:t>NH</w:t>
            </w:r>
            <w:r>
              <w:rPr>
                <w:vertAlign w:val="subscript"/>
              </w:rPr>
              <w:t>3</w:t>
            </w:r>
          </w:p>
        </w:tc>
        <w:tc>
          <w:tcPr>
            <w:tcW w:w="987"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17.8395</w:t>
            </w:r>
          </w:p>
        </w:tc>
        <w:tc>
          <w:tcPr>
            <w:tcW w:w="100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w:t>
            </w:r>
          </w:p>
        </w:tc>
        <w:tc>
          <w:tcPr>
            <w:tcW w:w="98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1.5095</w:t>
            </w:r>
          </w:p>
        </w:tc>
        <w:tc>
          <w:tcPr>
            <w:tcW w:w="11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w:t>
            </w:r>
          </w:p>
        </w:tc>
        <w:tc>
          <w:tcPr>
            <w:tcW w:w="2269" w:type="dxa"/>
            <w:vMerge w:val="restart"/>
            <w:vAlign w:val="center"/>
          </w:tcPr>
          <w:p>
            <w:pPr>
              <w:pStyle w:val="8"/>
              <w:bidi w:val="0"/>
            </w:pPr>
            <w:r>
              <w:rPr>
                <w:rFonts w:hint="eastAsia"/>
              </w:rPr>
              <w:t>采取喷洒除臭剂、合理搭配使用饲料、堆粪棚和集污池通风、厂区绿化等抑臭措施后无组织排放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94" w:type="dxa"/>
            <w:vMerge w:val="continue"/>
            <w:vAlign w:val="center"/>
          </w:tcPr>
          <w:p>
            <w:pPr>
              <w:pStyle w:val="8"/>
              <w:bidi w:val="0"/>
            </w:pPr>
          </w:p>
        </w:tc>
        <w:tc>
          <w:tcPr>
            <w:tcW w:w="1366" w:type="dxa"/>
            <w:vAlign w:val="center"/>
          </w:tcPr>
          <w:p>
            <w:pPr>
              <w:pStyle w:val="8"/>
              <w:bidi w:val="0"/>
            </w:pPr>
            <w:r>
              <w:t>H</w:t>
            </w:r>
            <w:r>
              <w:rPr>
                <w:vertAlign w:val="subscript"/>
              </w:rPr>
              <w:t>2</w:t>
            </w:r>
            <w:r>
              <w:t>S</w:t>
            </w:r>
          </w:p>
        </w:tc>
        <w:tc>
          <w:tcPr>
            <w:tcW w:w="987" w:type="dxa"/>
            <w:vAlign w:val="center"/>
          </w:tcPr>
          <w:p>
            <w:pPr>
              <w:pStyle w:val="8"/>
              <w:bidi w:val="0"/>
              <w:rPr>
                <w:rFonts w:hint="default" w:eastAsiaTheme="minorEastAsia"/>
                <w:lang w:val="en-US" w:eastAsia="zh-CN"/>
              </w:rPr>
            </w:pPr>
            <w:r>
              <w:rPr>
                <w:rFonts w:hint="eastAsia"/>
                <w:lang w:val="en-US" w:eastAsia="zh-CN"/>
              </w:rPr>
              <w:t>2.3793</w:t>
            </w:r>
          </w:p>
        </w:tc>
        <w:tc>
          <w:tcPr>
            <w:tcW w:w="1005" w:type="dxa"/>
            <w:vAlign w:val="center"/>
          </w:tcPr>
          <w:p>
            <w:pPr>
              <w:pStyle w:val="8"/>
              <w:bidi w:val="0"/>
            </w:pPr>
            <w:r>
              <w:t>/</w:t>
            </w:r>
          </w:p>
        </w:tc>
        <w:tc>
          <w:tcPr>
            <w:tcW w:w="98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0.1104</w:t>
            </w:r>
          </w:p>
        </w:tc>
        <w:tc>
          <w:tcPr>
            <w:tcW w:w="1135" w:type="dxa"/>
            <w:vAlign w:val="center"/>
          </w:tcPr>
          <w:p>
            <w:pPr>
              <w:pStyle w:val="8"/>
              <w:bidi w:val="0"/>
            </w:pPr>
            <w:r>
              <w:t>/</w:t>
            </w:r>
          </w:p>
        </w:tc>
        <w:tc>
          <w:tcPr>
            <w:tcW w:w="2269"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994" w:type="dxa"/>
            <w:vAlign w:val="center"/>
          </w:tcPr>
          <w:p>
            <w:pPr>
              <w:pStyle w:val="8"/>
              <w:bidi w:val="0"/>
            </w:pPr>
            <w:r>
              <w:rPr>
                <w:rFonts w:hint="eastAsia"/>
              </w:rPr>
              <w:t>食堂</w:t>
            </w:r>
          </w:p>
        </w:tc>
        <w:tc>
          <w:tcPr>
            <w:tcW w:w="1366" w:type="dxa"/>
            <w:vAlign w:val="center"/>
          </w:tcPr>
          <w:p>
            <w:pPr>
              <w:pStyle w:val="8"/>
              <w:bidi w:val="0"/>
            </w:pPr>
            <w:r>
              <w:rPr>
                <w:rFonts w:hint="eastAsia"/>
              </w:rPr>
              <w:t>油烟</w:t>
            </w:r>
          </w:p>
        </w:tc>
        <w:tc>
          <w:tcPr>
            <w:tcW w:w="987" w:type="dxa"/>
            <w:vAlign w:val="center"/>
          </w:tcPr>
          <w:p>
            <w:pPr>
              <w:pStyle w:val="8"/>
              <w:bidi w:val="0"/>
              <w:rPr>
                <w:rFonts w:hint="default" w:eastAsiaTheme="minorEastAsia"/>
                <w:lang w:val="en-US" w:eastAsia="zh-CN"/>
              </w:rPr>
            </w:pPr>
            <w:r>
              <w:rPr>
                <w:rFonts w:hint="eastAsia"/>
                <w:lang w:val="en-US" w:eastAsia="zh-CN"/>
              </w:rPr>
              <w:t>0.0161</w:t>
            </w:r>
          </w:p>
        </w:tc>
        <w:tc>
          <w:tcPr>
            <w:tcW w:w="1005" w:type="dxa"/>
            <w:vAlign w:val="center"/>
          </w:tcPr>
          <w:p>
            <w:pPr>
              <w:pStyle w:val="8"/>
              <w:bidi w:val="0"/>
              <w:rPr>
                <w:rFonts w:hint="default" w:eastAsiaTheme="minorEastAsia"/>
                <w:lang w:val="en-US" w:eastAsia="zh-CN"/>
              </w:rPr>
            </w:pPr>
            <w:r>
              <w:rPr>
                <w:rFonts w:hint="eastAsia"/>
                <w:lang w:val="en-US" w:eastAsia="zh-CN"/>
              </w:rPr>
              <w:t>4.9</w:t>
            </w:r>
          </w:p>
        </w:tc>
        <w:tc>
          <w:tcPr>
            <w:tcW w:w="980" w:type="dxa"/>
            <w:vAlign w:val="center"/>
          </w:tcPr>
          <w:p>
            <w:pPr>
              <w:pStyle w:val="8"/>
              <w:bidi w:val="0"/>
              <w:rPr>
                <w:rFonts w:hint="eastAsia" w:eastAsiaTheme="minorEastAsia"/>
                <w:lang w:val="en-US" w:eastAsia="zh-CN"/>
              </w:rPr>
            </w:pPr>
            <w:r>
              <w:t>0.00</w:t>
            </w:r>
            <w:r>
              <w:rPr>
                <w:rFonts w:hint="eastAsia"/>
                <w:lang w:val="en-US" w:eastAsia="zh-CN"/>
              </w:rPr>
              <w:t>3</w:t>
            </w:r>
          </w:p>
        </w:tc>
        <w:tc>
          <w:tcPr>
            <w:tcW w:w="1135" w:type="dxa"/>
            <w:vAlign w:val="center"/>
          </w:tcPr>
          <w:p>
            <w:pPr>
              <w:pStyle w:val="8"/>
              <w:bidi w:val="0"/>
              <w:rPr>
                <w:rFonts w:hint="default" w:eastAsiaTheme="minorEastAsia"/>
                <w:lang w:val="en-US" w:eastAsia="zh-CN"/>
              </w:rPr>
            </w:pPr>
            <w:r>
              <w:rPr>
                <w:rFonts w:hint="eastAsia"/>
              </w:rPr>
              <w:t>0.</w:t>
            </w:r>
            <w:r>
              <w:rPr>
                <w:rFonts w:hint="eastAsia"/>
                <w:lang w:val="en-US" w:eastAsia="zh-CN"/>
              </w:rPr>
              <w:t>98</w:t>
            </w:r>
          </w:p>
        </w:tc>
        <w:tc>
          <w:tcPr>
            <w:tcW w:w="2269" w:type="dxa"/>
            <w:vAlign w:val="center"/>
          </w:tcPr>
          <w:p>
            <w:pPr>
              <w:pStyle w:val="8"/>
              <w:bidi w:val="0"/>
            </w:pPr>
            <w:r>
              <w:rPr>
                <w:rFonts w:hint="eastAsia"/>
              </w:rPr>
              <w:t>油烟净化，烟筒排放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94" w:type="dxa"/>
            <w:vMerge w:val="restart"/>
            <w:vAlign w:val="center"/>
          </w:tcPr>
          <w:p>
            <w:pPr>
              <w:pStyle w:val="8"/>
              <w:bidi w:val="0"/>
            </w:pPr>
            <w:r>
              <w:rPr>
                <w:rFonts w:hint="eastAsia"/>
              </w:rPr>
              <w:t>沼气</w:t>
            </w:r>
          </w:p>
          <w:p>
            <w:pPr>
              <w:pStyle w:val="8"/>
              <w:bidi w:val="0"/>
            </w:pPr>
            <w:r>
              <w:rPr>
                <w:rFonts w:hint="eastAsia"/>
              </w:rPr>
              <w:t>发电</w:t>
            </w:r>
          </w:p>
        </w:tc>
        <w:tc>
          <w:tcPr>
            <w:tcW w:w="1366" w:type="dxa"/>
            <w:vAlign w:val="center"/>
          </w:tcPr>
          <w:p>
            <w:pPr>
              <w:pStyle w:val="8"/>
              <w:bidi w:val="0"/>
            </w:pPr>
            <w:r>
              <w:t>NO</w:t>
            </w:r>
            <w:r>
              <w:rPr>
                <w:vertAlign w:val="subscript"/>
              </w:rPr>
              <w:t>x</w:t>
            </w:r>
          </w:p>
        </w:tc>
        <w:tc>
          <w:tcPr>
            <w:tcW w:w="987"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0.0</w:t>
            </w:r>
            <w:r>
              <w:rPr>
                <w:rFonts w:hint="eastAsia"/>
                <w:lang w:val="en-US" w:eastAsia="zh-CN"/>
              </w:rPr>
              <w:t>235</w:t>
            </w:r>
          </w:p>
        </w:tc>
        <w:tc>
          <w:tcPr>
            <w:tcW w:w="1005"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t>67</w:t>
            </w:r>
            <w:r>
              <w:rPr>
                <w:rFonts w:hint="eastAsia"/>
                <w:lang w:val="en-US" w:eastAsia="zh-CN"/>
              </w:rPr>
              <w:t>.66</w:t>
            </w:r>
          </w:p>
        </w:tc>
        <w:tc>
          <w:tcPr>
            <w:tcW w:w="98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0.0414</w:t>
            </w:r>
          </w:p>
        </w:tc>
        <w:tc>
          <w:tcPr>
            <w:tcW w:w="1135" w:type="dxa"/>
            <w:vAlign w:val="center"/>
          </w:tcPr>
          <w:p>
            <w:pPr>
              <w:pStyle w:val="8"/>
              <w:bidi w:val="0"/>
              <w:rPr>
                <w:rFonts w:hint="eastAsia" w:eastAsiaTheme="minorEastAsia"/>
                <w:lang w:eastAsia="zh-CN"/>
              </w:rPr>
            </w:pPr>
            <w:r>
              <w:rPr>
                <w:rFonts w:hint="eastAsia"/>
              </w:rPr>
              <w:t>67.</w:t>
            </w:r>
            <w:r>
              <w:rPr>
                <w:rFonts w:hint="eastAsia"/>
                <w:lang w:val="en-US" w:eastAsia="zh-CN"/>
              </w:rPr>
              <w:t>5</w:t>
            </w:r>
          </w:p>
        </w:tc>
        <w:tc>
          <w:tcPr>
            <w:tcW w:w="2269" w:type="dxa"/>
            <w:vMerge w:val="restart"/>
            <w:vAlign w:val="center"/>
          </w:tcPr>
          <w:p>
            <w:pPr>
              <w:pStyle w:val="8"/>
              <w:bidi w:val="0"/>
            </w:pPr>
            <w:r>
              <w:rPr>
                <w:rFonts w:hint="eastAsia"/>
              </w:rPr>
              <w:t>由15米高</w:t>
            </w:r>
            <w:r>
              <w:rPr>
                <w:rFonts w:hint="eastAsia"/>
                <w:lang w:eastAsia="zh-CN"/>
              </w:rPr>
              <w:t>火炬燃烧</w:t>
            </w:r>
            <w:r>
              <w:rPr>
                <w:rFonts w:hint="eastAsia"/>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94" w:type="dxa"/>
            <w:vMerge w:val="continue"/>
            <w:vAlign w:val="center"/>
          </w:tcPr>
          <w:p>
            <w:pPr>
              <w:pStyle w:val="8"/>
              <w:bidi w:val="0"/>
            </w:pPr>
          </w:p>
        </w:tc>
        <w:tc>
          <w:tcPr>
            <w:tcW w:w="1366" w:type="dxa"/>
            <w:vAlign w:val="center"/>
          </w:tcPr>
          <w:p>
            <w:pPr>
              <w:pStyle w:val="8"/>
              <w:bidi w:val="0"/>
            </w:pPr>
            <w:r>
              <w:t>SO</w:t>
            </w:r>
            <w:r>
              <w:rPr>
                <w:vertAlign w:val="subscript"/>
              </w:rPr>
              <w:t>2</w:t>
            </w:r>
          </w:p>
        </w:tc>
        <w:tc>
          <w:tcPr>
            <w:tcW w:w="987"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0.000</w:t>
            </w:r>
            <w:r>
              <w:rPr>
                <w:rFonts w:hint="eastAsia"/>
                <w:lang w:val="en-US" w:eastAsia="zh-CN"/>
              </w:rPr>
              <w:t>3</w:t>
            </w:r>
          </w:p>
        </w:tc>
        <w:tc>
          <w:tcPr>
            <w:tcW w:w="1005"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0.8</w:t>
            </w:r>
            <w:r>
              <w:rPr>
                <w:rFonts w:hint="eastAsia"/>
                <w:lang w:val="en-US" w:eastAsia="zh-CN"/>
              </w:rPr>
              <w:t>6</w:t>
            </w:r>
          </w:p>
        </w:tc>
        <w:tc>
          <w:tcPr>
            <w:tcW w:w="980"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0.0005</w:t>
            </w:r>
          </w:p>
        </w:tc>
        <w:tc>
          <w:tcPr>
            <w:tcW w:w="1135" w:type="dxa"/>
            <w:vAlign w:val="center"/>
          </w:tcPr>
          <w:p>
            <w:pPr>
              <w:pStyle w:val="8"/>
              <w:bidi w:val="0"/>
            </w:pPr>
            <w:r>
              <w:rPr>
                <w:rFonts w:hint="eastAsia"/>
              </w:rPr>
              <w:t>0.8</w:t>
            </w:r>
          </w:p>
        </w:tc>
        <w:tc>
          <w:tcPr>
            <w:tcW w:w="2269" w:type="dxa"/>
            <w:vMerge w:val="continue"/>
            <w:vAlign w:val="center"/>
          </w:tcPr>
          <w:p>
            <w:pPr>
              <w:pStyle w:val="8"/>
              <w:bidi w:val="0"/>
            </w:pPr>
          </w:p>
        </w:tc>
      </w:tr>
    </w:tbl>
    <w:p>
      <w:pPr>
        <w:rPr>
          <w:rFonts w:hint="eastAsia"/>
        </w:rPr>
      </w:pPr>
    </w:p>
    <w:p>
      <w:pPr>
        <w:pStyle w:val="6"/>
        <w:bidi w:val="0"/>
      </w:pPr>
      <w:r>
        <w:rPr>
          <w:rFonts w:hint="eastAsia"/>
        </w:rPr>
        <w:t>噪声污染源强分析</w:t>
      </w:r>
    </w:p>
    <w:p>
      <w:r>
        <w:rPr>
          <w:rFonts w:hint="eastAsia"/>
        </w:rPr>
        <w:t>项目噪声主要均来源于猪群叫声、猪舍排气扇、水泵、风机等产生的噪声，猪舍排气扇的等效声级值在</w:t>
      </w:r>
      <w:r>
        <w:t>75~85dB</w:t>
      </w:r>
      <w:r>
        <w:rPr>
          <w:rFonts w:hint="eastAsia"/>
        </w:rPr>
        <w:t>（</w:t>
      </w:r>
      <w:r>
        <w:t>A</w:t>
      </w:r>
      <w:r>
        <w:rPr>
          <w:rFonts w:hint="eastAsia"/>
        </w:rPr>
        <w:t>），猪群哼叫声在</w:t>
      </w:r>
      <w:r>
        <w:t>70~80dB</w:t>
      </w:r>
      <w:r>
        <w:rPr>
          <w:rFonts w:hint="eastAsia"/>
        </w:rPr>
        <w:t>（</w:t>
      </w:r>
      <w:r>
        <w:t>A</w:t>
      </w:r>
      <w:r>
        <w:rPr>
          <w:rFonts w:hint="eastAsia"/>
        </w:rPr>
        <w:t>），水泵的等效声级值在</w:t>
      </w:r>
      <w:r>
        <w:t>80~90dB</w:t>
      </w:r>
      <w:r>
        <w:rPr>
          <w:rFonts w:hint="eastAsia"/>
        </w:rPr>
        <w:t>（</w:t>
      </w:r>
      <w:r>
        <w:t>A</w:t>
      </w:r>
      <w:r>
        <w:rPr>
          <w:rFonts w:hint="eastAsia"/>
        </w:rPr>
        <w:t>），风机的等效声级值在</w:t>
      </w:r>
      <w:r>
        <w:t>80~90dB</w:t>
      </w:r>
      <w:r>
        <w:rPr>
          <w:rFonts w:hint="eastAsia"/>
        </w:rPr>
        <w:t>（</w:t>
      </w:r>
      <w:r>
        <w:t>A</w:t>
      </w:r>
      <w:r>
        <w:rPr>
          <w:rFonts w:hint="eastAsia"/>
        </w:rPr>
        <w:t>）。主要噪声源排放情况见表</w:t>
      </w:r>
      <w:r>
        <w:rPr>
          <w:rFonts w:hint="eastAsia"/>
          <w:lang w:val="en-US" w:eastAsia="zh-CN"/>
        </w:rPr>
        <w:t>2.4</w:t>
      </w:r>
      <w:r>
        <w:rPr>
          <w:rFonts w:hint="eastAsia"/>
        </w:rPr>
        <w:t>-1</w:t>
      </w:r>
      <w:r>
        <w:rPr>
          <w:rFonts w:hint="eastAsia"/>
          <w:lang w:val="en-US" w:eastAsia="zh-CN"/>
        </w:rPr>
        <w:t>2</w:t>
      </w:r>
      <w:r>
        <w:rPr>
          <w:rFonts w:hint="eastAsia"/>
        </w:rPr>
        <w:t>。</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12</w:t>
      </w:r>
      <w:r>
        <w:fldChar w:fldCharType="end"/>
      </w:r>
      <w:r>
        <w:rPr>
          <w:rFonts w:hint="eastAsia"/>
          <w:lang w:val="en-US" w:eastAsia="zh-CN"/>
        </w:rPr>
        <w:t xml:space="preserve">   </w:t>
      </w:r>
      <w:r>
        <w:rPr>
          <w:rFonts w:hint="eastAsia"/>
        </w:rPr>
        <w:t>项目主要噪声源强表</w:t>
      </w:r>
      <w:r>
        <w:rPr>
          <w:rFonts w:hint="eastAsia"/>
          <w:lang w:val="en-US" w:eastAsia="zh-CN"/>
        </w:rPr>
        <w:t xml:space="preserve"> </w:t>
      </w:r>
    </w:p>
    <w:tbl>
      <w:tblPr>
        <w:tblStyle w:val="17"/>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181"/>
        <w:gridCol w:w="2183"/>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8"/>
              <w:bidi w:val="0"/>
            </w:pPr>
            <w:r>
              <w:rPr>
                <w:rFonts w:hint="eastAsia"/>
              </w:rPr>
              <w:t>种类</w:t>
            </w:r>
          </w:p>
        </w:tc>
        <w:tc>
          <w:tcPr>
            <w:tcW w:w="2181" w:type="dxa"/>
            <w:vAlign w:val="center"/>
          </w:tcPr>
          <w:p>
            <w:pPr>
              <w:pStyle w:val="8"/>
              <w:bidi w:val="0"/>
            </w:pPr>
            <w:r>
              <w:rPr>
                <w:rFonts w:hint="eastAsia"/>
              </w:rPr>
              <w:t>污染物来源</w:t>
            </w:r>
          </w:p>
        </w:tc>
        <w:tc>
          <w:tcPr>
            <w:tcW w:w="2183" w:type="dxa"/>
            <w:vAlign w:val="center"/>
          </w:tcPr>
          <w:p>
            <w:pPr>
              <w:pStyle w:val="8"/>
              <w:bidi w:val="0"/>
            </w:pPr>
            <w:r>
              <w:rPr>
                <w:rFonts w:hint="eastAsia"/>
              </w:rPr>
              <w:t>产生方式</w:t>
            </w:r>
          </w:p>
        </w:tc>
        <w:tc>
          <w:tcPr>
            <w:tcW w:w="2186" w:type="dxa"/>
            <w:vAlign w:val="center"/>
          </w:tcPr>
          <w:p>
            <w:pPr>
              <w:pStyle w:val="8"/>
              <w:bidi w:val="0"/>
            </w:pPr>
            <w:r>
              <w:rPr>
                <w:rFonts w:hint="eastAsia"/>
              </w:rPr>
              <w:t>产生源强</w:t>
            </w:r>
            <w:r>
              <w:t>dB</w:t>
            </w:r>
            <w:r>
              <w:rPr>
                <w:rFonts w:hint="eastAsia"/>
              </w:rPr>
              <w:t>（</w:t>
            </w:r>
            <w:r>
              <w: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8"/>
              <w:bidi w:val="0"/>
            </w:pPr>
            <w:r>
              <w:rPr>
                <w:rFonts w:hint="eastAsia"/>
              </w:rPr>
              <w:t>猪叫</w:t>
            </w:r>
          </w:p>
        </w:tc>
        <w:tc>
          <w:tcPr>
            <w:tcW w:w="2181" w:type="dxa"/>
            <w:vAlign w:val="center"/>
          </w:tcPr>
          <w:p>
            <w:pPr>
              <w:pStyle w:val="8"/>
              <w:bidi w:val="0"/>
            </w:pPr>
            <w:r>
              <w:rPr>
                <w:rFonts w:hint="eastAsia"/>
              </w:rPr>
              <w:t>全部猪舍</w:t>
            </w:r>
          </w:p>
        </w:tc>
        <w:tc>
          <w:tcPr>
            <w:tcW w:w="2183" w:type="dxa"/>
            <w:vAlign w:val="center"/>
          </w:tcPr>
          <w:p>
            <w:pPr>
              <w:pStyle w:val="8"/>
              <w:bidi w:val="0"/>
            </w:pPr>
            <w:r>
              <w:rPr>
                <w:rFonts w:hint="eastAsia"/>
              </w:rPr>
              <w:t>间断</w:t>
            </w:r>
          </w:p>
        </w:tc>
        <w:tc>
          <w:tcPr>
            <w:tcW w:w="2186" w:type="dxa"/>
            <w:vAlign w:val="center"/>
          </w:tcPr>
          <w:p>
            <w:pPr>
              <w:pStyle w:val="8"/>
              <w:bidi w:val="0"/>
            </w:pPr>
            <w:r>
              <w:t>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8"/>
              <w:bidi w:val="0"/>
            </w:pPr>
            <w:r>
              <w:rPr>
                <w:rFonts w:hint="eastAsia"/>
              </w:rPr>
              <w:t>猪舍风机</w:t>
            </w:r>
          </w:p>
        </w:tc>
        <w:tc>
          <w:tcPr>
            <w:tcW w:w="2181" w:type="dxa"/>
            <w:vAlign w:val="center"/>
          </w:tcPr>
          <w:p>
            <w:pPr>
              <w:pStyle w:val="8"/>
              <w:bidi w:val="0"/>
            </w:pPr>
            <w:r>
              <w:rPr>
                <w:rFonts w:hint="eastAsia"/>
              </w:rPr>
              <w:t>全部猪舍</w:t>
            </w:r>
          </w:p>
        </w:tc>
        <w:tc>
          <w:tcPr>
            <w:tcW w:w="2183" w:type="dxa"/>
            <w:vAlign w:val="center"/>
          </w:tcPr>
          <w:p>
            <w:pPr>
              <w:pStyle w:val="8"/>
              <w:bidi w:val="0"/>
            </w:pPr>
            <w:r>
              <w:rPr>
                <w:rFonts w:hint="eastAsia"/>
              </w:rPr>
              <w:t>连续</w:t>
            </w:r>
          </w:p>
        </w:tc>
        <w:tc>
          <w:tcPr>
            <w:tcW w:w="2186" w:type="dxa"/>
            <w:vAlign w:val="center"/>
          </w:tcPr>
          <w:p>
            <w:pPr>
              <w:pStyle w:val="8"/>
              <w:bidi w:val="0"/>
            </w:pPr>
            <w: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8"/>
              <w:bidi w:val="0"/>
            </w:pPr>
            <w:r>
              <w:rPr>
                <w:rFonts w:hint="eastAsia"/>
              </w:rPr>
              <w:t>水泵</w:t>
            </w:r>
          </w:p>
        </w:tc>
        <w:tc>
          <w:tcPr>
            <w:tcW w:w="2181" w:type="dxa"/>
            <w:vAlign w:val="center"/>
          </w:tcPr>
          <w:p>
            <w:pPr>
              <w:pStyle w:val="8"/>
              <w:bidi w:val="0"/>
            </w:pPr>
            <w:r>
              <w:t>供水</w:t>
            </w:r>
          </w:p>
        </w:tc>
        <w:tc>
          <w:tcPr>
            <w:tcW w:w="2183" w:type="dxa"/>
            <w:vAlign w:val="center"/>
          </w:tcPr>
          <w:p>
            <w:pPr>
              <w:pStyle w:val="8"/>
              <w:bidi w:val="0"/>
            </w:pPr>
            <w:r>
              <w:rPr>
                <w:rFonts w:hint="eastAsia"/>
              </w:rPr>
              <w:t>间断</w:t>
            </w:r>
          </w:p>
        </w:tc>
        <w:tc>
          <w:tcPr>
            <w:tcW w:w="2186" w:type="dxa"/>
            <w:vAlign w:val="center"/>
          </w:tcPr>
          <w:p>
            <w:pPr>
              <w:pStyle w:val="8"/>
              <w:bidi w:val="0"/>
            </w:pPr>
            <w: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Align w:val="center"/>
          </w:tcPr>
          <w:p>
            <w:pPr>
              <w:pStyle w:val="8"/>
              <w:bidi w:val="0"/>
              <w:rPr>
                <w:rFonts w:hint="eastAsia" w:eastAsiaTheme="minorEastAsia"/>
                <w:lang w:eastAsia="zh-CN"/>
              </w:rPr>
            </w:pPr>
            <w:r>
              <w:rPr>
                <w:rFonts w:hint="eastAsia"/>
                <w:lang w:eastAsia="zh-CN"/>
              </w:rPr>
              <w:t>柴油机发电机</w:t>
            </w:r>
          </w:p>
        </w:tc>
        <w:tc>
          <w:tcPr>
            <w:tcW w:w="2181" w:type="dxa"/>
            <w:vAlign w:val="center"/>
          </w:tcPr>
          <w:p>
            <w:pPr>
              <w:pStyle w:val="8"/>
              <w:bidi w:val="0"/>
              <w:rPr>
                <w:rFonts w:hint="eastAsia" w:eastAsiaTheme="minorEastAsia"/>
                <w:lang w:eastAsia="zh-CN"/>
              </w:rPr>
            </w:pPr>
            <w:r>
              <w:rPr>
                <w:rFonts w:hint="eastAsia"/>
                <w:lang w:eastAsia="zh-CN"/>
              </w:rPr>
              <w:t>供电</w:t>
            </w:r>
          </w:p>
        </w:tc>
        <w:tc>
          <w:tcPr>
            <w:tcW w:w="2183" w:type="dxa"/>
            <w:vAlign w:val="center"/>
          </w:tcPr>
          <w:p>
            <w:pPr>
              <w:pStyle w:val="8"/>
              <w:bidi w:val="0"/>
              <w:rPr>
                <w:rFonts w:hint="eastAsia" w:eastAsiaTheme="minorEastAsia"/>
                <w:lang w:eastAsia="zh-CN"/>
              </w:rPr>
            </w:pPr>
            <w:r>
              <w:rPr>
                <w:rFonts w:hint="eastAsia"/>
                <w:lang w:eastAsia="zh-CN"/>
              </w:rPr>
              <w:t>间断</w:t>
            </w:r>
          </w:p>
        </w:tc>
        <w:tc>
          <w:tcPr>
            <w:tcW w:w="2186" w:type="dxa"/>
            <w:vAlign w:val="center"/>
          </w:tcPr>
          <w:p>
            <w:pPr>
              <w:pStyle w:val="8"/>
              <w:bidi w:val="0"/>
            </w:pPr>
            <w:r>
              <w:t>80~90</w:t>
            </w:r>
          </w:p>
        </w:tc>
      </w:tr>
    </w:tbl>
    <w:p>
      <w:pPr>
        <w:pStyle w:val="6"/>
        <w:keepNext/>
        <w:keepLines/>
        <w:pageBreakBefore w:val="0"/>
        <w:widowControl w:val="0"/>
        <w:kinsoku/>
        <w:wordWrap/>
        <w:overflowPunct/>
        <w:topLinePunct w:val="0"/>
        <w:autoSpaceDE/>
        <w:autoSpaceDN/>
        <w:bidi w:val="0"/>
        <w:adjustRightInd/>
        <w:snapToGrid/>
        <w:spacing w:before="157" w:beforeLines="50"/>
        <w:textAlignment w:val="auto"/>
      </w:pPr>
      <w:r>
        <w:rPr>
          <w:rFonts w:hint="eastAsia"/>
        </w:rPr>
        <w:t>固体废弃物产生源强分析</w:t>
      </w:r>
    </w:p>
    <w:p>
      <w:r>
        <w:t>本项目产生的固体废物主要为</w:t>
      </w:r>
      <w:r>
        <w:rPr>
          <w:rFonts w:hint="eastAsia"/>
          <w:lang w:eastAsia="zh-CN"/>
        </w:rPr>
        <w:t>厌氧罐排泥</w:t>
      </w:r>
      <w:r>
        <w:rPr>
          <w:rFonts w:hint="eastAsia"/>
        </w:rPr>
        <w:t>、</w:t>
      </w:r>
      <w:r>
        <w:rPr>
          <w:rFonts w:hint="eastAsia"/>
          <w:lang w:eastAsia="zh-CN"/>
        </w:rPr>
        <w:t>堆粪棚产生的有机肥</w:t>
      </w:r>
      <w:r>
        <w:t>、病死猪尸体、</w:t>
      </w:r>
      <w:r>
        <w:rPr>
          <w:rFonts w:hint="eastAsia"/>
        </w:rPr>
        <w:t>分娩废物</w:t>
      </w:r>
      <w:r>
        <w:t>及</w:t>
      </w:r>
      <w:r>
        <w:rPr>
          <w:rFonts w:hint="eastAsia"/>
        </w:rPr>
        <w:t>员工</w:t>
      </w:r>
      <w:r>
        <w:t>生活垃圾。此外，猪只检疫、生病等使用医疗设备会产生少量的医疗废物。</w:t>
      </w:r>
    </w:p>
    <w:p>
      <w:r>
        <w:rPr>
          <w:rFonts w:hint="eastAsia"/>
        </w:rPr>
        <w:t>（</w:t>
      </w:r>
      <w:r>
        <w:t>1</w:t>
      </w:r>
      <w:r>
        <w:rPr>
          <w:rFonts w:hint="eastAsia"/>
        </w:rPr>
        <w:t>）猪粪及</w:t>
      </w:r>
      <w:r>
        <w:rPr>
          <w:rFonts w:hint="eastAsia"/>
          <w:lang w:eastAsia="zh-CN"/>
        </w:rPr>
        <w:t>堆粪棚产生的有机肥</w:t>
      </w:r>
    </w:p>
    <w:p>
      <w:r>
        <w:t>猪在生长过程中排放粪便</w:t>
      </w:r>
      <w:r>
        <w:rPr>
          <w:rFonts w:hint="eastAsia"/>
        </w:rPr>
        <w:t>，畜粪的排泄量受到环境生态因子、饲料质量以及猪的体重等多种因素的影响，其中排泄量主要因猪的体重和不同发育阶段而不同，参照《全国第一次污染源普查畜禽养殖产排污系数手册》</w:t>
      </w:r>
      <w:r>
        <w:t>表2</w:t>
      </w:r>
      <w:r>
        <w:rPr>
          <w:rFonts w:hint="eastAsia"/>
        </w:rPr>
        <w:t>“中南区”生猪养殖产污系数、《规模畜禽养殖场污染防治最佳可行性技术指南（试行）》</w:t>
      </w:r>
      <w:r>
        <w:t>（HJ-BAT-10）中“表</w:t>
      </w:r>
      <w:r>
        <w:rPr>
          <w:rFonts w:hint="eastAsia"/>
        </w:rPr>
        <w:t>1畜禽养殖主要固体污染物的产生量及其性质</w:t>
      </w:r>
      <w:r>
        <w:t>”、</w:t>
      </w:r>
      <w:r>
        <w:rPr>
          <w:rFonts w:hint="eastAsia"/>
        </w:rPr>
        <w:t>《畜禽规模养殖场粪污资源化利用设施建设规范》（农办牧〔</w:t>
      </w:r>
      <w:r>
        <w:t>2018〕2号</w:t>
      </w:r>
      <w:r>
        <w:rPr>
          <w:rFonts w:hint="eastAsia"/>
        </w:rPr>
        <w:t>）等规范，并类比同类项目，则本项目猪粪的产生量详见下表。</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13</w:t>
      </w:r>
      <w:r>
        <w:fldChar w:fldCharType="end"/>
      </w:r>
      <w:r>
        <w:rPr>
          <w:rFonts w:hint="eastAsia"/>
          <w:lang w:val="en-US" w:eastAsia="zh-CN"/>
        </w:rPr>
        <w:t xml:space="preserve">  </w:t>
      </w:r>
      <w:r>
        <w:t>猪群鲜粪的产生</w:t>
      </w:r>
      <w:r>
        <w:rPr>
          <w:rFonts w:hint="eastAsia"/>
        </w:rPr>
        <w:t>量</w:t>
      </w:r>
    </w:p>
    <w:tbl>
      <w:tblPr>
        <w:tblStyle w:val="17"/>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749"/>
        <w:gridCol w:w="1748"/>
        <w:gridCol w:w="1748"/>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322"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猪群结构</w:t>
            </w:r>
          </w:p>
        </w:tc>
        <w:tc>
          <w:tcPr>
            <w:tcW w:w="1749" w:type="dxa"/>
            <w:vAlign w:val="center"/>
          </w:tcPr>
          <w:p>
            <w:pPr>
              <w:pStyle w:val="8"/>
              <w:bidi w:val="0"/>
            </w:pPr>
            <w:r>
              <w:rPr>
                <w:rFonts w:hint="eastAsia"/>
              </w:rPr>
              <w:t>存栏</w:t>
            </w:r>
            <w:r>
              <w:t>数量</w:t>
            </w:r>
          </w:p>
          <w:p>
            <w:pPr>
              <w:pStyle w:val="8"/>
              <w:bidi w:val="0"/>
            </w:pPr>
            <w:r>
              <w:t>（头）</w:t>
            </w:r>
          </w:p>
        </w:tc>
        <w:tc>
          <w:tcPr>
            <w:tcW w:w="1748" w:type="dxa"/>
            <w:vAlign w:val="center"/>
          </w:tcPr>
          <w:p>
            <w:pPr>
              <w:pStyle w:val="8"/>
              <w:bidi w:val="0"/>
            </w:pPr>
            <w:r>
              <w:t>猪排粪量</w:t>
            </w:r>
          </w:p>
          <w:p>
            <w:pPr>
              <w:pStyle w:val="8"/>
              <w:bidi w:val="0"/>
            </w:pPr>
            <w:r>
              <w:t>（kg/头·d）</w:t>
            </w:r>
          </w:p>
        </w:tc>
        <w:tc>
          <w:tcPr>
            <w:tcW w:w="1748" w:type="dxa"/>
            <w:vAlign w:val="center"/>
          </w:tcPr>
          <w:p>
            <w:pPr>
              <w:pStyle w:val="8"/>
              <w:bidi w:val="0"/>
            </w:pPr>
            <w:r>
              <w:t>日排粪量</w:t>
            </w:r>
          </w:p>
          <w:p>
            <w:pPr>
              <w:pStyle w:val="8"/>
              <w:bidi w:val="0"/>
            </w:pPr>
            <w:r>
              <w:t>（t/d）</w:t>
            </w:r>
          </w:p>
        </w:tc>
        <w:tc>
          <w:tcPr>
            <w:tcW w:w="1750" w:type="dxa"/>
            <w:vAlign w:val="center"/>
          </w:tcPr>
          <w:p>
            <w:pPr>
              <w:pStyle w:val="8"/>
              <w:bidi w:val="0"/>
            </w:pPr>
            <w:r>
              <w:t>年排粪量</w:t>
            </w:r>
          </w:p>
          <w:p>
            <w:pPr>
              <w:pStyle w:val="8"/>
              <w:bidi w:val="0"/>
            </w:pP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22"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种母猪</w:t>
            </w:r>
          </w:p>
        </w:tc>
        <w:tc>
          <w:tcPr>
            <w:tcW w:w="1749"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4800</w:t>
            </w:r>
          </w:p>
        </w:tc>
        <w:tc>
          <w:tcPr>
            <w:tcW w:w="1748" w:type="dxa"/>
            <w:vAlign w:val="center"/>
          </w:tcPr>
          <w:p>
            <w:pPr>
              <w:pStyle w:val="8"/>
              <w:bidi w:val="0"/>
            </w:pPr>
            <w:r>
              <w:t>1.68</w:t>
            </w:r>
          </w:p>
        </w:tc>
        <w:tc>
          <w:tcPr>
            <w:tcW w:w="1748" w:type="dxa"/>
            <w:vAlign w:val="center"/>
          </w:tcPr>
          <w:p>
            <w:pPr>
              <w:pStyle w:val="8"/>
              <w:bidi w:val="0"/>
              <w:rPr>
                <w:rFonts w:hint="default"/>
                <w:lang w:val="en-US" w:eastAsia="zh-CN"/>
              </w:rPr>
            </w:pPr>
            <w:r>
              <w:rPr>
                <w:rFonts w:hint="eastAsia"/>
                <w:lang w:val="en-US" w:eastAsia="zh-CN"/>
              </w:rPr>
              <w:t>8.06</w:t>
            </w:r>
          </w:p>
        </w:tc>
        <w:tc>
          <w:tcPr>
            <w:tcW w:w="1750" w:type="dxa"/>
            <w:vAlign w:val="center"/>
          </w:tcPr>
          <w:p>
            <w:pPr>
              <w:pStyle w:val="8"/>
              <w:bidi w:val="0"/>
              <w:rPr>
                <w:rFonts w:hint="eastAsia"/>
                <w:lang w:val="en-US" w:eastAsia="zh-CN"/>
              </w:rPr>
            </w:pPr>
            <w:r>
              <w:rPr>
                <w:rFonts w:hint="eastAsia"/>
                <w:lang w:val="en-US" w:eastAsia="zh-CN"/>
              </w:rPr>
              <w:t>2941.9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22"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种公猪</w:t>
            </w:r>
          </w:p>
        </w:tc>
        <w:tc>
          <w:tcPr>
            <w:tcW w:w="1749"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158</w:t>
            </w:r>
          </w:p>
        </w:tc>
        <w:tc>
          <w:tcPr>
            <w:tcW w:w="1748" w:type="dxa"/>
            <w:vAlign w:val="center"/>
          </w:tcPr>
          <w:p>
            <w:pPr>
              <w:pStyle w:val="8"/>
              <w:bidi w:val="0"/>
            </w:pPr>
            <w:r>
              <w:t>1.68</w:t>
            </w:r>
          </w:p>
        </w:tc>
        <w:tc>
          <w:tcPr>
            <w:tcW w:w="1748" w:type="dxa"/>
            <w:vAlign w:val="center"/>
          </w:tcPr>
          <w:p>
            <w:pPr>
              <w:pStyle w:val="8"/>
              <w:bidi w:val="0"/>
              <w:rPr>
                <w:rFonts w:hint="default"/>
                <w:lang w:val="en-US" w:eastAsia="zh-CN"/>
              </w:rPr>
            </w:pPr>
            <w:r>
              <w:rPr>
                <w:rFonts w:hint="eastAsia"/>
                <w:lang w:val="en-US" w:eastAsia="zh-CN"/>
              </w:rPr>
              <w:t>0.27</w:t>
            </w:r>
          </w:p>
        </w:tc>
        <w:tc>
          <w:tcPr>
            <w:tcW w:w="1750" w:type="dxa"/>
            <w:vAlign w:val="center"/>
          </w:tcPr>
          <w:p>
            <w:pPr>
              <w:pStyle w:val="8"/>
              <w:bidi w:val="0"/>
              <w:rPr>
                <w:rFonts w:hint="eastAsia"/>
                <w:lang w:val="en-US" w:eastAsia="zh-CN"/>
              </w:rPr>
            </w:pPr>
            <w:r>
              <w:rPr>
                <w:rFonts w:hint="eastAsia"/>
                <w:lang w:val="en-US" w:eastAsia="zh-CN"/>
              </w:rPr>
              <w:t>98.55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22"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哺</w:t>
            </w:r>
            <w:r>
              <w:rPr>
                <w:rFonts w:hint="eastAsia"/>
                <w:lang w:eastAsia="zh-CN"/>
              </w:rPr>
              <w:t>乳</w:t>
            </w:r>
            <w:r>
              <w:rPr>
                <w:rFonts w:hint="eastAsia"/>
              </w:rPr>
              <w:t>仔猪</w:t>
            </w:r>
          </w:p>
        </w:tc>
        <w:tc>
          <w:tcPr>
            <w:tcW w:w="1749"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9853</w:t>
            </w:r>
          </w:p>
        </w:tc>
        <w:tc>
          <w:tcPr>
            <w:tcW w:w="1748" w:type="dxa"/>
            <w:vAlign w:val="center"/>
          </w:tcPr>
          <w:p>
            <w:pPr>
              <w:pStyle w:val="8"/>
              <w:bidi w:val="0"/>
            </w:pPr>
            <w:r>
              <w:t>0.41</w:t>
            </w:r>
          </w:p>
        </w:tc>
        <w:tc>
          <w:tcPr>
            <w:tcW w:w="1748" w:type="dxa"/>
            <w:vAlign w:val="center"/>
          </w:tcPr>
          <w:p>
            <w:pPr>
              <w:pStyle w:val="8"/>
              <w:bidi w:val="0"/>
              <w:rPr>
                <w:rFonts w:hint="default"/>
                <w:lang w:val="en-US" w:eastAsia="zh-CN"/>
              </w:rPr>
            </w:pPr>
            <w:r>
              <w:rPr>
                <w:rFonts w:hint="eastAsia"/>
                <w:lang w:val="en-US" w:eastAsia="zh-CN"/>
              </w:rPr>
              <w:t>4.04</w:t>
            </w:r>
          </w:p>
        </w:tc>
        <w:tc>
          <w:tcPr>
            <w:tcW w:w="1750" w:type="dxa"/>
            <w:vAlign w:val="center"/>
          </w:tcPr>
          <w:p>
            <w:pPr>
              <w:pStyle w:val="8"/>
              <w:bidi w:val="0"/>
              <w:rPr>
                <w:rFonts w:hint="eastAsia"/>
                <w:lang w:val="en-US" w:eastAsia="zh-CN"/>
              </w:rPr>
            </w:pPr>
            <w:r>
              <w:rPr>
                <w:rFonts w:hint="eastAsia"/>
                <w:lang w:val="en-US" w:eastAsia="zh-CN"/>
              </w:rPr>
              <w:t>1474.6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322"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合计</w:t>
            </w:r>
          </w:p>
        </w:tc>
        <w:tc>
          <w:tcPr>
            <w:tcW w:w="1749" w:type="dxa"/>
            <w:vAlign w:val="center"/>
          </w:tcPr>
          <w:p>
            <w:pPr>
              <w:pStyle w:val="8"/>
              <w:bidi w:val="0"/>
            </w:pPr>
            <w:r>
              <w:rPr>
                <w:rFonts w:hint="eastAsia"/>
              </w:rPr>
              <w:t>/</w:t>
            </w:r>
          </w:p>
        </w:tc>
        <w:tc>
          <w:tcPr>
            <w:tcW w:w="1748" w:type="dxa"/>
            <w:vAlign w:val="center"/>
          </w:tcPr>
          <w:p>
            <w:pPr>
              <w:pStyle w:val="8"/>
              <w:bidi w:val="0"/>
            </w:pPr>
            <w:r>
              <w:rPr>
                <w:rFonts w:hint="eastAsia"/>
              </w:rPr>
              <w:t>/</w:t>
            </w:r>
          </w:p>
        </w:tc>
        <w:tc>
          <w:tcPr>
            <w:tcW w:w="1748" w:type="dxa"/>
            <w:vAlign w:val="center"/>
          </w:tcPr>
          <w:p>
            <w:pPr>
              <w:pStyle w:val="8"/>
              <w:bidi w:val="0"/>
            </w:pPr>
            <w:r>
              <w:rPr>
                <w:rFonts w:hint="eastAsia"/>
              </w:rPr>
              <w:t>/</w:t>
            </w:r>
          </w:p>
        </w:tc>
        <w:tc>
          <w:tcPr>
            <w:tcW w:w="1750" w:type="dxa"/>
            <w:vAlign w:val="center"/>
          </w:tcPr>
          <w:p>
            <w:pPr>
              <w:pStyle w:val="8"/>
              <w:bidi w:val="0"/>
              <w:rPr>
                <w:rFonts w:hint="default" w:eastAsiaTheme="minorEastAsia"/>
                <w:lang w:val="en-US" w:eastAsia="zh-CN"/>
              </w:rPr>
            </w:pPr>
            <w:r>
              <w:rPr>
                <w:rFonts w:hint="eastAsia"/>
                <w:lang w:val="en-US" w:eastAsia="zh-CN"/>
              </w:rPr>
              <w:t>4515.05</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本项目干猪粪产生量为</w:t>
      </w:r>
      <w:r>
        <w:rPr>
          <w:rFonts w:hint="eastAsia"/>
          <w:lang w:val="en-US" w:eastAsia="zh-CN"/>
        </w:rPr>
        <w:t>4515.05</w:t>
      </w:r>
      <w:r>
        <w:rPr>
          <w:rFonts w:hint="eastAsia"/>
        </w:rPr>
        <w:t>t/a。本项目主要采用</w:t>
      </w:r>
      <w:r>
        <w:rPr>
          <w:rFonts w:hint="eastAsia"/>
          <w:lang w:eastAsia="zh-CN"/>
        </w:rPr>
        <w:t>堆粪棚</w:t>
      </w:r>
      <w:r>
        <w:rPr>
          <w:rFonts w:hint="eastAsia"/>
        </w:rPr>
        <w:t>进行生物降解处理，实现粪污的“零排放</w:t>
      </w:r>
      <w:r>
        <w:t>”</w:t>
      </w:r>
      <w:r>
        <w:rPr>
          <w:rFonts w:hint="eastAsia"/>
        </w:rPr>
        <w:t>，猪粪通过</w:t>
      </w:r>
      <w:r>
        <w:rPr>
          <w:rFonts w:hint="eastAsia"/>
          <w:lang w:eastAsia="zh-CN"/>
        </w:rPr>
        <w:t>摊铺</w:t>
      </w:r>
      <w:r>
        <w:rPr>
          <w:rFonts w:hint="eastAsia"/>
        </w:rPr>
        <w:t>在</w:t>
      </w:r>
      <w:r>
        <w:rPr>
          <w:rFonts w:hint="eastAsia"/>
          <w:lang w:eastAsia="zh-CN"/>
        </w:rPr>
        <w:t>堆粪棚中</w:t>
      </w:r>
      <w:r>
        <w:rPr>
          <w:rFonts w:hint="eastAsia"/>
        </w:rPr>
        <w:t>，微生物菌群将猪粪中的有机物进行分解和转化。</w:t>
      </w:r>
    </w:p>
    <w:p>
      <w:r>
        <w:rPr>
          <w:rFonts w:hint="eastAsia"/>
          <w:lang w:eastAsia="zh-CN"/>
        </w:rPr>
        <w:t>项目</w:t>
      </w:r>
      <w:r>
        <w:rPr>
          <w:rFonts w:hint="eastAsia"/>
        </w:rPr>
        <w:t>猪粪产生量为</w:t>
      </w:r>
      <w:r>
        <w:rPr>
          <w:rFonts w:hint="eastAsia"/>
          <w:lang w:val="en-US" w:eastAsia="zh-CN"/>
        </w:rPr>
        <w:t>4515.05</w:t>
      </w:r>
      <w:r>
        <w:rPr>
          <w:rFonts w:hint="eastAsia"/>
        </w:rPr>
        <w:t>t/a，猪粪被微生物菌群发酵分解，总损失量一般为猪粪产生量的2</w:t>
      </w:r>
      <w:r>
        <w:t>0%~</w:t>
      </w:r>
      <w:r>
        <w:rPr>
          <w:rFonts w:hint="eastAsia"/>
        </w:rPr>
        <w:t>4</w:t>
      </w:r>
      <w:r>
        <w:t>0%</w:t>
      </w:r>
      <w:r>
        <w:rPr>
          <w:rFonts w:hint="eastAsia"/>
        </w:rPr>
        <w:t>，本环评按30%计，则项目猪粪经发酵床分解后废物残余产生量为</w:t>
      </w:r>
      <w:r>
        <w:rPr>
          <w:rFonts w:hint="eastAsia"/>
          <w:lang w:val="en-US" w:eastAsia="zh-CN"/>
        </w:rPr>
        <w:t>3160.5</w:t>
      </w:r>
      <w:r>
        <w:rPr>
          <w:rFonts w:hint="eastAsia"/>
        </w:rPr>
        <w:t>t/a。</w:t>
      </w:r>
    </w:p>
    <w:p>
      <w:r>
        <w:rPr>
          <w:rFonts w:hint="eastAsia"/>
        </w:rPr>
        <w:t>因此，项目猪粪进入了</w:t>
      </w:r>
      <w:r>
        <w:rPr>
          <w:rFonts w:hint="eastAsia"/>
          <w:lang w:eastAsia="zh-CN"/>
        </w:rPr>
        <w:t>堆粪棚</w:t>
      </w:r>
      <w:r>
        <w:rPr>
          <w:rFonts w:hint="eastAsia"/>
        </w:rPr>
        <w:t>后经发酵进行分解30%，剩余部分作为肥料，这是由于发酵分解充分，无害化程度高，富含营养元素等，可作为优质的有机肥料</w:t>
      </w:r>
      <w:r>
        <w:rPr>
          <w:rFonts w:hint="eastAsia"/>
          <w:lang w:eastAsia="zh-CN"/>
        </w:rPr>
        <w:t>外售</w:t>
      </w:r>
      <w:r>
        <w:rPr>
          <w:rFonts w:hint="eastAsia"/>
        </w:rPr>
        <w:t>，进行综合利用。</w:t>
      </w:r>
    </w:p>
    <w:p>
      <w:pPr>
        <w:rPr>
          <w:rFonts w:hint="eastAsia" w:eastAsiaTheme="minorEastAsia"/>
          <w:lang w:eastAsia="zh-CN"/>
        </w:rPr>
      </w:pPr>
      <w:r>
        <w:rPr>
          <w:rFonts w:hint="eastAsia"/>
        </w:rPr>
        <w:t>（</w:t>
      </w:r>
      <w:r>
        <w:t>2</w:t>
      </w:r>
      <w:r>
        <w:rPr>
          <w:rFonts w:hint="eastAsia"/>
        </w:rPr>
        <w:t>）</w:t>
      </w:r>
      <w:r>
        <w:rPr>
          <w:rFonts w:hint="eastAsia"/>
          <w:lang w:eastAsia="zh-CN"/>
        </w:rPr>
        <w:t>厌氧罐排泥</w:t>
      </w:r>
    </w:p>
    <w:p>
      <w:r>
        <w:rPr>
          <w:rFonts w:hint="eastAsia"/>
          <w:lang w:eastAsia="zh-CN"/>
        </w:rPr>
        <w:t>厌氧</w:t>
      </w:r>
      <w:r>
        <w:rPr>
          <w:rFonts w:hint="eastAsia"/>
          <w:lang w:val="en-US" w:eastAsia="zh-CN"/>
        </w:rPr>
        <w:t>罐</w:t>
      </w:r>
      <w:r>
        <w:rPr>
          <w:rFonts w:hint="eastAsia"/>
          <w:lang w:eastAsia="zh-CN"/>
        </w:rPr>
        <w:t>在厌氧发酵过程中会产生一定量的泥。进入厌氧</w:t>
      </w:r>
      <w:r>
        <w:rPr>
          <w:rFonts w:hint="eastAsia"/>
          <w:lang w:val="en-US" w:eastAsia="zh-CN"/>
        </w:rPr>
        <w:t>罐</w:t>
      </w:r>
      <w:r>
        <w:rPr>
          <w:rFonts w:hint="eastAsia"/>
          <w:lang w:eastAsia="zh-CN"/>
        </w:rPr>
        <w:t>的污水含干物质量约为</w:t>
      </w:r>
      <w:r>
        <w:rPr>
          <w:rFonts w:hint="eastAsia"/>
          <w:lang w:val="en-US" w:eastAsia="zh-CN"/>
        </w:rPr>
        <w:t>1%。</w:t>
      </w:r>
      <w:r>
        <w:t>进入</w:t>
      </w:r>
      <w:r>
        <w:rPr>
          <w:rFonts w:hint="eastAsia"/>
          <w:lang w:eastAsia="zh-CN"/>
        </w:rPr>
        <w:t>厌氧罐</w:t>
      </w:r>
      <w:r>
        <w:t>的废水量为</w:t>
      </w:r>
      <w:r>
        <w:rPr>
          <w:rFonts w:hint="eastAsia"/>
          <w:lang w:val="en-US" w:eastAsia="zh-CN"/>
        </w:rPr>
        <w:t>14679.7</w:t>
      </w:r>
      <w:r>
        <w:t>m</w:t>
      </w:r>
      <w:r>
        <w:rPr>
          <w:vertAlign w:val="superscript"/>
        </w:rPr>
        <w:t>3</w:t>
      </w:r>
      <w:r>
        <w:t>/a（</w:t>
      </w:r>
      <w:r>
        <w:rPr>
          <w:rFonts w:hint="eastAsia"/>
          <w:lang w:val="en-US" w:eastAsia="zh-CN"/>
        </w:rPr>
        <w:t>40.22</w:t>
      </w:r>
      <w:r>
        <w:t>m</w:t>
      </w:r>
      <w:r>
        <w:rPr>
          <w:vertAlign w:val="superscript"/>
        </w:rPr>
        <w:t>3</w:t>
      </w:r>
      <w:r>
        <w:t>/d），则进入</w:t>
      </w:r>
      <w:r>
        <w:rPr>
          <w:rFonts w:hint="eastAsia"/>
          <w:lang w:eastAsia="zh-CN"/>
        </w:rPr>
        <w:t>厌氧罐</w:t>
      </w:r>
      <w:r>
        <w:t>的粪污干物质量为</w:t>
      </w:r>
      <w:r>
        <w:rPr>
          <w:rFonts w:hint="eastAsia"/>
          <w:lang w:val="en-US" w:eastAsia="zh-CN"/>
        </w:rPr>
        <w:t>0.4</w:t>
      </w:r>
      <w:r>
        <w:t>t/d（</w:t>
      </w:r>
      <w:r>
        <w:rPr>
          <w:rFonts w:hint="eastAsia"/>
          <w:lang w:val="en-US" w:eastAsia="zh-CN"/>
        </w:rPr>
        <w:t>146</w:t>
      </w:r>
      <w:r>
        <w:t>t/a）。</w:t>
      </w:r>
    </w:p>
    <w:p>
      <w:r>
        <w:t>粪便中干物质在厌氧反应阶段被降解50%，经固液分离后进入沼液约20%，转化为</w:t>
      </w:r>
      <w:r>
        <w:rPr>
          <w:rFonts w:hint="eastAsia"/>
          <w:lang w:eastAsia="zh-CN"/>
        </w:rPr>
        <w:t>泥</w:t>
      </w:r>
      <w:r>
        <w:t>的干物质为总量的30%，新鲜沼渣含水率为65%。</w:t>
      </w:r>
    </w:p>
    <w:p>
      <w:r>
        <w:rPr>
          <w:rFonts w:hint="eastAsia"/>
          <w:lang w:eastAsia="zh-CN"/>
        </w:rPr>
        <w:t>厌氧罐泥</w:t>
      </w:r>
      <w:r>
        <w:t>日产量=（干物质日产量×30%）/（1-65%）=</w:t>
      </w:r>
      <w:r>
        <w:rPr>
          <w:rFonts w:hint="eastAsia"/>
          <w:lang w:val="en-US" w:eastAsia="zh-CN"/>
        </w:rPr>
        <w:t>0.4</w:t>
      </w:r>
      <w:r>
        <w:t>×30%/（1-65%）=</w:t>
      </w:r>
      <w:r>
        <w:rPr>
          <w:rFonts w:hint="eastAsia"/>
          <w:lang w:val="en-US" w:eastAsia="zh-CN"/>
        </w:rPr>
        <w:t>0.34</w:t>
      </w:r>
      <w:r>
        <w:t>t/d ，则项目</w:t>
      </w:r>
      <w:r>
        <w:rPr>
          <w:rFonts w:hint="eastAsia"/>
        </w:rPr>
        <w:t>新鲜</w:t>
      </w:r>
      <w:r>
        <w:rPr>
          <w:rFonts w:hint="eastAsia"/>
          <w:lang w:eastAsia="zh-CN"/>
        </w:rPr>
        <w:t>泥</w:t>
      </w:r>
      <w:r>
        <w:t>产量约</w:t>
      </w:r>
      <w:r>
        <w:rPr>
          <w:rFonts w:hint="eastAsia"/>
          <w:lang w:val="en-US" w:eastAsia="zh-CN"/>
        </w:rPr>
        <w:t>0.34</w:t>
      </w:r>
      <w:r>
        <w:t>t/d，既</w:t>
      </w:r>
      <w:r>
        <w:rPr>
          <w:rFonts w:hint="eastAsia"/>
          <w:lang w:val="en-US" w:eastAsia="zh-CN"/>
        </w:rPr>
        <w:t>124.1</w:t>
      </w:r>
      <w:r>
        <w:t>t/a。</w:t>
      </w:r>
      <w:r>
        <w:rPr>
          <w:rFonts w:hint="eastAsia"/>
        </w:rPr>
        <w:t>项目</w:t>
      </w:r>
      <w:r>
        <w:rPr>
          <w:rFonts w:hint="eastAsia"/>
          <w:lang w:eastAsia="zh-CN"/>
        </w:rPr>
        <w:t>厌氧罐排泥进入堆粪棚堆肥作为有机肥外售</w:t>
      </w:r>
      <w:r>
        <w:t>。</w:t>
      </w:r>
    </w:p>
    <w:p>
      <w:r>
        <w:rPr>
          <w:rFonts w:hint="eastAsia"/>
        </w:rPr>
        <w:t>综上所述，项目产生的猪粪最终作为肥料用于种植基地，可得到合理处置。</w:t>
      </w:r>
    </w:p>
    <w:p>
      <w:r>
        <w:rPr>
          <w:rFonts w:hint="eastAsia"/>
        </w:rPr>
        <w:t>（3）病死猪</w:t>
      </w:r>
    </w:p>
    <w:p>
      <w:r>
        <w:t>病死猪的产生量与猪养殖场的饲养管理和疫病防治水平有关，在无传染病的一般情况下，规模化养猪场病死猪</w:t>
      </w:r>
      <w:r>
        <w:rPr>
          <w:rFonts w:hint="eastAsia"/>
        </w:rPr>
        <w:t>可</w:t>
      </w:r>
      <w:r>
        <w:t>控制在0.05%~0.1%。根据养猪实践，仔猪的损耗</w:t>
      </w:r>
      <w:r>
        <w:rPr>
          <w:rFonts w:hint="eastAsia"/>
        </w:rPr>
        <w:t>按</w:t>
      </w:r>
      <w:r>
        <w:rPr>
          <w:rFonts w:hint="eastAsia"/>
          <w:lang w:val="en-US" w:eastAsia="zh-CN"/>
        </w:rPr>
        <w:t>10</w:t>
      </w:r>
      <w:r>
        <w:t>%</w:t>
      </w:r>
      <w:r>
        <w:rPr>
          <w:rFonts w:hint="eastAsia"/>
        </w:rPr>
        <w:t>计，小猪平均头重按</w:t>
      </w:r>
      <w:r>
        <w:t>5kg</w:t>
      </w:r>
      <w:r>
        <w:rPr>
          <w:rFonts w:hint="eastAsia"/>
        </w:rPr>
        <w:t>计。结合本项目养殖规模，预计病死猪</w:t>
      </w:r>
      <w:r>
        <w:rPr>
          <w:rFonts w:hint="eastAsia"/>
          <w:lang w:val="en-US" w:eastAsia="zh-CN"/>
        </w:rPr>
        <w:t>10000</w:t>
      </w:r>
      <w:r>
        <w:rPr>
          <w:rFonts w:hint="eastAsia"/>
        </w:rPr>
        <w:t>头</w:t>
      </w:r>
      <w:r>
        <w:t>/a</w:t>
      </w:r>
      <w:r>
        <w:rPr>
          <w:rFonts w:hint="eastAsia"/>
        </w:rPr>
        <w:t>小猪，则场内病死猪产生量为</w:t>
      </w:r>
      <w:r>
        <w:rPr>
          <w:rFonts w:hint="eastAsia"/>
          <w:lang w:val="en-US" w:eastAsia="zh-CN"/>
        </w:rPr>
        <w:t>50.0</w:t>
      </w:r>
      <w:r>
        <w:t>t/a</w:t>
      </w:r>
      <w:r>
        <w:rPr>
          <w:rFonts w:hint="eastAsia"/>
        </w:rPr>
        <w:t>。经查《国家危险废物名录》，病死猪不属于危险废物。</w:t>
      </w:r>
    </w:p>
    <w:p>
      <w:r>
        <w:rPr>
          <w:rFonts w:hint="eastAsia"/>
        </w:rPr>
        <w:t>为推进病死畜禽无害化处理工作，保障肉食品安全和生态环境安全，促进养殖业持续健康发展，满足《病害动物和病害动物产品生物安全处理规程》（</w:t>
      </w:r>
      <w:r>
        <w:t>GB16548-2006</w:t>
      </w:r>
      <w:r>
        <w:rPr>
          <w:rFonts w:hint="eastAsia"/>
        </w:rPr>
        <w:t>）中的相关要求，根据《国务院办公厅关于建立病死畜禽无害化处理机制的意见》（国办发〔</w:t>
      </w:r>
      <w:r>
        <w:t>2014〕47号）、</w:t>
      </w:r>
      <w:r>
        <w:rPr>
          <w:rFonts w:hint="eastAsia"/>
        </w:rPr>
        <w:t>《湖南省人民政府办公厅关于建立病死畜禽无害化处理机制的实施意见》(湘政办发〔</w:t>
      </w:r>
      <w:r>
        <w:t>2015〕103号）</w:t>
      </w:r>
      <w:r>
        <w:rPr>
          <w:rFonts w:hint="eastAsia"/>
        </w:rPr>
        <w:t>等文件精神，本项目对病死猪废物采取修建冷冻库进行暂存，再定期运至澧县病死畜禽无害化处理中心进行集中处理。</w:t>
      </w:r>
    </w:p>
    <w:p>
      <w:pPr>
        <w:rPr>
          <w:rFonts w:hint="eastAsia" w:eastAsiaTheme="minorEastAsia"/>
          <w:lang w:eastAsia="zh-CN"/>
        </w:rPr>
      </w:pPr>
      <w:r>
        <w:rPr>
          <w:rFonts w:hint="eastAsia"/>
          <w:lang w:eastAsia="zh-CN"/>
        </w:rPr>
        <w:t>本项目拟建</w:t>
      </w:r>
      <w:r>
        <w:rPr>
          <w:rFonts w:hint="eastAsia"/>
        </w:rPr>
        <w:t>冷冻库的容积为</w:t>
      </w:r>
      <w:r>
        <w:rPr>
          <w:rFonts w:hint="eastAsia"/>
          <w:lang w:val="en-US" w:eastAsia="zh-CN"/>
        </w:rPr>
        <w:t>40</w:t>
      </w:r>
      <w:r>
        <w:rPr>
          <w:rFonts w:hint="eastAsia"/>
        </w:rPr>
        <w:t>m</w:t>
      </w:r>
      <w:r>
        <w:rPr>
          <w:rFonts w:hint="eastAsia"/>
          <w:vertAlign w:val="superscript"/>
        </w:rPr>
        <w:t>3</w:t>
      </w:r>
      <w:r>
        <w:rPr>
          <w:rFonts w:hint="eastAsia"/>
        </w:rPr>
        <w:t>，能满足病死废物的暂</w:t>
      </w:r>
      <w:r>
        <w:rPr>
          <w:rFonts w:hint="eastAsia"/>
          <w:lang w:eastAsia="zh-CN"/>
        </w:rPr>
        <w:t>存。</w:t>
      </w:r>
    </w:p>
    <w:p>
      <w:r>
        <w:rPr>
          <w:rFonts w:hint="eastAsia"/>
        </w:rPr>
        <w:t>（4）分娩废物</w:t>
      </w:r>
    </w:p>
    <w:p>
      <w:r>
        <w:rPr>
          <w:rFonts w:hint="eastAsia"/>
        </w:rPr>
        <w:t>母猪生育周期为</w:t>
      </w:r>
      <w:r>
        <w:rPr>
          <w:rFonts w:hint="eastAsia"/>
          <w:lang w:val="en-US" w:eastAsia="zh-CN"/>
        </w:rPr>
        <w:t>2.23</w:t>
      </w:r>
      <w:r>
        <w:rPr>
          <w:rFonts w:hint="eastAsia"/>
        </w:rPr>
        <w:t>胎</w:t>
      </w:r>
      <w:r>
        <w:t>/</w:t>
      </w:r>
      <w:r>
        <w:rPr>
          <w:rFonts w:hint="eastAsia"/>
        </w:rPr>
        <w:t>年，分娩废物每胎以</w:t>
      </w:r>
      <w:r>
        <w:t>3kg/</w:t>
      </w:r>
      <w:r>
        <w:rPr>
          <w:rFonts w:hint="eastAsia"/>
        </w:rPr>
        <w:t>头计，则场区内分娩废物产量为</w:t>
      </w:r>
      <w:r>
        <w:rPr>
          <w:rFonts w:hint="eastAsia"/>
          <w:lang w:val="en-US" w:eastAsia="zh-CN"/>
        </w:rPr>
        <w:t>32.1</w:t>
      </w:r>
      <w:r>
        <w:t>t/a</w:t>
      </w:r>
      <w:r>
        <w:rPr>
          <w:rFonts w:hint="eastAsia"/>
        </w:rPr>
        <w:t>，此部分固废连同病死猪一起进行冷冻暂存，定期运至澧县病死畜禽无害化处理中心。</w:t>
      </w:r>
    </w:p>
    <w:p>
      <w:r>
        <w:rPr>
          <w:rFonts w:hint="eastAsia"/>
        </w:rPr>
        <w:t>（5）医疗废物</w:t>
      </w:r>
    </w:p>
    <w:p>
      <w:r>
        <w:rPr>
          <w:rFonts w:hint="eastAsia"/>
        </w:rPr>
        <w:t>猪在养殖过程中需要注射一些疫苗，因此会产生医疗废物。本项目医疗废物产生量为</w:t>
      </w:r>
      <w:r>
        <w:t>0.</w:t>
      </w:r>
      <w:r>
        <w:rPr>
          <w:rFonts w:hint="eastAsia"/>
          <w:lang w:val="en-US" w:eastAsia="zh-CN"/>
        </w:rPr>
        <w:t>5</w:t>
      </w:r>
      <w:r>
        <w:t>t/a</w:t>
      </w:r>
      <w:r>
        <w:rPr>
          <w:rFonts w:hint="eastAsia"/>
        </w:rPr>
        <w:t>，经查《国家危险废物名录》，该部分固废属于危险废物，废物代码为</w:t>
      </w:r>
      <w:r>
        <w:t>900-001-01</w:t>
      </w:r>
      <w:r>
        <w:rPr>
          <w:rFonts w:hint="eastAsia"/>
        </w:rPr>
        <w:t>，</w:t>
      </w:r>
      <w:r>
        <w:t>此部分废物委托有资质的单位处理</w:t>
      </w:r>
      <w:r>
        <w:rPr>
          <w:rFonts w:hint="eastAsia"/>
        </w:rPr>
        <w:t>。</w:t>
      </w:r>
    </w:p>
    <w:p>
      <w:r>
        <w:rPr>
          <w:rFonts w:hint="eastAsia"/>
        </w:rPr>
        <w:t>（6）生活垃圾</w:t>
      </w:r>
    </w:p>
    <w:p>
      <w:r>
        <w:rPr>
          <w:rFonts w:hint="eastAsia"/>
        </w:rPr>
        <w:t>项目有</w:t>
      </w:r>
      <w:r>
        <w:rPr>
          <w:rFonts w:hint="eastAsia"/>
          <w:lang w:val="en-US" w:eastAsia="zh-CN"/>
        </w:rPr>
        <w:t>49</w:t>
      </w:r>
      <w:r>
        <w:rPr>
          <w:rFonts w:hint="eastAsia"/>
        </w:rPr>
        <w:t>人在场区食宿，按每人每天产生0.5</w:t>
      </w:r>
      <w:r>
        <w:t>kg</w:t>
      </w:r>
      <w:r>
        <w:rPr>
          <w:rFonts w:hint="eastAsia"/>
        </w:rPr>
        <w:t>垃圾计算，项目产生的生活垃圾量为</w:t>
      </w:r>
      <w:r>
        <w:rPr>
          <w:rFonts w:hint="eastAsia"/>
          <w:lang w:val="en-US" w:eastAsia="zh-CN"/>
        </w:rPr>
        <w:t>8.94</w:t>
      </w:r>
      <w:r>
        <w:t>t/a</w:t>
      </w:r>
      <w:r>
        <w:rPr>
          <w:rFonts w:hint="eastAsia"/>
        </w:rPr>
        <w:t>。生活垃圾及时收集后清运至当地垃圾填埋场处理。</w:t>
      </w:r>
    </w:p>
    <w:p>
      <w:r>
        <w:rPr>
          <w:rFonts w:hint="eastAsia"/>
        </w:rPr>
        <w:t>（7）</w:t>
      </w:r>
      <w:r>
        <w:rPr>
          <w:rFonts w:hint="eastAsia"/>
          <w:lang w:eastAsia="zh-CN"/>
        </w:rPr>
        <w:t>脱硫</w:t>
      </w:r>
      <w:r>
        <w:rPr>
          <w:rFonts w:hint="eastAsia"/>
        </w:rPr>
        <w:t>废渣</w:t>
      </w:r>
    </w:p>
    <w:p>
      <w:r>
        <w:t>由于发酵产生出来的沼气中含有水分和H</w:t>
      </w:r>
      <w:r>
        <w:rPr>
          <w:vertAlign w:val="subscript"/>
        </w:rPr>
        <w:t>2</w:t>
      </w:r>
      <w:r>
        <w:t>S，因此沼气必须进行脱硫后，才可以</w:t>
      </w:r>
      <w:r>
        <w:rPr>
          <w:rFonts w:hint="eastAsia"/>
        </w:rPr>
        <w:t>进行</w:t>
      </w:r>
      <w:r>
        <w:rPr>
          <w:rFonts w:hint="eastAsia"/>
          <w:lang w:eastAsia="zh-CN"/>
        </w:rPr>
        <w:t>燃烧</w:t>
      </w:r>
      <w:r>
        <w:t>。</w:t>
      </w:r>
    </w:p>
    <w:p>
      <w:r>
        <w:t>脱硫工艺采用的是常温Fe</w:t>
      </w:r>
      <w:r>
        <w:rPr>
          <w:vertAlign w:val="subscript"/>
        </w:rPr>
        <w:t>2</w:t>
      </w:r>
      <w:r>
        <w:t>O</w:t>
      </w:r>
      <w:r>
        <w:rPr>
          <w:vertAlign w:val="subscript"/>
        </w:rPr>
        <w:t>3</w:t>
      </w:r>
      <w:r>
        <w:t>干式脱硫法，它是将Fe</w:t>
      </w:r>
      <w:r>
        <w:rPr>
          <w:vertAlign w:val="subscript"/>
        </w:rPr>
        <w:t>2</w:t>
      </w:r>
      <w:r>
        <w:t>O</w:t>
      </w:r>
      <w:r>
        <w:rPr>
          <w:vertAlign w:val="subscript"/>
        </w:rPr>
        <w:t>3</w:t>
      </w:r>
      <w:r>
        <w:t>屑(或粉)和木屑混合制成脱硫剂，以湿态(含水40%左右)填充于脱硫装置内。Fe</w:t>
      </w:r>
      <w:r>
        <w:rPr>
          <w:vertAlign w:val="subscript"/>
        </w:rPr>
        <w:t>2</w:t>
      </w:r>
      <w:r>
        <w:t>O</w:t>
      </w:r>
      <w:r>
        <w:rPr>
          <w:vertAlign w:val="subscript"/>
        </w:rPr>
        <w:t>3</w:t>
      </w:r>
      <w:r>
        <w:t>脱硫剂为条状多孔结构固体，对H</w:t>
      </w:r>
      <w:r>
        <w:rPr>
          <w:vertAlign w:val="subscript"/>
        </w:rPr>
        <w:t>2</w:t>
      </w:r>
      <w:r>
        <w:t>S能进行快速的不可逆化学吸附，数秒内可将H</w:t>
      </w:r>
      <w:r>
        <w:rPr>
          <w:vertAlign w:val="subscript"/>
        </w:rPr>
        <w:t>2</w:t>
      </w:r>
      <w:r>
        <w:t>S脱除到1×10</w:t>
      </w:r>
      <w:r>
        <w:rPr>
          <w:vertAlign w:val="superscript"/>
        </w:rPr>
        <w:t>-6</w:t>
      </w:r>
      <w:r>
        <w:t>以下。脱硫剂每年需更换2次，每次产生废脱硫剂0.0</w:t>
      </w:r>
      <w:r>
        <w:rPr>
          <w:rFonts w:hint="eastAsia"/>
          <w:lang w:val="en-US" w:eastAsia="zh-CN"/>
        </w:rPr>
        <w:t>5</w:t>
      </w:r>
      <w:r>
        <w:t>t，年产生量为0.</w:t>
      </w:r>
      <w:r>
        <w:rPr>
          <w:rFonts w:hint="eastAsia"/>
          <w:lang w:val="en-US" w:eastAsia="zh-CN"/>
        </w:rPr>
        <w:t>1</w:t>
      </w:r>
      <w:r>
        <w:t>t，废脱硫剂由厂家回收。</w:t>
      </w:r>
    </w:p>
    <w:p>
      <w:r>
        <w:rPr>
          <w:rFonts w:hint="eastAsia"/>
        </w:rPr>
        <w:t>项目固废产排情况分别见表</w:t>
      </w:r>
      <w:r>
        <w:rPr>
          <w:rFonts w:hint="eastAsia"/>
          <w:lang w:val="en-US" w:eastAsia="zh-CN"/>
        </w:rPr>
        <w:t>2.4</w:t>
      </w:r>
      <w:r>
        <w:t>-</w:t>
      </w:r>
      <w:r>
        <w:rPr>
          <w:rFonts w:hint="eastAsia"/>
          <w:lang w:val="en-US" w:eastAsia="zh-CN"/>
        </w:rPr>
        <w:t>14</w:t>
      </w:r>
      <w:r>
        <w:rPr>
          <w:rFonts w:hint="eastAsia"/>
        </w:rPr>
        <w:t>。</w:t>
      </w:r>
    </w:p>
    <w:p>
      <w:pPr>
        <w:pStyle w:val="11"/>
        <w:rPr>
          <w:rFonts w:hint="default" w:eastAsiaTheme="minorEastAsia"/>
          <w:lang w:val="en-US" w:eastAsia="zh-CN"/>
        </w:rPr>
      </w:pPr>
      <w:r>
        <w:t xml:space="preserve">表2.4- </w:t>
      </w:r>
      <w:r>
        <w:fldChar w:fldCharType="begin"/>
      </w:r>
      <w:r>
        <w:instrText xml:space="preserve"> SEQ 表2.4- \* ARABIC </w:instrText>
      </w:r>
      <w:r>
        <w:fldChar w:fldCharType="separate"/>
      </w:r>
      <w:r>
        <w:t>14</w:t>
      </w:r>
      <w:r>
        <w:fldChar w:fldCharType="end"/>
      </w:r>
      <w:r>
        <w:rPr>
          <w:rFonts w:hint="eastAsia"/>
          <w:lang w:val="en-US" w:eastAsia="zh-CN"/>
        </w:rPr>
        <w:t xml:space="preserve">  </w:t>
      </w:r>
      <w:r>
        <w:rPr>
          <w:rFonts w:hint="eastAsia"/>
        </w:rPr>
        <w:t>项目固废产排情况</w:t>
      </w:r>
    </w:p>
    <w:tbl>
      <w:tblPr>
        <w:tblStyle w:val="17"/>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374"/>
        <w:gridCol w:w="1969"/>
        <w:gridCol w:w="1764"/>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38" w:type="dxa"/>
            <w:vAlign w:val="center"/>
          </w:tcPr>
          <w:p>
            <w:pPr>
              <w:pStyle w:val="8"/>
              <w:bidi w:val="0"/>
            </w:pPr>
            <w:r>
              <w:t>序号</w:t>
            </w:r>
          </w:p>
        </w:tc>
        <w:tc>
          <w:tcPr>
            <w:tcW w:w="1374" w:type="dxa"/>
            <w:vAlign w:val="center"/>
          </w:tcPr>
          <w:p>
            <w:pPr>
              <w:pStyle w:val="8"/>
              <w:bidi w:val="0"/>
            </w:pPr>
            <w:r>
              <w:t>污染物</w:t>
            </w:r>
          </w:p>
        </w:tc>
        <w:tc>
          <w:tcPr>
            <w:tcW w:w="1969" w:type="dxa"/>
            <w:vAlign w:val="center"/>
          </w:tcPr>
          <w:p>
            <w:pPr>
              <w:pStyle w:val="8"/>
              <w:bidi w:val="0"/>
            </w:pPr>
            <w:r>
              <w:t>产生量t/a</w:t>
            </w:r>
          </w:p>
        </w:tc>
        <w:tc>
          <w:tcPr>
            <w:tcW w:w="1764" w:type="dxa"/>
            <w:vAlign w:val="center"/>
          </w:tcPr>
          <w:p>
            <w:pPr>
              <w:pStyle w:val="8"/>
              <w:bidi w:val="0"/>
            </w:pPr>
            <w:r>
              <w:t>固废种类</w:t>
            </w:r>
          </w:p>
        </w:tc>
        <w:tc>
          <w:tcPr>
            <w:tcW w:w="2193" w:type="dxa"/>
            <w:vAlign w:val="center"/>
          </w:tcPr>
          <w:p>
            <w:pPr>
              <w:pStyle w:val="8"/>
              <w:bidi w:val="0"/>
            </w:pPr>
            <w:r>
              <w:t>拟采取的处理措施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138" w:type="dxa"/>
            <w:vAlign w:val="center"/>
          </w:tcPr>
          <w:p>
            <w:pPr>
              <w:pStyle w:val="8"/>
              <w:bidi w:val="0"/>
            </w:pPr>
            <w:r>
              <w:t>1</w:t>
            </w:r>
          </w:p>
        </w:tc>
        <w:tc>
          <w:tcPr>
            <w:tcW w:w="1374" w:type="dxa"/>
            <w:vAlign w:val="center"/>
          </w:tcPr>
          <w:p>
            <w:pPr>
              <w:pStyle w:val="8"/>
              <w:bidi w:val="0"/>
              <w:rPr>
                <w:rFonts w:hint="eastAsia" w:eastAsiaTheme="minorEastAsia"/>
                <w:lang w:eastAsia="zh-CN"/>
              </w:rPr>
            </w:pPr>
            <w:r>
              <w:rPr>
                <w:rFonts w:hint="eastAsia"/>
                <w:lang w:eastAsia="zh-CN"/>
              </w:rPr>
              <w:t>堆粪棚产生的有机肥</w:t>
            </w:r>
          </w:p>
        </w:tc>
        <w:tc>
          <w:tcPr>
            <w:tcW w:w="1969" w:type="dxa"/>
            <w:vAlign w:val="center"/>
          </w:tcPr>
          <w:p>
            <w:pPr>
              <w:pStyle w:val="8"/>
              <w:bidi w:val="0"/>
              <w:rPr>
                <w:rFonts w:hint="default"/>
                <w:lang w:val="en-US" w:eastAsia="zh-CN"/>
              </w:rPr>
            </w:pPr>
            <w:r>
              <w:rPr>
                <w:rFonts w:hint="eastAsia"/>
                <w:lang w:val="en-US" w:eastAsia="zh-CN"/>
              </w:rPr>
              <w:t>3160.5</w:t>
            </w:r>
          </w:p>
        </w:tc>
        <w:tc>
          <w:tcPr>
            <w:tcW w:w="1764" w:type="dxa"/>
            <w:vAlign w:val="center"/>
          </w:tcPr>
          <w:p>
            <w:pPr>
              <w:pStyle w:val="8"/>
              <w:bidi w:val="0"/>
            </w:pPr>
            <w:r>
              <w:t>一般固废</w:t>
            </w:r>
          </w:p>
        </w:tc>
        <w:tc>
          <w:tcPr>
            <w:tcW w:w="2193" w:type="dxa"/>
            <w:vAlign w:val="center"/>
          </w:tcPr>
          <w:p>
            <w:pPr>
              <w:pStyle w:val="8"/>
              <w:bidi w:val="0"/>
            </w:pPr>
            <w:r>
              <w:t>作为有机农肥</w:t>
            </w:r>
            <w:r>
              <w:rPr>
                <w:rFonts w:hint="eastAsia"/>
                <w:lang w:eastAsia="zh-CN"/>
              </w:rPr>
              <w:t>外售</w:t>
            </w:r>
            <w:r>
              <w:rPr>
                <w:rFonts w:hint="eastAsia"/>
                <w:lang w:val="en-US" w:eastAsia="zh-CN"/>
              </w:rPr>
              <w:t>有机肥厂</w:t>
            </w:r>
            <w:r>
              <w:rPr>
                <w:rFonts w:hint="eastAsia"/>
              </w:rPr>
              <w:t>，综合利用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138" w:type="dxa"/>
            <w:vAlign w:val="center"/>
          </w:tcPr>
          <w:p>
            <w:pPr>
              <w:pStyle w:val="8"/>
              <w:bidi w:val="0"/>
            </w:pPr>
            <w:r>
              <w:t>2</w:t>
            </w:r>
          </w:p>
        </w:tc>
        <w:tc>
          <w:tcPr>
            <w:tcW w:w="1374" w:type="dxa"/>
            <w:vAlign w:val="center"/>
          </w:tcPr>
          <w:p>
            <w:pPr>
              <w:pStyle w:val="8"/>
              <w:bidi w:val="0"/>
            </w:pPr>
            <w:r>
              <w:t>病死猪</w:t>
            </w:r>
          </w:p>
        </w:tc>
        <w:tc>
          <w:tcPr>
            <w:tcW w:w="1969" w:type="dxa"/>
            <w:vAlign w:val="center"/>
          </w:tcPr>
          <w:p>
            <w:pPr>
              <w:pStyle w:val="8"/>
              <w:bidi w:val="0"/>
              <w:rPr>
                <w:rFonts w:hint="default" w:eastAsiaTheme="minorEastAsia"/>
                <w:lang w:val="en-US" w:eastAsia="zh-CN"/>
              </w:rPr>
            </w:pPr>
            <w:r>
              <w:rPr>
                <w:rFonts w:hint="eastAsia"/>
                <w:lang w:val="en-US" w:eastAsia="zh-CN"/>
              </w:rPr>
              <w:t>50.0</w:t>
            </w:r>
          </w:p>
        </w:tc>
        <w:tc>
          <w:tcPr>
            <w:tcW w:w="1764" w:type="dxa"/>
            <w:vAlign w:val="center"/>
          </w:tcPr>
          <w:p>
            <w:pPr>
              <w:pStyle w:val="8"/>
              <w:bidi w:val="0"/>
            </w:pPr>
            <w:r>
              <w:t>一般固废</w:t>
            </w:r>
          </w:p>
        </w:tc>
        <w:tc>
          <w:tcPr>
            <w:tcW w:w="2193" w:type="dxa"/>
            <w:vMerge w:val="restart"/>
            <w:vAlign w:val="center"/>
          </w:tcPr>
          <w:p>
            <w:pPr>
              <w:pStyle w:val="8"/>
              <w:bidi w:val="0"/>
            </w:pPr>
            <w:r>
              <w:t>冷冻库暂存，定期运澧县病死畜禽无害化处理中心处置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38" w:type="dxa"/>
            <w:vAlign w:val="center"/>
          </w:tcPr>
          <w:p>
            <w:pPr>
              <w:pStyle w:val="8"/>
              <w:bidi w:val="0"/>
            </w:pPr>
            <w:r>
              <w:t>3</w:t>
            </w:r>
          </w:p>
        </w:tc>
        <w:tc>
          <w:tcPr>
            <w:tcW w:w="1374" w:type="dxa"/>
            <w:vAlign w:val="center"/>
          </w:tcPr>
          <w:p>
            <w:pPr>
              <w:pStyle w:val="8"/>
              <w:bidi w:val="0"/>
            </w:pPr>
            <w:r>
              <w:t>分娩废物</w:t>
            </w:r>
          </w:p>
        </w:tc>
        <w:tc>
          <w:tcPr>
            <w:tcW w:w="1969" w:type="dxa"/>
            <w:vAlign w:val="center"/>
          </w:tcPr>
          <w:p>
            <w:pPr>
              <w:pStyle w:val="8"/>
              <w:bidi w:val="0"/>
              <w:rPr>
                <w:rFonts w:hint="default" w:eastAsiaTheme="minorEastAsia"/>
                <w:lang w:val="en-US" w:eastAsia="zh-CN"/>
              </w:rPr>
            </w:pPr>
            <w:r>
              <w:rPr>
                <w:rFonts w:hint="eastAsia"/>
                <w:lang w:val="en-US" w:eastAsia="zh-CN"/>
              </w:rPr>
              <w:t>32.1</w:t>
            </w:r>
          </w:p>
        </w:tc>
        <w:tc>
          <w:tcPr>
            <w:tcW w:w="1764" w:type="dxa"/>
            <w:vAlign w:val="center"/>
          </w:tcPr>
          <w:p>
            <w:pPr>
              <w:pStyle w:val="8"/>
              <w:bidi w:val="0"/>
            </w:pPr>
            <w:r>
              <w:t>一般固废</w:t>
            </w:r>
          </w:p>
        </w:tc>
        <w:tc>
          <w:tcPr>
            <w:tcW w:w="2193"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38" w:type="dxa"/>
            <w:vAlign w:val="center"/>
          </w:tcPr>
          <w:p>
            <w:pPr>
              <w:pStyle w:val="8"/>
              <w:bidi w:val="0"/>
            </w:pPr>
            <w:r>
              <w:t>4</w:t>
            </w:r>
          </w:p>
        </w:tc>
        <w:tc>
          <w:tcPr>
            <w:tcW w:w="1374" w:type="dxa"/>
            <w:vAlign w:val="center"/>
          </w:tcPr>
          <w:p>
            <w:pPr>
              <w:pStyle w:val="8"/>
              <w:bidi w:val="0"/>
            </w:pPr>
            <w:r>
              <w:t>医疗废物</w:t>
            </w:r>
          </w:p>
        </w:tc>
        <w:tc>
          <w:tcPr>
            <w:tcW w:w="1969" w:type="dxa"/>
            <w:vAlign w:val="center"/>
          </w:tcPr>
          <w:p>
            <w:pPr>
              <w:pStyle w:val="8"/>
              <w:bidi w:val="0"/>
              <w:rPr>
                <w:rFonts w:hint="default" w:eastAsiaTheme="minorEastAsia"/>
                <w:lang w:val="en-US" w:eastAsia="zh-CN"/>
              </w:rPr>
            </w:pPr>
            <w:r>
              <w:rPr>
                <w:rFonts w:hint="eastAsia"/>
                <w:lang w:val="en-US" w:eastAsia="zh-CN"/>
              </w:rPr>
              <w:t>0.5</w:t>
            </w:r>
          </w:p>
        </w:tc>
        <w:tc>
          <w:tcPr>
            <w:tcW w:w="1764" w:type="dxa"/>
            <w:vAlign w:val="center"/>
          </w:tcPr>
          <w:p>
            <w:pPr>
              <w:pStyle w:val="8"/>
              <w:bidi w:val="0"/>
            </w:pPr>
            <w:r>
              <w:t>危险固废</w:t>
            </w:r>
          </w:p>
        </w:tc>
        <w:tc>
          <w:tcPr>
            <w:tcW w:w="2193" w:type="dxa"/>
            <w:vAlign w:val="center"/>
          </w:tcPr>
          <w:p>
            <w:pPr>
              <w:pStyle w:val="8"/>
              <w:bidi w:val="0"/>
            </w:pPr>
            <w:r>
              <w:t>委托</w:t>
            </w:r>
            <w:r>
              <w:rPr>
                <w:rFonts w:hint="eastAsia"/>
              </w:rPr>
              <w:t>有资质单位</w:t>
            </w:r>
            <w: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38" w:type="dxa"/>
            <w:vAlign w:val="center"/>
          </w:tcPr>
          <w:p>
            <w:pPr>
              <w:pStyle w:val="8"/>
              <w:bidi w:val="0"/>
            </w:pPr>
            <w:r>
              <w:t>5</w:t>
            </w:r>
          </w:p>
        </w:tc>
        <w:tc>
          <w:tcPr>
            <w:tcW w:w="1374" w:type="dxa"/>
            <w:vAlign w:val="center"/>
          </w:tcPr>
          <w:p>
            <w:pPr>
              <w:pStyle w:val="8"/>
              <w:bidi w:val="0"/>
            </w:pPr>
            <w:r>
              <w:t>生活垃圾</w:t>
            </w:r>
          </w:p>
        </w:tc>
        <w:tc>
          <w:tcPr>
            <w:tcW w:w="1969" w:type="dxa"/>
            <w:vAlign w:val="center"/>
          </w:tcPr>
          <w:p>
            <w:pPr>
              <w:pStyle w:val="8"/>
              <w:bidi w:val="0"/>
              <w:rPr>
                <w:rFonts w:hint="default" w:eastAsiaTheme="minorEastAsia"/>
                <w:lang w:val="en-US" w:eastAsia="zh-CN"/>
              </w:rPr>
            </w:pPr>
            <w:r>
              <w:rPr>
                <w:rFonts w:hint="eastAsia"/>
                <w:lang w:val="en-US" w:eastAsia="zh-CN"/>
              </w:rPr>
              <w:t>8.94</w:t>
            </w:r>
          </w:p>
        </w:tc>
        <w:tc>
          <w:tcPr>
            <w:tcW w:w="1764" w:type="dxa"/>
            <w:vAlign w:val="center"/>
          </w:tcPr>
          <w:p>
            <w:pPr>
              <w:pStyle w:val="8"/>
              <w:bidi w:val="0"/>
            </w:pPr>
            <w:r>
              <w:t>一般固废</w:t>
            </w:r>
          </w:p>
        </w:tc>
        <w:tc>
          <w:tcPr>
            <w:tcW w:w="2193" w:type="dxa"/>
            <w:vAlign w:val="center"/>
          </w:tcPr>
          <w:p>
            <w:pPr>
              <w:pStyle w:val="8"/>
              <w:bidi w:val="0"/>
            </w:pPr>
            <w:r>
              <w:t>及时清运至垃圾填埋场处理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38" w:type="dxa"/>
            <w:vAlign w:val="center"/>
          </w:tcPr>
          <w:p>
            <w:pPr>
              <w:pStyle w:val="8"/>
              <w:bidi w:val="0"/>
            </w:pPr>
            <w:r>
              <w:rPr>
                <w:rFonts w:hint="eastAsia"/>
              </w:rPr>
              <w:t>6</w:t>
            </w:r>
          </w:p>
        </w:tc>
        <w:tc>
          <w:tcPr>
            <w:tcW w:w="1374" w:type="dxa"/>
            <w:vAlign w:val="center"/>
          </w:tcPr>
          <w:p>
            <w:pPr>
              <w:pStyle w:val="8"/>
              <w:bidi w:val="0"/>
              <w:rPr>
                <w:rFonts w:hint="eastAsia" w:eastAsiaTheme="minorEastAsia"/>
                <w:lang w:eastAsia="zh-CN"/>
              </w:rPr>
            </w:pPr>
            <w:r>
              <w:rPr>
                <w:rFonts w:hint="eastAsia"/>
                <w:lang w:eastAsia="zh-CN"/>
              </w:rPr>
              <w:t>厌氧罐排泥</w:t>
            </w:r>
          </w:p>
        </w:tc>
        <w:tc>
          <w:tcPr>
            <w:tcW w:w="1969" w:type="dxa"/>
            <w:vAlign w:val="center"/>
          </w:tcPr>
          <w:p>
            <w:pPr>
              <w:pStyle w:val="8"/>
              <w:bidi w:val="0"/>
              <w:rPr>
                <w:rFonts w:hint="default" w:eastAsiaTheme="minorEastAsia"/>
                <w:lang w:val="en-US" w:eastAsia="zh-CN"/>
              </w:rPr>
            </w:pPr>
            <w:r>
              <w:rPr>
                <w:rFonts w:hint="eastAsia"/>
                <w:lang w:val="en-US" w:eastAsia="zh-CN"/>
              </w:rPr>
              <w:t>214.1</w:t>
            </w:r>
          </w:p>
        </w:tc>
        <w:tc>
          <w:tcPr>
            <w:tcW w:w="1764" w:type="dxa"/>
            <w:vAlign w:val="center"/>
          </w:tcPr>
          <w:p>
            <w:pPr>
              <w:pStyle w:val="8"/>
              <w:bidi w:val="0"/>
            </w:pPr>
            <w:r>
              <w:rPr>
                <w:rFonts w:hint="eastAsia"/>
              </w:rPr>
              <w:t>一般固废</w:t>
            </w:r>
          </w:p>
        </w:tc>
        <w:tc>
          <w:tcPr>
            <w:tcW w:w="2193" w:type="dxa"/>
            <w:vAlign w:val="center"/>
          </w:tcPr>
          <w:p>
            <w:pPr>
              <w:pStyle w:val="8"/>
              <w:bidi w:val="0"/>
              <w:rPr>
                <w:rFonts w:hint="eastAsia" w:eastAsiaTheme="minorEastAsia"/>
                <w:lang w:eastAsia="zh-CN"/>
              </w:rPr>
            </w:pPr>
            <w:r>
              <w:rPr>
                <w:rFonts w:hint="eastAsia"/>
                <w:lang w:eastAsia="zh-CN"/>
              </w:rPr>
              <w:t>堆肥后外售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38" w:type="dxa"/>
            <w:vAlign w:val="center"/>
          </w:tcPr>
          <w:p>
            <w:pPr>
              <w:pStyle w:val="8"/>
              <w:bidi w:val="0"/>
            </w:pPr>
            <w:r>
              <w:rPr>
                <w:rFonts w:hint="eastAsia"/>
              </w:rPr>
              <w:t>7</w:t>
            </w:r>
          </w:p>
        </w:tc>
        <w:tc>
          <w:tcPr>
            <w:tcW w:w="1374" w:type="dxa"/>
            <w:vAlign w:val="center"/>
          </w:tcPr>
          <w:p>
            <w:pPr>
              <w:pStyle w:val="8"/>
              <w:bidi w:val="0"/>
            </w:pPr>
            <w:r>
              <w:rPr>
                <w:rFonts w:hint="eastAsia"/>
              </w:rPr>
              <w:t>脱硫废渣</w:t>
            </w:r>
          </w:p>
        </w:tc>
        <w:tc>
          <w:tcPr>
            <w:tcW w:w="1969" w:type="dxa"/>
            <w:vAlign w:val="center"/>
          </w:tcPr>
          <w:p>
            <w:pPr>
              <w:pStyle w:val="8"/>
              <w:bidi w:val="0"/>
              <w:rPr>
                <w:rFonts w:hint="default" w:eastAsiaTheme="minorEastAsia"/>
                <w:lang w:val="en-US" w:eastAsia="zh-CN"/>
              </w:rPr>
            </w:pPr>
            <w:r>
              <w:rPr>
                <w:rFonts w:hint="eastAsia"/>
                <w:lang w:val="en-US" w:eastAsia="zh-CN"/>
              </w:rPr>
              <w:t>0.1</w:t>
            </w:r>
          </w:p>
        </w:tc>
        <w:tc>
          <w:tcPr>
            <w:tcW w:w="1764" w:type="dxa"/>
            <w:vAlign w:val="center"/>
          </w:tcPr>
          <w:p>
            <w:pPr>
              <w:pStyle w:val="8"/>
              <w:bidi w:val="0"/>
            </w:pPr>
            <w:r>
              <w:rPr>
                <w:rFonts w:hint="eastAsia"/>
              </w:rPr>
              <w:t>一般固废</w:t>
            </w:r>
          </w:p>
        </w:tc>
        <w:tc>
          <w:tcPr>
            <w:tcW w:w="2193" w:type="dxa"/>
            <w:vAlign w:val="center"/>
          </w:tcPr>
          <w:p>
            <w:pPr>
              <w:pStyle w:val="8"/>
              <w:bidi w:val="0"/>
            </w:pPr>
            <w:r>
              <w:rPr>
                <w:rFonts w:hint="eastAsia"/>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38" w:type="dxa"/>
            <w:vAlign w:val="center"/>
          </w:tcPr>
          <w:p>
            <w:pPr>
              <w:pStyle w:val="8"/>
              <w:bidi w:val="0"/>
            </w:pPr>
          </w:p>
        </w:tc>
        <w:tc>
          <w:tcPr>
            <w:tcW w:w="1374" w:type="dxa"/>
            <w:vAlign w:val="center"/>
          </w:tcPr>
          <w:p>
            <w:pPr>
              <w:pStyle w:val="8"/>
              <w:bidi w:val="0"/>
            </w:pPr>
            <w:r>
              <w:t>合计</w:t>
            </w:r>
          </w:p>
        </w:tc>
        <w:tc>
          <w:tcPr>
            <w:tcW w:w="1969" w:type="dxa"/>
            <w:vAlign w:val="center"/>
          </w:tcPr>
          <w:p>
            <w:pPr>
              <w:pStyle w:val="8"/>
              <w:bidi w:val="0"/>
              <w:rPr>
                <w:rFonts w:hint="default" w:eastAsiaTheme="minorEastAsia"/>
                <w:lang w:val="en-US" w:eastAsia="zh-CN"/>
              </w:rPr>
            </w:pPr>
            <w:r>
              <w:rPr>
                <w:rFonts w:hint="eastAsia"/>
                <w:lang w:val="en-US" w:eastAsia="zh-CN"/>
              </w:rPr>
              <w:t>3466.24</w:t>
            </w:r>
          </w:p>
        </w:tc>
        <w:tc>
          <w:tcPr>
            <w:tcW w:w="1764" w:type="dxa"/>
            <w:vAlign w:val="center"/>
          </w:tcPr>
          <w:p>
            <w:pPr>
              <w:pStyle w:val="8"/>
              <w:bidi w:val="0"/>
            </w:pPr>
            <w:r>
              <w:rPr>
                <w:rFonts w:hint="eastAsia"/>
              </w:rPr>
              <w:t>/</w:t>
            </w:r>
          </w:p>
        </w:tc>
        <w:tc>
          <w:tcPr>
            <w:tcW w:w="2193" w:type="dxa"/>
            <w:vAlign w:val="center"/>
          </w:tcPr>
          <w:p>
            <w:pPr>
              <w:pStyle w:val="8"/>
              <w:bidi w:val="0"/>
            </w:pPr>
            <w:r>
              <w:rPr>
                <w:rFonts w:hint="eastAsia"/>
              </w:rPr>
              <w:t>/</w:t>
            </w:r>
          </w:p>
        </w:tc>
      </w:tr>
    </w:tbl>
    <w:p>
      <w:pPr>
        <w:pStyle w:val="4"/>
        <w:bidi w:val="0"/>
      </w:pPr>
      <w:bookmarkStart w:id="152" w:name="_Toc7516"/>
      <w:r>
        <w:t>项目污染物产排情况汇总</w:t>
      </w:r>
      <w:bookmarkEnd w:id="152"/>
    </w:p>
    <w:p>
      <w:r>
        <w:rPr>
          <w:rFonts w:hint="eastAsia"/>
        </w:rPr>
        <w:t>该项目污染物产排情况汇总见表</w:t>
      </w:r>
      <w:r>
        <w:rPr>
          <w:rFonts w:hint="eastAsia"/>
          <w:lang w:val="en-US" w:eastAsia="zh-CN"/>
        </w:rPr>
        <w:t>2.5</w:t>
      </w:r>
      <w:r>
        <w:t>-</w:t>
      </w:r>
      <w:r>
        <w:rPr>
          <w:rFonts w:hint="eastAsia"/>
          <w:lang w:val="en-US" w:eastAsia="zh-CN"/>
        </w:rPr>
        <w:t>1</w:t>
      </w:r>
      <w:r>
        <w:rPr>
          <w:rFonts w:hint="eastAsia"/>
        </w:rPr>
        <w:t>。</w:t>
      </w:r>
    </w:p>
    <w:p>
      <w:pPr>
        <w:pStyle w:val="11"/>
        <w:bidi w:val="0"/>
      </w:pPr>
      <w:r>
        <w:t xml:space="preserve">  </w:t>
      </w:r>
      <w:bookmarkEnd w:id="129"/>
      <w:bookmarkEnd w:id="136"/>
      <w:bookmarkStart w:id="153" w:name="_Toc468689155"/>
      <w:r>
        <w:t xml:space="preserve">表2.5- </w:t>
      </w:r>
      <w:r>
        <w:fldChar w:fldCharType="begin"/>
      </w:r>
      <w:r>
        <w:instrText xml:space="preserve"> SEQ 表2.5- \* ARABIC </w:instrText>
      </w:r>
      <w:r>
        <w:fldChar w:fldCharType="separate"/>
      </w:r>
      <w:r>
        <w:t>1</w:t>
      </w:r>
      <w:r>
        <w:fldChar w:fldCharType="end"/>
      </w:r>
      <w:r>
        <w:rPr>
          <w:rFonts w:hint="eastAsia"/>
          <w:lang w:val="en-US" w:eastAsia="zh-CN"/>
        </w:rPr>
        <w:t xml:space="preserve">   </w:t>
      </w:r>
      <w:r>
        <w:t>项目污染物产排情况汇总</w:t>
      </w:r>
    </w:p>
    <w:tbl>
      <w:tblPr>
        <w:tblStyle w:val="17"/>
        <w:tblW w:w="8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912"/>
        <w:gridCol w:w="1464"/>
        <w:gridCol w:w="1535"/>
        <w:gridCol w:w="1436"/>
        <w:gridCol w:w="1334"/>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24" w:type="dxa"/>
            <w:vAlign w:val="center"/>
          </w:tcPr>
          <w:p>
            <w:pPr>
              <w:pStyle w:val="8"/>
              <w:bidi w:val="0"/>
            </w:pPr>
            <w:r>
              <w:rPr>
                <w:rFonts w:hint="eastAsia"/>
              </w:rPr>
              <w:t>项目</w:t>
            </w:r>
          </w:p>
        </w:tc>
        <w:tc>
          <w:tcPr>
            <w:tcW w:w="912" w:type="dxa"/>
            <w:vAlign w:val="center"/>
          </w:tcPr>
          <w:p>
            <w:pPr>
              <w:pStyle w:val="8"/>
              <w:bidi w:val="0"/>
            </w:pPr>
            <w:r>
              <w:rPr>
                <w:rFonts w:hint="eastAsia"/>
              </w:rPr>
              <w:t>污染源</w:t>
            </w:r>
          </w:p>
        </w:tc>
        <w:tc>
          <w:tcPr>
            <w:tcW w:w="1464" w:type="dxa"/>
            <w:vAlign w:val="center"/>
          </w:tcPr>
          <w:p>
            <w:pPr>
              <w:pStyle w:val="8"/>
              <w:bidi w:val="0"/>
            </w:pPr>
            <w:r>
              <w:rPr>
                <w:rFonts w:hint="eastAsia"/>
              </w:rPr>
              <w:t>污染物名称</w:t>
            </w:r>
          </w:p>
        </w:tc>
        <w:tc>
          <w:tcPr>
            <w:tcW w:w="1535" w:type="dxa"/>
            <w:vAlign w:val="center"/>
          </w:tcPr>
          <w:p>
            <w:pPr>
              <w:pStyle w:val="8"/>
              <w:bidi w:val="0"/>
            </w:pPr>
            <w:r>
              <w:rPr>
                <w:rFonts w:hint="eastAsia"/>
              </w:rPr>
              <w:t>产生量（</w:t>
            </w:r>
            <w:r>
              <w:t>t/a</w:t>
            </w:r>
            <w:r>
              <w:rPr>
                <w:rFonts w:hint="eastAsia"/>
              </w:rPr>
              <w:t>）</w:t>
            </w:r>
          </w:p>
        </w:tc>
        <w:tc>
          <w:tcPr>
            <w:tcW w:w="1436" w:type="dxa"/>
            <w:vAlign w:val="center"/>
          </w:tcPr>
          <w:p>
            <w:pPr>
              <w:pStyle w:val="8"/>
              <w:bidi w:val="0"/>
            </w:pPr>
            <w:r>
              <w:rPr>
                <w:rFonts w:hint="eastAsia"/>
              </w:rPr>
              <w:t>产生浓度（mg/m</w:t>
            </w:r>
            <w:r>
              <w:rPr>
                <w:rFonts w:hint="eastAsia"/>
                <w:vertAlign w:val="superscript"/>
              </w:rPr>
              <w:t>3</w:t>
            </w:r>
            <w:r>
              <w:rPr>
                <w:rFonts w:hint="eastAsia"/>
              </w:rPr>
              <w:t>）</w:t>
            </w:r>
          </w:p>
        </w:tc>
        <w:tc>
          <w:tcPr>
            <w:tcW w:w="1334" w:type="dxa"/>
            <w:vAlign w:val="center"/>
          </w:tcPr>
          <w:p>
            <w:pPr>
              <w:pStyle w:val="8"/>
              <w:bidi w:val="0"/>
            </w:pPr>
            <w:r>
              <w:rPr>
                <w:rFonts w:hint="eastAsia"/>
              </w:rPr>
              <w:t>排放量</w:t>
            </w:r>
          </w:p>
          <w:p>
            <w:pPr>
              <w:pStyle w:val="8"/>
              <w:bidi w:val="0"/>
            </w:pPr>
            <w:r>
              <w:rPr>
                <w:rFonts w:hint="eastAsia"/>
              </w:rPr>
              <w:t>（</w:t>
            </w:r>
            <w:r>
              <w:t>t/a</w:t>
            </w:r>
            <w:r>
              <w:rPr>
                <w:rFonts w:hint="eastAsia"/>
              </w:rPr>
              <w:t>）</w:t>
            </w:r>
          </w:p>
        </w:tc>
        <w:tc>
          <w:tcPr>
            <w:tcW w:w="1332" w:type="dxa"/>
            <w:vAlign w:val="center"/>
          </w:tcPr>
          <w:p>
            <w:pPr>
              <w:pStyle w:val="8"/>
              <w:bidi w:val="0"/>
            </w:pPr>
            <w:r>
              <w:rPr>
                <w:rFonts w:hint="eastAsia"/>
              </w:rPr>
              <w:t>排放浓度（mg/m</w:t>
            </w:r>
            <w:r>
              <w:rPr>
                <w:rFonts w:hint="eastAsia"/>
                <w:vertAlign w:val="superscript"/>
              </w:rPr>
              <w:t>3</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36" w:type="dxa"/>
            <w:gridSpan w:val="2"/>
            <w:vMerge w:val="restart"/>
            <w:vAlign w:val="center"/>
          </w:tcPr>
          <w:p>
            <w:pPr>
              <w:pStyle w:val="8"/>
              <w:bidi w:val="0"/>
            </w:pPr>
            <w:r>
              <w:rPr>
                <w:rFonts w:hint="eastAsia"/>
              </w:rPr>
              <w:t>废水</w:t>
            </w:r>
          </w:p>
        </w:tc>
        <w:tc>
          <w:tcPr>
            <w:tcW w:w="1464" w:type="dxa"/>
            <w:vAlign w:val="center"/>
          </w:tcPr>
          <w:p>
            <w:pPr>
              <w:pStyle w:val="8"/>
              <w:bidi w:val="0"/>
            </w:pPr>
            <w:r>
              <w:rPr>
                <w:rFonts w:hint="eastAsia"/>
              </w:rPr>
              <w:t>水量</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14679.7</w:t>
            </w:r>
          </w:p>
        </w:tc>
        <w:tc>
          <w:tcPr>
            <w:tcW w:w="1436" w:type="dxa"/>
            <w:vAlign w:val="center"/>
          </w:tcPr>
          <w:p>
            <w:pPr>
              <w:pStyle w:val="8"/>
              <w:bidi w:val="0"/>
            </w:pPr>
            <w:r>
              <w:t>/</w:t>
            </w:r>
          </w:p>
        </w:tc>
        <w:tc>
          <w:tcPr>
            <w:tcW w:w="1334" w:type="dxa"/>
            <w:vAlign w:val="center"/>
          </w:tcPr>
          <w:p>
            <w:pPr>
              <w:pStyle w:val="8"/>
              <w:bidi w:val="0"/>
            </w:pPr>
            <w:r>
              <w:t>0</w:t>
            </w:r>
          </w:p>
        </w:tc>
        <w:tc>
          <w:tcPr>
            <w:tcW w:w="1332" w:type="dxa"/>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636" w:type="dxa"/>
            <w:gridSpan w:val="2"/>
            <w:vMerge w:val="continue"/>
            <w:vAlign w:val="center"/>
          </w:tcPr>
          <w:p>
            <w:pPr>
              <w:pStyle w:val="8"/>
              <w:bidi w:val="0"/>
            </w:pPr>
          </w:p>
        </w:tc>
        <w:tc>
          <w:tcPr>
            <w:tcW w:w="1464" w:type="dxa"/>
            <w:vAlign w:val="center"/>
          </w:tcPr>
          <w:p>
            <w:pPr>
              <w:pStyle w:val="8"/>
              <w:bidi w:val="0"/>
            </w:pPr>
            <w:r>
              <w:t>COD</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35.409</w:t>
            </w:r>
          </w:p>
        </w:tc>
        <w:tc>
          <w:tcPr>
            <w:tcW w:w="1436" w:type="dxa"/>
            <w:vAlign w:val="center"/>
          </w:tcPr>
          <w:p>
            <w:pPr>
              <w:pStyle w:val="8"/>
              <w:bidi w:val="0"/>
            </w:pPr>
            <w:r>
              <w:t>/</w:t>
            </w:r>
          </w:p>
        </w:tc>
        <w:tc>
          <w:tcPr>
            <w:tcW w:w="1334" w:type="dxa"/>
            <w:vAlign w:val="center"/>
          </w:tcPr>
          <w:p>
            <w:pPr>
              <w:pStyle w:val="8"/>
              <w:bidi w:val="0"/>
            </w:pPr>
            <w:r>
              <w:t>0</w:t>
            </w:r>
          </w:p>
        </w:tc>
        <w:tc>
          <w:tcPr>
            <w:tcW w:w="1332" w:type="dxa"/>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636" w:type="dxa"/>
            <w:gridSpan w:val="2"/>
            <w:vMerge w:val="continue"/>
            <w:vAlign w:val="center"/>
          </w:tcPr>
          <w:p>
            <w:pPr>
              <w:pStyle w:val="8"/>
              <w:bidi w:val="0"/>
            </w:pPr>
          </w:p>
        </w:tc>
        <w:tc>
          <w:tcPr>
            <w:tcW w:w="1464" w:type="dxa"/>
            <w:vAlign w:val="center"/>
          </w:tcPr>
          <w:p>
            <w:pPr>
              <w:pStyle w:val="8"/>
              <w:bidi w:val="0"/>
            </w:pPr>
            <w:r>
              <w:t>NH</w:t>
            </w:r>
            <w:r>
              <w:rPr>
                <w:vertAlign w:val="subscript"/>
              </w:rPr>
              <w:t>3</w:t>
            </w:r>
            <w:r>
              <w:t>-N</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7.233</w:t>
            </w:r>
          </w:p>
        </w:tc>
        <w:tc>
          <w:tcPr>
            <w:tcW w:w="1436" w:type="dxa"/>
            <w:vAlign w:val="center"/>
          </w:tcPr>
          <w:p>
            <w:pPr>
              <w:pStyle w:val="8"/>
              <w:bidi w:val="0"/>
            </w:pPr>
            <w:r>
              <w:t>/</w:t>
            </w:r>
          </w:p>
        </w:tc>
        <w:tc>
          <w:tcPr>
            <w:tcW w:w="1334" w:type="dxa"/>
            <w:vAlign w:val="center"/>
          </w:tcPr>
          <w:p>
            <w:pPr>
              <w:pStyle w:val="8"/>
              <w:bidi w:val="0"/>
            </w:pPr>
            <w:r>
              <w:t>0</w:t>
            </w:r>
          </w:p>
        </w:tc>
        <w:tc>
          <w:tcPr>
            <w:tcW w:w="1332" w:type="dxa"/>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636" w:type="dxa"/>
            <w:gridSpan w:val="2"/>
            <w:vMerge w:val="continue"/>
            <w:vAlign w:val="center"/>
          </w:tcPr>
          <w:p>
            <w:pPr>
              <w:pStyle w:val="8"/>
              <w:bidi w:val="0"/>
            </w:pPr>
          </w:p>
        </w:tc>
        <w:tc>
          <w:tcPr>
            <w:tcW w:w="1464" w:type="dxa"/>
            <w:vAlign w:val="center"/>
          </w:tcPr>
          <w:p>
            <w:pPr>
              <w:pStyle w:val="8"/>
              <w:bidi w:val="0"/>
            </w:pPr>
            <w:r>
              <w:rPr>
                <w:rFonts w:hint="eastAsia"/>
              </w:rPr>
              <w:t>TN</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10.622</w:t>
            </w:r>
          </w:p>
        </w:tc>
        <w:tc>
          <w:tcPr>
            <w:tcW w:w="1436" w:type="dxa"/>
            <w:vAlign w:val="center"/>
          </w:tcPr>
          <w:p>
            <w:pPr>
              <w:pStyle w:val="8"/>
              <w:bidi w:val="0"/>
            </w:pPr>
            <w:r>
              <w:t>/</w:t>
            </w:r>
          </w:p>
        </w:tc>
        <w:tc>
          <w:tcPr>
            <w:tcW w:w="1334" w:type="dxa"/>
            <w:vAlign w:val="center"/>
          </w:tcPr>
          <w:p>
            <w:pPr>
              <w:pStyle w:val="8"/>
              <w:bidi w:val="0"/>
            </w:pPr>
            <w:r>
              <w:t>0</w:t>
            </w:r>
          </w:p>
        </w:tc>
        <w:tc>
          <w:tcPr>
            <w:tcW w:w="1332" w:type="dxa"/>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636" w:type="dxa"/>
            <w:gridSpan w:val="2"/>
            <w:vMerge w:val="continue"/>
            <w:vAlign w:val="center"/>
          </w:tcPr>
          <w:p>
            <w:pPr>
              <w:pStyle w:val="8"/>
              <w:bidi w:val="0"/>
            </w:pPr>
          </w:p>
        </w:tc>
        <w:tc>
          <w:tcPr>
            <w:tcW w:w="1464" w:type="dxa"/>
            <w:vAlign w:val="center"/>
          </w:tcPr>
          <w:p>
            <w:pPr>
              <w:pStyle w:val="8"/>
              <w:bidi w:val="0"/>
            </w:pPr>
            <w:r>
              <w:rPr>
                <w:rFonts w:hint="eastAsia"/>
              </w:rPr>
              <w:t>TP</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1.527</w:t>
            </w:r>
          </w:p>
        </w:tc>
        <w:tc>
          <w:tcPr>
            <w:tcW w:w="1436" w:type="dxa"/>
            <w:vAlign w:val="center"/>
          </w:tcPr>
          <w:p>
            <w:pPr>
              <w:pStyle w:val="8"/>
              <w:bidi w:val="0"/>
            </w:pPr>
            <w:r>
              <w:t>/</w:t>
            </w:r>
          </w:p>
        </w:tc>
        <w:tc>
          <w:tcPr>
            <w:tcW w:w="1334" w:type="dxa"/>
            <w:vAlign w:val="center"/>
          </w:tcPr>
          <w:p>
            <w:pPr>
              <w:pStyle w:val="8"/>
              <w:bidi w:val="0"/>
            </w:pPr>
            <w:r>
              <w:t>0</w:t>
            </w:r>
          </w:p>
        </w:tc>
        <w:tc>
          <w:tcPr>
            <w:tcW w:w="1332" w:type="dxa"/>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24" w:type="dxa"/>
            <w:vMerge w:val="restart"/>
            <w:vAlign w:val="center"/>
          </w:tcPr>
          <w:p>
            <w:pPr>
              <w:pStyle w:val="8"/>
              <w:bidi w:val="0"/>
            </w:pPr>
            <w:r>
              <w:rPr>
                <w:rFonts w:hint="eastAsia"/>
              </w:rPr>
              <w:t>废气</w:t>
            </w:r>
          </w:p>
          <w:p>
            <w:pPr>
              <w:pStyle w:val="8"/>
              <w:bidi w:val="0"/>
            </w:pPr>
          </w:p>
        </w:tc>
        <w:tc>
          <w:tcPr>
            <w:tcW w:w="912" w:type="dxa"/>
            <w:vMerge w:val="restart"/>
            <w:vAlign w:val="center"/>
          </w:tcPr>
          <w:p>
            <w:pPr>
              <w:pStyle w:val="8"/>
              <w:bidi w:val="0"/>
            </w:pPr>
            <w:r>
              <w:rPr>
                <w:rFonts w:hint="eastAsia"/>
              </w:rPr>
              <w:t>面源</w:t>
            </w:r>
          </w:p>
        </w:tc>
        <w:tc>
          <w:tcPr>
            <w:tcW w:w="1464" w:type="dxa"/>
            <w:vAlign w:val="center"/>
          </w:tcPr>
          <w:p>
            <w:pPr>
              <w:pStyle w:val="8"/>
              <w:bidi w:val="0"/>
            </w:pPr>
            <w:r>
              <w:t>NH</w:t>
            </w:r>
            <w:r>
              <w:rPr>
                <w:vertAlign w:val="subscript"/>
              </w:rPr>
              <w:t>3</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17.8395</w:t>
            </w:r>
          </w:p>
        </w:tc>
        <w:tc>
          <w:tcPr>
            <w:tcW w:w="1436"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w:t>
            </w:r>
          </w:p>
        </w:tc>
        <w:tc>
          <w:tcPr>
            <w:tcW w:w="1334"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1.5095</w:t>
            </w:r>
          </w:p>
        </w:tc>
        <w:tc>
          <w:tcPr>
            <w:tcW w:w="1332"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24" w:type="dxa"/>
            <w:vMerge w:val="continue"/>
            <w:vAlign w:val="center"/>
          </w:tcPr>
          <w:p>
            <w:pPr>
              <w:pStyle w:val="8"/>
              <w:bidi w:val="0"/>
            </w:pPr>
          </w:p>
        </w:tc>
        <w:tc>
          <w:tcPr>
            <w:tcW w:w="912" w:type="dxa"/>
            <w:vMerge w:val="continue"/>
            <w:vAlign w:val="center"/>
          </w:tcPr>
          <w:p>
            <w:pPr>
              <w:pStyle w:val="8"/>
              <w:bidi w:val="0"/>
            </w:pPr>
          </w:p>
        </w:tc>
        <w:tc>
          <w:tcPr>
            <w:tcW w:w="1464" w:type="dxa"/>
            <w:vAlign w:val="center"/>
          </w:tcPr>
          <w:p>
            <w:pPr>
              <w:pStyle w:val="8"/>
              <w:bidi w:val="0"/>
            </w:pPr>
            <w:r>
              <w:t>H</w:t>
            </w:r>
            <w:r>
              <w:rPr>
                <w:vertAlign w:val="subscript"/>
              </w:rPr>
              <w:t>2</w:t>
            </w:r>
            <w:r>
              <w:t>S</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2.3793</w:t>
            </w:r>
          </w:p>
        </w:tc>
        <w:tc>
          <w:tcPr>
            <w:tcW w:w="1436"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w:t>
            </w:r>
          </w:p>
        </w:tc>
        <w:tc>
          <w:tcPr>
            <w:tcW w:w="1334"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0.1104</w:t>
            </w:r>
          </w:p>
        </w:tc>
        <w:tc>
          <w:tcPr>
            <w:tcW w:w="1332"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24" w:type="dxa"/>
            <w:vMerge w:val="continue"/>
            <w:vAlign w:val="center"/>
          </w:tcPr>
          <w:p>
            <w:pPr>
              <w:pStyle w:val="8"/>
              <w:bidi w:val="0"/>
            </w:pPr>
            <w:bookmarkStart w:id="154" w:name="_Hlk307219504"/>
          </w:p>
        </w:tc>
        <w:tc>
          <w:tcPr>
            <w:tcW w:w="912" w:type="dxa"/>
            <w:vAlign w:val="center"/>
          </w:tcPr>
          <w:p>
            <w:pPr>
              <w:pStyle w:val="8"/>
              <w:bidi w:val="0"/>
            </w:pPr>
            <w:r>
              <w:rPr>
                <w:rFonts w:hint="eastAsia"/>
              </w:rPr>
              <w:t>食堂</w:t>
            </w:r>
          </w:p>
        </w:tc>
        <w:tc>
          <w:tcPr>
            <w:tcW w:w="1464" w:type="dxa"/>
            <w:vAlign w:val="center"/>
          </w:tcPr>
          <w:p>
            <w:pPr>
              <w:pStyle w:val="8"/>
              <w:bidi w:val="0"/>
            </w:pPr>
            <w:r>
              <w:rPr>
                <w:rFonts w:hint="eastAsia"/>
              </w:rPr>
              <w:t>油烟</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0.0161</w:t>
            </w:r>
          </w:p>
        </w:tc>
        <w:tc>
          <w:tcPr>
            <w:tcW w:w="1436"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4.9</w:t>
            </w:r>
          </w:p>
        </w:tc>
        <w:tc>
          <w:tcPr>
            <w:tcW w:w="1334"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0.00</w:t>
            </w:r>
            <w:r>
              <w:rPr>
                <w:rFonts w:hint="eastAsia"/>
                <w:lang w:val="en-US" w:eastAsia="zh-CN"/>
              </w:rPr>
              <w:t>3</w:t>
            </w:r>
          </w:p>
        </w:tc>
        <w:tc>
          <w:tcPr>
            <w:tcW w:w="1332"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rPr>
              <w:t>0.</w:t>
            </w:r>
            <w:r>
              <w:rPr>
                <w:rFonts w:hint="eastAsia"/>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24" w:type="dxa"/>
            <w:vMerge w:val="continue"/>
            <w:vAlign w:val="center"/>
          </w:tcPr>
          <w:p>
            <w:pPr>
              <w:pStyle w:val="8"/>
              <w:bidi w:val="0"/>
            </w:pPr>
          </w:p>
        </w:tc>
        <w:tc>
          <w:tcPr>
            <w:tcW w:w="912" w:type="dxa"/>
            <w:vMerge w:val="restart"/>
            <w:vAlign w:val="center"/>
          </w:tcPr>
          <w:p>
            <w:pPr>
              <w:pStyle w:val="8"/>
              <w:bidi w:val="0"/>
              <w:rPr>
                <w:rFonts w:hint="eastAsia" w:eastAsiaTheme="minorEastAsia"/>
                <w:lang w:eastAsia="zh-CN"/>
              </w:rPr>
            </w:pPr>
            <w:r>
              <w:rPr>
                <w:rFonts w:hint="eastAsia"/>
              </w:rPr>
              <w:t>沼气</w:t>
            </w:r>
            <w:r>
              <w:rPr>
                <w:rFonts w:hint="eastAsia"/>
                <w:lang w:eastAsia="zh-CN"/>
              </w:rPr>
              <w:t>燃烧</w:t>
            </w:r>
          </w:p>
        </w:tc>
        <w:tc>
          <w:tcPr>
            <w:tcW w:w="1464" w:type="dxa"/>
            <w:vAlign w:val="center"/>
          </w:tcPr>
          <w:p>
            <w:pPr>
              <w:pStyle w:val="8"/>
              <w:bidi w:val="0"/>
            </w:pPr>
            <w:r>
              <w:rPr>
                <w:rFonts w:hint="eastAsia"/>
              </w:rPr>
              <w:t>NO</w:t>
            </w:r>
            <w:r>
              <w:rPr>
                <w:rFonts w:hint="eastAsia"/>
                <w:vertAlign w:val="subscript"/>
              </w:rPr>
              <w:t>2</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0.0</w:t>
            </w:r>
            <w:r>
              <w:rPr>
                <w:rFonts w:hint="eastAsia"/>
                <w:lang w:val="en-US" w:eastAsia="zh-CN"/>
              </w:rPr>
              <w:t>235</w:t>
            </w:r>
          </w:p>
        </w:tc>
        <w:tc>
          <w:tcPr>
            <w:tcW w:w="1436"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t>67</w:t>
            </w:r>
            <w:r>
              <w:rPr>
                <w:rFonts w:hint="eastAsia"/>
                <w:lang w:val="en-US" w:eastAsia="zh-CN"/>
              </w:rPr>
              <w:t>.66</w:t>
            </w:r>
          </w:p>
        </w:tc>
        <w:tc>
          <w:tcPr>
            <w:tcW w:w="1334"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0.0</w:t>
            </w:r>
            <w:r>
              <w:rPr>
                <w:rFonts w:hint="eastAsia"/>
                <w:lang w:val="en-US" w:eastAsia="zh-CN"/>
              </w:rPr>
              <w:t>235</w:t>
            </w:r>
          </w:p>
        </w:tc>
        <w:tc>
          <w:tcPr>
            <w:tcW w:w="1332"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t>67</w:t>
            </w:r>
            <w:r>
              <w:rPr>
                <w:rFonts w:hint="eastAsia"/>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4" w:type="dxa"/>
            <w:vMerge w:val="continue"/>
            <w:vAlign w:val="center"/>
          </w:tcPr>
          <w:p>
            <w:pPr>
              <w:pStyle w:val="8"/>
              <w:bidi w:val="0"/>
            </w:pPr>
          </w:p>
        </w:tc>
        <w:tc>
          <w:tcPr>
            <w:tcW w:w="912" w:type="dxa"/>
            <w:vMerge w:val="continue"/>
            <w:vAlign w:val="center"/>
          </w:tcPr>
          <w:p>
            <w:pPr>
              <w:pStyle w:val="8"/>
              <w:bidi w:val="0"/>
            </w:pPr>
          </w:p>
        </w:tc>
        <w:tc>
          <w:tcPr>
            <w:tcW w:w="1464" w:type="dxa"/>
            <w:vAlign w:val="center"/>
          </w:tcPr>
          <w:p>
            <w:pPr>
              <w:pStyle w:val="8"/>
              <w:bidi w:val="0"/>
            </w:pPr>
            <w:r>
              <w:rPr>
                <w:rFonts w:hint="eastAsia"/>
              </w:rPr>
              <w:t>SO</w:t>
            </w:r>
            <w:r>
              <w:rPr>
                <w:rFonts w:hint="eastAsia"/>
                <w:vertAlign w:val="subscript"/>
              </w:rPr>
              <w:t>2</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0.000</w:t>
            </w:r>
            <w:r>
              <w:rPr>
                <w:rFonts w:hint="eastAsia"/>
                <w:lang w:val="en-US" w:eastAsia="zh-CN"/>
              </w:rPr>
              <w:t>3</w:t>
            </w:r>
          </w:p>
        </w:tc>
        <w:tc>
          <w:tcPr>
            <w:tcW w:w="1436"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0.8</w:t>
            </w:r>
            <w:r>
              <w:rPr>
                <w:rFonts w:hint="eastAsia"/>
                <w:lang w:val="en-US" w:eastAsia="zh-CN"/>
              </w:rPr>
              <w:t>6</w:t>
            </w:r>
          </w:p>
        </w:tc>
        <w:tc>
          <w:tcPr>
            <w:tcW w:w="1334"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t>0.000</w:t>
            </w:r>
            <w:r>
              <w:rPr>
                <w:rFonts w:hint="eastAsia"/>
                <w:lang w:val="en-US" w:eastAsia="zh-CN"/>
              </w:rPr>
              <w:t>3</w:t>
            </w:r>
          </w:p>
        </w:tc>
        <w:tc>
          <w:tcPr>
            <w:tcW w:w="1332"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0.8</w:t>
            </w:r>
            <w:r>
              <w:rPr>
                <w:rFonts w:hint="eastAsia"/>
                <w:lang w:val="en-US" w:eastAsia="zh-CN"/>
              </w:rPr>
              <w:t>6</w:t>
            </w:r>
          </w:p>
        </w:tc>
      </w:tr>
      <w:bookmarkEnd w:id="15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636" w:type="dxa"/>
            <w:gridSpan w:val="2"/>
            <w:vMerge w:val="restart"/>
            <w:vAlign w:val="center"/>
          </w:tcPr>
          <w:p>
            <w:pPr>
              <w:pStyle w:val="8"/>
              <w:bidi w:val="0"/>
            </w:pPr>
            <w:r>
              <w:rPr>
                <w:rFonts w:hint="eastAsia"/>
              </w:rPr>
              <w:t>固废</w:t>
            </w:r>
          </w:p>
        </w:tc>
        <w:tc>
          <w:tcPr>
            <w:tcW w:w="1464"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lang w:eastAsia="zh-CN"/>
              </w:rPr>
              <w:t>堆粪棚产生的有机肥</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3160.5</w:t>
            </w:r>
          </w:p>
        </w:tc>
        <w:tc>
          <w:tcPr>
            <w:tcW w:w="1436" w:type="dxa"/>
            <w:vAlign w:val="center"/>
          </w:tcPr>
          <w:p>
            <w:pPr>
              <w:pStyle w:val="8"/>
              <w:bidi w:val="0"/>
            </w:pPr>
            <w:r>
              <w:t>/</w:t>
            </w:r>
          </w:p>
        </w:tc>
        <w:tc>
          <w:tcPr>
            <w:tcW w:w="1334" w:type="dxa"/>
            <w:vAlign w:val="center"/>
          </w:tcPr>
          <w:p>
            <w:pPr>
              <w:pStyle w:val="8"/>
              <w:bidi w:val="0"/>
            </w:pPr>
            <w:r>
              <w:t>0</w:t>
            </w:r>
          </w:p>
        </w:tc>
        <w:tc>
          <w:tcPr>
            <w:tcW w:w="1332" w:type="dxa"/>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36" w:type="dxa"/>
            <w:gridSpan w:val="2"/>
            <w:vMerge w:val="continue"/>
            <w:vAlign w:val="center"/>
          </w:tcPr>
          <w:p>
            <w:pPr>
              <w:pStyle w:val="8"/>
              <w:bidi w:val="0"/>
            </w:pPr>
          </w:p>
        </w:tc>
        <w:tc>
          <w:tcPr>
            <w:tcW w:w="1464"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病死猪</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50.0</w:t>
            </w:r>
          </w:p>
        </w:tc>
        <w:tc>
          <w:tcPr>
            <w:tcW w:w="1436" w:type="dxa"/>
            <w:vAlign w:val="center"/>
          </w:tcPr>
          <w:p>
            <w:pPr>
              <w:pStyle w:val="8"/>
              <w:bidi w:val="0"/>
            </w:pPr>
            <w:r>
              <w:t>/</w:t>
            </w:r>
          </w:p>
        </w:tc>
        <w:tc>
          <w:tcPr>
            <w:tcW w:w="1334" w:type="dxa"/>
            <w:vAlign w:val="center"/>
          </w:tcPr>
          <w:p>
            <w:pPr>
              <w:pStyle w:val="8"/>
              <w:bidi w:val="0"/>
            </w:pPr>
            <w:r>
              <w:t>0</w:t>
            </w:r>
          </w:p>
        </w:tc>
        <w:tc>
          <w:tcPr>
            <w:tcW w:w="1332" w:type="dxa"/>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36" w:type="dxa"/>
            <w:gridSpan w:val="2"/>
            <w:vMerge w:val="continue"/>
            <w:vAlign w:val="center"/>
          </w:tcPr>
          <w:p>
            <w:pPr>
              <w:pStyle w:val="8"/>
              <w:bidi w:val="0"/>
            </w:pPr>
          </w:p>
        </w:tc>
        <w:tc>
          <w:tcPr>
            <w:tcW w:w="1464"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分娩废物</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32.1</w:t>
            </w:r>
          </w:p>
        </w:tc>
        <w:tc>
          <w:tcPr>
            <w:tcW w:w="1436" w:type="dxa"/>
            <w:vAlign w:val="center"/>
          </w:tcPr>
          <w:p>
            <w:pPr>
              <w:pStyle w:val="8"/>
              <w:bidi w:val="0"/>
            </w:pPr>
            <w:r>
              <w:t>/</w:t>
            </w:r>
          </w:p>
        </w:tc>
        <w:tc>
          <w:tcPr>
            <w:tcW w:w="1334" w:type="dxa"/>
            <w:vAlign w:val="center"/>
          </w:tcPr>
          <w:p>
            <w:pPr>
              <w:pStyle w:val="8"/>
              <w:bidi w:val="0"/>
            </w:pPr>
            <w:r>
              <w:t>0</w:t>
            </w:r>
          </w:p>
        </w:tc>
        <w:tc>
          <w:tcPr>
            <w:tcW w:w="1332" w:type="dxa"/>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36" w:type="dxa"/>
            <w:gridSpan w:val="2"/>
            <w:vMerge w:val="continue"/>
            <w:vAlign w:val="center"/>
          </w:tcPr>
          <w:p>
            <w:pPr>
              <w:pStyle w:val="8"/>
              <w:bidi w:val="0"/>
            </w:pPr>
          </w:p>
        </w:tc>
        <w:tc>
          <w:tcPr>
            <w:tcW w:w="1464"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医疗废物</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0.5</w:t>
            </w:r>
          </w:p>
        </w:tc>
        <w:tc>
          <w:tcPr>
            <w:tcW w:w="1436" w:type="dxa"/>
            <w:vAlign w:val="center"/>
          </w:tcPr>
          <w:p>
            <w:pPr>
              <w:pStyle w:val="8"/>
              <w:bidi w:val="0"/>
            </w:pPr>
            <w:r>
              <w:t>/</w:t>
            </w:r>
          </w:p>
        </w:tc>
        <w:tc>
          <w:tcPr>
            <w:tcW w:w="1334" w:type="dxa"/>
            <w:vAlign w:val="center"/>
          </w:tcPr>
          <w:p>
            <w:pPr>
              <w:pStyle w:val="8"/>
              <w:bidi w:val="0"/>
            </w:pPr>
            <w:r>
              <w:t>0</w:t>
            </w:r>
          </w:p>
        </w:tc>
        <w:tc>
          <w:tcPr>
            <w:tcW w:w="1332" w:type="dxa"/>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36" w:type="dxa"/>
            <w:gridSpan w:val="2"/>
            <w:vMerge w:val="continue"/>
            <w:vAlign w:val="center"/>
          </w:tcPr>
          <w:p>
            <w:pPr>
              <w:pStyle w:val="8"/>
              <w:bidi w:val="0"/>
            </w:pPr>
          </w:p>
        </w:tc>
        <w:tc>
          <w:tcPr>
            <w:tcW w:w="1464"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生活垃圾</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8.94</w:t>
            </w:r>
          </w:p>
        </w:tc>
        <w:tc>
          <w:tcPr>
            <w:tcW w:w="1436" w:type="dxa"/>
            <w:vAlign w:val="center"/>
          </w:tcPr>
          <w:p>
            <w:pPr>
              <w:pStyle w:val="8"/>
              <w:bidi w:val="0"/>
            </w:pPr>
            <w:r>
              <w:rPr>
                <w:rFonts w:hint="eastAsia"/>
              </w:rPr>
              <w:t>/</w:t>
            </w:r>
          </w:p>
        </w:tc>
        <w:tc>
          <w:tcPr>
            <w:tcW w:w="1334" w:type="dxa"/>
            <w:vAlign w:val="center"/>
          </w:tcPr>
          <w:p>
            <w:pPr>
              <w:pStyle w:val="8"/>
              <w:bidi w:val="0"/>
            </w:pPr>
            <w:r>
              <w:rPr>
                <w:rFonts w:hint="eastAsia"/>
              </w:rPr>
              <w:t>0</w:t>
            </w:r>
          </w:p>
        </w:tc>
        <w:tc>
          <w:tcPr>
            <w:tcW w:w="1332" w:type="dxa"/>
            <w:vAlign w:val="center"/>
          </w:tcPr>
          <w:p>
            <w:pPr>
              <w:pStyle w:val="8"/>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636" w:type="dxa"/>
            <w:gridSpan w:val="2"/>
            <w:vMerge w:val="continue"/>
            <w:vAlign w:val="center"/>
          </w:tcPr>
          <w:p>
            <w:pPr>
              <w:pStyle w:val="8"/>
              <w:bidi w:val="0"/>
            </w:pPr>
          </w:p>
        </w:tc>
        <w:tc>
          <w:tcPr>
            <w:tcW w:w="1464"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lang w:eastAsia="zh-CN"/>
              </w:rPr>
              <w:t>厌氧罐排泥</w:t>
            </w:r>
          </w:p>
        </w:tc>
        <w:tc>
          <w:tcPr>
            <w:tcW w:w="153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214.1</w:t>
            </w:r>
          </w:p>
        </w:tc>
        <w:tc>
          <w:tcPr>
            <w:tcW w:w="1436" w:type="dxa"/>
            <w:vAlign w:val="center"/>
          </w:tcPr>
          <w:p>
            <w:pPr>
              <w:pStyle w:val="8"/>
              <w:bidi w:val="0"/>
            </w:pPr>
            <w:r>
              <w:rPr>
                <w:rFonts w:hint="eastAsia"/>
              </w:rPr>
              <w:t>/</w:t>
            </w:r>
          </w:p>
        </w:tc>
        <w:tc>
          <w:tcPr>
            <w:tcW w:w="1334" w:type="dxa"/>
            <w:vAlign w:val="center"/>
          </w:tcPr>
          <w:p>
            <w:pPr>
              <w:pStyle w:val="8"/>
              <w:bidi w:val="0"/>
            </w:pPr>
            <w:r>
              <w:rPr>
                <w:rFonts w:hint="eastAsia"/>
              </w:rPr>
              <w:t>0</w:t>
            </w:r>
          </w:p>
        </w:tc>
        <w:tc>
          <w:tcPr>
            <w:tcW w:w="1332" w:type="dxa"/>
            <w:vAlign w:val="center"/>
          </w:tcPr>
          <w:p>
            <w:pPr>
              <w:pStyle w:val="8"/>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636" w:type="dxa"/>
            <w:gridSpan w:val="2"/>
            <w:vMerge w:val="continue"/>
            <w:vAlign w:val="center"/>
          </w:tcPr>
          <w:p>
            <w:pPr>
              <w:pStyle w:val="8"/>
              <w:bidi w:val="0"/>
            </w:pPr>
          </w:p>
        </w:tc>
        <w:tc>
          <w:tcPr>
            <w:tcW w:w="1464"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脱硫废渣</w:t>
            </w:r>
          </w:p>
        </w:tc>
        <w:tc>
          <w:tcPr>
            <w:tcW w:w="0" w:type="auto"/>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0.1</w:t>
            </w:r>
          </w:p>
        </w:tc>
        <w:tc>
          <w:tcPr>
            <w:tcW w:w="0" w:type="auto"/>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w:t>
            </w:r>
          </w:p>
        </w:tc>
        <w:tc>
          <w:tcPr>
            <w:tcW w:w="0" w:type="auto"/>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0</w:t>
            </w:r>
          </w:p>
        </w:tc>
        <w:tc>
          <w:tcPr>
            <w:tcW w:w="0" w:type="auto"/>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w:t>
            </w:r>
          </w:p>
        </w:tc>
      </w:tr>
    </w:tbl>
    <w:p>
      <w:pPr>
        <w:sectPr>
          <w:pgSz w:w="11907" w:h="16840"/>
          <w:pgMar w:top="1531" w:right="1531" w:bottom="1531" w:left="1531" w:header="851" w:footer="992" w:gutter="0"/>
          <w:pgNumType w:fmt="decimal"/>
          <w:cols w:space="720" w:num="1"/>
          <w:docGrid w:linePitch="312" w:charSpace="0"/>
        </w:sectPr>
      </w:pPr>
    </w:p>
    <w:p/>
    <w:bookmarkEnd w:id="153"/>
    <w:p>
      <w:pPr>
        <w:pStyle w:val="2"/>
        <w:bidi w:val="0"/>
      </w:pPr>
      <w:bookmarkStart w:id="155" w:name="_Toc14439"/>
      <w:bookmarkStart w:id="156" w:name="_Toc289344557"/>
      <w:r>
        <w:rPr>
          <w:rFonts w:hint="eastAsia"/>
        </w:rPr>
        <w:t>环境现状调查与评价</w:t>
      </w:r>
      <w:bookmarkEnd w:id="155"/>
    </w:p>
    <w:bookmarkEnd w:id="156"/>
    <w:p>
      <w:pPr>
        <w:pStyle w:val="4"/>
        <w:bidi w:val="0"/>
      </w:pPr>
      <w:bookmarkStart w:id="157" w:name="_Toc28659"/>
      <w:r>
        <w:rPr>
          <w:rFonts w:hint="eastAsia"/>
        </w:rPr>
        <w:t>自然环境调查与评价</w:t>
      </w:r>
      <w:bookmarkEnd w:id="157"/>
    </w:p>
    <w:p>
      <w:pPr>
        <w:pStyle w:val="5"/>
        <w:bidi w:val="0"/>
      </w:pPr>
      <w:bookmarkStart w:id="158" w:name="_Toc468689157"/>
      <w:r>
        <w:rPr>
          <w:rFonts w:hint="eastAsia"/>
        </w:rPr>
        <w:t>地理位置</w:t>
      </w:r>
      <w:bookmarkEnd w:id="158"/>
    </w:p>
    <w:p>
      <w:r>
        <w:rPr>
          <w:rFonts w:hint="eastAsia"/>
        </w:rPr>
        <w:t>澧县位于湖南省西北部，洞庭湖西岸，澧水下游，与长江直线距离</w:t>
      </w:r>
      <w:r>
        <w:t>80</w:t>
      </w:r>
      <w:r>
        <w:rPr>
          <w:rFonts w:hint="eastAsia"/>
        </w:rPr>
        <w:t>公里，是枝柳铁路、二广高速和</w:t>
      </w:r>
      <w:r>
        <w:t>207</w:t>
      </w:r>
      <w:r>
        <w:rPr>
          <w:rFonts w:hint="eastAsia"/>
        </w:rPr>
        <w:t>国道跨越长江，进入湖南的第一县。澧县北连长江，南通潇湘，西控九澧，东出洞庭，自古就有</w:t>
      </w:r>
      <w:r>
        <w:t>“</w:t>
      </w:r>
      <w:r>
        <w:rPr>
          <w:rFonts w:hint="eastAsia"/>
        </w:rPr>
        <w:t>九澧门户</w:t>
      </w:r>
      <w:r>
        <w:t>”</w:t>
      </w:r>
      <w:r>
        <w:rPr>
          <w:rFonts w:hint="eastAsia"/>
        </w:rPr>
        <w:t>之称，是澧水流域和湖南省参与长江开发的一大战略要地。澧县属常德市所辖，位于常德市北部，全县总面积</w:t>
      </w:r>
      <w:r>
        <w:t>2075</w:t>
      </w:r>
      <w:r>
        <w:rPr>
          <w:rFonts w:hint="eastAsia"/>
        </w:rPr>
        <w:t>平方公里，县城面积</w:t>
      </w:r>
      <w:r>
        <w:t>149.67</w:t>
      </w:r>
      <w:r>
        <w:rPr>
          <w:rFonts w:hint="eastAsia"/>
        </w:rPr>
        <w:t>平方公里。县境东南西三面分别与安乡、临澧、石门接壤，北与湖北省毗邻。</w:t>
      </w:r>
    </w:p>
    <w:p>
      <w:r>
        <w:rPr>
          <w:rFonts w:hint="eastAsia"/>
        </w:rPr>
        <w:t>本项目位于澧县</w:t>
      </w:r>
      <w:r>
        <w:rPr>
          <w:rFonts w:hint="eastAsia"/>
          <w:lang w:eastAsia="zh-CN"/>
        </w:rPr>
        <w:t>澧南镇天子山社区、</w:t>
      </w:r>
      <w:r>
        <w:rPr>
          <w:rFonts w:hint="eastAsia"/>
          <w:lang w:val="en-US" w:eastAsia="zh-CN"/>
        </w:rPr>
        <w:t>临澧县修梅镇杨板桥社区</w:t>
      </w:r>
      <w:r>
        <w:rPr>
          <w:rFonts w:hint="eastAsia"/>
        </w:rPr>
        <w:t>，项目工程建设地中心地理坐标为：东经111.709687085</w:t>
      </w:r>
      <w:r>
        <w:rPr>
          <w:rFonts w:hint="eastAsia"/>
          <w:lang w:val="en-US" w:eastAsia="zh-CN"/>
        </w:rPr>
        <w:t>°</w:t>
      </w:r>
      <w:r>
        <w:rPr>
          <w:rFonts w:hint="eastAsia"/>
        </w:rPr>
        <w:t>，北纬29.528258883</w:t>
      </w:r>
      <w:r>
        <w:rPr>
          <w:rFonts w:hint="eastAsia"/>
          <w:lang w:val="en-US" w:eastAsia="zh-CN"/>
        </w:rPr>
        <w:t>°</w:t>
      </w:r>
      <w:r>
        <w:rPr>
          <w:rFonts w:hint="eastAsia"/>
        </w:rPr>
        <w:t>，详见附图</w:t>
      </w:r>
      <w:r>
        <w:t>1</w:t>
      </w:r>
      <w:r>
        <w:rPr>
          <w:rFonts w:hint="eastAsia"/>
        </w:rPr>
        <w:t>。</w:t>
      </w:r>
    </w:p>
    <w:p>
      <w:pPr>
        <w:pStyle w:val="5"/>
        <w:bidi w:val="0"/>
      </w:pPr>
      <w:r>
        <w:rPr>
          <w:rFonts w:hint="eastAsia"/>
        </w:rPr>
        <w:t>地形地貌地质</w:t>
      </w:r>
    </w:p>
    <w:p>
      <w:r>
        <w:rPr>
          <w:rFonts w:hint="eastAsia"/>
        </w:rPr>
        <w:t>澧县地处武陵山余脉向洞庭湖过渡地带，以平原和岗地为其主要地貌特征。县境内地势西北高，东南低，自西北向东南倾斜，形成山、丘、平、湖四种自然区。西北部为山区，太青山鸭母尖海拔1019.5米，是全县制高点；南部与北部属丘陵区，起伏不平；东部和西部为湖区，水网纵横，小渡口镇永和村海拔28.6米，是县境最低点；中部是全省著名的澧阳平原。主要河流有澧、澹、道、涔、松滋五水。</w:t>
      </w:r>
    </w:p>
    <w:p>
      <w:r>
        <w:rPr>
          <w:rFonts w:hint="eastAsia"/>
        </w:rPr>
        <w:t>澧县全境土地面积</w:t>
      </w:r>
      <w:r>
        <w:t>2017.5km</w:t>
      </w:r>
      <w:r>
        <w:rPr>
          <w:vertAlign w:val="superscript"/>
        </w:rPr>
        <w:t>2</w:t>
      </w:r>
      <w:r>
        <w:rPr>
          <w:rFonts w:hint="eastAsia"/>
        </w:rPr>
        <w:t>，其中山地丘陵面积</w:t>
      </w:r>
      <w:r>
        <w:t>463.9km</w:t>
      </w:r>
      <w:r>
        <w:rPr>
          <w:vertAlign w:val="superscript"/>
        </w:rPr>
        <w:t>2</w:t>
      </w:r>
      <w:r>
        <w:rPr>
          <w:rFonts w:hint="eastAsia"/>
        </w:rPr>
        <w:t>，占全县总面积的</w:t>
      </w:r>
      <w:r>
        <w:t>22.01%</w:t>
      </w:r>
      <w:r>
        <w:rPr>
          <w:rFonts w:hint="eastAsia"/>
        </w:rPr>
        <w:t>；岗地主要分布在县境南部和北部，共</w:t>
      </w:r>
      <w:r>
        <w:t>710.2km</w:t>
      </w:r>
      <w:r>
        <w:rPr>
          <w:vertAlign w:val="superscript"/>
        </w:rPr>
        <w:t>2</w:t>
      </w:r>
      <w:r>
        <w:rPr>
          <w:rFonts w:hint="eastAsia"/>
        </w:rPr>
        <w:t>，占全县总面积的</w:t>
      </w:r>
      <w:r>
        <w:t>34.18%</w:t>
      </w:r>
      <w:r>
        <w:rPr>
          <w:rFonts w:hint="eastAsia"/>
        </w:rPr>
        <w:t>；中东部属平原，约</w:t>
      </w:r>
      <w:r>
        <w:t>923.2km</w:t>
      </w:r>
      <w:r>
        <w:rPr>
          <w:vertAlign w:val="superscript"/>
        </w:rPr>
        <w:t>2</w:t>
      </w:r>
      <w:r>
        <w:rPr>
          <w:rFonts w:hint="eastAsia"/>
        </w:rPr>
        <w:t>，占全县总面积的</w:t>
      </w:r>
      <w:r>
        <w:t>43.18%</w:t>
      </w:r>
      <w:r>
        <w:rPr>
          <w:rFonts w:hint="eastAsia"/>
        </w:rPr>
        <w:t>。</w:t>
      </w:r>
    </w:p>
    <w:p>
      <w:r>
        <w:rPr>
          <w:rFonts w:hint="eastAsia"/>
        </w:rPr>
        <w:t>主要地形为山地地形，片属武陵山脉余脉，南北两侧山川走势连绵不断，中间自西向东为形状狭长的河谷平原。本项目所在地属典型的丘陵地貌，养殖场周边低矮小山丘较多，该区域地形总体上西高东低，山体总体上呈东西向分布，标高在1</w:t>
      </w:r>
      <w:r>
        <w:t>20m~</w:t>
      </w:r>
      <w:r>
        <w:rPr>
          <w:rFonts w:hint="eastAsia"/>
        </w:rPr>
        <w:t>2</w:t>
      </w:r>
      <w:r>
        <w:t>40m</w:t>
      </w:r>
      <w:r>
        <w:rPr>
          <w:rFonts w:hint="eastAsia"/>
        </w:rPr>
        <w:t>之间，项目</w:t>
      </w:r>
      <w:r>
        <w:rPr>
          <w:rFonts w:hint="eastAsia"/>
          <w:lang w:eastAsia="zh-CN"/>
        </w:rPr>
        <w:t>东侧为道水，道水为</w:t>
      </w:r>
      <w:r>
        <w:rPr>
          <w:rFonts w:hint="eastAsia"/>
        </w:rPr>
        <w:t>区域最低点，</w:t>
      </w:r>
      <w:r>
        <w:rPr>
          <w:rFonts w:hint="eastAsia"/>
          <w:lang w:eastAsia="zh-CN"/>
        </w:rPr>
        <w:t>道水</w:t>
      </w:r>
      <w:r>
        <w:rPr>
          <w:rFonts w:hint="eastAsia"/>
        </w:rPr>
        <w:t>由</w:t>
      </w:r>
      <w:r>
        <w:rPr>
          <w:rFonts w:hint="eastAsia"/>
          <w:lang w:eastAsia="zh-CN"/>
        </w:rPr>
        <w:t>南</w:t>
      </w:r>
      <w:r>
        <w:rPr>
          <w:rFonts w:hint="eastAsia"/>
        </w:rPr>
        <w:t>向</w:t>
      </w:r>
      <w:r>
        <w:rPr>
          <w:rFonts w:hint="eastAsia"/>
          <w:lang w:eastAsia="zh-CN"/>
        </w:rPr>
        <w:t>北</w:t>
      </w:r>
      <w:r>
        <w:rPr>
          <w:rFonts w:hint="eastAsia"/>
        </w:rPr>
        <w:t>流经该区域。</w:t>
      </w:r>
    </w:p>
    <w:p>
      <w:r>
        <w:rPr>
          <w:rFonts w:hint="eastAsia"/>
        </w:rPr>
        <w:t>项目所在区地层属第四系全新统</w:t>
      </w:r>
      <w:r>
        <w:t>(Q4)</w:t>
      </w:r>
      <w:r>
        <w:rPr>
          <w:rFonts w:hint="eastAsia"/>
        </w:rPr>
        <w:t>和第四系更新统</w:t>
      </w:r>
      <w:r>
        <w:t>(Q3)</w:t>
      </w:r>
      <w:r>
        <w:rPr>
          <w:rFonts w:hint="eastAsia"/>
        </w:rPr>
        <w:t>各土层的特征如下：（</w:t>
      </w:r>
      <w:r>
        <w:t>1</w:t>
      </w:r>
      <w:r>
        <w:rPr>
          <w:rFonts w:hint="eastAsia"/>
        </w:rPr>
        <w:t>）耕土、填土和淤泥层：由粘性土和粉土组成，含少量粉砂及砖块、瓦片、砾石和腐渣等有机质，厚度分别为</w:t>
      </w:r>
      <w:r>
        <w:t>0.5-1.4</w:t>
      </w:r>
      <w:r>
        <w:rPr>
          <w:rFonts w:hint="eastAsia"/>
        </w:rPr>
        <w:t>米、</w:t>
      </w:r>
      <w:r>
        <w:t>1.1-2.2</w:t>
      </w:r>
      <w:r>
        <w:rPr>
          <w:rFonts w:hint="eastAsia"/>
        </w:rPr>
        <w:t>米、</w:t>
      </w:r>
      <w:r>
        <w:t>0.6-4.4</w:t>
      </w:r>
      <w:r>
        <w:rPr>
          <w:rFonts w:hint="eastAsia"/>
        </w:rPr>
        <w:t>米。（</w:t>
      </w:r>
      <w:r>
        <w:t>2</w:t>
      </w:r>
      <w:r>
        <w:rPr>
          <w:rFonts w:hint="eastAsia"/>
        </w:rPr>
        <w:t>）粉质粘土：主要成份为粘粒，含粉土团块，干强度和韧性中等</w:t>
      </w:r>
      <w:r>
        <w:t>-</w:t>
      </w:r>
      <w:r>
        <w:rPr>
          <w:rFonts w:hint="eastAsia"/>
        </w:rPr>
        <w:t>高，厚度</w:t>
      </w:r>
      <w:r>
        <w:t>0.6-3.2</w:t>
      </w:r>
      <w:r>
        <w:rPr>
          <w:rFonts w:hint="eastAsia"/>
        </w:rPr>
        <w:t>米，呈可塑</w:t>
      </w:r>
      <w:r>
        <w:t>-</w:t>
      </w:r>
      <w:r>
        <w:rPr>
          <w:rFonts w:hint="eastAsia"/>
        </w:rPr>
        <w:t>硬塑状，承载力较高，中等压缩性。（</w:t>
      </w:r>
      <w:r>
        <w:t>3</w:t>
      </w:r>
      <w:r>
        <w:rPr>
          <w:rFonts w:hint="eastAsia"/>
        </w:rPr>
        <w:t>）粉土：中密状为主，局部松散</w:t>
      </w:r>
      <w:r>
        <w:t>-</w:t>
      </w:r>
      <w:r>
        <w:rPr>
          <w:rFonts w:hint="eastAsia"/>
        </w:rPr>
        <w:t>稍密，以粉土质为主，干强度和韧性中等</w:t>
      </w:r>
      <w:r>
        <w:t>-</w:t>
      </w:r>
      <w:r>
        <w:rPr>
          <w:rFonts w:hint="eastAsia"/>
        </w:rPr>
        <w:t>低，</w:t>
      </w:r>
      <w:r>
        <w:t>0.6-4.8</w:t>
      </w:r>
      <w:r>
        <w:rPr>
          <w:rFonts w:hint="eastAsia"/>
        </w:rPr>
        <w:t>米，承载力较高，中高压缩性。（</w:t>
      </w:r>
      <w:r>
        <w:t>4</w:t>
      </w:r>
      <w:r>
        <w:rPr>
          <w:rFonts w:hint="eastAsia"/>
        </w:rPr>
        <w:t>）卵石：稍密</w:t>
      </w:r>
      <w:r>
        <w:t>-</w:t>
      </w:r>
      <w:r>
        <w:rPr>
          <w:rFonts w:hint="eastAsia"/>
        </w:rPr>
        <w:t>密实，砾石主要成份为硅质岩、砂岩石英等，级配好，厚度最大为</w:t>
      </w:r>
      <w:r>
        <w:t>14.7</w:t>
      </w:r>
      <w:r>
        <w:rPr>
          <w:rFonts w:hint="eastAsia"/>
        </w:rPr>
        <w:t>米，承载力高。</w:t>
      </w:r>
    </w:p>
    <w:p>
      <w:r>
        <w:rPr>
          <w:rFonts w:hint="eastAsia"/>
        </w:rPr>
        <w:t>根据国家地震局烈度划分资料，本工程区属中强度地震区，地震基本烈度为七度。</w:t>
      </w:r>
    </w:p>
    <w:p>
      <w:pPr>
        <w:pStyle w:val="5"/>
        <w:bidi w:val="0"/>
      </w:pPr>
      <w:r>
        <w:rPr>
          <w:rFonts w:hint="eastAsia"/>
        </w:rPr>
        <w:t>气象气候</w:t>
      </w:r>
    </w:p>
    <w:p>
      <w:r>
        <w:rPr>
          <w:rFonts w:hint="eastAsia"/>
        </w:rPr>
        <w:t>评价区域属亚热带季风湿润气候区。四季分明，春多寒潮、阴雨、夏多暴雨、高温、秋伏易旱。</w:t>
      </w:r>
    </w:p>
    <w:p>
      <w:r>
        <w:rPr>
          <w:rFonts w:hint="eastAsia"/>
        </w:rPr>
        <w:t>年均气温</w:t>
      </w:r>
      <w:r>
        <w:t xml:space="preserve">          16.5</w:t>
      </w:r>
      <w:r>
        <w:rPr>
          <w:rFonts w:hint="eastAsia"/>
        </w:rPr>
        <w:t>℃</w:t>
      </w:r>
    </w:p>
    <w:p>
      <w:r>
        <w:rPr>
          <w:rFonts w:hint="eastAsia"/>
        </w:rPr>
        <w:t>极端最高气温</w:t>
      </w:r>
      <w:r>
        <w:t xml:space="preserve">      40.5℃</w:t>
      </w:r>
      <w:r>
        <w:rPr>
          <w:rFonts w:hint="eastAsia"/>
        </w:rPr>
        <w:t>（</w:t>
      </w:r>
      <w:r>
        <w:t>1972.8.27</w:t>
      </w:r>
      <w:r>
        <w:rPr>
          <w:rFonts w:hint="eastAsia"/>
        </w:rPr>
        <w:t>）</w:t>
      </w:r>
    </w:p>
    <w:p>
      <w:r>
        <w:rPr>
          <w:rFonts w:hint="eastAsia"/>
        </w:rPr>
        <w:t>极端最低气温</w:t>
      </w:r>
      <w:r>
        <w:t xml:space="preserve">      -13.45</w:t>
      </w:r>
      <w:r>
        <w:rPr>
          <w:rFonts w:hint="eastAsia"/>
        </w:rPr>
        <w:t>℃（</w:t>
      </w:r>
      <w:r>
        <w:t>1977.1.30</w:t>
      </w:r>
      <w:r>
        <w:rPr>
          <w:rFonts w:hint="eastAsia"/>
        </w:rPr>
        <w:t>）</w:t>
      </w:r>
      <w:r>
        <w:tab/>
      </w:r>
    </w:p>
    <w:p>
      <w:r>
        <w:rPr>
          <w:rFonts w:hint="eastAsia"/>
        </w:rPr>
        <w:t>年均降雨量</w:t>
      </w:r>
      <w:r>
        <w:t xml:space="preserve">         1377.9mm</w:t>
      </w:r>
    </w:p>
    <w:p>
      <w:r>
        <w:rPr>
          <w:rFonts w:hint="eastAsia"/>
        </w:rPr>
        <w:t>日最大降雨量</w:t>
      </w:r>
      <w:r>
        <w:t xml:space="preserve">       232.9mm</w:t>
      </w:r>
    </w:p>
    <w:p>
      <w:r>
        <w:rPr>
          <w:rFonts w:hint="eastAsia"/>
        </w:rPr>
        <w:t>最大积雪厚度</w:t>
      </w:r>
      <w:r>
        <w:t xml:space="preserve">       20.0cm</w:t>
      </w:r>
    </w:p>
    <w:p>
      <w:r>
        <w:rPr>
          <w:rFonts w:hint="eastAsia"/>
        </w:rPr>
        <w:t>年均相对湿度</w:t>
      </w:r>
      <w:r>
        <w:t xml:space="preserve">       80%</w:t>
      </w:r>
    </w:p>
    <w:p>
      <w:r>
        <w:rPr>
          <w:rFonts w:hint="eastAsia"/>
        </w:rPr>
        <w:t>年均风速</w:t>
      </w:r>
      <w:r>
        <w:t xml:space="preserve">           2.6m/s</w:t>
      </w:r>
    </w:p>
    <w:p>
      <w:r>
        <w:rPr>
          <w:rFonts w:hint="eastAsia"/>
        </w:rPr>
        <w:t>最大风速</w:t>
      </w:r>
      <w:r>
        <w:t xml:space="preserve">           21.7m/s</w:t>
      </w:r>
    </w:p>
    <w:p>
      <w:r>
        <w:rPr>
          <w:rFonts w:hint="eastAsia"/>
        </w:rPr>
        <w:t>主导风向春夏：西南风，秋冬：北北东风（频率为</w:t>
      </w:r>
      <w:r>
        <w:t>18%</w:t>
      </w:r>
      <w:r>
        <w:rPr>
          <w:rFonts w:hint="eastAsia"/>
        </w:rPr>
        <w:t>）</w:t>
      </w:r>
    </w:p>
    <w:p>
      <w:r>
        <w:rPr>
          <w:rFonts w:hint="eastAsia"/>
        </w:rPr>
        <w:t>年日照时数</w:t>
      </w:r>
      <w:r>
        <w:t xml:space="preserve">         1771h</w:t>
      </w:r>
    </w:p>
    <w:p>
      <w:r>
        <w:rPr>
          <w:rFonts w:hint="eastAsia"/>
        </w:rPr>
        <w:t>无霜期</w:t>
      </w:r>
      <w:r>
        <w:t xml:space="preserve">               265</w:t>
      </w:r>
      <w:r>
        <w:rPr>
          <w:rFonts w:hint="eastAsia"/>
        </w:rPr>
        <w:t>天</w:t>
      </w:r>
    </w:p>
    <w:p>
      <w:r>
        <w:rPr>
          <w:rFonts w:hint="eastAsia"/>
        </w:rPr>
        <w:t>项目区域全年主导风向为</w:t>
      </w:r>
      <w:r>
        <w:t>NNE</w:t>
      </w:r>
      <w:r>
        <w:rPr>
          <w:rFonts w:hint="eastAsia"/>
        </w:rPr>
        <w:t>风，年出现频率</w:t>
      </w:r>
      <w:r>
        <w:t>12%</w:t>
      </w:r>
      <w:r>
        <w:rPr>
          <w:rFonts w:hint="eastAsia"/>
        </w:rPr>
        <w:t>，冬季（</w:t>
      </w:r>
      <w:r>
        <w:t>1</w:t>
      </w:r>
      <w:r>
        <w:rPr>
          <w:rFonts w:hint="eastAsia"/>
        </w:rPr>
        <w:t>月）以</w:t>
      </w:r>
      <w:r>
        <w:t>NNE</w:t>
      </w:r>
      <w:r>
        <w:rPr>
          <w:rFonts w:hint="eastAsia"/>
        </w:rPr>
        <w:t>风为主，其出现频率</w:t>
      </w:r>
      <w:r>
        <w:t>15%</w:t>
      </w:r>
      <w:r>
        <w:rPr>
          <w:rFonts w:hint="eastAsia"/>
        </w:rPr>
        <w:t>；春季（</w:t>
      </w:r>
      <w:r>
        <w:t>4</w:t>
      </w:r>
      <w:r>
        <w:rPr>
          <w:rFonts w:hint="eastAsia"/>
        </w:rPr>
        <w:t>月）以</w:t>
      </w:r>
      <w:r>
        <w:t>NNE</w:t>
      </w:r>
      <w:r>
        <w:rPr>
          <w:rFonts w:hint="eastAsia"/>
        </w:rPr>
        <w:t>风为主，出现频率约</w:t>
      </w:r>
      <w:r>
        <w:t>12%</w:t>
      </w:r>
      <w:r>
        <w:rPr>
          <w:rFonts w:hint="eastAsia"/>
        </w:rPr>
        <w:t>，夏季（</w:t>
      </w:r>
      <w:r>
        <w:t>7</w:t>
      </w:r>
      <w:r>
        <w:rPr>
          <w:rFonts w:hint="eastAsia"/>
        </w:rPr>
        <w:t>月）以</w:t>
      </w:r>
      <w:r>
        <w:t>SSW</w:t>
      </w:r>
      <w:r>
        <w:rPr>
          <w:rFonts w:hint="eastAsia"/>
        </w:rPr>
        <w:t>风为主，出现频率</w:t>
      </w:r>
      <w:r>
        <w:t>9%</w:t>
      </w:r>
      <w:r>
        <w:rPr>
          <w:rFonts w:hint="eastAsia"/>
        </w:rPr>
        <w:t>，秋季（</w:t>
      </w:r>
      <w:r>
        <w:t>10</w:t>
      </w:r>
      <w:r>
        <w:rPr>
          <w:rFonts w:hint="eastAsia"/>
        </w:rPr>
        <w:t>月）以</w:t>
      </w:r>
      <w:r>
        <w:t>NNE</w:t>
      </w:r>
      <w:r>
        <w:rPr>
          <w:rFonts w:hint="eastAsia"/>
        </w:rPr>
        <w:t>风为主，出现频率为</w:t>
      </w:r>
      <w:r>
        <w:t>15%</w:t>
      </w:r>
      <w:r>
        <w:rPr>
          <w:rFonts w:hint="eastAsia"/>
        </w:rPr>
        <w:t>。全年静风频率</w:t>
      </w:r>
      <w:r>
        <w:t>28%</w:t>
      </w:r>
      <w:r>
        <w:rPr>
          <w:rFonts w:hint="eastAsia"/>
        </w:rPr>
        <w:t>。风向频率玫瑰图如下：</w:t>
      </w:r>
    </w:p>
    <w:p>
      <w:pPr>
        <w:jc w:val="center"/>
      </w:pPr>
      <w:r>
        <w:drawing>
          <wp:inline distT="0" distB="0" distL="0" distR="0">
            <wp:extent cx="1781175" cy="1857375"/>
            <wp:effectExtent l="0" t="0" r="9525" b="9525"/>
            <wp:docPr id="220" name="图片 4" descr="wpsC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 descr="wpsC5A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r>
        <w:drawing>
          <wp:inline distT="0" distB="0" distL="0" distR="0">
            <wp:extent cx="1781175" cy="1857375"/>
            <wp:effectExtent l="0" t="0" r="9525" b="9525"/>
            <wp:docPr id="221" name="图片 221" descr="wpsC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wpsC5C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p>
    <w:p>
      <w:pPr>
        <w:jc w:val="center"/>
      </w:pPr>
      <w:r>
        <w:rPr>
          <w:rFonts w:hint="eastAsia"/>
          <w:b/>
          <w:bCs/>
          <w:sz w:val="21"/>
          <w:szCs w:val="21"/>
        </w:rPr>
        <w:t>春季，静风</w:t>
      </w:r>
      <w:r>
        <w:rPr>
          <w:b/>
          <w:bCs/>
          <w:sz w:val="21"/>
          <w:szCs w:val="21"/>
        </w:rPr>
        <w:t xml:space="preserve">=34% </w:t>
      </w:r>
      <w:r>
        <w:rPr>
          <w:b/>
          <w:bCs/>
        </w:rPr>
        <w:t xml:space="preserve"> </w:t>
      </w:r>
      <w:r>
        <w:t xml:space="preserve">               </w:t>
      </w:r>
      <w:r>
        <w:rPr>
          <w:rFonts w:hint="eastAsia"/>
          <w:b/>
          <w:bCs/>
          <w:sz w:val="21"/>
          <w:szCs w:val="21"/>
        </w:rPr>
        <w:t>夏季，静风</w:t>
      </w:r>
      <w:r>
        <w:rPr>
          <w:b/>
          <w:bCs/>
          <w:sz w:val="21"/>
          <w:szCs w:val="21"/>
        </w:rPr>
        <w:t>=25%</w:t>
      </w:r>
    </w:p>
    <w:p>
      <w:pPr>
        <w:jc w:val="center"/>
      </w:pPr>
      <w:r>
        <w:drawing>
          <wp:inline distT="0" distB="0" distL="0" distR="0">
            <wp:extent cx="1781175" cy="1857375"/>
            <wp:effectExtent l="0" t="0" r="9525" b="9525"/>
            <wp:docPr id="222" name="图片 6" descr="wpsC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6" descr="wpsC5C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r>
        <w:drawing>
          <wp:inline distT="0" distB="0" distL="0" distR="0">
            <wp:extent cx="1781175" cy="1857375"/>
            <wp:effectExtent l="0" t="0" r="9525" b="9525"/>
            <wp:docPr id="223" name="图片 7" descr="wpsC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7" descr="wpsC5C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p>
    <w:p>
      <w:pPr>
        <w:jc w:val="center"/>
      </w:pPr>
      <w:r>
        <w:rPr>
          <w:rFonts w:hint="eastAsia"/>
          <w:b/>
          <w:bCs/>
          <w:sz w:val="21"/>
          <w:szCs w:val="21"/>
        </w:rPr>
        <w:t>秋季，静风</w:t>
      </w:r>
      <w:r>
        <w:rPr>
          <w:b/>
          <w:bCs/>
          <w:sz w:val="21"/>
          <w:szCs w:val="21"/>
        </w:rPr>
        <w:t>=22%</w:t>
      </w:r>
      <w:r>
        <w:t xml:space="preserve">             </w:t>
      </w:r>
      <w:r>
        <w:rPr>
          <w:b/>
          <w:bCs/>
        </w:rPr>
        <w:t xml:space="preserve">  </w:t>
      </w:r>
      <w:r>
        <w:rPr>
          <w:rFonts w:hint="eastAsia"/>
          <w:b/>
          <w:bCs/>
          <w:sz w:val="21"/>
          <w:szCs w:val="21"/>
        </w:rPr>
        <w:t>冬季，静风</w:t>
      </w:r>
      <w:r>
        <w:rPr>
          <w:b/>
          <w:bCs/>
          <w:sz w:val="21"/>
          <w:szCs w:val="21"/>
        </w:rPr>
        <w:t>=30%</w:t>
      </w:r>
    </w:p>
    <w:p>
      <w:pPr>
        <w:jc w:val="center"/>
      </w:pPr>
    </w:p>
    <w:p>
      <w:pPr>
        <w:jc w:val="center"/>
      </w:pPr>
      <w:r>
        <w:drawing>
          <wp:inline distT="0" distB="0" distL="0" distR="0">
            <wp:extent cx="1781175" cy="1857375"/>
            <wp:effectExtent l="0" t="0" r="9525" b="9525"/>
            <wp:docPr id="224" name="图片 8" descr="wpsC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 descr="wpsC5D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p>
    <w:p>
      <w:pPr>
        <w:jc w:val="center"/>
        <w:rPr>
          <w:b/>
          <w:bCs/>
        </w:rPr>
      </w:pPr>
      <w:r>
        <w:rPr>
          <w:rFonts w:hint="eastAsia"/>
          <w:b/>
          <w:bCs/>
          <w:sz w:val="21"/>
          <w:szCs w:val="21"/>
        </w:rPr>
        <w:t>全年，静风</w:t>
      </w:r>
      <w:r>
        <w:rPr>
          <w:b/>
          <w:bCs/>
          <w:sz w:val="21"/>
          <w:szCs w:val="21"/>
        </w:rPr>
        <w:t>=28%</w:t>
      </w:r>
    </w:p>
    <w:p>
      <w:pPr>
        <w:pStyle w:val="5"/>
        <w:bidi w:val="0"/>
      </w:pPr>
      <w:r>
        <w:rPr>
          <w:rFonts w:hint="eastAsia"/>
        </w:rPr>
        <w:t>水文</w:t>
      </w:r>
    </w:p>
    <w:p>
      <w:r>
        <w:rPr>
          <w:rFonts w:hint="eastAsia"/>
        </w:rPr>
        <w:t>全县有大小河流47条，可划分澧水、四口两条水系。其中一级支流9条，二级支流22条，三级支流15条，四级支流1条。澧水水系在县境内有6条，包括澹水、道水、涔水3条一级支流，县境内流域面积781.75平方公里，干流境内长32公里。四口水系有界溪桥、顺林桥、洈危水河和松滋所属的11条大小溪河，其中一级支流5条，二、三级各3条，总流域面积570.8平方公里。流经境内河流总长</w:t>
      </w:r>
      <w:r>
        <w:t>266.5km</w:t>
      </w:r>
      <w:r>
        <w:rPr>
          <w:rFonts w:hint="eastAsia"/>
        </w:rPr>
        <w:t>，径流量</w:t>
      </w:r>
      <w:r>
        <w:t>340</w:t>
      </w:r>
      <w:r>
        <w:rPr>
          <w:rFonts w:hint="eastAsia"/>
        </w:rPr>
        <w:t>亿</w:t>
      </w:r>
      <w:r>
        <w:t>m</w:t>
      </w:r>
      <w:r>
        <w:rPr>
          <w:vertAlign w:val="superscript"/>
        </w:rPr>
        <w:t>3</w:t>
      </w:r>
      <w:r>
        <w:rPr>
          <w:rFonts w:hint="eastAsia"/>
        </w:rPr>
        <w:t>，河网密度</w:t>
      </w:r>
      <w:r>
        <w:t>0.126km/km</w:t>
      </w:r>
      <w:r>
        <w:rPr>
          <w:vertAlign w:val="superscript"/>
        </w:rPr>
        <w:t>2</w:t>
      </w:r>
      <w:r>
        <w:rPr>
          <w:rFonts w:hint="eastAsia"/>
        </w:rPr>
        <w:t>。境内河现存大小湖泊10处，总面积约</w:t>
      </w:r>
      <w:r>
        <w:t>0.4186</w:t>
      </w:r>
      <w:r>
        <w:rPr>
          <w:rFonts w:hint="eastAsia"/>
        </w:rPr>
        <w:t>万</w:t>
      </w:r>
      <w:r>
        <w:t>ha</w:t>
      </w:r>
      <w:r>
        <w:rPr>
          <w:rFonts w:hint="eastAsia"/>
        </w:rPr>
        <w:t>，蓄水量21414万</w:t>
      </w:r>
      <w:r>
        <w:t>m</w:t>
      </w:r>
      <w:r>
        <w:rPr>
          <w:vertAlign w:val="superscript"/>
        </w:rPr>
        <w:t>3</w:t>
      </w:r>
      <w:r>
        <w:rPr>
          <w:rFonts w:hint="eastAsia"/>
        </w:rPr>
        <w:t>，较大的湖泊有马公湖、杨家湖、宋鲁湖、七里湖、北民湖等，其中七里湖是唯一的通江湖泊。</w:t>
      </w:r>
    </w:p>
    <w:p>
      <w:pPr>
        <w:spacing w:line="360" w:lineRule="auto"/>
        <w:ind w:firstLine="480" w:firstLineChars="200"/>
        <w:rPr>
          <w:rFonts w:ascii="Times New Roman" w:hAnsi="Times New Roman" w:cs="Times New Roman"/>
          <w:u w:val="none"/>
        </w:rPr>
      </w:pPr>
      <w:r>
        <w:rPr>
          <w:rFonts w:hint="eastAsia" w:ascii="Times New Roman" w:hAnsi="Times New Roman" w:cs="Times New Roman"/>
          <w:u w:val="none"/>
        </w:rPr>
        <w:t>本项目所在区域主要的河流为道水，由南向北流经本区域。道水系澧水一级支流，属九澧之一</w:t>
      </w:r>
      <w:r>
        <w:rPr>
          <w:rFonts w:hint="eastAsia" w:ascii="Times New Roman" w:hAnsi="Times New Roman" w:cs="Times New Roman"/>
          <w:u w:val="none"/>
          <w:lang w:eastAsia="zh-CN"/>
        </w:rPr>
        <w:t>，项目所在流域水环境功能区划为</w:t>
      </w:r>
      <w:r>
        <w:rPr>
          <w:rFonts w:hint="eastAsia" w:ascii="Times New Roman" w:hAnsi="Times New Roman" w:cs="Times New Roman"/>
          <w:u w:val="none"/>
          <w:lang w:val="en-US" w:eastAsia="zh-CN"/>
        </w:rPr>
        <w:t>III类水体</w:t>
      </w:r>
      <w:r>
        <w:rPr>
          <w:rFonts w:hint="eastAsia" w:ascii="Times New Roman" w:hAnsi="Times New Roman" w:cs="Times New Roman"/>
          <w:u w:val="none"/>
        </w:rPr>
        <w:t>，本项目所在地雨水流经约1.1km进入道水。河流均源出慈利县五雷山东麓。流经石门白洋湖于龙口桥入临澧，过佘市、城关镇、烽火，在泗洄洼进入县境。再经道河、澧南至道河口注入澧水。全长101公里，沿途有22条二级支流注入，流域面积1364平方公里。境内长22公里，大岩厂至道河口航段，长17公里，中水期可通20吨级木帆船和机帆船。</w:t>
      </w:r>
    </w:p>
    <w:p>
      <w:pPr>
        <w:spacing w:line="360" w:lineRule="auto"/>
        <w:ind w:firstLine="480" w:firstLineChars="200"/>
        <w:rPr>
          <w:rFonts w:ascii="Times New Roman" w:hAnsi="Times New Roman" w:cs="Times New Roman"/>
          <w:u w:val="none"/>
        </w:rPr>
      </w:pPr>
      <w:r>
        <w:rPr>
          <w:rFonts w:hint="eastAsia" w:ascii="Times New Roman" w:hAnsi="Times New Roman" w:cs="Times New Roman"/>
          <w:u w:val="none"/>
        </w:rPr>
        <w:t>周边地表水系不发达，距离</w:t>
      </w:r>
      <w:r>
        <w:rPr>
          <w:rFonts w:hint="eastAsia" w:cs="Times New Roman"/>
          <w:u w:val="none"/>
          <w:lang w:eastAsia="zh-CN"/>
        </w:rPr>
        <w:t>西南</w:t>
      </w:r>
      <w:r>
        <w:rPr>
          <w:rFonts w:hint="eastAsia" w:ascii="Times New Roman" w:hAnsi="Times New Roman" w:cs="Times New Roman"/>
          <w:u w:val="none"/>
        </w:rPr>
        <w:t>侧桑木峪水库约为</w:t>
      </w:r>
      <w:r>
        <w:rPr>
          <w:rFonts w:hint="eastAsia" w:cs="Times New Roman"/>
          <w:u w:val="none"/>
          <w:lang w:val="en-US" w:eastAsia="zh-CN"/>
        </w:rPr>
        <w:t>502</w:t>
      </w:r>
      <w:r>
        <w:rPr>
          <w:rFonts w:ascii="Times New Roman" w:hAnsi="Times New Roman" w:cs="Times New Roman"/>
          <w:u w:val="none"/>
        </w:rPr>
        <w:t>m</w:t>
      </w:r>
      <w:r>
        <w:rPr>
          <w:rFonts w:hint="eastAsia" w:ascii="Times New Roman" w:hAnsi="Times New Roman" w:cs="Times New Roman"/>
          <w:u w:val="none"/>
        </w:rPr>
        <w:t>，且有山体阻隔；</w:t>
      </w:r>
      <w:r>
        <w:rPr>
          <w:rFonts w:hint="eastAsia" w:cs="Times New Roman"/>
          <w:u w:val="none"/>
          <w:lang w:eastAsia="zh-CN"/>
        </w:rPr>
        <w:t>项目</w:t>
      </w:r>
      <w:r>
        <w:rPr>
          <w:rFonts w:hint="eastAsia" w:ascii="Times New Roman" w:hAnsi="Times New Roman" w:cs="Times New Roman"/>
          <w:u w:val="none"/>
        </w:rPr>
        <w:t>最近处东距道水河</w:t>
      </w:r>
      <w:r>
        <w:rPr>
          <w:rFonts w:hint="eastAsia" w:cs="Times New Roman"/>
          <w:u w:val="none"/>
          <w:lang w:val="en-US" w:eastAsia="zh-CN"/>
        </w:rPr>
        <w:t>2.5</w:t>
      </w:r>
      <w:r>
        <w:rPr>
          <w:rFonts w:ascii="Times New Roman" w:hAnsi="Times New Roman" w:cs="Times New Roman"/>
          <w:u w:val="none"/>
        </w:rPr>
        <w:t>km</w:t>
      </w:r>
      <w:r>
        <w:rPr>
          <w:rFonts w:hint="eastAsia" w:ascii="Times New Roman" w:hAnsi="Times New Roman" w:cs="Times New Roman"/>
          <w:u w:val="none"/>
        </w:rPr>
        <w:t>，有山体阻隔，道水流经约13km至道河口汇入澧水。澧水大洼饮用水水源保护区位于其下游约13km。项目区域不属于澧水饮用水源保护区的集雨范围。项目区域雨水入道水河排口位于道水荷花饮用水源保护区下游10km处。</w:t>
      </w:r>
    </w:p>
    <w:p>
      <w:pPr>
        <w:spacing w:line="360" w:lineRule="auto"/>
        <w:rPr>
          <w:rFonts w:ascii="Times New Roman" w:hAnsi="Times New Roman" w:cs="Times New Roman"/>
          <w:u w:val="none"/>
        </w:rPr>
      </w:pPr>
      <w:r>
        <w:rPr>
          <w:rFonts w:hint="eastAsia" w:ascii="Times New Roman" w:hAnsi="Times New Roman" w:cs="Times New Roman"/>
          <w:u w:val="none"/>
        </w:rPr>
        <w:t>津市市大洼饮用水水源地，又名白龙潭水厂水源地，于2014年经湖南省环保厅湘环函〔2014〕676号文划定为饮用水水源保护区，湖南省政府湘政函[2016]176号文，列为县级式集中式饮用水水源地。</w:t>
      </w:r>
    </w:p>
    <w:p>
      <w:pPr>
        <w:spacing w:line="360" w:lineRule="auto"/>
        <w:ind w:firstLine="480" w:firstLineChars="200"/>
        <w:rPr>
          <w:rFonts w:ascii="Times New Roman" w:hAnsi="Times New Roman" w:cs="Times New Roman"/>
          <w:u w:val="none"/>
        </w:rPr>
      </w:pPr>
      <w:r>
        <w:rPr>
          <w:rFonts w:hint="eastAsia" w:ascii="Times New Roman" w:hAnsi="Times New Roman" w:cs="Times New Roman"/>
          <w:u w:val="none"/>
        </w:rPr>
        <w:t>大洼饮用水水源地位于澧水下游，澧水津市段过境总长47公里。白龙潭水厂位于津市林场原大洼纸厂旧址，于2012年建成，2014年7月正式投入使用。现供水规模为5万m</w:t>
      </w:r>
      <w:r>
        <w:rPr>
          <w:rFonts w:hint="eastAsia" w:ascii="Times New Roman" w:hAnsi="Times New Roman" w:cs="Times New Roman"/>
          <w:u w:val="none"/>
          <w:vertAlign w:val="superscript"/>
        </w:rPr>
        <w:t>3</w:t>
      </w:r>
      <w:r>
        <w:rPr>
          <w:rFonts w:hint="eastAsia" w:ascii="Times New Roman" w:hAnsi="Times New Roman" w:cs="Times New Roman"/>
          <w:u w:val="none"/>
        </w:rPr>
        <w:t>/d，2020年供水规模将达到10万m</w:t>
      </w:r>
      <w:r>
        <w:rPr>
          <w:rFonts w:hint="eastAsia" w:ascii="Times New Roman" w:hAnsi="Times New Roman" w:cs="Times New Roman"/>
          <w:u w:val="none"/>
          <w:vertAlign w:val="superscript"/>
        </w:rPr>
        <w:t>3</w:t>
      </w:r>
      <w:r>
        <w:rPr>
          <w:rFonts w:hint="eastAsia" w:ascii="Times New Roman" w:hAnsi="Times New Roman" w:cs="Times New Roman"/>
          <w:u w:val="none"/>
        </w:rPr>
        <w:t>/d。白龙潭水厂取水泵站位于澧水大洼断面，取水口地理坐标：N 29°36'56.33" E 111°49'41.79"，紧邻大洼水厂。取水方式采用蓄水池引水方式，引水管道沿溪流岸边埋地敷设采用全封闭式管道，河水随引水管道通过重力流直接进入水厂，水厂将原水净化消毒后向津市市城乡供水。该水厂配套敷设D200净水厂供水干管5km。2015年以来我市供水采用城乡一体化后，白龙潭水厂服务我市三洲驿办事处、汪家桥办事处、襄阳街办事处、金鱼岭办事处、工业集中区、原（灵泉镇、白衣镇、棠华乡及渡口镇沿线）18.53万人饮水安全问题。</w:t>
      </w:r>
    </w:p>
    <w:p>
      <w:pPr>
        <w:spacing w:line="360" w:lineRule="auto"/>
        <w:ind w:firstLine="470" w:firstLineChars="196"/>
        <w:rPr>
          <w:rFonts w:ascii="Times New Roman" w:hAnsi="Times New Roman" w:cs="Times New Roman"/>
        </w:rPr>
      </w:pPr>
      <w:r>
        <w:rPr>
          <w:rFonts w:hint="eastAsia" w:ascii="Times New Roman" w:hAnsi="Times New Roman" w:cs="Times New Roman"/>
          <w:u w:val="none"/>
        </w:rPr>
        <w:t>该区域内地下水较少，当地居民不使用地下井水作为饮用水源，地下水来源主要为大气降水（雨季）、河流补水（旱季）及水库供水。</w:t>
      </w:r>
      <w:r>
        <w:rPr>
          <w:rFonts w:hint="eastAsia" w:ascii="Times New Roman" w:hAnsi="Times New Roman" w:cs="Times New Roman"/>
        </w:rPr>
        <w:t>地下水流向为自西北流向东南。</w:t>
      </w:r>
    </w:p>
    <w:p>
      <w:pPr>
        <w:pStyle w:val="5"/>
        <w:bidi w:val="0"/>
      </w:pPr>
      <w:r>
        <w:rPr>
          <w:rFonts w:hint="eastAsia"/>
        </w:rPr>
        <w:t>地下水文地质概况</w:t>
      </w:r>
    </w:p>
    <w:p>
      <w:r>
        <w:t>1、地下水类型</w:t>
      </w:r>
    </w:p>
    <w:p>
      <w:r>
        <w:t>根据地下水的赋存空间特征，地下水分为松散堆积层孔隙水、基岩裂隙水、碳酸岩裂隙岩溶水三大类型。查阅《区域水文地质普查报告（常德幅）比例尺：1：200000》可知，本项目区域地下水类型属于</w:t>
      </w:r>
      <w:r>
        <w:rPr>
          <w:rFonts w:hint="eastAsia"/>
        </w:rPr>
        <w:t>第四系松散型孔隙潜水和基岩裂隙水</w:t>
      </w:r>
      <w:r>
        <w:t>。含水岩组为全新统冲积砂砾石层，厚8-12m。砾石直径一般3-5cm，最大10-15cm，砾石含量占70%-80%，砂占20%-30%。上覆厚8-10m的砂质粘土和粘质砂土。水位埋深一般10m左右，洪水期微有承压性。</w:t>
      </w:r>
      <w:r>
        <w:rPr>
          <w:rFonts w:hint="eastAsia"/>
        </w:rPr>
        <w:t>松散岩孔隙化学水类型为HCO</w:t>
      </w:r>
      <w:r>
        <w:rPr>
          <w:rFonts w:hint="eastAsia"/>
          <w:vertAlign w:val="subscript"/>
        </w:rPr>
        <w:t>3</w:t>
      </w:r>
      <w:r>
        <w:rPr>
          <w:rFonts w:hint="eastAsia"/>
          <w:vertAlign w:val="superscript"/>
        </w:rPr>
        <w:t>-</w:t>
      </w:r>
      <w:r>
        <w:rPr>
          <w:rFonts w:hint="eastAsia"/>
        </w:rPr>
        <w:t>、Mg</w:t>
      </w:r>
      <w:r>
        <w:rPr>
          <w:rFonts w:hint="eastAsia"/>
          <w:vertAlign w:val="superscript"/>
        </w:rPr>
        <w:t>2+</w:t>
      </w:r>
      <w:r>
        <w:rPr>
          <w:rFonts w:hint="eastAsia"/>
        </w:rPr>
        <w:t>、Ca</w:t>
      </w:r>
      <w:r>
        <w:rPr>
          <w:rFonts w:hint="eastAsia"/>
          <w:vertAlign w:val="superscript"/>
        </w:rPr>
        <w:t>2+</w:t>
      </w:r>
      <w:r>
        <w:rPr>
          <w:rFonts w:hint="eastAsia"/>
        </w:rPr>
        <w:t>型水质，pH值为6.5-6.9</w:t>
      </w:r>
      <w:r>
        <w:t>。</w:t>
      </w:r>
    </w:p>
    <w:p>
      <w:r>
        <w:t>2、地下水补、径、排条件及动态特征</w:t>
      </w:r>
    </w:p>
    <w:p>
      <w:r>
        <w:t>（1）补给条件</w:t>
      </w:r>
    </w:p>
    <w:p>
      <w:r>
        <w:rPr>
          <w:rFonts w:hint="eastAsia"/>
        </w:rPr>
        <w:t>项目所在区域为</w:t>
      </w:r>
      <w:r>
        <w:t>丘陵岗地松散堆积层孔隙潜水</w:t>
      </w:r>
      <w:r>
        <w:rPr>
          <w:rFonts w:hint="eastAsia"/>
        </w:rPr>
        <w:t>，</w:t>
      </w:r>
      <w:r>
        <w:t>以大气降水补给为主，由于砾石层已出露地表，可直接接受大气降水的渗入补给。</w:t>
      </w:r>
      <w:r>
        <w:rPr>
          <w:rFonts w:hint="eastAsia"/>
        </w:rPr>
        <w:t>靠近水库与道水河周边地区的地下水，在丰水期部分接受以水库或河流的补给。</w:t>
      </w:r>
    </w:p>
    <w:p>
      <w:r>
        <w:rPr>
          <w:rFonts w:hint="eastAsia"/>
        </w:rPr>
        <w:t>但区域整体地表水体不发达，地下水以大气降水补给为主。</w:t>
      </w:r>
    </w:p>
    <w:p>
      <w:r>
        <w:t>（2）径流条件</w:t>
      </w:r>
    </w:p>
    <w:p>
      <w:r>
        <w:t>岗丘地带的孔隙潜水径流途径短，无一定流动方向，就地补给就地排泄，交替循环强烈。地下水</w:t>
      </w:r>
      <w:r>
        <w:rPr>
          <w:rFonts w:hint="eastAsia"/>
        </w:rPr>
        <w:t>大致</w:t>
      </w:r>
      <w:r>
        <w:t>径流方向</w:t>
      </w:r>
      <w:r>
        <w:rPr>
          <w:rFonts w:hint="eastAsia"/>
        </w:rPr>
        <w:t>为由西北缓慢向东南流</w:t>
      </w:r>
      <w:r>
        <w:t>，即由边缘向</w:t>
      </w:r>
      <w:r>
        <w:rPr>
          <w:rFonts w:hint="eastAsia"/>
        </w:rPr>
        <w:t>道水河</w:t>
      </w:r>
      <w:r>
        <w:t>中心汇集。</w:t>
      </w:r>
    </w:p>
    <w:p>
      <w:r>
        <w:t>（3）排泄条件</w:t>
      </w:r>
    </w:p>
    <w:p>
      <w:r>
        <w:t>岗丘地带的孔隙潜水排泄条件</w:t>
      </w:r>
      <w:r>
        <w:rPr>
          <w:rFonts w:hint="eastAsia"/>
        </w:rPr>
        <w:t>差</w:t>
      </w:r>
      <w:r>
        <w:t>，以</w:t>
      </w:r>
      <w:r>
        <w:rPr>
          <w:rFonts w:hint="eastAsia"/>
        </w:rPr>
        <w:t>面流为主</w:t>
      </w:r>
      <w:r>
        <w:t>，缓慢向东</w:t>
      </w:r>
      <w:r>
        <w:rPr>
          <w:rFonts w:hint="eastAsia"/>
        </w:rPr>
        <w:t>南</w:t>
      </w:r>
      <w:r>
        <w:t>运动排泄。</w:t>
      </w:r>
    </w:p>
    <w:p>
      <w:r>
        <w:t>3、地下水开发利用现状</w:t>
      </w:r>
    </w:p>
    <w:p>
      <w:r>
        <w:rPr>
          <w:rFonts w:hint="eastAsia"/>
        </w:rPr>
        <w:t>项目所在</w:t>
      </w:r>
      <w:r>
        <w:t>区</w:t>
      </w:r>
      <w:r>
        <w:rPr>
          <w:rFonts w:hint="eastAsia"/>
        </w:rPr>
        <w:t>域</w:t>
      </w:r>
      <w:r>
        <w:t>内没有</w:t>
      </w:r>
      <w:r>
        <w:rPr>
          <w:rFonts w:hint="eastAsia"/>
        </w:rPr>
        <w:t>规模开采</w:t>
      </w:r>
      <w:r>
        <w:t>的地下水，居民</w:t>
      </w:r>
      <w:r>
        <w:rPr>
          <w:rFonts w:hint="eastAsia"/>
        </w:rPr>
        <w:t>均饮用村镇自来水厂供水（取之水道水河）</w:t>
      </w:r>
      <w:r>
        <w:t>，地下水开发利用程度较低。</w:t>
      </w:r>
    </w:p>
    <w:p>
      <w:pPr>
        <w:pStyle w:val="5"/>
        <w:bidi w:val="0"/>
      </w:pPr>
      <w:r>
        <w:rPr>
          <w:rFonts w:hint="eastAsia"/>
        </w:rPr>
        <w:t>生态环境</w:t>
      </w:r>
    </w:p>
    <w:p>
      <w:r>
        <w:rPr>
          <w:rFonts w:hint="eastAsia"/>
          <w:lang w:eastAsia="zh-CN"/>
        </w:rPr>
        <w:t>（</w:t>
      </w:r>
      <w:r>
        <w:rPr>
          <w:rFonts w:hint="eastAsia"/>
          <w:lang w:val="en-US" w:eastAsia="zh-CN"/>
        </w:rPr>
        <w:t>1</w:t>
      </w:r>
      <w:r>
        <w:rPr>
          <w:rFonts w:hint="eastAsia"/>
          <w:lang w:eastAsia="zh-CN"/>
        </w:rPr>
        <w:t>）</w:t>
      </w:r>
      <w:r>
        <w:t>土壤</w:t>
      </w:r>
    </w:p>
    <w:p>
      <w:r>
        <w:t>澧县境内土壤种类繁多，以红壤土类潮土类为主。主要有第四纪红色粘土、河湖沉积物、灰岩分化物、紫色砂岩、页岩风化物、砂岩风化物、板页岩风化物7种。土壤共分为水稻土、潮土、红壤、红色石灰土、黑色石灰土、紫色土、黄壤7个土类，其中以水稻土、红壤、潮土为主要土类。</w:t>
      </w:r>
    </w:p>
    <w:p>
      <w:r>
        <w:t>（2）动植物资源</w:t>
      </w:r>
    </w:p>
    <w:p>
      <w:r>
        <w:t>澧县属中亚热带常绿阔叶林北部亚地带。西北山丘区属三峡、武陵山地、栲类、润楠林区，滨湖地带属两湖平原、栽培植被、水生植被区。森林植被垂直分布明显。县境植被分为马尾松林、杉木林、常绿阔叶林、落叶阔叶林、常绿落叶阔叶混交林5种类型，其中马尾松林是全县分布最广、面积最大的植被类型。森林植被主要是常绿阔叶林、常绿落叶阔叶混交林、灌丛以及分散的人工杉木林、果木林茎林等。境内四季分明，雨量充足，适应水稻、棉花、油菜、葡萄、柑橘、苹果柚等多种作物生长。鸟兽、虫、鱼资源丰富，野生动物中以野猪、鹿子、豪猪、黄鼠狼、穿山甲、水獭、岩蛙等为主。</w:t>
      </w:r>
    </w:p>
    <w:p>
      <w:pPr>
        <w:spacing w:line="360" w:lineRule="auto"/>
        <w:ind w:firstLine="470" w:firstLineChars="196"/>
        <w:rPr>
          <w:rFonts w:ascii="Times New Roman" w:cs="Times New Roman"/>
          <w:color w:val="000000"/>
          <w:shd w:val="clear" w:color="auto" w:fill="FFFFFF"/>
        </w:rPr>
      </w:pPr>
      <w:r>
        <w:rPr>
          <w:rFonts w:ascii="Times New Roman" w:cs="Times New Roman"/>
          <w:color w:val="000000"/>
          <w:shd w:val="clear" w:color="auto" w:fill="FFFFFF"/>
        </w:rPr>
        <w:t>澧县</w:t>
      </w:r>
      <w:r>
        <w:rPr>
          <w:rFonts w:hint="eastAsia" w:ascii="Times New Roman" w:cs="Times New Roman"/>
          <w:color w:val="000000"/>
          <w:shd w:val="clear" w:color="auto" w:fill="FFFFFF"/>
        </w:rPr>
        <w:t>澧南</w:t>
      </w:r>
      <w:r>
        <w:rPr>
          <w:rFonts w:ascii="Times New Roman" w:cs="Times New Roman"/>
          <w:color w:val="000000"/>
          <w:shd w:val="clear" w:color="auto" w:fill="FFFFFF"/>
        </w:rPr>
        <w:t>滩镇总面积</w:t>
      </w:r>
      <w:r>
        <w:rPr>
          <w:rFonts w:hint="eastAsia" w:ascii="Times New Roman" w:cs="Times New Roman"/>
          <w:color w:val="000000"/>
          <w:shd w:val="clear" w:color="auto" w:fill="FFFFFF"/>
        </w:rPr>
        <w:t>120.02</w:t>
      </w:r>
      <w:r>
        <w:rPr>
          <w:rFonts w:ascii="Times New Roman" w:cs="Times New Roman"/>
          <w:color w:val="000000"/>
          <w:shd w:val="clear" w:color="auto" w:fill="FFFFFF"/>
        </w:rPr>
        <w:t>平方公里，</w:t>
      </w:r>
      <w:r>
        <w:rPr>
          <w:rFonts w:hint="eastAsia" w:ascii="Times New Roman" w:cs="Times New Roman"/>
          <w:color w:val="000000"/>
          <w:shd w:val="clear" w:color="auto" w:fill="FFFFFF"/>
        </w:rPr>
        <w:t>其中:耕地60526亩，山林面积42504亩。有数个上万亩的种植基地，比如张家滩油菜花种植面积连绵12公里，集中面积达到35000亩，是湖南难得一见的油菜花大面积集群景象。</w:t>
      </w:r>
    </w:p>
    <w:p>
      <w:r>
        <w:t>本评价区未发现国家或地方重点保护物种。</w:t>
      </w:r>
    </w:p>
    <w:p>
      <w:r>
        <w:t>（3）矿产资源</w:t>
      </w:r>
    </w:p>
    <w:p>
      <w:r>
        <w:t>澧县已发现和探明各类矿产资源共三大类二十余种。主要矿产资源有煤、石煤、铁矿、芒硝、盐、石膏、水泥灰岩、膨润土等。其中煤、芒硝、石膏、水泥灰岩、膨润土等储藏量大、品位高、矿床潜在价值大。煤炭烟煤保有资源储量2700万吨，石煤1.97亿吨。芒硝、岩盐无水芒硝储量1.85亿吨，岩盐储量5800多万吨。石膏矿石品位70-82.4%，矿层平均厚度12米，矿体埋深80-120米，工程地质、水文地质条件简单。累计探明石膏资源储量2.5亿吨，远景资源储量9亿吨以上。水泥灰岩县境山区乡镇均有分布，氧化钙平均含量7.53%，预测资源储量百亿吨以上。</w:t>
      </w:r>
    </w:p>
    <w:p>
      <w:pPr>
        <w:pStyle w:val="4"/>
        <w:bidi w:val="0"/>
      </w:pPr>
      <w:bookmarkStart w:id="159" w:name="_Toc468689170"/>
      <w:bookmarkStart w:id="160" w:name="_Toc265239501"/>
      <w:bookmarkStart w:id="161" w:name="_Toc266583575"/>
      <w:bookmarkStart w:id="162" w:name="_Toc289344573"/>
      <w:bookmarkStart w:id="163" w:name="_Toc11061"/>
      <w:r>
        <w:t>环境质量现状监测与评价</w:t>
      </w:r>
      <w:bookmarkEnd w:id="159"/>
      <w:bookmarkEnd w:id="160"/>
      <w:bookmarkEnd w:id="161"/>
      <w:bookmarkEnd w:id="162"/>
      <w:bookmarkEnd w:id="163"/>
    </w:p>
    <w:p>
      <w:pPr>
        <w:pStyle w:val="5"/>
        <w:bidi w:val="0"/>
      </w:pPr>
      <w:r>
        <w:rPr>
          <w:rFonts w:hint="eastAsia"/>
        </w:rPr>
        <w:t>地表水环境质量现状监测与评价</w:t>
      </w:r>
    </w:p>
    <w:p>
      <w:r>
        <w:t>(1)</w:t>
      </w:r>
      <w:r>
        <w:rPr>
          <w:rFonts w:hint="eastAsia"/>
        </w:rPr>
        <w:t>监测点位</w:t>
      </w:r>
    </w:p>
    <w:p>
      <w:pPr>
        <w:pStyle w:val="12"/>
        <w:rPr>
          <w:rFonts w:hint="default"/>
          <w:lang w:val="en-US" w:eastAsia="zh-CN"/>
        </w:rPr>
      </w:pPr>
      <w:r>
        <w:rPr>
          <w:rFonts w:hint="eastAsia"/>
        </w:rPr>
        <w:t>场区内采用雨污分流制，雨水经雨水管网收集后排入附近的山林与田间中，经山田间沟渠收集后，汇同区域的雨水一起排入</w:t>
      </w:r>
      <w:r>
        <w:rPr>
          <w:rFonts w:hint="eastAsia"/>
          <w:lang w:eastAsia="zh-CN"/>
        </w:rPr>
        <w:t>道水水系</w:t>
      </w:r>
      <w:r>
        <w:rPr>
          <w:rFonts w:hint="eastAsia"/>
        </w:rPr>
        <w:t>。</w:t>
      </w:r>
      <w:r>
        <w:rPr>
          <w:rFonts w:hint="eastAsia"/>
          <w:lang w:eastAsia="zh-CN"/>
        </w:rPr>
        <w:t>本项目引用</w:t>
      </w:r>
      <w:r>
        <w:rPr>
          <w:rFonts w:hint="eastAsia"/>
          <w:lang w:val="en-US" w:eastAsia="zh-CN"/>
        </w:rPr>
        <w:t>我公司编制的</w:t>
      </w:r>
      <w:r>
        <w:rPr>
          <w:rFonts w:hint="eastAsia"/>
          <w:lang w:eastAsia="zh-CN"/>
        </w:rPr>
        <w:t>《</w:t>
      </w:r>
      <w:r>
        <w:rPr>
          <w:rFonts w:hint="eastAsia" w:ascii="Times New Roman" w:hAnsi="Times New Roman" w:cs="Times New Roman"/>
        </w:rPr>
        <w:t>澧县荣盛牲猪养殖专业合作社年出栏30000头生猪养殖建设项目</w:t>
      </w:r>
      <w:r>
        <w:rPr>
          <w:rFonts w:hint="eastAsia"/>
          <w:lang w:eastAsia="zh-CN"/>
        </w:rPr>
        <w:t>》环评内道水的监测数据</w:t>
      </w:r>
      <w:r>
        <w:rPr>
          <w:rFonts w:hint="eastAsia"/>
          <w:lang w:val="en-US" w:eastAsia="zh-CN"/>
        </w:rPr>
        <w:t>道水监测断面1（项目东南3km）、道水监测断面2（项目东南3.4km），</w:t>
      </w:r>
      <w:r>
        <w:rPr>
          <w:rFonts w:hint="eastAsia"/>
          <w:lang w:eastAsia="zh-CN"/>
        </w:rPr>
        <w:t>目前该项目未建成，区域污染源没有发生变化，</w:t>
      </w:r>
      <w:r>
        <w:rPr>
          <w:rFonts w:hint="eastAsia"/>
          <w:lang w:val="en-US" w:eastAsia="zh-CN"/>
        </w:rPr>
        <w:t xml:space="preserve">可以引用。             </w:t>
      </w:r>
    </w:p>
    <w:p>
      <w:r>
        <w:rPr>
          <w:rFonts w:hint="eastAsia"/>
        </w:rPr>
        <w:t>监测布点及监测方案详见下表及附图。</w:t>
      </w:r>
    </w:p>
    <w:p>
      <w:pPr>
        <w:pStyle w:val="11"/>
      </w:pPr>
    </w:p>
    <w:p>
      <w:pPr>
        <w:pStyle w:val="11"/>
      </w:pP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1</w:t>
      </w:r>
      <w:r>
        <w:fldChar w:fldCharType="end"/>
      </w:r>
      <w:r>
        <w:rPr>
          <w:rFonts w:hint="eastAsia"/>
          <w:lang w:val="en-US" w:eastAsia="zh-CN"/>
        </w:rPr>
        <w:t xml:space="preserve">  </w:t>
      </w:r>
      <w:r>
        <w:rPr>
          <w:rFonts w:hint="eastAsia"/>
        </w:rPr>
        <w:t>现状监测方案一览表</w:t>
      </w:r>
    </w:p>
    <w:tbl>
      <w:tblPr>
        <w:tblStyle w:val="17"/>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3693"/>
        <w:gridCol w:w="4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9" w:type="dxa"/>
            <w:vAlign w:val="center"/>
          </w:tcPr>
          <w:p>
            <w:pPr>
              <w:pStyle w:val="8"/>
              <w:bidi w:val="0"/>
            </w:pPr>
            <w:r>
              <w:rPr>
                <w:rFonts w:hint="eastAsia"/>
              </w:rPr>
              <w:t>序号</w:t>
            </w:r>
          </w:p>
        </w:tc>
        <w:tc>
          <w:tcPr>
            <w:tcW w:w="3693" w:type="dxa"/>
            <w:vAlign w:val="center"/>
          </w:tcPr>
          <w:p>
            <w:pPr>
              <w:pStyle w:val="8"/>
              <w:bidi w:val="0"/>
            </w:pPr>
            <w:r>
              <w:rPr>
                <w:rFonts w:hint="eastAsia"/>
              </w:rPr>
              <w:t>测点名称</w:t>
            </w:r>
          </w:p>
        </w:tc>
        <w:tc>
          <w:tcPr>
            <w:tcW w:w="4387" w:type="dxa"/>
            <w:vAlign w:val="center"/>
          </w:tcPr>
          <w:p>
            <w:pPr>
              <w:pStyle w:val="8"/>
              <w:bidi w:val="0"/>
            </w:pPr>
            <w:r>
              <w:rPr>
                <w:rFonts w:hint="eastAsia"/>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39" w:type="dxa"/>
            <w:vAlign w:val="center"/>
          </w:tcPr>
          <w:p>
            <w:pPr>
              <w:pStyle w:val="8"/>
              <w:bidi w:val="0"/>
            </w:pPr>
            <w:r>
              <w:rPr>
                <w:rFonts w:hint="eastAsia"/>
                <w:lang w:val="en-US" w:eastAsia="zh-CN"/>
              </w:rPr>
              <w:t>W</w:t>
            </w:r>
            <w:r>
              <w:t>1</w:t>
            </w:r>
          </w:p>
        </w:tc>
        <w:tc>
          <w:tcPr>
            <w:tcW w:w="3693" w:type="dxa"/>
            <w:vAlign w:val="center"/>
          </w:tcPr>
          <w:p>
            <w:pPr>
              <w:pStyle w:val="8"/>
              <w:bidi w:val="0"/>
              <w:rPr>
                <w:rFonts w:hint="default"/>
                <w:lang w:val="en-US" w:eastAsia="zh-CN"/>
              </w:rPr>
            </w:pPr>
            <w:r>
              <w:rPr>
                <w:rFonts w:hint="eastAsia"/>
                <w:lang w:val="en-US" w:eastAsia="zh-CN"/>
              </w:rPr>
              <w:t>道水监测断面1</w:t>
            </w:r>
          </w:p>
        </w:tc>
        <w:tc>
          <w:tcPr>
            <w:tcW w:w="4387" w:type="dxa"/>
            <w:vMerge w:val="restart"/>
            <w:vAlign w:val="center"/>
          </w:tcPr>
          <w:p>
            <w:pPr>
              <w:pStyle w:val="8"/>
              <w:bidi w:val="0"/>
            </w:pPr>
            <w:r>
              <w:t>pH</w:t>
            </w:r>
            <w:r>
              <w:rPr>
                <w:rFonts w:hint="eastAsia"/>
              </w:rPr>
              <w:t>、化学需氧量</w:t>
            </w:r>
          </w:p>
          <w:p>
            <w:pPr>
              <w:pStyle w:val="8"/>
              <w:bidi w:val="0"/>
            </w:pPr>
            <w:r>
              <w:rPr>
                <w:rFonts w:hint="eastAsia"/>
                <w:lang w:eastAsia="zh-CN"/>
              </w:rPr>
              <w:t>氨氮</w:t>
            </w:r>
            <w:r>
              <w:t>、</w:t>
            </w:r>
            <w:r>
              <w:rPr>
                <w:rFonts w:hint="eastAsia"/>
                <w:lang w:eastAsia="zh-CN"/>
              </w:rPr>
              <w:t>总磷、</w:t>
            </w:r>
            <w:r>
              <w:rPr>
                <w:rFonts w:hint="eastAsia"/>
              </w:rPr>
              <w:t>粪</w:t>
            </w:r>
            <w:r>
              <w:t>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639" w:type="dxa"/>
            <w:vAlign w:val="center"/>
          </w:tcPr>
          <w:p>
            <w:pPr>
              <w:pStyle w:val="8"/>
              <w:bidi w:val="0"/>
            </w:pPr>
            <w:r>
              <w:rPr>
                <w:rFonts w:hint="eastAsia"/>
                <w:lang w:val="en-US" w:eastAsia="zh-CN"/>
              </w:rPr>
              <w:t>W</w:t>
            </w:r>
            <w:r>
              <w:t>2</w:t>
            </w:r>
          </w:p>
        </w:tc>
        <w:tc>
          <w:tcPr>
            <w:tcW w:w="3693" w:type="dxa"/>
            <w:vAlign w:val="center"/>
          </w:tcPr>
          <w:p>
            <w:pPr>
              <w:pStyle w:val="8"/>
              <w:bidi w:val="0"/>
              <w:rPr>
                <w:rFonts w:hint="default"/>
                <w:lang w:val="en-US" w:eastAsia="zh-CN"/>
              </w:rPr>
            </w:pPr>
            <w:r>
              <w:rPr>
                <w:rFonts w:hint="eastAsia"/>
                <w:lang w:val="en-US" w:eastAsia="zh-CN"/>
              </w:rPr>
              <w:t>道水监测断面2</w:t>
            </w:r>
          </w:p>
        </w:tc>
        <w:tc>
          <w:tcPr>
            <w:tcW w:w="4387" w:type="dxa"/>
            <w:vMerge w:val="continue"/>
            <w:vAlign w:val="center"/>
          </w:tcPr>
          <w:p>
            <w:pPr>
              <w:pStyle w:val="8"/>
              <w:bidi w:val="0"/>
            </w:pPr>
          </w:p>
        </w:tc>
      </w:tr>
    </w:tbl>
    <w:p>
      <w:r>
        <w:t>(2)</w:t>
      </w:r>
      <w:r>
        <w:rPr>
          <w:rFonts w:hint="eastAsia"/>
        </w:rPr>
        <w:t>监测时间与监测频次</w:t>
      </w:r>
    </w:p>
    <w:p>
      <w:r>
        <w:rPr>
          <w:rFonts w:hint="eastAsia"/>
          <w:color w:val="auto"/>
        </w:rPr>
        <w:t>监测时间为</w:t>
      </w:r>
      <w:r>
        <w:rPr>
          <w:color w:val="auto"/>
        </w:rPr>
        <w:t>201</w:t>
      </w:r>
      <w:r>
        <w:rPr>
          <w:rFonts w:hint="eastAsia"/>
          <w:color w:val="auto"/>
        </w:rPr>
        <w:t>9年10月31日-11月2日，监测3天，每天采样1次</w:t>
      </w:r>
      <w:r>
        <w:rPr>
          <w:rFonts w:hint="eastAsia"/>
        </w:rPr>
        <w:t>。</w:t>
      </w:r>
    </w:p>
    <w:p>
      <w:r>
        <w:t>(3)</w:t>
      </w:r>
      <w:r>
        <w:rPr>
          <w:rFonts w:hint="eastAsia"/>
        </w:rPr>
        <w:t>监测结果</w:t>
      </w:r>
    </w:p>
    <w:p>
      <w:r>
        <w:rPr>
          <w:rFonts w:hint="eastAsia"/>
        </w:rPr>
        <w:t>监测结果详见表</w:t>
      </w:r>
      <w:r>
        <w:rPr>
          <w:rFonts w:hint="eastAsia"/>
          <w:lang w:val="en-US" w:eastAsia="zh-CN"/>
        </w:rPr>
        <w:t>3.2-2</w:t>
      </w:r>
      <w:r>
        <w:rPr>
          <w:rFonts w:hint="eastAsia"/>
        </w:rPr>
        <w:t>。</w:t>
      </w: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2</w:t>
      </w:r>
      <w:r>
        <w:fldChar w:fldCharType="end"/>
      </w:r>
      <w:r>
        <w:rPr>
          <w:rFonts w:hint="eastAsia"/>
          <w:lang w:val="en-US" w:eastAsia="zh-CN"/>
        </w:rPr>
        <w:t xml:space="preserve">  </w:t>
      </w:r>
      <w:r>
        <w:rPr>
          <w:rFonts w:hint="eastAsia"/>
        </w:rPr>
        <w:t>地表水现状监测统计结果     单位：mg/L</w:t>
      </w:r>
    </w:p>
    <w:tbl>
      <w:tblPr>
        <w:tblStyle w:val="17"/>
        <w:tblW w:w="9249"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942"/>
        <w:gridCol w:w="1139"/>
        <w:gridCol w:w="1654"/>
        <w:gridCol w:w="933"/>
        <w:gridCol w:w="1146"/>
        <w:gridCol w:w="1146"/>
        <w:gridCol w:w="1154"/>
        <w:gridCol w:w="113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1" w:hRule="atLeast"/>
          <w:jc w:val="center"/>
        </w:trPr>
        <w:tc>
          <w:tcPr>
            <w:tcW w:w="942" w:type="dxa"/>
            <w:vMerge w:val="restart"/>
            <w:tcBorders>
              <w:tl2br w:val="nil"/>
              <w:tr2bl w:val="nil"/>
            </w:tcBorders>
            <w:vAlign w:val="center"/>
          </w:tcPr>
          <w:p>
            <w:pPr>
              <w:pStyle w:val="8"/>
              <w:bidi w:val="0"/>
            </w:pPr>
            <w:r>
              <w:t>采样</w:t>
            </w:r>
          </w:p>
          <w:p>
            <w:pPr>
              <w:pStyle w:val="8"/>
              <w:bidi w:val="0"/>
            </w:pPr>
            <w:r>
              <w:t>点位</w:t>
            </w:r>
          </w:p>
        </w:tc>
        <w:tc>
          <w:tcPr>
            <w:tcW w:w="1139" w:type="dxa"/>
            <w:vMerge w:val="restart"/>
            <w:tcBorders>
              <w:tl2br w:val="nil"/>
              <w:tr2bl w:val="nil"/>
            </w:tcBorders>
            <w:vAlign w:val="center"/>
          </w:tcPr>
          <w:p>
            <w:pPr>
              <w:pStyle w:val="8"/>
              <w:bidi w:val="0"/>
            </w:pPr>
            <w:r>
              <w:t>样品</w:t>
            </w:r>
          </w:p>
          <w:p>
            <w:pPr>
              <w:pStyle w:val="8"/>
              <w:bidi w:val="0"/>
            </w:pPr>
            <w:r>
              <w:t>状态</w:t>
            </w:r>
          </w:p>
        </w:tc>
        <w:tc>
          <w:tcPr>
            <w:tcW w:w="1654" w:type="dxa"/>
            <w:vMerge w:val="restart"/>
            <w:tcBorders>
              <w:tl2br w:val="nil"/>
              <w:tr2bl w:val="nil"/>
            </w:tcBorders>
            <w:vAlign w:val="center"/>
          </w:tcPr>
          <w:p>
            <w:pPr>
              <w:pStyle w:val="8"/>
              <w:bidi w:val="0"/>
            </w:pPr>
            <w:r>
              <w:t>检测项目</w:t>
            </w:r>
          </w:p>
        </w:tc>
        <w:tc>
          <w:tcPr>
            <w:tcW w:w="933" w:type="dxa"/>
            <w:vMerge w:val="restart"/>
            <w:tcBorders>
              <w:tl2br w:val="nil"/>
              <w:tr2bl w:val="nil"/>
            </w:tcBorders>
            <w:vAlign w:val="center"/>
          </w:tcPr>
          <w:p>
            <w:pPr>
              <w:pStyle w:val="8"/>
              <w:bidi w:val="0"/>
            </w:pPr>
            <w:r>
              <w:t>单位</w:t>
            </w:r>
          </w:p>
        </w:tc>
        <w:tc>
          <w:tcPr>
            <w:tcW w:w="3446" w:type="dxa"/>
            <w:gridSpan w:val="3"/>
            <w:tcBorders>
              <w:tl2br w:val="nil"/>
              <w:tr2bl w:val="nil"/>
            </w:tcBorders>
            <w:vAlign w:val="center"/>
          </w:tcPr>
          <w:p>
            <w:pPr>
              <w:pStyle w:val="8"/>
              <w:bidi w:val="0"/>
            </w:pPr>
            <w:r>
              <w:t>检测结果</w:t>
            </w:r>
          </w:p>
        </w:tc>
        <w:tc>
          <w:tcPr>
            <w:tcW w:w="1135" w:type="dxa"/>
            <w:vMerge w:val="restart"/>
            <w:tcBorders>
              <w:tl2br w:val="nil"/>
              <w:tr2bl w:val="nil"/>
            </w:tcBorders>
            <w:vAlign w:val="center"/>
          </w:tcPr>
          <w:p>
            <w:pPr>
              <w:pStyle w:val="8"/>
              <w:bidi w:val="0"/>
            </w:pPr>
            <w:r>
              <w:t>参考</w:t>
            </w:r>
          </w:p>
          <w:p>
            <w:pPr>
              <w:pStyle w:val="8"/>
              <w:bidi w:val="0"/>
            </w:pPr>
            <w:r>
              <w:t>限值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1"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vMerge w:val="continue"/>
            <w:tcBorders>
              <w:tl2br w:val="nil"/>
              <w:tr2bl w:val="nil"/>
            </w:tcBorders>
            <w:vAlign w:val="center"/>
          </w:tcPr>
          <w:p>
            <w:pPr>
              <w:pStyle w:val="8"/>
              <w:bidi w:val="0"/>
            </w:pPr>
          </w:p>
        </w:tc>
        <w:tc>
          <w:tcPr>
            <w:tcW w:w="933" w:type="dxa"/>
            <w:vMerge w:val="continue"/>
            <w:tcBorders>
              <w:tl2br w:val="nil"/>
              <w:tr2bl w:val="nil"/>
            </w:tcBorders>
            <w:vAlign w:val="center"/>
          </w:tcPr>
          <w:p>
            <w:pPr>
              <w:pStyle w:val="8"/>
              <w:bidi w:val="0"/>
            </w:pPr>
          </w:p>
        </w:tc>
        <w:tc>
          <w:tcPr>
            <w:tcW w:w="1146" w:type="dxa"/>
            <w:tcBorders>
              <w:tl2br w:val="nil"/>
              <w:tr2bl w:val="nil"/>
            </w:tcBorders>
            <w:vAlign w:val="center"/>
          </w:tcPr>
          <w:p>
            <w:pPr>
              <w:pStyle w:val="8"/>
              <w:bidi w:val="0"/>
            </w:pPr>
            <w:r>
              <w:rPr>
                <w:rFonts w:hint="eastAsia"/>
              </w:rPr>
              <w:t>10.31</w:t>
            </w:r>
          </w:p>
        </w:tc>
        <w:tc>
          <w:tcPr>
            <w:tcW w:w="1146" w:type="dxa"/>
            <w:tcBorders>
              <w:tl2br w:val="nil"/>
              <w:tr2bl w:val="nil"/>
            </w:tcBorders>
            <w:vAlign w:val="center"/>
          </w:tcPr>
          <w:p>
            <w:pPr>
              <w:pStyle w:val="8"/>
              <w:bidi w:val="0"/>
            </w:pPr>
            <w:r>
              <w:rPr>
                <w:rFonts w:hint="eastAsia"/>
              </w:rPr>
              <w:t>11.1</w:t>
            </w:r>
          </w:p>
        </w:tc>
        <w:tc>
          <w:tcPr>
            <w:tcW w:w="1154" w:type="dxa"/>
            <w:tcBorders>
              <w:tl2br w:val="nil"/>
              <w:tr2bl w:val="nil"/>
            </w:tcBorders>
            <w:vAlign w:val="center"/>
          </w:tcPr>
          <w:p>
            <w:pPr>
              <w:pStyle w:val="8"/>
              <w:bidi w:val="0"/>
            </w:pPr>
            <w:r>
              <w:rPr>
                <w:rFonts w:hint="eastAsia"/>
              </w:rPr>
              <w:t>11.2</w:t>
            </w:r>
          </w:p>
        </w:tc>
        <w:tc>
          <w:tcPr>
            <w:tcW w:w="1135" w:type="dxa"/>
            <w:vMerge w:val="continue"/>
            <w:tcBorders>
              <w:tl2br w:val="nil"/>
              <w:tr2bl w:val="nil"/>
            </w:tcBorders>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restart"/>
            <w:tcBorders>
              <w:tl2br w:val="nil"/>
              <w:tr2bl w:val="nil"/>
            </w:tcBorders>
            <w:vAlign w:val="center"/>
          </w:tcPr>
          <w:p>
            <w:pPr>
              <w:pStyle w:val="8"/>
              <w:bidi w:val="0"/>
              <w:rPr>
                <w:rFonts w:hint="eastAsia" w:eastAsiaTheme="minorEastAsia"/>
                <w:lang w:eastAsia="zh-CN"/>
              </w:rPr>
            </w:pPr>
            <w:r>
              <w:t>☆</w:t>
            </w:r>
            <w:r>
              <w:rPr>
                <w:rFonts w:hint="eastAsia"/>
                <w:lang w:val="en-US" w:eastAsia="zh-CN"/>
              </w:rPr>
              <w:t>W1道水监测断面</w:t>
            </w:r>
          </w:p>
        </w:tc>
        <w:tc>
          <w:tcPr>
            <w:tcW w:w="1139" w:type="dxa"/>
            <w:vMerge w:val="restart"/>
            <w:tcBorders>
              <w:tl2br w:val="nil"/>
              <w:tr2bl w:val="nil"/>
            </w:tcBorders>
            <w:vAlign w:val="center"/>
          </w:tcPr>
          <w:p>
            <w:pPr>
              <w:pStyle w:val="8"/>
              <w:bidi w:val="0"/>
            </w:pPr>
            <w:r>
              <w:rPr>
                <w:rFonts w:hint="eastAsia"/>
              </w:rPr>
              <w:t>无色、无味</w:t>
            </w:r>
          </w:p>
        </w:tc>
        <w:tc>
          <w:tcPr>
            <w:tcW w:w="1654" w:type="dxa"/>
            <w:tcBorders>
              <w:tl2br w:val="nil"/>
              <w:tr2bl w:val="nil"/>
            </w:tcBorders>
            <w:vAlign w:val="center"/>
          </w:tcPr>
          <w:p>
            <w:pPr>
              <w:pStyle w:val="8"/>
              <w:bidi w:val="0"/>
            </w:pPr>
            <w:r>
              <w:t>pH</w:t>
            </w:r>
          </w:p>
        </w:tc>
        <w:tc>
          <w:tcPr>
            <w:tcW w:w="933" w:type="dxa"/>
            <w:tcBorders>
              <w:tl2br w:val="nil"/>
              <w:tr2bl w:val="nil"/>
            </w:tcBorders>
            <w:vAlign w:val="center"/>
          </w:tcPr>
          <w:p>
            <w:pPr>
              <w:pStyle w:val="8"/>
              <w:bidi w:val="0"/>
            </w:pPr>
            <w:r>
              <w:t>无量纲</w:t>
            </w:r>
          </w:p>
        </w:tc>
        <w:tc>
          <w:tcPr>
            <w:tcW w:w="1146" w:type="dxa"/>
            <w:tcBorders>
              <w:tl2br w:val="nil"/>
              <w:tr2bl w:val="nil"/>
            </w:tcBorders>
            <w:vAlign w:val="center"/>
          </w:tcPr>
          <w:p>
            <w:pPr>
              <w:pStyle w:val="8"/>
              <w:bidi w:val="0"/>
            </w:pPr>
            <w:r>
              <w:t>7.65</w:t>
            </w:r>
          </w:p>
        </w:tc>
        <w:tc>
          <w:tcPr>
            <w:tcW w:w="1146" w:type="dxa"/>
            <w:tcBorders>
              <w:tl2br w:val="nil"/>
              <w:tr2bl w:val="nil"/>
            </w:tcBorders>
            <w:vAlign w:val="center"/>
          </w:tcPr>
          <w:p>
            <w:pPr>
              <w:pStyle w:val="8"/>
              <w:bidi w:val="0"/>
            </w:pPr>
            <w:r>
              <w:t>7.76</w:t>
            </w:r>
          </w:p>
        </w:tc>
        <w:tc>
          <w:tcPr>
            <w:tcW w:w="1154" w:type="dxa"/>
            <w:tcBorders>
              <w:tl2br w:val="nil"/>
              <w:tr2bl w:val="nil"/>
            </w:tcBorders>
            <w:vAlign w:val="center"/>
          </w:tcPr>
          <w:p>
            <w:pPr>
              <w:pStyle w:val="8"/>
              <w:bidi w:val="0"/>
            </w:pPr>
            <w:r>
              <w:t>7.62</w:t>
            </w:r>
          </w:p>
        </w:tc>
        <w:tc>
          <w:tcPr>
            <w:tcW w:w="1135" w:type="dxa"/>
            <w:tcBorders>
              <w:tl2br w:val="nil"/>
              <w:tr2bl w:val="nil"/>
            </w:tcBorders>
            <w:vAlign w:val="center"/>
          </w:tcPr>
          <w:p>
            <w:pPr>
              <w:pStyle w:val="8"/>
              <w:bidi w:val="0"/>
            </w:pPr>
            <w:r>
              <w:t>6-9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t>化学需氧量</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12</w:t>
            </w:r>
          </w:p>
        </w:tc>
        <w:tc>
          <w:tcPr>
            <w:tcW w:w="1146" w:type="dxa"/>
            <w:tcBorders>
              <w:tl2br w:val="nil"/>
              <w:tr2bl w:val="nil"/>
            </w:tcBorders>
            <w:vAlign w:val="center"/>
          </w:tcPr>
          <w:p>
            <w:pPr>
              <w:pStyle w:val="8"/>
              <w:bidi w:val="0"/>
            </w:pPr>
            <w:r>
              <w:t>11</w:t>
            </w:r>
          </w:p>
        </w:tc>
        <w:tc>
          <w:tcPr>
            <w:tcW w:w="1154" w:type="dxa"/>
            <w:tcBorders>
              <w:tl2br w:val="nil"/>
              <w:tr2bl w:val="nil"/>
            </w:tcBorders>
            <w:vAlign w:val="center"/>
          </w:tcPr>
          <w:p>
            <w:pPr>
              <w:pStyle w:val="8"/>
              <w:bidi w:val="0"/>
            </w:pPr>
            <w:r>
              <w:t>13</w:t>
            </w:r>
          </w:p>
        </w:tc>
        <w:tc>
          <w:tcPr>
            <w:tcW w:w="1135" w:type="dxa"/>
            <w:tcBorders>
              <w:tl2br w:val="nil"/>
              <w:tr2bl w:val="nil"/>
            </w:tcBorders>
            <w:vAlign w:val="center"/>
          </w:tcPr>
          <w:p>
            <w:pPr>
              <w:pStyle w:val="8"/>
              <w:bidi w:val="0"/>
            </w:pPr>
            <w: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悬浮物</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11</w:t>
            </w:r>
          </w:p>
        </w:tc>
        <w:tc>
          <w:tcPr>
            <w:tcW w:w="1146" w:type="dxa"/>
            <w:tcBorders>
              <w:tl2br w:val="nil"/>
              <w:tr2bl w:val="nil"/>
            </w:tcBorders>
            <w:vAlign w:val="center"/>
          </w:tcPr>
          <w:p>
            <w:pPr>
              <w:pStyle w:val="8"/>
              <w:bidi w:val="0"/>
            </w:pPr>
            <w:r>
              <w:t>9</w:t>
            </w:r>
          </w:p>
        </w:tc>
        <w:tc>
          <w:tcPr>
            <w:tcW w:w="1154" w:type="dxa"/>
            <w:tcBorders>
              <w:tl2br w:val="nil"/>
              <w:tr2bl w:val="nil"/>
            </w:tcBorders>
            <w:vAlign w:val="center"/>
          </w:tcPr>
          <w:p>
            <w:pPr>
              <w:pStyle w:val="8"/>
              <w:bidi w:val="0"/>
            </w:pPr>
            <w:r>
              <w:t>10</w:t>
            </w:r>
          </w:p>
        </w:tc>
        <w:tc>
          <w:tcPr>
            <w:tcW w:w="1135" w:type="dxa"/>
            <w:tcBorders>
              <w:tl2br w:val="nil"/>
              <w:tr2bl w:val="nil"/>
            </w:tcBorders>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粪大肠菌群</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1.3×103</w:t>
            </w:r>
          </w:p>
        </w:tc>
        <w:tc>
          <w:tcPr>
            <w:tcW w:w="1146" w:type="dxa"/>
            <w:tcBorders>
              <w:tl2br w:val="nil"/>
              <w:tr2bl w:val="nil"/>
            </w:tcBorders>
            <w:vAlign w:val="center"/>
          </w:tcPr>
          <w:p>
            <w:pPr>
              <w:pStyle w:val="8"/>
              <w:bidi w:val="0"/>
            </w:pPr>
            <w:r>
              <w:t>1.1×103</w:t>
            </w:r>
          </w:p>
        </w:tc>
        <w:tc>
          <w:tcPr>
            <w:tcW w:w="1154" w:type="dxa"/>
            <w:tcBorders>
              <w:tl2br w:val="nil"/>
              <w:tr2bl w:val="nil"/>
            </w:tcBorders>
            <w:vAlign w:val="center"/>
          </w:tcPr>
          <w:p>
            <w:pPr>
              <w:pStyle w:val="8"/>
              <w:bidi w:val="0"/>
            </w:pPr>
            <w:r>
              <w:t>1.1×103</w:t>
            </w:r>
          </w:p>
        </w:tc>
        <w:tc>
          <w:tcPr>
            <w:tcW w:w="1135" w:type="dxa"/>
            <w:tcBorders>
              <w:tl2br w:val="nil"/>
              <w:tr2bl w:val="nil"/>
            </w:tcBorders>
            <w:vAlign w:val="center"/>
          </w:tcPr>
          <w:p>
            <w:pPr>
              <w:pStyle w:val="8"/>
              <w:bidi w:val="0"/>
            </w:pPr>
            <w:r>
              <w:t>10000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五日生化需氧量</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2.3</w:t>
            </w:r>
          </w:p>
        </w:tc>
        <w:tc>
          <w:tcPr>
            <w:tcW w:w="1146" w:type="dxa"/>
            <w:tcBorders>
              <w:tl2br w:val="nil"/>
              <w:tr2bl w:val="nil"/>
            </w:tcBorders>
            <w:vAlign w:val="center"/>
          </w:tcPr>
          <w:p>
            <w:pPr>
              <w:pStyle w:val="8"/>
              <w:bidi w:val="0"/>
            </w:pPr>
            <w:r>
              <w:t>2.4</w:t>
            </w:r>
          </w:p>
        </w:tc>
        <w:tc>
          <w:tcPr>
            <w:tcW w:w="1154" w:type="dxa"/>
            <w:tcBorders>
              <w:tl2br w:val="nil"/>
              <w:tr2bl w:val="nil"/>
            </w:tcBorders>
            <w:vAlign w:val="center"/>
          </w:tcPr>
          <w:p>
            <w:pPr>
              <w:pStyle w:val="8"/>
              <w:bidi w:val="0"/>
            </w:pPr>
            <w:r>
              <w:t>2.5</w:t>
            </w:r>
          </w:p>
        </w:tc>
        <w:tc>
          <w:tcPr>
            <w:tcW w:w="1135" w:type="dxa"/>
            <w:tcBorders>
              <w:tl2br w:val="nil"/>
              <w:tr2bl w:val="nil"/>
            </w:tcBorders>
            <w:vAlign w:val="center"/>
          </w:tcPr>
          <w:p>
            <w:pPr>
              <w:pStyle w:val="8"/>
              <w:bidi w:val="0"/>
            </w:pPr>
            <w: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氨氮</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0.255</w:t>
            </w:r>
          </w:p>
        </w:tc>
        <w:tc>
          <w:tcPr>
            <w:tcW w:w="1146" w:type="dxa"/>
            <w:tcBorders>
              <w:tl2br w:val="nil"/>
              <w:tr2bl w:val="nil"/>
            </w:tcBorders>
            <w:vAlign w:val="center"/>
          </w:tcPr>
          <w:p>
            <w:pPr>
              <w:pStyle w:val="8"/>
              <w:bidi w:val="0"/>
            </w:pPr>
            <w:r>
              <w:t>0.245</w:t>
            </w:r>
          </w:p>
        </w:tc>
        <w:tc>
          <w:tcPr>
            <w:tcW w:w="1154" w:type="dxa"/>
            <w:tcBorders>
              <w:tl2br w:val="nil"/>
              <w:tr2bl w:val="nil"/>
            </w:tcBorders>
            <w:vAlign w:val="center"/>
          </w:tcPr>
          <w:p>
            <w:pPr>
              <w:pStyle w:val="8"/>
              <w:bidi w:val="0"/>
            </w:pPr>
            <w:r>
              <w:t>0.271</w:t>
            </w:r>
          </w:p>
        </w:tc>
        <w:tc>
          <w:tcPr>
            <w:tcW w:w="1135" w:type="dxa"/>
            <w:tcBorders>
              <w:tl2br w:val="nil"/>
              <w:tr2bl w:val="nil"/>
            </w:tcBorders>
            <w:vAlign w:val="center"/>
          </w:tcPr>
          <w:p>
            <w:pPr>
              <w:pStyle w:val="8"/>
              <w:bidi w:val="0"/>
            </w:pPr>
            <w: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总磷</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0.04</w:t>
            </w:r>
          </w:p>
        </w:tc>
        <w:tc>
          <w:tcPr>
            <w:tcW w:w="1146" w:type="dxa"/>
            <w:tcBorders>
              <w:tl2br w:val="nil"/>
              <w:tr2bl w:val="nil"/>
            </w:tcBorders>
            <w:vAlign w:val="center"/>
          </w:tcPr>
          <w:p>
            <w:pPr>
              <w:pStyle w:val="8"/>
              <w:bidi w:val="0"/>
            </w:pPr>
            <w:r>
              <w:t>0.03</w:t>
            </w:r>
          </w:p>
        </w:tc>
        <w:tc>
          <w:tcPr>
            <w:tcW w:w="1154" w:type="dxa"/>
            <w:tcBorders>
              <w:tl2br w:val="nil"/>
              <w:tr2bl w:val="nil"/>
            </w:tcBorders>
            <w:vAlign w:val="center"/>
          </w:tcPr>
          <w:p>
            <w:pPr>
              <w:pStyle w:val="8"/>
              <w:bidi w:val="0"/>
            </w:pPr>
            <w:r>
              <w:t>0.04</w:t>
            </w:r>
          </w:p>
        </w:tc>
        <w:tc>
          <w:tcPr>
            <w:tcW w:w="1135" w:type="dxa"/>
            <w:tcBorders>
              <w:tl2br w:val="nil"/>
              <w:tr2bl w:val="nil"/>
            </w:tcBorders>
            <w:vAlign w:val="center"/>
          </w:tcPr>
          <w:p>
            <w:pPr>
              <w:pStyle w:val="8"/>
              <w:bidi w:val="0"/>
            </w:pPr>
            <w:r>
              <w:t>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restart"/>
            <w:tcBorders>
              <w:tl2br w:val="nil"/>
              <w:tr2bl w:val="nil"/>
            </w:tcBorders>
            <w:vAlign w:val="center"/>
          </w:tcPr>
          <w:p>
            <w:pPr>
              <w:pStyle w:val="8"/>
              <w:bidi w:val="0"/>
              <w:rPr>
                <w:rFonts w:hint="eastAsia" w:eastAsiaTheme="minorEastAsia"/>
                <w:lang w:val="en-US" w:eastAsia="zh-CN"/>
              </w:rPr>
            </w:pPr>
            <w:r>
              <w:t>☆</w:t>
            </w:r>
            <w:r>
              <w:rPr>
                <w:rFonts w:hint="eastAsia"/>
                <w:lang w:val="en-US" w:eastAsia="zh-CN"/>
              </w:rPr>
              <w:t>W2</w:t>
            </w:r>
            <w:r>
              <w:rPr>
                <w:rFonts w:hint="eastAsia"/>
              </w:rPr>
              <w:t>道水</w:t>
            </w:r>
            <w:r>
              <w:rPr>
                <w:rFonts w:hint="eastAsia"/>
                <w:lang w:eastAsia="zh-CN"/>
              </w:rPr>
              <w:t>监测断面</w:t>
            </w:r>
          </w:p>
        </w:tc>
        <w:tc>
          <w:tcPr>
            <w:tcW w:w="1139" w:type="dxa"/>
            <w:vMerge w:val="restart"/>
            <w:tcBorders>
              <w:tl2br w:val="nil"/>
              <w:tr2bl w:val="nil"/>
            </w:tcBorders>
            <w:vAlign w:val="center"/>
          </w:tcPr>
          <w:p>
            <w:pPr>
              <w:pStyle w:val="8"/>
              <w:bidi w:val="0"/>
            </w:pPr>
            <w:r>
              <w:rPr>
                <w:rFonts w:hint="eastAsia"/>
              </w:rPr>
              <w:t>无色、无味</w:t>
            </w:r>
          </w:p>
        </w:tc>
        <w:tc>
          <w:tcPr>
            <w:tcW w:w="1654" w:type="dxa"/>
            <w:tcBorders>
              <w:tl2br w:val="nil"/>
              <w:tr2bl w:val="nil"/>
            </w:tcBorders>
            <w:vAlign w:val="center"/>
          </w:tcPr>
          <w:p>
            <w:pPr>
              <w:pStyle w:val="8"/>
              <w:bidi w:val="0"/>
            </w:pPr>
            <w:r>
              <w:t>pH</w:t>
            </w:r>
          </w:p>
        </w:tc>
        <w:tc>
          <w:tcPr>
            <w:tcW w:w="933" w:type="dxa"/>
            <w:tcBorders>
              <w:tl2br w:val="nil"/>
              <w:tr2bl w:val="nil"/>
            </w:tcBorders>
            <w:vAlign w:val="center"/>
          </w:tcPr>
          <w:p>
            <w:pPr>
              <w:pStyle w:val="8"/>
              <w:bidi w:val="0"/>
            </w:pPr>
            <w:r>
              <w:t>无量纲</w:t>
            </w:r>
          </w:p>
        </w:tc>
        <w:tc>
          <w:tcPr>
            <w:tcW w:w="1146" w:type="dxa"/>
            <w:tcBorders>
              <w:tl2br w:val="nil"/>
              <w:tr2bl w:val="nil"/>
            </w:tcBorders>
            <w:vAlign w:val="center"/>
          </w:tcPr>
          <w:p>
            <w:pPr>
              <w:pStyle w:val="8"/>
              <w:bidi w:val="0"/>
            </w:pPr>
            <w:r>
              <w:t>7.52</w:t>
            </w:r>
          </w:p>
        </w:tc>
        <w:tc>
          <w:tcPr>
            <w:tcW w:w="1146" w:type="dxa"/>
            <w:tcBorders>
              <w:tl2br w:val="nil"/>
              <w:tr2bl w:val="nil"/>
            </w:tcBorders>
            <w:vAlign w:val="center"/>
          </w:tcPr>
          <w:p>
            <w:pPr>
              <w:pStyle w:val="8"/>
              <w:bidi w:val="0"/>
            </w:pPr>
            <w:r>
              <w:t>7.60</w:t>
            </w:r>
          </w:p>
        </w:tc>
        <w:tc>
          <w:tcPr>
            <w:tcW w:w="1154" w:type="dxa"/>
            <w:tcBorders>
              <w:tl2br w:val="nil"/>
              <w:tr2bl w:val="nil"/>
            </w:tcBorders>
            <w:vAlign w:val="center"/>
          </w:tcPr>
          <w:p>
            <w:pPr>
              <w:pStyle w:val="8"/>
              <w:bidi w:val="0"/>
            </w:pPr>
            <w:r>
              <w:t>7.47</w:t>
            </w:r>
          </w:p>
        </w:tc>
        <w:tc>
          <w:tcPr>
            <w:tcW w:w="1135" w:type="dxa"/>
            <w:tcBorders>
              <w:tl2br w:val="nil"/>
              <w:tr2bl w:val="nil"/>
            </w:tcBorders>
            <w:vAlign w:val="center"/>
          </w:tcPr>
          <w:p>
            <w:pPr>
              <w:pStyle w:val="8"/>
              <w:bidi w:val="0"/>
            </w:pPr>
            <w:r>
              <w:t>6-9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t>化学需氧量</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15</w:t>
            </w:r>
          </w:p>
        </w:tc>
        <w:tc>
          <w:tcPr>
            <w:tcW w:w="1146" w:type="dxa"/>
            <w:tcBorders>
              <w:tl2br w:val="nil"/>
              <w:tr2bl w:val="nil"/>
            </w:tcBorders>
            <w:vAlign w:val="center"/>
          </w:tcPr>
          <w:p>
            <w:pPr>
              <w:pStyle w:val="8"/>
              <w:bidi w:val="0"/>
            </w:pPr>
            <w:r>
              <w:t>14</w:t>
            </w:r>
          </w:p>
        </w:tc>
        <w:tc>
          <w:tcPr>
            <w:tcW w:w="1154" w:type="dxa"/>
            <w:tcBorders>
              <w:tl2br w:val="nil"/>
              <w:tr2bl w:val="nil"/>
            </w:tcBorders>
            <w:vAlign w:val="center"/>
          </w:tcPr>
          <w:p>
            <w:pPr>
              <w:pStyle w:val="8"/>
              <w:bidi w:val="0"/>
            </w:pPr>
            <w:r>
              <w:t>17</w:t>
            </w:r>
          </w:p>
        </w:tc>
        <w:tc>
          <w:tcPr>
            <w:tcW w:w="1135" w:type="dxa"/>
            <w:tcBorders>
              <w:tl2br w:val="nil"/>
              <w:tr2bl w:val="nil"/>
            </w:tcBorders>
            <w:vAlign w:val="center"/>
          </w:tcPr>
          <w:p>
            <w:pPr>
              <w:pStyle w:val="8"/>
              <w:bidi w:val="0"/>
            </w:pPr>
            <w: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悬浮物</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13</w:t>
            </w:r>
          </w:p>
        </w:tc>
        <w:tc>
          <w:tcPr>
            <w:tcW w:w="1146" w:type="dxa"/>
            <w:tcBorders>
              <w:tl2br w:val="nil"/>
              <w:tr2bl w:val="nil"/>
            </w:tcBorders>
            <w:vAlign w:val="center"/>
          </w:tcPr>
          <w:p>
            <w:pPr>
              <w:pStyle w:val="8"/>
              <w:bidi w:val="0"/>
            </w:pPr>
            <w:r>
              <w:t>12</w:t>
            </w:r>
          </w:p>
        </w:tc>
        <w:tc>
          <w:tcPr>
            <w:tcW w:w="1154" w:type="dxa"/>
            <w:tcBorders>
              <w:tl2br w:val="nil"/>
              <w:tr2bl w:val="nil"/>
            </w:tcBorders>
            <w:vAlign w:val="center"/>
          </w:tcPr>
          <w:p>
            <w:pPr>
              <w:pStyle w:val="8"/>
              <w:bidi w:val="0"/>
            </w:pPr>
            <w:r>
              <w:t>14</w:t>
            </w:r>
          </w:p>
        </w:tc>
        <w:tc>
          <w:tcPr>
            <w:tcW w:w="1135" w:type="dxa"/>
            <w:tcBorders>
              <w:tl2br w:val="nil"/>
              <w:tr2bl w:val="nil"/>
            </w:tcBorders>
            <w:vAlign w:val="center"/>
          </w:tcPr>
          <w:p>
            <w:pPr>
              <w:pStyle w:val="8"/>
              <w:bidi w:val="0"/>
            </w:pPr>
            <w: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粪大肠菌群</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1.4×103</w:t>
            </w:r>
          </w:p>
        </w:tc>
        <w:tc>
          <w:tcPr>
            <w:tcW w:w="1146" w:type="dxa"/>
            <w:tcBorders>
              <w:tl2br w:val="nil"/>
              <w:tr2bl w:val="nil"/>
            </w:tcBorders>
            <w:vAlign w:val="center"/>
          </w:tcPr>
          <w:p>
            <w:pPr>
              <w:pStyle w:val="8"/>
              <w:bidi w:val="0"/>
            </w:pPr>
            <w:r>
              <w:t>1.4×103</w:t>
            </w:r>
          </w:p>
        </w:tc>
        <w:tc>
          <w:tcPr>
            <w:tcW w:w="1154" w:type="dxa"/>
            <w:tcBorders>
              <w:tl2br w:val="nil"/>
              <w:tr2bl w:val="nil"/>
            </w:tcBorders>
            <w:vAlign w:val="center"/>
          </w:tcPr>
          <w:p>
            <w:pPr>
              <w:pStyle w:val="8"/>
              <w:bidi w:val="0"/>
            </w:pPr>
            <w:r>
              <w:t>1.7×103</w:t>
            </w:r>
          </w:p>
        </w:tc>
        <w:tc>
          <w:tcPr>
            <w:tcW w:w="1135" w:type="dxa"/>
            <w:tcBorders>
              <w:tl2br w:val="nil"/>
              <w:tr2bl w:val="nil"/>
            </w:tcBorders>
            <w:vAlign w:val="center"/>
          </w:tcPr>
          <w:p>
            <w:pPr>
              <w:pStyle w:val="8"/>
              <w:bidi w:val="0"/>
            </w:pPr>
            <w:r>
              <w:t>10000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五日生化需氧量</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3.0</w:t>
            </w:r>
          </w:p>
        </w:tc>
        <w:tc>
          <w:tcPr>
            <w:tcW w:w="1146" w:type="dxa"/>
            <w:tcBorders>
              <w:tl2br w:val="nil"/>
              <w:tr2bl w:val="nil"/>
            </w:tcBorders>
            <w:vAlign w:val="center"/>
          </w:tcPr>
          <w:p>
            <w:pPr>
              <w:pStyle w:val="8"/>
              <w:bidi w:val="0"/>
            </w:pPr>
            <w:r>
              <w:t>2.6</w:t>
            </w:r>
          </w:p>
        </w:tc>
        <w:tc>
          <w:tcPr>
            <w:tcW w:w="1154" w:type="dxa"/>
            <w:tcBorders>
              <w:tl2br w:val="nil"/>
              <w:tr2bl w:val="nil"/>
            </w:tcBorders>
            <w:vAlign w:val="center"/>
          </w:tcPr>
          <w:p>
            <w:pPr>
              <w:pStyle w:val="8"/>
              <w:bidi w:val="0"/>
            </w:pPr>
            <w:r>
              <w:t>3.2</w:t>
            </w:r>
          </w:p>
        </w:tc>
        <w:tc>
          <w:tcPr>
            <w:tcW w:w="1135" w:type="dxa"/>
            <w:tcBorders>
              <w:tl2br w:val="nil"/>
              <w:tr2bl w:val="nil"/>
            </w:tcBorders>
            <w:vAlign w:val="center"/>
          </w:tcPr>
          <w:p>
            <w:pPr>
              <w:pStyle w:val="8"/>
              <w:bidi w:val="0"/>
            </w:pPr>
            <w: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氨氮</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0.343</w:t>
            </w:r>
          </w:p>
        </w:tc>
        <w:tc>
          <w:tcPr>
            <w:tcW w:w="1146" w:type="dxa"/>
            <w:tcBorders>
              <w:tl2br w:val="nil"/>
              <w:tr2bl w:val="nil"/>
            </w:tcBorders>
            <w:vAlign w:val="center"/>
          </w:tcPr>
          <w:p>
            <w:pPr>
              <w:pStyle w:val="8"/>
              <w:bidi w:val="0"/>
            </w:pPr>
            <w:r>
              <w:t>0.330</w:t>
            </w:r>
          </w:p>
        </w:tc>
        <w:tc>
          <w:tcPr>
            <w:tcW w:w="1154" w:type="dxa"/>
            <w:tcBorders>
              <w:tl2br w:val="nil"/>
              <w:tr2bl w:val="nil"/>
            </w:tcBorders>
            <w:vAlign w:val="center"/>
          </w:tcPr>
          <w:p>
            <w:pPr>
              <w:pStyle w:val="8"/>
              <w:bidi w:val="0"/>
            </w:pPr>
            <w:r>
              <w:t>0.378</w:t>
            </w:r>
          </w:p>
        </w:tc>
        <w:tc>
          <w:tcPr>
            <w:tcW w:w="1135" w:type="dxa"/>
            <w:tcBorders>
              <w:tl2br w:val="nil"/>
              <w:tr2bl w:val="nil"/>
            </w:tcBorders>
            <w:vAlign w:val="center"/>
          </w:tcPr>
          <w:p>
            <w:pPr>
              <w:pStyle w:val="8"/>
              <w:bidi w:val="0"/>
            </w:pPr>
            <w: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42" w:type="dxa"/>
            <w:vMerge w:val="continue"/>
            <w:tcBorders>
              <w:tl2br w:val="nil"/>
              <w:tr2bl w:val="nil"/>
            </w:tcBorders>
            <w:vAlign w:val="center"/>
          </w:tcPr>
          <w:p>
            <w:pPr>
              <w:pStyle w:val="8"/>
              <w:bidi w:val="0"/>
            </w:pPr>
          </w:p>
        </w:tc>
        <w:tc>
          <w:tcPr>
            <w:tcW w:w="1139" w:type="dxa"/>
            <w:vMerge w:val="continue"/>
            <w:tcBorders>
              <w:tl2br w:val="nil"/>
              <w:tr2bl w:val="nil"/>
            </w:tcBorders>
            <w:vAlign w:val="center"/>
          </w:tcPr>
          <w:p>
            <w:pPr>
              <w:pStyle w:val="8"/>
              <w:bidi w:val="0"/>
            </w:pPr>
          </w:p>
        </w:tc>
        <w:tc>
          <w:tcPr>
            <w:tcW w:w="1654" w:type="dxa"/>
            <w:tcBorders>
              <w:tl2br w:val="nil"/>
              <w:tr2bl w:val="nil"/>
            </w:tcBorders>
            <w:vAlign w:val="center"/>
          </w:tcPr>
          <w:p>
            <w:pPr>
              <w:pStyle w:val="8"/>
              <w:bidi w:val="0"/>
            </w:pPr>
            <w:r>
              <w:rPr>
                <w:rFonts w:hint="eastAsia"/>
              </w:rPr>
              <w:t>总磷</w:t>
            </w:r>
          </w:p>
        </w:tc>
        <w:tc>
          <w:tcPr>
            <w:tcW w:w="933" w:type="dxa"/>
            <w:tcBorders>
              <w:tl2br w:val="nil"/>
              <w:tr2bl w:val="nil"/>
            </w:tcBorders>
            <w:vAlign w:val="center"/>
          </w:tcPr>
          <w:p>
            <w:pPr>
              <w:pStyle w:val="8"/>
              <w:bidi w:val="0"/>
            </w:pPr>
            <w:r>
              <w:t>mg/L</w:t>
            </w:r>
          </w:p>
        </w:tc>
        <w:tc>
          <w:tcPr>
            <w:tcW w:w="1146" w:type="dxa"/>
            <w:tcBorders>
              <w:tl2br w:val="nil"/>
              <w:tr2bl w:val="nil"/>
            </w:tcBorders>
            <w:vAlign w:val="center"/>
          </w:tcPr>
          <w:p>
            <w:pPr>
              <w:pStyle w:val="8"/>
              <w:bidi w:val="0"/>
            </w:pPr>
            <w:r>
              <w:t>0.06</w:t>
            </w:r>
          </w:p>
        </w:tc>
        <w:tc>
          <w:tcPr>
            <w:tcW w:w="1146" w:type="dxa"/>
            <w:tcBorders>
              <w:tl2br w:val="nil"/>
              <w:tr2bl w:val="nil"/>
            </w:tcBorders>
            <w:vAlign w:val="center"/>
          </w:tcPr>
          <w:p>
            <w:pPr>
              <w:pStyle w:val="8"/>
              <w:bidi w:val="0"/>
            </w:pPr>
            <w:r>
              <w:t>0.05</w:t>
            </w:r>
          </w:p>
        </w:tc>
        <w:tc>
          <w:tcPr>
            <w:tcW w:w="1154" w:type="dxa"/>
            <w:tcBorders>
              <w:tl2br w:val="nil"/>
              <w:tr2bl w:val="nil"/>
            </w:tcBorders>
            <w:vAlign w:val="center"/>
          </w:tcPr>
          <w:p>
            <w:pPr>
              <w:pStyle w:val="8"/>
              <w:bidi w:val="0"/>
            </w:pPr>
            <w:r>
              <w:t>0.07</w:t>
            </w:r>
          </w:p>
        </w:tc>
        <w:tc>
          <w:tcPr>
            <w:tcW w:w="1135" w:type="dxa"/>
            <w:tcBorders>
              <w:tl2br w:val="nil"/>
              <w:tr2bl w:val="nil"/>
            </w:tcBorders>
            <w:vAlign w:val="center"/>
          </w:tcPr>
          <w:p>
            <w:pPr>
              <w:pStyle w:val="8"/>
              <w:bidi w:val="0"/>
            </w:pPr>
            <w:r>
              <w:t>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249" w:type="dxa"/>
            <w:gridSpan w:val="8"/>
            <w:tcBorders>
              <w:tl2br w:val="nil"/>
              <w:tr2bl w:val="nil"/>
            </w:tcBorders>
            <w:vAlign w:val="center"/>
          </w:tcPr>
          <w:p>
            <w:pPr>
              <w:pStyle w:val="8"/>
              <w:bidi w:val="0"/>
            </w:pPr>
            <w:r>
              <w:t>备注：参考《地表水环境质量标准》（GB3838-2002）表1中</w:t>
            </w:r>
            <w:r>
              <w:fldChar w:fldCharType="begin"/>
            </w:r>
            <w:r>
              <w:instrText xml:space="preserve"> = 3 \* ROMAN \* MERGEFORMAT </w:instrText>
            </w:r>
            <w:r>
              <w:fldChar w:fldCharType="separate"/>
            </w:r>
            <w:r>
              <w:t>III</w:t>
            </w:r>
            <w:r>
              <w:fldChar w:fldCharType="end"/>
            </w:r>
            <w:r>
              <w:t>类标准</w:t>
            </w:r>
            <w:r>
              <w:rPr>
                <w:rFonts w:hint="eastAsia"/>
              </w:rPr>
              <w:t>。</w:t>
            </w:r>
          </w:p>
        </w:tc>
      </w:tr>
    </w:tbl>
    <w:p>
      <w:pPr>
        <w:bidi w:val="0"/>
      </w:pPr>
      <w:r>
        <w:rPr>
          <w:rFonts w:hint="eastAsia"/>
        </w:rPr>
        <w:t>据以上监测结果可知，</w:t>
      </w:r>
      <w:r>
        <w:rPr>
          <w:rFonts w:hint="eastAsia"/>
          <w:lang w:eastAsia="zh-CN"/>
        </w:rPr>
        <w:t>道水各水质</w:t>
      </w:r>
      <w:r>
        <w:rPr>
          <w:rFonts w:hint="eastAsia"/>
        </w:rPr>
        <w:t>监测因子均符合《地表水环境质量标准》（GB3838-2002）中表1的III类标准限值，水质尚好。</w:t>
      </w:r>
    </w:p>
    <w:p>
      <w:pPr>
        <w:pStyle w:val="5"/>
        <w:bidi w:val="0"/>
      </w:pPr>
      <w:bookmarkStart w:id="164" w:name="_Toc468689172"/>
      <w:bookmarkStart w:id="165" w:name="_Toc489916028"/>
      <w:r>
        <w:t>环境空气质量现状监测与评价</w:t>
      </w:r>
      <w:bookmarkEnd w:id="164"/>
      <w:bookmarkEnd w:id="165"/>
    </w:p>
    <w:p>
      <w:pPr>
        <w:spacing w:line="480" w:lineRule="exact"/>
        <w:jc w:val="both"/>
        <w:rPr>
          <w:rFonts w:hint="default" w:ascii="Times New Roman" w:hAnsi="Times New Roman" w:cs="Times New Roman"/>
        </w:rPr>
      </w:pPr>
      <w:r>
        <w:rPr>
          <w:rFonts w:hint="default" w:ascii="Times New Roman" w:hAnsi="Times New Roman" w:cs="Times New Roman"/>
        </w:rPr>
        <w:t>本次评价采用201</w:t>
      </w:r>
      <w:r>
        <w:rPr>
          <w:rFonts w:hint="eastAsia" w:ascii="Times New Roman" w:hAnsi="Times New Roman" w:cs="Times New Roman"/>
          <w:lang w:val="en-US" w:eastAsia="zh-CN"/>
        </w:rPr>
        <w:t>9和2018</w:t>
      </w:r>
      <w:r>
        <w:rPr>
          <w:rFonts w:hint="default" w:ascii="Times New Roman" w:hAnsi="Times New Roman" w:cs="Times New Roman"/>
        </w:rPr>
        <w:t>年澧县环境质量报告书中环境空气质量常规监测数据。按照《环境空气质量标准》（GB3095-2012）监测六个基本项目：SO</w:t>
      </w:r>
      <w:r>
        <w:rPr>
          <w:rFonts w:hint="default" w:ascii="Times New Roman" w:hAnsi="Times New Roman" w:cs="Times New Roman"/>
          <w:vertAlign w:val="subscript"/>
        </w:rPr>
        <w:t>2</w:t>
      </w:r>
      <w:r>
        <w:rPr>
          <w:rFonts w:hint="default" w:ascii="Times New Roman" w:hAnsi="Times New Roman" w:cs="Times New Roman"/>
        </w:rPr>
        <w:t>、NO</w:t>
      </w:r>
      <w:r>
        <w:rPr>
          <w:rFonts w:hint="default" w:ascii="Times New Roman" w:hAnsi="Times New Roman" w:cs="Times New Roman"/>
          <w:vertAlign w:val="subscript"/>
        </w:rPr>
        <w:t>2</w:t>
      </w:r>
      <w:r>
        <w:rPr>
          <w:rFonts w:hint="default" w:ascii="Times New Roman" w:hAnsi="Times New Roman" w:cs="Times New Roman"/>
        </w:rPr>
        <w:t>、CO、PM</w:t>
      </w:r>
      <w:r>
        <w:rPr>
          <w:rFonts w:hint="default" w:ascii="Times New Roman" w:hAnsi="Times New Roman" w:cs="Times New Roman"/>
          <w:vertAlign w:val="subscript"/>
        </w:rPr>
        <w:t>2.5</w:t>
      </w:r>
      <w:r>
        <w:rPr>
          <w:rFonts w:hint="default" w:ascii="Times New Roman" w:hAnsi="Times New Roman" w:cs="Times New Roman"/>
        </w:rPr>
        <w:t>、PM</w:t>
      </w:r>
      <w:r>
        <w:rPr>
          <w:rFonts w:hint="default" w:ascii="Times New Roman" w:hAnsi="Times New Roman" w:cs="Times New Roman"/>
          <w:vertAlign w:val="subscript"/>
        </w:rPr>
        <w:t>10</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。具体数据见下表。</w:t>
      </w: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3</w:t>
      </w:r>
      <w:r>
        <w:fldChar w:fldCharType="end"/>
      </w:r>
      <w:r>
        <w:rPr>
          <w:rFonts w:hint="eastAsia"/>
          <w:lang w:val="en-US" w:eastAsia="zh-CN"/>
        </w:rPr>
        <w:t xml:space="preserve">  </w:t>
      </w:r>
      <w:r>
        <w:rPr>
          <w:rFonts w:hint="default" w:ascii="Times New Roman" w:hAnsi="Times New Roman" w:cs="Times New Roman"/>
          <w:b/>
          <w:sz w:val="21"/>
          <w:szCs w:val="21"/>
        </w:rPr>
        <w:t xml:space="preserve"> 201</w:t>
      </w:r>
      <w:r>
        <w:rPr>
          <w:rFonts w:hint="default" w:ascii="Times New Roman" w:hAnsi="Times New Roman" w:cs="Times New Roman"/>
          <w:b/>
          <w:sz w:val="21"/>
          <w:szCs w:val="21"/>
          <w:lang w:val="en-US" w:eastAsia="zh-CN"/>
        </w:rPr>
        <w:t>8</w:t>
      </w:r>
      <w:r>
        <w:rPr>
          <w:rFonts w:hint="eastAsia" w:ascii="Times New Roman" w:hAnsi="Times New Roman" w:cs="Times New Roman"/>
          <w:b/>
          <w:sz w:val="21"/>
          <w:szCs w:val="21"/>
          <w:lang w:val="en-US" w:eastAsia="zh-CN"/>
        </w:rPr>
        <w:t>和2019</w:t>
      </w:r>
      <w:r>
        <w:rPr>
          <w:rFonts w:hint="default" w:ascii="Times New Roman" w:hAnsi="Times New Roman" w:cs="Times New Roman"/>
          <w:b/>
          <w:sz w:val="21"/>
          <w:szCs w:val="21"/>
        </w:rPr>
        <w:t>年度澧县环境控制质量状况统计表</w:t>
      </w:r>
    </w:p>
    <w:tbl>
      <w:tblPr>
        <w:tblStyle w:val="17"/>
        <w:tblW w:w="8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995"/>
        <w:gridCol w:w="1158"/>
        <w:gridCol w:w="1158"/>
        <w:gridCol w:w="1158"/>
        <w:gridCol w:w="1158"/>
        <w:gridCol w:w="1158"/>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91" w:type="dxa"/>
            <w:vMerge w:val="restart"/>
            <w:noWrap w:val="0"/>
            <w:vAlign w:val="center"/>
          </w:tcPr>
          <w:p>
            <w:pPr>
              <w:pStyle w:val="8"/>
              <w:bidi w:val="0"/>
              <w:rPr>
                <w:rFonts w:hint="default"/>
              </w:rPr>
            </w:pPr>
            <w:r>
              <w:rPr>
                <w:rFonts w:hint="default"/>
              </w:rPr>
              <w:t>城市</w:t>
            </w:r>
          </w:p>
        </w:tc>
        <w:tc>
          <w:tcPr>
            <w:tcW w:w="995" w:type="dxa"/>
            <w:vMerge w:val="restart"/>
            <w:noWrap w:val="0"/>
            <w:vAlign w:val="center"/>
          </w:tcPr>
          <w:p>
            <w:pPr>
              <w:pStyle w:val="8"/>
              <w:bidi w:val="0"/>
              <w:rPr>
                <w:rFonts w:hint="default"/>
              </w:rPr>
            </w:pPr>
            <w:r>
              <w:rPr>
                <w:rFonts w:hint="default"/>
              </w:rPr>
              <w:t>时间</w:t>
            </w:r>
          </w:p>
        </w:tc>
        <w:tc>
          <w:tcPr>
            <w:tcW w:w="6952" w:type="dxa"/>
            <w:gridSpan w:val="6"/>
            <w:noWrap w:val="0"/>
            <w:vAlign w:val="center"/>
          </w:tcPr>
          <w:p>
            <w:pPr>
              <w:pStyle w:val="8"/>
              <w:bidi w:val="0"/>
              <w:rPr>
                <w:rFonts w:hint="default"/>
              </w:rPr>
            </w:pPr>
            <w:r>
              <w:rPr>
                <w:rFonts w:hint="default"/>
              </w:rPr>
              <w:t>首要污染物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91" w:type="dxa"/>
            <w:vMerge w:val="continue"/>
            <w:noWrap w:val="0"/>
            <w:vAlign w:val="center"/>
          </w:tcPr>
          <w:p>
            <w:pPr>
              <w:pStyle w:val="8"/>
              <w:bidi w:val="0"/>
              <w:rPr>
                <w:rFonts w:hint="default"/>
              </w:rPr>
            </w:pPr>
          </w:p>
        </w:tc>
        <w:tc>
          <w:tcPr>
            <w:tcW w:w="995" w:type="dxa"/>
            <w:vMerge w:val="continue"/>
            <w:noWrap w:val="0"/>
            <w:vAlign w:val="center"/>
          </w:tcPr>
          <w:p>
            <w:pPr>
              <w:pStyle w:val="8"/>
              <w:bidi w:val="0"/>
              <w:rPr>
                <w:rFonts w:hint="default"/>
              </w:rPr>
            </w:pPr>
          </w:p>
        </w:tc>
        <w:tc>
          <w:tcPr>
            <w:tcW w:w="1158" w:type="dxa"/>
            <w:noWrap w:val="0"/>
            <w:vAlign w:val="center"/>
          </w:tcPr>
          <w:p>
            <w:pPr>
              <w:pStyle w:val="8"/>
              <w:bidi w:val="0"/>
              <w:rPr>
                <w:rFonts w:hint="default"/>
              </w:rPr>
            </w:pPr>
            <w:r>
              <w:rPr>
                <w:rFonts w:hint="default"/>
              </w:rPr>
              <w:t>SO</w:t>
            </w:r>
            <w:r>
              <w:rPr>
                <w:rFonts w:hint="default"/>
                <w:vertAlign w:val="subscript"/>
              </w:rPr>
              <w:t>2</w:t>
            </w:r>
          </w:p>
        </w:tc>
        <w:tc>
          <w:tcPr>
            <w:tcW w:w="1158" w:type="dxa"/>
            <w:noWrap w:val="0"/>
            <w:vAlign w:val="center"/>
          </w:tcPr>
          <w:p>
            <w:pPr>
              <w:pStyle w:val="8"/>
              <w:bidi w:val="0"/>
              <w:rPr>
                <w:rFonts w:hint="default"/>
              </w:rPr>
            </w:pPr>
            <w:r>
              <w:rPr>
                <w:rFonts w:hint="default"/>
              </w:rPr>
              <w:t>NO</w:t>
            </w:r>
            <w:r>
              <w:rPr>
                <w:rFonts w:hint="default"/>
                <w:vertAlign w:val="subscript"/>
              </w:rPr>
              <w:t>2</w:t>
            </w:r>
          </w:p>
        </w:tc>
        <w:tc>
          <w:tcPr>
            <w:tcW w:w="1158" w:type="dxa"/>
            <w:noWrap w:val="0"/>
            <w:vAlign w:val="center"/>
          </w:tcPr>
          <w:p>
            <w:pPr>
              <w:pStyle w:val="8"/>
              <w:bidi w:val="0"/>
              <w:rPr>
                <w:rFonts w:hint="default"/>
              </w:rPr>
            </w:pPr>
            <w:r>
              <w:rPr>
                <w:rFonts w:hint="default"/>
              </w:rPr>
              <w:t>PM</w:t>
            </w:r>
            <w:r>
              <w:rPr>
                <w:rFonts w:hint="default"/>
                <w:vertAlign w:val="subscript"/>
              </w:rPr>
              <w:t>10</w:t>
            </w:r>
          </w:p>
        </w:tc>
        <w:tc>
          <w:tcPr>
            <w:tcW w:w="1158" w:type="dxa"/>
            <w:noWrap w:val="0"/>
            <w:vAlign w:val="center"/>
          </w:tcPr>
          <w:p>
            <w:pPr>
              <w:pStyle w:val="8"/>
              <w:bidi w:val="0"/>
              <w:rPr>
                <w:rFonts w:hint="default"/>
              </w:rPr>
            </w:pPr>
            <w:r>
              <w:rPr>
                <w:rFonts w:hint="default"/>
              </w:rPr>
              <w:t>PM</w:t>
            </w:r>
            <w:r>
              <w:rPr>
                <w:rFonts w:hint="default"/>
                <w:vertAlign w:val="subscript"/>
              </w:rPr>
              <w:t>2.5</w:t>
            </w:r>
          </w:p>
        </w:tc>
        <w:tc>
          <w:tcPr>
            <w:tcW w:w="1158" w:type="dxa"/>
            <w:noWrap w:val="0"/>
            <w:vAlign w:val="center"/>
          </w:tcPr>
          <w:p>
            <w:pPr>
              <w:pStyle w:val="8"/>
              <w:bidi w:val="0"/>
              <w:rPr>
                <w:rFonts w:hint="default"/>
              </w:rPr>
            </w:pPr>
            <w:r>
              <w:rPr>
                <w:rFonts w:hint="default"/>
              </w:rPr>
              <w:t>CO</w:t>
            </w:r>
          </w:p>
        </w:tc>
        <w:tc>
          <w:tcPr>
            <w:tcW w:w="1162" w:type="dxa"/>
            <w:noWrap w:val="0"/>
            <w:vAlign w:val="center"/>
          </w:tcPr>
          <w:p>
            <w:pPr>
              <w:pStyle w:val="8"/>
              <w:bidi w:val="0"/>
              <w:rPr>
                <w:rFonts w:hint="default"/>
              </w:rPr>
            </w:pPr>
            <w:r>
              <w:rPr>
                <w:rFonts w:hint="default"/>
              </w:rPr>
              <w:t>O</w:t>
            </w:r>
            <w:r>
              <w:rPr>
                <w:rFonts w:hint="default"/>
                <w:vertAlign w:val="subscript"/>
              </w:rPr>
              <w:t>3</w:t>
            </w:r>
            <w:r>
              <w:rPr>
                <w:rFonts w:hint="default"/>
              </w:rPr>
              <w:t>(8小时)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91" w:type="dxa"/>
            <w:vMerge w:val="continue"/>
            <w:noWrap w:val="0"/>
            <w:vAlign w:val="center"/>
          </w:tcPr>
          <w:p>
            <w:pPr>
              <w:pStyle w:val="8"/>
              <w:bidi w:val="0"/>
              <w:rPr>
                <w:rFonts w:hint="default"/>
              </w:rPr>
            </w:pPr>
          </w:p>
        </w:tc>
        <w:tc>
          <w:tcPr>
            <w:tcW w:w="995" w:type="dxa"/>
            <w:vMerge w:val="continue"/>
            <w:noWrap w:val="0"/>
            <w:vAlign w:val="center"/>
          </w:tcPr>
          <w:p>
            <w:pPr>
              <w:pStyle w:val="8"/>
              <w:bidi w:val="0"/>
              <w:rPr>
                <w:rFonts w:hint="default"/>
              </w:rPr>
            </w:pPr>
          </w:p>
        </w:tc>
        <w:tc>
          <w:tcPr>
            <w:tcW w:w="1158" w:type="dxa"/>
            <w:noWrap w:val="0"/>
            <w:vAlign w:val="center"/>
          </w:tcPr>
          <w:p>
            <w:pPr>
              <w:pStyle w:val="8"/>
              <w:bidi w:val="0"/>
              <w:rPr>
                <w:rFonts w:hint="default"/>
              </w:rPr>
            </w:pPr>
            <w:r>
              <w:rPr>
                <w:rFonts w:hint="default"/>
              </w:rPr>
              <w:t>μg/m</w:t>
            </w:r>
            <w:r>
              <w:rPr>
                <w:rFonts w:hint="default"/>
                <w:vertAlign w:val="superscript"/>
              </w:rPr>
              <w:t>3</w:t>
            </w:r>
          </w:p>
        </w:tc>
        <w:tc>
          <w:tcPr>
            <w:tcW w:w="1158" w:type="dxa"/>
            <w:noWrap w:val="0"/>
            <w:vAlign w:val="center"/>
          </w:tcPr>
          <w:p>
            <w:pPr>
              <w:pStyle w:val="8"/>
              <w:bidi w:val="0"/>
              <w:rPr>
                <w:rFonts w:hint="default"/>
              </w:rPr>
            </w:pPr>
            <w:r>
              <w:rPr>
                <w:rFonts w:hint="default"/>
              </w:rPr>
              <w:t>μg/m</w:t>
            </w:r>
            <w:r>
              <w:rPr>
                <w:rFonts w:hint="default"/>
                <w:vertAlign w:val="superscript"/>
              </w:rPr>
              <w:t>3</w:t>
            </w:r>
          </w:p>
        </w:tc>
        <w:tc>
          <w:tcPr>
            <w:tcW w:w="1158" w:type="dxa"/>
            <w:noWrap w:val="0"/>
            <w:vAlign w:val="center"/>
          </w:tcPr>
          <w:p>
            <w:pPr>
              <w:pStyle w:val="8"/>
              <w:bidi w:val="0"/>
              <w:rPr>
                <w:rFonts w:hint="default"/>
              </w:rPr>
            </w:pPr>
            <w:r>
              <w:rPr>
                <w:rFonts w:hint="default"/>
              </w:rPr>
              <w:t>μg/m</w:t>
            </w:r>
            <w:r>
              <w:rPr>
                <w:rFonts w:hint="default"/>
                <w:vertAlign w:val="superscript"/>
              </w:rPr>
              <w:t>3</w:t>
            </w:r>
          </w:p>
        </w:tc>
        <w:tc>
          <w:tcPr>
            <w:tcW w:w="1158" w:type="dxa"/>
            <w:noWrap w:val="0"/>
            <w:vAlign w:val="center"/>
          </w:tcPr>
          <w:p>
            <w:pPr>
              <w:pStyle w:val="8"/>
              <w:bidi w:val="0"/>
              <w:rPr>
                <w:rFonts w:hint="default"/>
              </w:rPr>
            </w:pPr>
            <w:r>
              <w:rPr>
                <w:rFonts w:hint="default"/>
              </w:rPr>
              <w:t>μg/m</w:t>
            </w:r>
            <w:r>
              <w:rPr>
                <w:rFonts w:hint="default"/>
                <w:vertAlign w:val="superscript"/>
              </w:rPr>
              <w:t>3</w:t>
            </w:r>
          </w:p>
        </w:tc>
        <w:tc>
          <w:tcPr>
            <w:tcW w:w="1158" w:type="dxa"/>
            <w:noWrap w:val="0"/>
            <w:vAlign w:val="center"/>
          </w:tcPr>
          <w:p>
            <w:pPr>
              <w:pStyle w:val="8"/>
              <w:bidi w:val="0"/>
              <w:rPr>
                <w:rFonts w:hint="default"/>
              </w:rPr>
            </w:pPr>
            <w:r>
              <w:rPr>
                <w:rFonts w:hint="default"/>
              </w:rPr>
              <w:t>mg/m</w:t>
            </w:r>
            <w:r>
              <w:rPr>
                <w:rFonts w:hint="default"/>
                <w:vertAlign w:val="superscript"/>
              </w:rPr>
              <w:t>3</w:t>
            </w:r>
            <w:r>
              <w:rPr>
                <w:rFonts w:hint="default"/>
              </w:rPr>
              <w:t>(95百分位)</w:t>
            </w:r>
          </w:p>
        </w:tc>
        <w:tc>
          <w:tcPr>
            <w:tcW w:w="1162" w:type="dxa"/>
            <w:noWrap w:val="0"/>
            <w:vAlign w:val="center"/>
          </w:tcPr>
          <w:p>
            <w:pPr>
              <w:pStyle w:val="8"/>
              <w:bidi w:val="0"/>
              <w:rPr>
                <w:rFonts w:hint="default"/>
              </w:rPr>
            </w:pPr>
            <w:r>
              <w:rPr>
                <w:rFonts w:hint="default"/>
              </w:rPr>
              <w:t>μg/m</w:t>
            </w:r>
            <w:r>
              <w:rPr>
                <w:rFonts w:hint="default"/>
                <w:vertAlign w:val="superscript"/>
              </w:rPr>
              <w:t>3</w:t>
            </w:r>
            <w:r>
              <w:rPr>
                <w:rFonts w:hint="default"/>
              </w:rPr>
              <w:t>(90百分位)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91" w:type="dxa"/>
            <w:vMerge w:val="restart"/>
            <w:noWrap w:val="0"/>
            <w:vAlign w:val="center"/>
          </w:tcPr>
          <w:p>
            <w:pPr>
              <w:pStyle w:val="8"/>
              <w:bidi w:val="0"/>
              <w:rPr>
                <w:rFonts w:hint="default"/>
              </w:rPr>
            </w:pPr>
            <w:r>
              <w:rPr>
                <w:rFonts w:hint="default"/>
              </w:rPr>
              <w:t>澧县</w:t>
            </w:r>
          </w:p>
        </w:tc>
        <w:tc>
          <w:tcPr>
            <w:tcW w:w="995" w:type="dxa"/>
            <w:noWrap w:val="0"/>
            <w:vAlign w:val="center"/>
          </w:tcPr>
          <w:p>
            <w:pPr>
              <w:pStyle w:val="8"/>
              <w:bidi w:val="0"/>
              <w:rPr>
                <w:rFonts w:hint="default"/>
              </w:rPr>
            </w:pPr>
            <w:r>
              <w:rPr>
                <w:rFonts w:hint="default"/>
              </w:rPr>
              <w:t>2018年</w:t>
            </w:r>
          </w:p>
        </w:tc>
        <w:tc>
          <w:tcPr>
            <w:tcW w:w="1158" w:type="dxa"/>
            <w:noWrap w:val="0"/>
            <w:vAlign w:val="center"/>
          </w:tcPr>
          <w:p>
            <w:pPr>
              <w:pStyle w:val="8"/>
              <w:bidi w:val="0"/>
              <w:rPr>
                <w:rFonts w:hint="default"/>
              </w:rPr>
            </w:pPr>
            <w:r>
              <w:rPr>
                <w:rFonts w:hint="default"/>
              </w:rPr>
              <w:t>3~30</w:t>
            </w:r>
          </w:p>
        </w:tc>
        <w:tc>
          <w:tcPr>
            <w:tcW w:w="1158" w:type="dxa"/>
            <w:noWrap w:val="0"/>
            <w:vAlign w:val="center"/>
          </w:tcPr>
          <w:p>
            <w:pPr>
              <w:pStyle w:val="8"/>
              <w:bidi w:val="0"/>
              <w:rPr>
                <w:rFonts w:hint="default"/>
              </w:rPr>
            </w:pPr>
            <w:r>
              <w:rPr>
                <w:rFonts w:hint="default"/>
              </w:rPr>
              <w:t>3~41</w:t>
            </w:r>
          </w:p>
        </w:tc>
        <w:tc>
          <w:tcPr>
            <w:tcW w:w="1158" w:type="dxa"/>
            <w:noWrap w:val="0"/>
            <w:vAlign w:val="center"/>
          </w:tcPr>
          <w:p>
            <w:pPr>
              <w:pStyle w:val="8"/>
              <w:bidi w:val="0"/>
              <w:rPr>
                <w:rFonts w:hint="default"/>
              </w:rPr>
            </w:pPr>
            <w:r>
              <w:rPr>
                <w:rFonts w:hint="default"/>
              </w:rPr>
              <w:t>20~213</w:t>
            </w:r>
          </w:p>
        </w:tc>
        <w:tc>
          <w:tcPr>
            <w:tcW w:w="1158" w:type="dxa"/>
            <w:noWrap w:val="0"/>
            <w:vAlign w:val="center"/>
          </w:tcPr>
          <w:p>
            <w:pPr>
              <w:pStyle w:val="8"/>
              <w:bidi w:val="0"/>
              <w:rPr>
                <w:rFonts w:hint="default"/>
              </w:rPr>
            </w:pPr>
            <w:r>
              <w:rPr>
                <w:rFonts w:hint="default"/>
              </w:rPr>
              <w:t>6~173</w:t>
            </w:r>
          </w:p>
        </w:tc>
        <w:tc>
          <w:tcPr>
            <w:tcW w:w="1158" w:type="dxa"/>
            <w:noWrap w:val="0"/>
            <w:vAlign w:val="center"/>
          </w:tcPr>
          <w:p>
            <w:pPr>
              <w:pStyle w:val="8"/>
              <w:bidi w:val="0"/>
              <w:rPr>
                <w:rFonts w:hint="default"/>
              </w:rPr>
            </w:pPr>
            <w:r>
              <w:rPr>
                <w:rFonts w:hint="default"/>
              </w:rPr>
              <w:t>0.5~1.6</w:t>
            </w:r>
          </w:p>
        </w:tc>
        <w:tc>
          <w:tcPr>
            <w:tcW w:w="1162" w:type="dxa"/>
            <w:noWrap w:val="0"/>
            <w:vAlign w:val="center"/>
          </w:tcPr>
          <w:p>
            <w:pPr>
              <w:pStyle w:val="8"/>
              <w:bidi w:val="0"/>
              <w:rPr>
                <w:rFonts w:hint="default"/>
              </w:rPr>
            </w:pPr>
            <w:r>
              <w:rPr>
                <w:rFonts w:hint="default"/>
              </w:rPr>
              <w:t>17~176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91" w:type="dxa"/>
            <w:vMerge w:val="continue"/>
            <w:noWrap w:val="0"/>
            <w:vAlign w:val="center"/>
          </w:tcPr>
          <w:p>
            <w:pPr>
              <w:pStyle w:val="8"/>
              <w:bidi w:val="0"/>
              <w:rPr>
                <w:rFonts w:hint="default"/>
              </w:rPr>
            </w:pPr>
          </w:p>
        </w:tc>
        <w:tc>
          <w:tcPr>
            <w:tcW w:w="995" w:type="dxa"/>
            <w:noWrap w:val="0"/>
            <w:vAlign w:val="center"/>
          </w:tcPr>
          <w:p>
            <w:pPr>
              <w:pStyle w:val="8"/>
              <w:bidi w:val="0"/>
              <w:rPr>
                <w:rFonts w:hint="default"/>
                <w:lang w:val="en-US" w:eastAsia="zh-CN"/>
              </w:rPr>
            </w:pPr>
            <w:r>
              <w:rPr>
                <w:rFonts w:hint="eastAsia"/>
                <w:lang w:val="en-US" w:eastAsia="zh-CN"/>
              </w:rPr>
              <w:t>2019年</w:t>
            </w:r>
          </w:p>
        </w:tc>
        <w:tc>
          <w:tcPr>
            <w:tcW w:w="1158" w:type="dxa"/>
            <w:noWrap w:val="0"/>
            <w:vAlign w:val="center"/>
          </w:tcPr>
          <w:p>
            <w:pPr>
              <w:pStyle w:val="8"/>
              <w:bidi w:val="0"/>
              <w:rPr>
                <w:rFonts w:hint="default"/>
                <w:lang w:val="en-US" w:eastAsia="zh-CN"/>
              </w:rPr>
            </w:pPr>
            <w:r>
              <w:rPr>
                <w:rFonts w:hint="eastAsia"/>
                <w:lang w:val="en-US" w:eastAsia="zh-CN"/>
              </w:rPr>
              <w:t>3~28</w:t>
            </w:r>
          </w:p>
        </w:tc>
        <w:tc>
          <w:tcPr>
            <w:tcW w:w="1158" w:type="dxa"/>
            <w:noWrap w:val="0"/>
            <w:vAlign w:val="center"/>
          </w:tcPr>
          <w:p>
            <w:pPr>
              <w:pStyle w:val="8"/>
              <w:bidi w:val="0"/>
              <w:rPr>
                <w:rFonts w:hint="default"/>
                <w:lang w:val="en-US" w:eastAsia="zh-CN"/>
              </w:rPr>
            </w:pPr>
            <w:r>
              <w:rPr>
                <w:rFonts w:hint="eastAsia"/>
                <w:lang w:val="en-US" w:eastAsia="zh-CN"/>
              </w:rPr>
              <w:t>2~44</w:t>
            </w:r>
          </w:p>
        </w:tc>
        <w:tc>
          <w:tcPr>
            <w:tcW w:w="1158" w:type="dxa"/>
            <w:noWrap w:val="0"/>
            <w:vAlign w:val="center"/>
          </w:tcPr>
          <w:p>
            <w:pPr>
              <w:pStyle w:val="8"/>
              <w:bidi w:val="0"/>
              <w:rPr>
                <w:rFonts w:hint="default"/>
                <w:lang w:val="en-US" w:eastAsia="zh-CN"/>
              </w:rPr>
            </w:pPr>
            <w:r>
              <w:rPr>
                <w:rFonts w:hint="eastAsia"/>
                <w:lang w:val="en-US" w:eastAsia="zh-CN"/>
              </w:rPr>
              <w:t>12~276</w:t>
            </w:r>
          </w:p>
        </w:tc>
        <w:tc>
          <w:tcPr>
            <w:tcW w:w="1158" w:type="dxa"/>
            <w:noWrap w:val="0"/>
            <w:vAlign w:val="center"/>
          </w:tcPr>
          <w:p>
            <w:pPr>
              <w:pStyle w:val="8"/>
              <w:bidi w:val="0"/>
              <w:rPr>
                <w:rFonts w:hint="default"/>
                <w:lang w:val="en-US" w:eastAsia="zh-CN"/>
              </w:rPr>
            </w:pPr>
            <w:r>
              <w:rPr>
                <w:rFonts w:hint="eastAsia"/>
                <w:lang w:val="en-US" w:eastAsia="zh-CN"/>
              </w:rPr>
              <w:t>6~210</w:t>
            </w:r>
          </w:p>
        </w:tc>
        <w:tc>
          <w:tcPr>
            <w:tcW w:w="1158" w:type="dxa"/>
            <w:noWrap w:val="0"/>
            <w:vAlign w:val="center"/>
          </w:tcPr>
          <w:p>
            <w:pPr>
              <w:pStyle w:val="8"/>
              <w:bidi w:val="0"/>
              <w:rPr>
                <w:rFonts w:hint="default"/>
                <w:lang w:val="en-US" w:eastAsia="zh-CN"/>
              </w:rPr>
            </w:pPr>
            <w:r>
              <w:rPr>
                <w:rFonts w:hint="eastAsia"/>
                <w:lang w:val="en-US" w:eastAsia="zh-CN"/>
              </w:rPr>
              <w:t>0.3~1.4</w:t>
            </w:r>
          </w:p>
        </w:tc>
        <w:tc>
          <w:tcPr>
            <w:tcW w:w="1162" w:type="dxa"/>
            <w:noWrap w:val="0"/>
            <w:vAlign w:val="center"/>
          </w:tcPr>
          <w:p>
            <w:pPr>
              <w:pStyle w:val="8"/>
              <w:bidi w:val="0"/>
              <w:rPr>
                <w:rFonts w:hint="default"/>
                <w:lang w:val="en-US" w:eastAsia="zh-CN"/>
              </w:rPr>
            </w:pPr>
            <w:r>
              <w:rPr>
                <w:rFonts w:hint="eastAsia"/>
                <w:lang w:val="en-US" w:eastAsia="zh-CN"/>
              </w:rPr>
              <w:t>20~195</w:t>
            </w:r>
          </w:p>
        </w:tc>
      </w:tr>
    </w:tbl>
    <w:p>
      <w:pPr>
        <w:spacing w:before="120" w:beforeLines="50" w:line="480" w:lineRule="exact"/>
        <w:jc w:val="center"/>
        <w:rPr>
          <w:rFonts w:hint="default" w:ascii="Times New Roman" w:hAnsi="Times New Roman" w:cs="Times New Roman"/>
          <w:b/>
          <w:sz w:val="21"/>
          <w:szCs w:val="21"/>
        </w:rPr>
      </w:pPr>
      <w:r>
        <w:rPr>
          <w:rFonts w:hint="default" w:ascii="Times New Roman" w:hAnsi="Times New Roman" w:cs="Times New Roman"/>
          <w:b/>
          <w:sz w:val="21"/>
          <w:szCs w:val="21"/>
        </w:rPr>
        <w:t xml:space="preserve">   </w:t>
      </w: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4</w:t>
      </w:r>
      <w:r>
        <w:fldChar w:fldCharType="end"/>
      </w:r>
      <w:r>
        <w:rPr>
          <w:rFonts w:hint="eastAsia"/>
          <w:lang w:val="en-US" w:eastAsia="zh-CN"/>
        </w:rPr>
        <w:t xml:space="preserve">  </w:t>
      </w:r>
      <w:r>
        <w:rPr>
          <w:rFonts w:hint="default" w:ascii="Times New Roman" w:hAnsi="Times New Roman" w:cs="Times New Roman"/>
          <w:b/>
          <w:sz w:val="21"/>
          <w:szCs w:val="21"/>
        </w:rPr>
        <w:t xml:space="preserve"> 201</w:t>
      </w:r>
      <w:r>
        <w:rPr>
          <w:rFonts w:hint="default" w:ascii="Times New Roman" w:hAnsi="Times New Roman" w:cs="Times New Roman"/>
          <w:b/>
          <w:sz w:val="21"/>
          <w:szCs w:val="21"/>
          <w:lang w:val="en-US" w:eastAsia="zh-CN"/>
        </w:rPr>
        <w:t>8</w:t>
      </w:r>
      <w:r>
        <w:rPr>
          <w:rFonts w:hint="eastAsia" w:ascii="Times New Roman" w:hAnsi="Times New Roman" w:cs="Times New Roman"/>
          <w:b/>
          <w:sz w:val="21"/>
          <w:szCs w:val="21"/>
          <w:lang w:val="en-US" w:eastAsia="zh-CN"/>
        </w:rPr>
        <w:t>和2019</w:t>
      </w:r>
      <w:r>
        <w:rPr>
          <w:rFonts w:hint="default" w:ascii="Times New Roman" w:hAnsi="Times New Roman" w:cs="Times New Roman"/>
          <w:b/>
          <w:sz w:val="21"/>
          <w:szCs w:val="21"/>
        </w:rPr>
        <w:t>年度区域空气质量现状评价表</w:t>
      </w:r>
    </w:p>
    <w:tbl>
      <w:tblPr>
        <w:tblStyle w:val="17"/>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3123"/>
        <w:gridCol w:w="1230"/>
        <w:gridCol w:w="1231"/>
        <w:gridCol w:w="1231"/>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89" w:type="dxa"/>
            <w:noWrap w:val="0"/>
            <w:vAlign w:val="center"/>
          </w:tcPr>
          <w:p>
            <w:pPr>
              <w:pStyle w:val="8"/>
              <w:bidi w:val="0"/>
              <w:rPr>
                <w:rFonts w:hint="default"/>
              </w:rPr>
            </w:pPr>
            <w:r>
              <w:rPr>
                <w:rFonts w:hint="default"/>
              </w:rPr>
              <w:t>污染物</w:t>
            </w:r>
          </w:p>
        </w:tc>
        <w:tc>
          <w:tcPr>
            <w:tcW w:w="3123" w:type="dxa"/>
            <w:noWrap w:val="0"/>
            <w:vAlign w:val="center"/>
          </w:tcPr>
          <w:p>
            <w:pPr>
              <w:pStyle w:val="8"/>
              <w:bidi w:val="0"/>
              <w:rPr>
                <w:rFonts w:hint="default"/>
              </w:rPr>
            </w:pPr>
            <w:r>
              <w:rPr>
                <w:rFonts w:hint="default"/>
              </w:rPr>
              <w:t>年评价指标</w:t>
            </w:r>
          </w:p>
        </w:tc>
        <w:tc>
          <w:tcPr>
            <w:tcW w:w="1230" w:type="dxa"/>
            <w:noWrap w:val="0"/>
            <w:vAlign w:val="center"/>
          </w:tcPr>
          <w:p>
            <w:pPr>
              <w:pStyle w:val="8"/>
              <w:bidi w:val="0"/>
              <w:rPr>
                <w:rFonts w:hint="default"/>
              </w:rPr>
            </w:pPr>
            <w:r>
              <w:rPr>
                <w:rFonts w:hint="default"/>
              </w:rPr>
              <w:t>现状浓度（μg/m</w:t>
            </w:r>
            <w:r>
              <w:rPr>
                <w:rFonts w:hint="default"/>
                <w:vertAlign w:val="superscript"/>
              </w:rPr>
              <w:t>3</w:t>
            </w:r>
            <w:r>
              <w:rPr>
                <w:rFonts w:hint="default"/>
              </w:rPr>
              <w:t>）</w:t>
            </w:r>
          </w:p>
        </w:tc>
        <w:tc>
          <w:tcPr>
            <w:tcW w:w="1231" w:type="dxa"/>
            <w:noWrap w:val="0"/>
            <w:vAlign w:val="center"/>
          </w:tcPr>
          <w:p>
            <w:pPr>
              <w:pStyle w:val="8"/>
              <w:bidi w:val="0"/>
              <w:rPr>
                <w:rFonts w:hint="default"/>
              </w:rPr>
            </w:pPr>
            <w:r>
              <w:rPr>
                <w:rFonts w:hint="default"/>
              </w:rPr>
              <w:t>标准值（μg/m</w:t>
            </w:r>
            <w:r>
              <w:rPr>
                <w:rFonts w:hint="default"/>
                <w:vertAlign w:val="superscript"/>
              </w:rPr>
              <w:t>3</w:t>
            </w:r>
            <w:r>
              <w:rPr>
                <w:rFonts w:hint="default"/>
              </w:rPr>
              <w:t>）</w:t>
            </w:r>
          </w:p>
        </w:tc>
        <w:tc>
          <w:tcPr>
            <w:tcW w:w="1231" w:type="dxa"/>
            <w:noWrap w:val="0"/>
            <w:vAlign w:val="center"/>
          </w:tcPr>
          <w:p>
            <w:pPr>
              <w:pStyle w:val="8"/>
              <w:bidi w:val="0"/>
              <w:rPr>
                <w:rFonts w:hint="default"/>
              </w:rPr>
            </w:pPr>
            <w:r>
              <w:rPr>
                <w:rFonts w:hint="default"/>
              </w:rPr>
              <w:t>占标率</w:t>
            </w:r>
          </w:p>
          <w:p>
            <w:pPr>
              <w:pStyle w:val="8"/>
              <w:bidi w:val="0"/>
              <w:rPr>
                <w:rFonts w:hint="default"/>
              </w:rPr>
            </w:pPr>
            <w:r>
              <w:rPr>
                <w:rFonts w:hint="default"/>
              </w:rPr>
              <w:t>（%）</w:t>
            </w:r>
          </w:p>
        </w:tc>
        <w:tc>
          <w:tcPr>
            <w:tcW w:w="1114" w:type="dxa"/>
            <w:noWrap w:val="0"/>
            <w:vAlign w:val="center"/>
          </w:tcPr>
          <w:p>
            <w:pPr>
              <w:pStyle w:val="8"/>
              <w:bidi w:val="0"/>
              <w:rPr>
                <w:rFonts w:hint="default"/>
              </w:rPr>
            </w:pPr>
            <w:r>
              <w:rPr>
                <w:rFonts w:hint="default"/>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89" w:type="dxa"/>
            <w:vMerge w:val="restart"/>
            <w:noWrap w:val="0"/>
            <w:vAlign w:val="center"/>
          </w:tcPr>
          <w:p>
            <w:pPr>
              <w:pStyle w:val="8"/>
              <w:bidi w:val="0"/>
              <w:rPr>
                <w:rFonts w:hint="default"/>
              </w:rPr>
            </w:pPr>
            <w:r>
              <w:rPr>
                <w:rFonts w:hint="default"/>
              </w:rPr>
              <w:t>SO</w:t>
            </w:r>
            <w:r>
              <w:rPr>
                <w:rFonts w:hint="default"/>
                <w:vertAlign w:val="subscript"/>
              </w:rPr>
              <w:t>2</w:t>
            </w:r>
          </w:p>
        </w:tc>
        <w:tc>
          <w:tcPr>
            <w:tcW w:w="3123" w:type="dxa"/>
            <w:noWrap w:val="0"/>
            <w:vAlign w:val="center"/>
          </w:tcPr>
          <w:p>
            <w:pPr>
              <w:pStyle w:val="8"/>
              <w:bidi w:val="0"/>
              <w:rPr>
                <w:rFonts w:hint="default"/>
              </w:rPr>
            </w:pPr>
            <w:r>
              <w:rPr>
                <w:rFonts w:hint="eastAsia"/>
                <w:lang w:val="en-US" w:eastAsia="zh-CN"/>
              </w:rPr>
              <w:t>2018</w:t>
            </w:r>
            <w:r>
              <w:rPr>
                <w:rFonts w:hint="default"/>
              </w:rPr>
              <w:t>年平均质量浓度</w:t>
            </w:r>
          </w:p>
        </w:tc>
        <w:tc>
          <w:tcPr>
            <w:tcW w:w="1230" w:type="dxa"/>
            <w:noWrap w:val="0"/>
            <w:vAlign w:val="center"/>
          </w:tcPr>
          <w:p>
            <w:pPr>
              <w:pStyle w:val="8"/>
              <w:bidi w:val="0"/>
              <w:rPr>
                <w:rFonts w:hint="default"/>
              </w:rPr>
            </w:pPr>
            <w:r>
              <w:rPr>
                <w:rFonts w:hint="default"/>
              </w:rPr>
              <w:t>14</w:t>
            </w:r>
          </w:p>
        </w:tc>
        <w:tc>
          <w:tcPr>
            <w:tcW w:w="1231" w:type="dxa"/>
            <w:vMerge w:val="restart"/>
            <w:noWrap w:val="0"/>
            <w:vAlign w:val="center"/>
          </w:tcPr>
          <w:p>
            <w:pPr>
              <w:pStyle w:val="8"/>
              <w:bidi w:val="0"/>
              <w:rPr>
                <w:rFonts w:hint="default"/>
              </w:rPr>
            </w:pPr>
            <w:r>
              <w:rPr>
                <w:rFonts w:hint="default"/>
              </w:rPr>
              <w:t>60</w:t>
            </w:r>
          </w:p>
        </w:tc>
        <w:tc>
          <w:tcPr>
            <w:tcW w:w="1231" w:type="dxa"/>
            <w:noWrap w:val="0"/>
            <w:vAlign w:val="center"/>
          </w:tcPr>
          <w:p>
            <w:pPr>
              <w:pStyle w:val="8"/>
              <w:bidi w:val="0"/>
              <w:rPr>
                <w:rFonts w:hint="default"/>
              </w:rPr>
            </w:pPr>
            <w:r>
              <w:rPr>
                <w:rFonts w:hint="default"/>
              </w:rPr>
              <w:t>23.3</w:t>
            </w:r>
          </w:p>
        </w:tc>
        <w:tc>
          <w:tcPr>
            <w:tcW w:w="1114" w:type="dxa"/>
            <w:noWrap w:val="0"/>
            <w:vAlign w:val="center"/>
          </w:tcPr>
          <w:p>
            <w:pPr>
              <w:pStyle w:val="8"/>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89" w:type="dxa"/>
            <w:vMerge w:val="continue"/>
            <w:noWrap w:val="0"/>
            <w:vAlign w:val="center"/>
          </w:tcPr>
          <w:p>
            <w:pPr>
              <w:pStyle w:val="8"/>
              <w:bidi w:val="0"/>
              <w:rPr>
                <w:rFonts w:hint="default"/>
              </w:rPr>
            </w:pPr>
          </w:p>
        </w:tc>
        <w:tc>
          <w:tcPr>
            <w:tcW w:w="3123" w:type="dxa"/>
            <w:noWrap w:val="0"/>
            <w:vAlign w:val="center"/>
          </w:tcPr>
          <w:p>
            <w:pPr>
              <w:pStyle w:val="8"/>
              <w:bidi w:val="0"/>
              <w:rPr>
                <w:rFonts w:hint="default"/>
              </w:rPr>
            </w:pPr>
            <w:r>
              <w:rPr>
                <w:rFonts w:hint="eastAsia"/>
                <w:lang w:val="en-US" w:eastAsia="zh-CN"/>
              </w:rPr>
              <w:t>2019</w:t>
            </w:r>
            <w:r>
              <w:rPr>
                <w:rFonts w:hint="default"/>
              </w:rPr>
              <w:t>年平均质量浓度</w:t>
            </w:r>
          </w:p>
        </w:tc>
        <w:tc>
          <w:tcPr>
            <w:tcW w:w="1230" w:type="dxa"/>
            <w:noWrap w:val="0"/>
            <w:vAlign w:val="center"/>
          </w:tcPr>
          <w:p>
            <w:pPr>
              <w:pStyle w:val="8"/>
              <w:bidi w:val="0"/>
              <w:rPr>
                <w:rFonts w:hint="eastAsia"/>
                <w:lang w:val="en-US" w:eastAsia="zh-CN"/>
              </w:rPr>
            </w:pPr>
            <w:r>
              <w:rPr>
                <w:rFonts w:hint="eastAsia"/>
                <w:lang w:val="en-US" w:eastAsia="zh-CN"/>
              </w:rPr>
              <w:t>8</w:t>
            </w:r>
          </w:p>
        </w:tc>
        <w:tc>
          <w:tcPr>
            <w:tcW w:w="1231" w:type="dxa"/>
            <w:vMerge w:val="continue"/>
            <w:noWrap w:val="0"/>
            <w:vAlign w:val="center"/>
          </w:tcPr>
          <w:p>
            <w:pPr>
              <w:pStyle w:val="8"/>
              <w:bidi w:val="0"/>
              <w:rPr>
                <w:rFonts w:hint="default"/>
              </w:rPr>
            </w:pPr>
          </w:p>
        </w:tc>
        <w:tc>
          <w:tcPr>
            <w:tcW w:w="1231" w:type="dxa"/>
            <w:noWrap w:val="0"/>
            <w:vAlign w:val="center"/>
          </w:tcPr>
          <w:p>
            <w:pPr>
              <w:pStyle w:val="8"/>
              <w:bidi w:val="0"/>
              <w:rPr>
                <w:rFonts w:hint="eastAsia"/>
                <w:lang w:val="en-US" w:eastAsia="zh-CN"/>
              </w:rPr>
            </w:pPr>
            <w:r>
              <w:rPr>
                <w:rFonts w:hint="eastAsia"/>
                <w:lang w:val="en-US" w:eastAsia="zh-CN"/>
              </w:rPr>
              <w:t>/</w:t>
            </w:r>
          </w:p>
        </w:tc>
        <w:tc>
          <w:tcPr>
            <w:tcW w:w="1114" w:type="dxa"/>
            <w:noWrap w:val="0"/>
            <w:vAlign w:val="center"/>
          </w:tcPr>
          <w:p>
            <w:pPr>
              <w:pStyle w:val="8"/>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89" w:type="dxa"/>
            <w:vMerge w:val="restart"/>
            <w:noWrap w:val="0"/>
            <w:vAlign w:val="center"/>
          </w:tcPr>
          <w:p>
            <w:pPr>
              <w:pStyle w:val="8"/>
              <w:bidi w:val="0"/>
              <w:rPr>
                <w:rFonts w:hint="default"/>
              </w:rPr>
            </w:pPr>
            <w:r>
              <w:rPr>
                <w:rFonts w:hint="default"/>
              </w:rPr>
              <w:t>NO</w:t>
            </w:r>
            <w:r>
              <w:rPr>
                <w:rFonts w:hint="default"/>
                <w:vertAlign w:val="subscript"/>
              </w:rPr>
              <w:t>2</w:t>
            </w:r>
          </w:p>
        </w:tc>
        <w:tc>
          <w:tcPr>
            <w:tcW w:w="3123" w:type="dxa"/>
            <w:noWrap w:val="0"/>
            <w:vAlign w:val="center"/>
          </w:tcPr>
          <w:p>
            <w:pPr>
              <w:pStyle w:val="8"/>
              <w:bidi w:val="0"/>
              <w:rPr>
                <w:rFonts w:hint="default"/>
              </w:rPr>
            </w:pPr>
            <w:r>
              <w:rPr>
                <w:rFonts w:hint="eastAsia"/>
                <w:lang w:val="en-US" w:eastAsia="zh-CN"/>
              </w:rPr>
              <w:t>2018</w:t>
            </w:r>
            <w:r>
              <w:rPr>
                <w:rFonts w:hint="default"/>
              </w:rPr>
              <w:t>年平均质量浓度</w:t>
            </w:r>
          </w:p>
        </w:tc>
        <w:tc>
          <w:tcPr>
            <w:tcW w:w="1230" w:type="dxa"/>
            <w:noWrap w:val="0"/>
            <w:vAlign w:val="center"/>
          </w:tcPr>
          <w:p>
            <w:pPr>
              <w:pStyle w:val="8"/>
              <w:bidi w:val="0"/>
              <w:rPr>
                <w:rFonts w:hint="default"/>
              </w:rPr>
            </w:pPr>
            <w:r>
              <w:rPr>
                <w:rFonts w:hint="default"/>
              </w:rPr>
              <w:t>15</w:t>
            </w:r>
          </w:p>
        </w:tc>
        <w:tc>
          <w:tcPr>
            <w:tcW w:w="1231" w:type="dxa"/>
            <w:vMerge w:val="restart"/>
            <w:noWrap w:val="0"/>
            <w:vAlign w:val="center"/>
          </w:tcPr>
          <w:p>
            <w:pPr>
              <w:pStyle w:val="8"/>
              <w:bidi w:val="0"/>
              <w:rPr>
                <w:rFonts w:hint="default"/>
              </w:rPr>
            </w:pPr>
            <w:r>
              <w:rPr>
                <w:rFonts w:hint="default"/>
              </w:rPr>
              <w:t>40</w:t>
            </w:r>
          </w:p>
        </w:tc>
        <w:tc>
          <w:tcPr>
            <w:tcW w:w="1231" w:type="dxa"/>
            <w:noWrap w:val="0"/>
            <w:vAlign w:val="center"/>
          </w:tcPr>
          <w:p>
            <w:pPr>
              <w:pStyle w:val="8"/>
              <w:bidi w:val="0"/>
              <w:rPr>
                <w:rFonts w:hint="default"/>
              </w:rPr>
            </w:pPr>
            <w:r>
              <w:rPr>
                <w:rFonts w:hint="default"/>
              </w:rPr>
              <w:t>37.5</w:t>
            </w:r>
          </w:p>
        </w:tc>
        <w:tc>
          <w:tcPr>
            <w:tcW w:w="1114" w:type="dxa"/>
            <w:noWrap w:val="0"/>
            <w:vAlign w:val="center"/>
          </w:tcPr>
          <w:p>
            <w:pPr>
              <w:pStyle w:val="8"/>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89" w:type="dxa"/>
            <w:vMerge w:val="continue"/>
            <w:noWrap w:val="0"/>
            <w:vAlign w:val="center"/>
          </w:tcPr>
          <w:p>
            <w:pPr>
              <w:pStyle w:val="8"/>
              <w:bidi w:val="0"/>
              <w:rPr>
                <w:rFonts w:hint="default"/>
              </w:rPr>
            </w:pPr>
          </w:p>
        </w:tc>
        <w:tc>
          <w:tcPr>
            <w:tcW w:w="3123" w:type="dxa"/>
            <w:noWrap w:val="0"/>
            <w:vAlign w:val="center"/>
          </w:tcPr>
          <w:p>
            <w:pPr>
              <w:pStyle w:val="8"/>
              <w:bidi w:val="0"/>
              <w:rPr>
                <w:rFonts w:hint="default"/>
              </w:rPr>
            </w:pPr>
            <w:r>
              <w:rPr>
                <w:rFonts w:hint="eastAsia"/>
                <w:lang w:val="en-US" w:eastAsia="zh-CN"/>
              </w:rPr>
              <w:t>2019</w:t>
            </w:r>
            <w:r>
              <w:rPr>
                <w:rFonts w:hint="default"/>
              </w:rPr>
              <w:t>年平均质量浓度</w:t>
            </w:r>
          </w:p>
        </w:tc>
        <w:tc>
          <w:tcPr>
            <w:tcW w:w="1230" w:type="dxa"/>
            <w:noWrap w:val="0"/>
            <w:vAlign w:val="center"/>
          </w:tcPr>
          <w:p>
            <w:pPr>
              <w:pStyle w:val="8"/>
              <w:bidi w:val="0"/>
              <w:rPr>
                <w:rFonts w:hint="default"/>
                <w:lang w:val="en-US" w:eastAsia="zh-CN"/>
              </w:rPr>
            </w:pPr>
            <w:r>
              <w:rPr>
                <w:rFonts w:hint="eastAsia"/>
                <w:lang w:val="en-US" w:eastAsia="zh-CN"/>
              </w:rPr>
              <w:t>16</w:t>
            </w:r>
          </w:p>
        </w:tc>
        <w:tc>
          <w:tcPr>
            <w:tcW w:w="1231" w:type="dxa"/>
            <w:vMerge w:val="continue"/>
            <w:noWrap w:val="0"/>
            <w:vAlign w:val="center"/>
          </w:tcPr>
          <w:p>
            <w:pPr>
              <w:pStyle w:val="8"/>
              <w:bidi w:val="0"/>
              <w:rPr>
                <w:rFonts w:hint="default"/>
              </w:rPr>
            </w:pPr>
          </w:p>
        </w:tc>
        <w:tc>
          <w:tcPr>
            <w:tcW w:w="1231" w:type="dxa"/>
            <w:noWrap w:val="0"/>
            <w:vAlign w:val="center"/>
          </w:tcPr>
          <w:p>
            <w:pPr>
              <w:pStyle w:val="8"/>
              <w:bidi w:val="0"/>
              <w:rPr>
                <w:rFonts w:hint="eastAsia"/>
                <w:lang w:val="en-US" w:eastAsia="zh-CN"/>
              </w:rPr>
            </w:pPr>
            <w:r>
              <w:rPr>
                <w:rFonts w:hint="eastAsia"/>
                <w:lang w:val="en-US" w:eastAsia="zh-CN"/>
              </w:rPr>
              <w:t>/</w:t>
            </w:r>
          </w:p>
        </w:tc>
        <w:tc>
          <w:tcPr>
            <w:tcW w:w="1114" w:type="dxa"/>
            <w:noWrap w:val="0"/>
            <w:vAlign w:val="center"/>
          </w:tcPr>
          <w:p>
            <w:pPr>
              <w:pStyle w:val="8"/>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89" w:type="dxa"/>
            <w:vMerge w:val="restart"/>
            <w:noWrap w:val="0"/>
            <w:vAlign w:val="center"/>
          </w:tcPr>
          <w:p>
            <w:pPr>
              <w:pStyle w:val="8"/>
              <w:bidi w:val="0"/>
              <w:rPr>
                <w:rFonts w:hint="default"/>
              </w:rPr>
            </w:pPr>
            <w:r>
              <w:rPr>
                <w:rFonts w:hint="default"/>
              </w:rPr>
              <w:t>PM</w:t>
            </w:r>
            <w:r>
              <w:rPr>
                <w:rFonts w:hint="default"/>
                <w:vertAlign w:val="subscript"/>
              </w:rPr>
              <w:t>10</w:t>
            </w:r>
          </w:p>
        </w:tc>
        <w:tc>
          <w:tcPr>
            <w:tcW w:w="3123" w:type="dxa"/>
            <w:noWrap w:val="0"/>
            <w:vAlign w:val="center"/>
          </w:tcPr>
          <w:p>
            <w:pPr>
              <w:pStyle w:val="8"/>
              <w:bidi w:val="0"/>
              <w:rPr>
                <w:rFonts w:hint="default"/>
              </w:rPr>
            </w:pPr>
            <w:r>
              <w:rPr>
                <w:rFonts w:hint="eastAsia"/>
                <w:lang w:val="en-US" w:eastAsia="zh-CN"/>
              </w:rPr>
              <w:t>2018</w:t>
            </w:r>
            <w:r>
              <w:rPr>
                <w:rFonts w:hint="default"/>
              </w:rPr>
              <w:t>年平均质量浓度</w:t>
            </w:r>
          </w:p>
        </w:tc>
        <w:tc>
          <w:tcPr>
            <w:tcW w:w="1230" w:type="dxa"/>
            <w:noWrap w:val="0"/>
            <w:vAlign w:val="center"/>
          </w:tcPr>
          <w:p>
            <w:pPr>
              <w:pStyle w:val="8"/>
              <w:bidi w:val="0"/>
              <w:rPr>
                <w:rFonts w:hint="default"/>
              </w:rPr>
            </w:pPr>
            <w:r>
              <w:rPr>
                <w:rFonts w:hint="default"/>
              </w:rPr>
              <w:t>74</w:t>
            </w:r>
          </w:p>
        </w:tc>
        <w:tc>
          <w:tcPr>
            <w:tcW w:w="1231" w:type="dxa"/>
            <w:vMerge w:val="restart"/>
            <w:noWrap w:val="0"/>
            <w:vAlign w:val="center"/>
          </w:tcPr>
          <w:p>
            <w:pPr>
              <w:pStyle w:val="8"/>
              <w:bidi w:val="0"/>
              <w:rPr>
                <w:rFonts w:hint="default"/>
              </w:rPr>
            </w:pPr>
            <w:r>
              <w:rPr>
                <w:rFonts w:hint="default"/>
              </w:rPr>
              <w:t>70</w:t>
            </w:r>
          </w:p>
        </w:tc>
        <w:tc>
          <w:tcPr>
            <w:tcW w:w="1231" w:type="dxa"/>
            <w:noWrap w:val="0"/>
            <w:vAlign w:val="center"/>
          </w:tcPr>
          <w:p>
            <w:pPr>
              <w:pStyle w:val="8"/>
              <w:bidi w:val="0"/>
              <w:rPr>
                <w:rFonts w:hint="default"/>
              </w:rPr>
            </w:pPr>
            <w:r>
              <w:rPr>
                <w:rFonts w:hint="default"/>
              </w:rPr>
              <w:t>1.06</w:t>
            </w:r>
          </w:p>
        </w:tc>
        <w:tc>
          <w:tcPr>
            <w:tcW w:w="1114" w:type="dxa"/>
            <w:noWrap w:val="0"/>
            <w:vAlign w:val="center"/>
          </w:tcPr>
          <w:p>
            <w:pPr>
              <w:pStyle w:val="8"/>
              <w:bidi w:val="0"/>
              <w:rPr>
                <w:rFonts w:hint="default"/>
              </w:rPr>
            </w:pPr>
            <w:r>
              <w:rPr>
                <w:rFonts w:hint="eastAsia"/>
                <w:lang w:eastAsia="zh-CN"/>
              </w:rPr>
              <w:t>不</w:t>
            </w: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89" w:type="dxa"/>
            <w:vMerge w:val="continue"/>
            <w:noWrap w:val="0"/>
            <w:vAlign w:val="center"/>
          </w:tcPr>
          <w:p>
            <w:pPr>
              <w:pStyle w:val="8"/>
              <w:bidi w:val="0"/>
              <w:rPr>
                <w:rFonts w:hint="default"/>
              </w:rPr>
            </w:pPr>
          </w:p>
        </w:tc>
        <w:tc>
          <w:tcPr>
            <w:tcW w:w="3123" w:type="dxa"/>
            <w:noWrap w:val="0"/>
            <w:vAlign w:val="center"/>
          </w:tcPr>
          <w:p>
            <w:pPr>
              <w:pStyle w:val="8"/>
              <w:bidi w:val="0"/>
              <w:rPr>
                <w:rFonts w:hint="default"/>
              </w:rPr>
            </w:pPr>
            <w:r>
              <w:rPr>
                <w:rFonts w:hint="eastAsia"/>
                <w:lang w:val="en-US" w:eastAsia="zh-CN"/>
              </w:rPr>
              <w:t>2019</w:t>
            </w:r>
            <w:r>
              <w:rPr>
                <w:rFonts w:hint="default"/>
              </w:rPr>
              <w:t>年平均质量浓度</w:t>
            </w:r>
          </w:p>
        </w:tc>
        <w:tc>
          <w:tcPr>
            <w:tcW w:w="1230" w:type="dxa"/>
            <w:noWrap w:val="0"/>
            <w:vAlign w:val="center"/>
          </w:tcPr>
          <w:p>
            <w:pPr>
              <w:pStyle w:val="8"/>
              <w:bidi w:val="0"/>
              <w:rPr>
                <w:rFonts w:hint="default"/>
                <w:lang w:val="en-US" w:eastAsia="zh-CN"/>
              </w:rPr>
            </w:pPr>
            <w:r>
              <w:rPr>
                <w:rFonts w:hint="eastAsia"/>
                <w:lang w:val="en-US" w:eastAsia="zh-CN"/>
              </w:rPr>
              <w:t>65</w:t>
            </w:r>
          </w:p>
        </w:tc>
        <w:tc>
          <w:tcPr>
            <w:tcW w:w="1231" w:type="dxa"/>
            <w:vMerge w:val="continue"/>
            <w:noWrap w:val="0"/>
            <w:vAlign w:val="center"/>
          </w:tcPr>
          <w:p>
            <w:pPr>
              <w:pStyle w:val="8"/>
              <w:bidi w:val="0"/>
              <w:rPr>
                <w:rFonts w:hint="default"/>
              </w:rPr>
            </w:pPr>
          </w:p>
        </w:tc>
        <w:tc>
          <w:tcPr>
            <w:tcW w:w="1231" w:type="dxa"/>
            <w:noWrap w:val="0"/>
            <w:vAlign w:val="center"/>
          </w:tcPr>
          <w:p>
            <w:pPr>
              <w:pStyle w:val="8"/>
              <w:bidi w:val="0"/>
              <w:rPr>
                <w:rFonts w:hint="eastAsia"/>
                <w:lang w:val="en-US" w:eastAsia="zh-CN"/>
              </w:rPr>
            </w:pPr>
            <w:r>
              <w:rPr>
                <w:rFonts w:hint="eastAsia"/>
                <w:lang w:val="en-US" w:eastAsia="zh-CN"/>
              </w:rPr>
              <w:t>/</w:t>
            </w:r>
          </w:p>
        </w:tc>
        <w:tc>
          <w:tcPr>
            <w:tcW w:w="1114" w:type="dxa"/>
            <w:noWrap w:val="0"/>
            <w:vAlign w:val="center"/>
          </w:tcPr>
          <w:p>
            <w:pPr>
              <w:pStyle w:val="8"/>
              <w:bidi w:val="0"/>
              <w:rPr>
                <w:rFonts w:hint="eastAsia"/>
                <w:lang w:eastAsia="zh-CN"/>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89" w:type="dxa"/>
            <w:vMerge w:val="restart"/>
            <w:noWrap w:val="0"/>
            <w:vAlign w:val="center"/>
          </w:tcPr>
          <w:p>
            <w:pPr>
              <w:pStyle w:val="8"/>
              <w:bidi w:val="0"/>
              <w:rPr>
                <w:rFonts w:hint="default"/>
              </w:rPr>
            </w:pPr>
            <w:r>
              <w:rPr>
                <w:rFonts w:hint="default"/>
              </w:rPr>
              <w:t>PM</w:t>
            </w:r>
            <w:r>
              <w:rPr>
                <w:rFonts w:hint="default"/>
                <w:vertAlign w:val="subscript"/>
              </w:rPr>
              <w:t>2.5</w:t>
            </w:r>
          </w:p>
        </w:tc>
        <w:tc>
          <w:tcPr>
            <w:tcW w:w="3123" w:type="dxa"/>
            <w:noWrap w:val="0"/>
            <w:vAlign w:val="center"/>
          </w:tcPr>
          <w:p>
            <w:pPr>
              <w:pStyle w:val="8"/>
              <w:bidi w:val="0"/>
              <w:rPr>
                <w:rFonts w:hint="default"/>
              </w:rPr>
            </w:pPr>
            <w:r>
              <w:rPr>
                <w:rFonts w:hint="eastAsia"/>
                <w:lang w:val="en-US" w:eastAsia="zh-CN"/>
              </w:rPr>
              <w:t>2018</w:t>
            </w:r>
            <w:r>
              <w:rPr>
                <w:rFonts w:hint="default"/>
              </w:rPr>
              <w:t>年平均质量浓度</w:t>
            </w:r>
          </w:p>
        </w:tc>
        <w:tc>
          <w:tcPr>
            <w:tcW w:w="1230" w:type="dxa"/>
            <w:noWrap w:val="0"/>
            <w:vAlign w:val="center"/>
          </w:tcPr>
          <w:p>
            <w:pPr>
              <w:pStyle w:val="8"/>
              <w:bidi w:val="0"/>
              <w:rPr>
                <w:rFonts w:hint="default"/>
              </w:rPr>
            </w:pPr>
            <w:r>
              <w:rPr>
                <w:rFonts w:hint="default"/>
              </w:rPr>
              <w:t>43</w:t>
            </w:r>
          </w:p>
        </w:tc>
        <w:tc>
          <w:tcPr>
            <w:tcW w:w="1231" w:type="dxa"/>
            <w:vMerge w:val="restart"/>
            <w:noWrap w:val="0"/>
            <w:vAlign w:val="center"/>
          </w:tcPr>
          <w:p>
            <w:pPr>
              <w:pStyle w:val="8"/>
              <w:bidi w:val="0"/>
              <w:rPr>
                <w:rFonts w:hint="default"/>
              </w:rPr>
            </w:pPr>
            <w:r>
              <w:rPr>
                <w:rFonts w:hint="default"/>
              </w:rPr>
              <w:t>35</w:t>
            </w:r>
          </w:p>
        </w:tc>
        <w:tc>
          <w:tcPr>
            <w:tcW w:w="1231" w:type="dxa"/>
            <w:noWrap w:val="0"/>
            <w:vAlign w:val="center"/>
          </w:tcPr>
          <w:p>
            <w:pPr>
              <w:pStyle w:val="8"/>
              <w:bidi w:val="0"/>
              <w:rPr>
                <w:rFonts w:hint="default"/>
              </w:rPr>
            </w:pPr>
            <w:r>
              <w:rPr>
                <w:rFonts w:hint="default"/>
              </w:rPr>
              <w:t>1.23</w:t>
            </w:r>
          </w:p>
        </w:tc>
        <w:tc>
          <w:tcPr>
            <w:tcW w:w="1114" w:type="dxa"/>
            <w:noWrap w:val="0"/>
            <w:vAlign w:val="center"/>
          </w:tcPr>
          <w:p>
            <w:pPr>
              <w:pStyle w:val="8"/>
              <w:bidi w:val="0"/>
              <w:rPr>
                <w:rFonts w:hint="default"/>
              </w:rPr>
            </w:pPr>
            <w:r>
              <w:rPr>
                <w:rFonts w:hint="default"/>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89" w:type="dxa"/>
            <w:vMerge w:val="continue"/>
            <w:noWrap w:val="0"/>
            <w:vAlign w:val="center"/>
          </w:tcPr>
          <w:p>
            <w:pPr>
              <w:pStyle w:val="8"/>
              <w:bidi w:val="0"/>
              <w:rPr>
                <w:rFonts w:hint="default"/>
              </w:rPr>
            </w:pPr>
          </w:p>
        </w:tc>
        <w:tc>
          <w:tcPr>
            <w:tcW w:w="3123" w:type="dxa"/>
            <w:noWrap w:val="0"/>
            <w:vAlign w:val="center"/>
          </w:tcPr>
          <w:p>
            <w:pPr>
              <w:pStyle w:val="8"/>
              <w:bidi w:val="0"/>
              <w:rPr>
                <w:rFonts w:hint="default"/>
              </w:rPr>
            </w:pPr>
            <w:r>
              <w:rPr>
                <w:rFonts w:hint="eastAsia"/>
                <w:lang w:val="en-US" w:eastAsia="zh-CN"/>
              </w:rPr>
              <w:t>2019</w:t>
            </w:r>
            <w:r>
              <w:rPr>
                <w:rFonts w:hint="default"/>
              </w:rPr>
              <w:t>年平均质量浓度</w:t>
            </w:r>
          </w:p>
        </w:tc>
        <w:tc>
          <w:tcPr>
            <w:tcW w:w="1230" w:type="dxa"/>
            <w:noWrap w:val="0"/>
            <w:vAlign w:val="center"/>
          </w:tcPr>
          <w:p>
            <w:pPr>
              <w:pStyle w:val="8"/>
              <w:bidi w:val="0"/>
              <w:rPr>
                <w:rFonts w:hint="default"/>
                <w:lang w:val="en-US" w:eastAsia="zh-CN"/>
              </w:rPr>
            </w:pPr>
            <w:r>
              <w:rPr>
                <w:rFonts w:hint="eastAsia"/>
                <w:lang w:val="en-US" w:eastAsia="zh-CN"/>
              </w:rPr>
              <w:t>42</w:t>
            </w:r>
          </w:p>
        </w:tc>
        <w:tc>
          <w:tcPr>
            <w:tcW w:w="1231" w:type="dxa"/>
            <w:vMerge w:val="continue"/>
            <w:noWrap w:val="0"/>
            <w:vAlign w:val="center"/>
          </w:tcPr>
          <w:p>
            <w:pPr>
              <w:pStyle w:val="8"/>
              <w:bidi w:val="0"/>
              <w:rPr>
                <w:rFonts w:hint="default"/>
              </w:rPr>
            </w:pPr>
          </w:p>
        </w:tc>
        <w:tc>
          <w:tcPr>
            <w:tcW w:w="1231" w:type="dxa"/>
            <w:noWrap w:val="0"/>
            <w:vAlign w:val="center"/>
          </w:tcPr>
          <w:p>
            <w:pPr>
              <w:pStyle w:val="8"/>
              <w:bidi w:val="0"/>
              <w:rPr>
                <w:rFonts w:hint="eastAsia"/>
                <w:lang w:val="en-US" w:eastAsia="zh-CN"/>
              </w:rPr>
            </w:pPr>
            <w:r>
              <w:rPr>
                <w:rFonts w:hint="eastAsia"/>
                <w:lang w:val="en-US" w:eastAsia="zh-CN"/>
              </w:rPr>
              <w:t>/</w:t>
            </w:r>
          </w:p>
        </w:tc>
        <w:tc>
          <w:tcPr>
            <w:tcW w:w="1114" w:type="dxa"/>
            <w:noWrap w:val="0"/>
            <w:vAlign w:val="center"/>
          </w:tcPr>
          <w:p>
            <w:pPr>
              <w:pStyle w:val="8"/>
              <w:bidi w:val="0"/>
              <w:rPr>
                <w:rFonts w:hint="eastAsia"/>
                <w:lang w:eastAsia="zh-CN"/>
              </w:rPr>
            </w:pPr>
            <w:r>
              <w:rPr>
                <w:rFonts w:hint="eastAsia"/>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89" w:type="dxa"/>
            <w:vMerge w:val="restart"/>
            <w:noWrap w:val="0"/>
            <w:vAlign w:val="center"/>
          </w:tcPr>
          <w:p>
            <w:pPr>
              <w:pStyle w:val="8"/>
              <w:bidi w:val="0"/>
              <w:rPr>
                <w:rFonts w:hint="default"/>
              </w:rPr>
            </w:pPr>
            <w:r>
              <w:rPr>
                <w:rFonts w:hint="default"/>
              </w:rPr>
              <w:t>CO</w:t>
            </w:r>
          </w:p>
        </w:tc>
        <w:tc>
          <w:tcPr>
            <w:tcW w:w="3123" w:type="dxa"/>
            <w:noWrap w:val="0"/>
            <w:vAlign w:val="center"/>
          </w:tcPr>
          <w:p>
            <w:pPr>
              <w:pStyle w:val="8"/>
              <w:bidi w:val="0"/>
              <w:rPr>
                <w:rFonts w:hint="default"/>
              </w:rPr>
            </w:pPr>
            <w:r>
              <w:rPr>
                <w:rFonts w:hint="eastAsia"/>
                <w:lang w:val="en-US" w:eastAsia="zh-CN"/>
              </w:rPr>
              <w:t>2018年</w:t>
            </w:r>
            <w:r>
              <w:rPr>
                <w:rFonts w:hint="default"/>
              </w:rPr>
              <w:t>百分之95位数日平均质量浓度</w:t>
            </w:r>
          </w:p>
        </w:tc>
        <w:tc>
          <w:tcPr>
            <w:tcW w:w="1230" w:type="dxa"/>
            <w:noWrap w:val="0"/>
            <w:vAlign w:val="center"/>
          </w:tcPr>
          <w:p>
            <w:pPr>
              <w:pStyle w:val="8"/>
              <w:bidi w:val="0"/>
              <w:rPr>
                <w:rFonts w:hint="default"/>
              </w:rPr>
            </w:pPr>
            <w:r>
              <w:rPr>
                <w:rFonts w:hint="default"/>
              </w:rPr>
              <w:t>800</w:t>
            </w:r>
          </w:p>
        </w:tc>
        <w:tc>
          <w:tcPr>
            <w:tcW w:w="1231" w:type="dxa"/>
            <w:vMerge w:val="restart"/>
            <w:noWrap w:val="0"/>
            <w:vAlign w:val="center"/>
          </w:tcPr>
          <w:p>
            <w:pPr>
              <w:pStyle w:val="8"/>
              <w:bidi w:val="0"/>
              <w:rPr>
                <w:rFonts w:hint="default"/>
              </w:rPr>
            </w:pPr>
            <w:r>
              <w:rPr>
                <w:rFonts w:hint="default"/>
              </w:rPr>
              <w:t>4000</w:t>
            </w:r>
          </w:p>
        </w:tc>
        <w:tc>
          <w:tcPr>
            <w:tcW w:w="1231" w:type="dxa"/>
            <w:noWrap w:val="0"/>
            <w:vAlign w:val="center"/>
          </w:tcPr>
          <w:p>
            <w:pPr>
              <w:pStyle w:val="8"/>
              <w:bidi w:val="0"/>
              <w:rPr>
                <w:rFonts w:hint="default"/>
              </w:rPr>
            </w:pPr>
            <w:r>
              <w:rPr>
                <w:rFonts w:hint="default"/>
              </w:rPr>
              <w:t>20</w:t>
            </w:r>
          </w:p>
        </w:tc>
        <w:tc>
          <w:tcPr>
            <w:tcW w:w="1114" w:type="dxa"/>
            <w:noWrap w:val="0"/>
            <w:vAlign w:val="center"/>
          </w:tcPr>
          <w:p>
            <w:pPr>
              <w:pStyle w:val="8"/>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89" w:type="dxa"/>
            <w:vMerge w:val="continue"/>
            <w:noWrap w:val="0"/>
            <w:vAlign w:val="center"/>
          </w:tcPr>
          <w:p>
            <w:pPr>
              <w:pStyle w:val="8"/>
              <w:bidi w:val="0"/>
              <w:rPr>
                <w:rFonts w:hint="default"/>
              </w:rPr>
            </w:pPr>
          </w:p>
        </w:tc>
        <w:tc>
          <w:tcPr>
            <w:tcW w:w="3123" w:type="dxa"/>
            <w:noWrap w:val="0"/>
            <w:vAlign w:val="center"/>
          </w:tcPr>
          <w:p>
            <w:pPr>
              <w:pStyle w:val="8"/>
              <w:bidi w:val="0"/>
              <w:rPr>
                <w:rFonts w:hint="default"/>
                <w:lang w:val="en-US" w:eastAsia="zh-CN"/>
              </w:rPr>
            </w:pPr>
            <w:r>
              <w:rPr>
                <w:rFonts w:hint="eastAsia"/>
                <w:lang w:val="en-US" w:eastAsia="zh-CN"/>
              </w:rPr>
              <w:t>2019年</w:t>
            </w:r>
            <w:r>
              <w:rPr>
                <w:rFonts w:hint="default"/>
              </w:rPr>
              <w:t>百分之95位数日平均质量浓度</w:t>
            </w:r>
          </w:p>
        </w:tc>
        <w:tc>
          <w:tcPr>
            <w:tcW w:w="1230" w:type="dxa"/>
            <w:noWrap w:val="0"/>
            <w:vAlign w:val="center"/>
          </w:tcPr>
          <w:p>
            <w:pPr>
              <w:pStyle w:val="8"/>
              <w:bidi w:val="0"/>
              <w:rPr>
                <w:rFonts w:hint="default"/>
                <w:lang w:val="en-US" w:eastAsia="zh-CN"/>
              </w:rPr>
            </w:pPr>
            <w:r>
              <w:rPr>
                <w:rFonts w:hint="eastAsia"/>
                <w:lang w:val="en-US" w:eastAsia="zh-CN"/>
              </w:rPr>
              <w:t>700</w:t>
            </w:r>
          </w:p>
        </w:tc>
        <w:tc>
          <w:tcPr>
            <w:tcW w:w="1231" w:type="dxa"/>
            <w:vMerge w:val="continue"/>
            <w:noWrap w:val="0"/>
            <w:vAlign w:val="center"/>
          </w:tcPr>
          <w:p>
            <w:pPr>
              <w:pStyle w:val="8"/>
              <w:bidi w:val="0"/>
              <w:rPr>
                <w:rFonts w:hint="default"/>
              </w:rPr>
            </w:pPr>
          </w:p>
        </w:tc>
        <w:tc>
          <w:tcPr>
            <w:tcW w:w="1231" w:type="dxa"/>
            <w:noWrap w:val="0"/>
            <w:vAlign w:val="center"/>
          </w:tcPr>
          <w:p>
            <w:pPr>
              <w:pStyle w:val="8"/>
              <w:bidi w:val="0"/>
              <w:rPr>
                <w:rFonts w:hint="eastAsia"/>
                <w:lang w:val="en-US" w:eastAsia="zh-CN"/>
              </w:rPr>
            </w:pPr>
            <w:r>
              <w:rPr>
                <w:rFonts w:hint="eastAsia"/>
                <w:lang w:val="en-US" w:eastAsia="zh-CN"/>
              </w:rPr>
              <w:t>/</w:t>
            </w:r>
          </w:p>
        </w:tc>
        <w:tc>
          <w:tcPr>
            <w:tcW w:w="1114" w:type="dxa"/>
            <w:noWrap w:val="0"/>
            <w:vAlign w:val="center"/>
          </w:tcPr>
          <w:p>
            <w:pPr>
              <w:pStyle w:val="8"/>
              <w:bidi w:val="0"/>
              <w:rPr>
                <w:rFonts w:hint="eastAsia"/>
                <w:lang w:eastAsia="zh-CN"/>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89" w:type="dxa"/>
            <w:vMerge w:val="restart"/>
            <w:noWrap w:val="0"/>
            <w:vAlign w:val="center"/>
          </w:tcPr>
          <w:p>
            <w:pPr>
              <w:pStyle w:val="8"/>
              <w:bidi w:val="0"/>
              <w:rPr>
                <w:rFonts w:hint="default"/>
              </w:rPr>
            </w:pPr>
            <w:r>
              <w:rPr>
                <w:rFonts w:hint="default"/>
              </w:rPr>
              <w:t>O</w:t>
            </w:r>
            <w:r>
              <w:rPr>
                <w:rFonts w:hint="default"/>
                <w:vertAlign w:val="subscript"/>
              </w:rPr>
              <w:t>3</w:t>
            </w:r>
          </w:p>
        </w:tc>
        <w:tc>
          <w:tcPr>
            <w:tcW w:w="3123" w:type="dxa"/>
            <w:noWrap w:val="0"/>
            <w:vAlign w:val="center"/>
          </w:tcPr>
          <w:p>
            <w:pPr>
              <w:pStyle w:val="8"/>
              <w:bidi w:val="0"/>
              <w:rPr>
                <w:rFonts w:hint="default"/>
              </w:rPr>
            </w:pPr>
            <w:r>
              <w:rPr>
                <w:rFonts w:hint="eastAsia"/>
                <w:lang w:val="en-US" w:eastAsia="zh-CN"/>
              </w:rPr>
              <w:t>2018年</w:t>
            </w:r>
            <w:r>
              <w:rPr>
                <w:rFonts w:hint="default"/>
              </w:rPr>
              <w:t>百分之90位数8h平均质量浓度</w:t>
            </w:r>
          </w:p>
        </w:tc>
        <w:tc>
          <w:tcPr>
            <w:tcW w:w="1230" w:type="dxa"/>
            <w:noWrap w:val="0"/>
            <w:vAlign w:val="center"/>
          </w:tcPr>
          <w:p>
            <w:pPr>
              <w:pStyle w:val="8"/>
              <w:bidi w:val="0"/>
              <w:rPr>
                <w:rFonts w:hint="default"/>
              </w:rPr>
            </w:pPr>
            <w:r>
              <w:rPr>
                <w:rFonts w:hint="default"/>
              </w:rPr>
              <w:t>87</w:t>
            </w:r>
          </w:p>
        </w:tc>
        <w:tc>
          <w:tcPr>
            <w:tcW w:w="1231" w:type="dxa"/>
            <w:vMerge w:val="restart"/>
            <w:noWrap w:val="0"/>
            <w:vAlign w:val="center"/>
          </w:tcPr>
          <w:p>
            <w:pPr>
              <w:pStyle w:val="8"/>
              <w:bidi w:val="0"/>
              <w:rPr>
                <w:rFonts w:hint="default"/>
              </w:rPr>
            </w:pPr>
            <w:r>
              <w:rPr>
                <w:rFonts w:hint="default"/>
              </w:rPr>
              <w:t>160</w:t>
            </w:r>
          </w:p>
        </w:tc>
        <w:tc>
          <w:tcPr>
            <w:tcW w:w="1231" w:type="dxa"/>
            <w:noWrap w:val="0"/>
            <w:vAlign w:val="center"/>
          </w:tcPr>
          <w:p>
            <w:pPr>
              <w:pStyle w:val="8"/>
              <w:bidi w:val="0"/>
              <w:rPr>
                <w:rFonts w:hint="default"/>
              </w:rPr>
            </w:pPr>
            <w:r>
              <w:rPr>
                <w:rFonts w:hint="default"/>
              </w:rPr>
              <w:t>54.4</w:t>
            </w:r>
          </w:p>
        </w:tc>
        <w:tc>
          <w:tcPr>
            <w:tcW w:w="1114" w:type="dxa"/>
            <w:noWrap w:val="0"/>
            <w:vAlign w:val="center"/>
          </w:tcPr>
          <w:p>
            <w:pPr>
              <w:pStyle w:val="8"/>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989" w:type="dxa"/>
            <w:vMerge w:val="continue"/>
            <w:noWrap w:val="0"/>
            <w:vAlign w:val="center"/>
          </w:tcPr>
          <w:p>
            <w:pPr>
              <w:pStyle w:val="8"/>
              <w:bidi w:val="0"/>
              <w:rPr>
                <w:rFonts w:hint="default"/>
              </w:rPr>
            </w:pPr>
          </w:p>
        </w:tc>
        <w:tc>
          <w:tcPr>
            <w:tcW w:w="3123" w:type="dxa"/>
            <w:noWrap w:val="0"/>
            <w:vAlign w:val="center"/>
          </w:tcPr>
          <w:p>
            <w:pPr>
              <w:pStyle w:val="8"/>
              <w:bidi w:val="0"/>
              <w:rPr>
                <w:rFonts w:hint="default"/>
                <w:lang w:val="en-US" w:eastAsia="zh-CN"/>
              </w:rPr>
            </w:pPr>
            <w:r>
              <w:rPr>
                <w:rFonts w:hint="eastAsia"/>
                <w:lang w:val="en-US" w:eastAsia="zh-CN"/>
              </w:rPr>
              <w:t>2019年</w:t>
            </w:r>
            <w:r>
              <w:rPr>
                <w:rFonts w:hint="default"/>
              </w:rPr>
              <w:t>百分之95位数日平均质量浓度</w:t>
            </w:r>
          </w:p>
        </w:tc>
        <w:tc>
          <w:tcPr>
            <w:tcW w:w="1230" w:type="dxa"/>
            <w:noWrap w:val="0"/>
            <w:vAlign w:val="center"/>
          </w:tcPr>
          <w:p>
            <w:pPr>
              <w:pStyle w:val="8"/>
              <w:bidi w:val="0"/>
              <w:rPr>
                <w:rFonts w:hint="default"/>
                <w:lang w:val="en-US" w:eastAsia="zh-CN"/>
              </w:rPr>
            </w:pPr>
            <w:r>
              <w:rPr>
                <w:rFonts w:hint="eastAsia"/>
                <w:lang w:val="en-US" w:eastAsia="zh-CN"/>
              </w:rPr>
              <w:t>97</w:t>
            </w:r>
          </w:p>
        </w:tc>
        <w:tc>
          <w:tcPr>
            <w:tcW w:w="1231" w:type="dxa"/>
            <w:vMerge w:val="continue"/>
            <w:noWrap w:val="0"/>
            <w:vAlign w:val="center"/>
          </w:tcPr>
          <w:p>
            <w:pPr>
              <w:pStyle w:val="8"/>
              <w:bidi w:val="0"/>
              <w:rPr>
                <w:rFonts w:hint="default"/>
              </w:rPr>
            </w:pPr>
          </w:p>
        </w:tc>
        <w:tc>
          <w:tcPr>
            <w:tcW w:w="1231" w:type="dxa"/>
            <w:noWrap w:val="0"/>
            <w:vAlign w:val="center"/>
          </w:tcPr>
          <w:p>
            <w:pPr>
              <w:pStyle w:val="8"/>
              <w:bidi w:val="0"/>
              <w:rPr>
                <w:rFonts w:hint="eastAsia"/>
                <w:lang w:val="en-US" w:eastAsia="zh-CN"/>
              </w:rPr>
            </w:pPr>
            <w:r>
              <w:rPr>
                <w:rFonts w:hint="eastAsia"/>
                <w:lang w:val="en-US" w:eastAsia="zh-CN"/>
              </w:rPr>
              <w:t>/</w:t>
            </w:r>
          </w:p>
        </w:tc>
        <w:tc>
          <w:tcPr>
            <w:tcW w:w="1114" w:type="dxa"/>
            <w:noWrap w:val="0"/>
            <w:vAlign w:val="center"/>
          </w:tcPr>
          <w:p>
            <w:pPr>
              <w:pStyle w:val="8"/>
              <w:bidi w:val="0"/>
              <w:rPr>
                <w:rFonts w:hint="eastAsia"/>
                <w:lang w:eastAsia="zh-CN"/>
              </w:rPr>
            </w:pPr>
            <w:r>
              <w:rPr>
                <w:rFonts w:hint="eastAsia"/>
                <w:lang w:eastAsia="zh-CN"/>
              </w:rPr>
              <w:t>达标</w:t>
            </w:r>
          </w:p>
        </w:tc>
      </w:tr>
    </w:tbl>
    <w:p>
      <w:r>
        <w:rPr>
          <w:rFonts w:hint="default" w:ascii="Times New Roman" w:hAnsi="Times New Roman" w:cs="Times New Roman"/>
        </w:rPr>
        <w:t>由上表可知，澧县2018年度 PM</w:t>
      </w:r>
      <w:r>
        <w:rPr>
          <w:rFonts w:hint="default" w:ascii="Times New Roman" w:hAnsi="Times New Roman" w:cs="Times New Roman"/>
          <w:vertAlign w:val="subscript"/>
        </w:rPr>
        <w:t>10</w:t>
      </w:r>
      <w:r>
        <w:rPr>
          <w:rFonts w:hint="default" w:ascii="Times New Roman" w:hAnsi="Times New Roman" w:cs="Times New Roman"/>
        </w:rPr>
        <w:t>、PM</w:t>
      </w:r>
      <w:r>
        <w:rPr>
          <w:rFonts w:hint="default" w:ascii="Times New Roman" w:hAnsi="Times New Roman" w:cs="Times New Roman"/>
          <w:vertAlign w:val="subscript"/>
        </w:rPr>
        <w:t>2.5</w:t>
      </w:r>
      <w:r>
        <w:rPr>
          <w:rFonts w:hint="default" w:ascii="Times New Roman" w:hAnsi="Times New Roman" w:cs="Times New Roman"/>
        </w:rPr>
        <w:t>不达标</w:t>
      </w:r>
      <w:r>
        <w:rPr>
          <w:rFonts w:hint="eastAsia" w:ascii="Times New Roman" w:hAnsi="Times New Roman" w:cs="Times New Roman"/>
          <w:lang w:val="en-US" w:eastAsia="zh-CN"/>
        </w:rPr>
        <w:t>，2019年度</w:t>
      </w:r>
      <w:r>
        <w:rPr>
          <w:rFonts w:hint="default" w:ascii="Times New Roman" w:hAnsi="Times New Roman" w:cs="Times New Roman"/>
        </w:rPr>
        <w:t>PM</w:t>
      </w:r>
      <w:r>
        <w:rPr>
          <w:rFonts w:hint="default" w:ascii="Times New Roman" w:hAnsi="Times New Roman" w:cs="Times New Roman"/>
          <w:vertAlign w:val="subscript"/>
        </w:rPr>
        <w:t>2.5</w:t>
      </w:r>
      <w:r>
        <w:rPr>
          <w:rFonts w:hint="default" w:ascii="Times New Roman" w:hAnsi="Times New Roman" w:cs="Times New Roman"/>
        </w:rPr>
        <w:t>不达标，澧县属于颗粒物（PM</w:t>
      </w:r>
      <w:r>
        <w:rPr>
          <w:rFonts w:hint="default" w:ascii="Times New Roman" w:hAnsi="Times New Roman" w:cs="Times New Roman"/>
          <w:vertAlign w:val="subscript"/>
        </w:rPr>
        <w:t>10</w:t>
      </w:r>
      <w:r>
        <w:rPr>
          <w:rFonts w:hint="default" w:ascii="Times New Roman" w:hAnsi="Times New Roman" w:cs="Times New Roman"/>
        </w:rPr>
        <w:t>、PM</w:t>
      </w:r>
      <w:r>
        <w:rPr>
          <w:rFonts w:hint="default" w:ascii="Times New Roman" w:hAnsi="Times New Roman" w:cs="Times New Roman"/>
          <w:vertAlign w:val="subscript"/>
        </w:rPr>
        <w:t>2.5</w:t>
      </w:r>
      <w:r>
        <w:rPr>
          <w:rFonts w:hint="default" w:ascii="Times New Roman" w:hAnsi="Times New Roman" w:cs="Times New Roman"/>
        </w:rPr>
        <w:t>）环境空气质量不达标区。但从整体上看， 201</w:t>
      </w:r>
      <w:r>
        <w:rPr>
          <w:rFonts w:hint="eastAsia" w:ascii="Times New Roman" w:hAnsi="Times New Roman" w:cs="Times New Roman"/>
          <w:lang w:val="en-US" w:eastAsia="zh-CN"/>
        </w:rPr>
        <w:t>9</w:t>
      </w:r>
      <w:r>
        <w:rPr>
          <w:rFonts w:hint="default" w:ascii="Times New Roman" w:hAnsi="Times New Roman" w:cs="Times New Roman"/>
        </w:rPr>
        <w:t>年可吸入颗粒物（PM</w:t>
      </w:r>
      <w:r>
        <w:rPr>
          <w:rFonts w:hint="default" w:ascii="Times New Roman" w:hAnsi="Times New Roman" w:cs="Times New Roman"/>
          <w:vertAlign w:val="subscript"/>
        </w:rPr>
        <w:t>10</w:t>
      </w:r>
      <w:r>
        <w:rPr>
          <w:rFonts w:hint="default" w:ascii="Times New Roman" w:hAnsi="Times New Roman" w:cs="Times New Roman"/>
        </w:rPr>
        <w:t>）日平均值超标率</w:t>
      </w:r>
      <w:r>
        <w:rPr>
          <w:rFonts w:hint="eastAsia" w:ascii="Times New Roman" w:hAnsi="Times New Roman" w:cs="Times New Roman"/>
          <w:lang w:eastAsia="zh-CN"/>
        </w:rPr>
        <w:t>已达标</w:t>
      </w:r>
      <w:r>
        <w:rPr>
          <w:rFonts w:hint="default" w:ascii="Times New Roman" w:hAnsi="Times New Roman" w:cs="Times New Roman"/>
        </w:rPr>
        <w:t>，细颗粒物（PM</w:t>
      </w:r>
      <w:r>
        <w:rPr>
          <w:rFonts w:hint="default" w:ascii="Times New Roman" w:hAnsi="Times New Roman" w:cs="Times New Roman"/>
          <w:vertAlign w:val="subscript"/>
        </w:rPr>
        <w:t>2.5</w:t>
      </w:r>
      <w:r>
        <w:rPr>
          <w:rFonts w:hint="default" w:ascii="Times New Roman" w:hAnsi="Times New Roman" w:cs="Times New Roman"/>
        </w:rPr>
        <w:t>）的日平均值较201</w:t>
      </w:r>
      <w:r>
        <w:rPr>
          <w:rFonts w:hint="eastAsia" w:ascii="Times New Roman" w:hAnsi="Times New Roman" w:cs="Times New Roman"/>
          <w:lang w:val="en-US" w:eastAsia="zh-CN"/>
        </w:rPr>
        <w:t>8</w:t>
      </w:r>
      <w:r>
        <w:rPr>
          <w:rFonts w:hint="default" w:ascii="Times New Roman" w:hAnsi="Times New Roman" w:cs="Times New Roman"/>
        </w:rPr>
        <w:t>年</w:t>
      </w:r>
      <w:r>
        <w:rPr>
          <w:rFonts w:hint="eastAsia" w:ascii="Times New Roman" w:hAnsi="Times New Roman" w:cs="Times New Roman"/>
          <w:lang w:eastAsia="zh-CN"/>
        </w:rPr>
        <w:t>有所</w:t>
      </w:r>
      <w:r>
        <w:rPr>
          <w:rFonts w:hint="default" w:ascii="Times New Roman" w:hAnsi="Times New Roman" w:cs="Times New Roman"/>
        </w:rPr>
        <w:t>下降，澧县环境控制质量呈好转趋势，区域环境质量有望达到《环境空气质量标准》（GB3095-2012）二级标准要求。</w:t>
      </w:r>
      <w:r>
        <w:t>针对本项目区域的环境空</w:t>
      </w:r>
      <w:r>
        <w:rPr>
          <w:rFonts w:hint="eastAsia"/>
        </w:rPr>
        <w:t>气质量和特征因子，本项目进行了现场补充监测。</w:t>
      </w:r>
    </w:p>
    <w:p>
      <w:r>
        <w:rPr>
          <w:rFonts w:hint="eastAsia"/>
        </w:rPr>
        <w:t>（</w:t>
      </w:r>
      <w:r>
        <w:t>1</w:t>
      </w:r>
      <w:r>
        <w:rPr>
          <w:rFonts w:hint="eastAsia"/>
        </w:rPr>
        <w:t>）监测点位及监测项目</w:t>
      </w:r>
    </w:p>
    <w:p>
      <w:pPr>
        <w:rPr>
          <w:rFonts w:hint="default" w:eastAsiaTheme="minorEastAsia"/>
          <w:lang w:val="en-US" w:eastAsia="zh-CN"/>
        </w:rPr>
      </w:pPr>
      <w:r>
        <w:rPr>
          <w:rFonts w:hint="eastAsia"/>
          <w:lang w:eastAsia="zh-CN"/>
        </w:rPr>
        <w:t>为了解特征因子</w:t>
      </w:r>
      <w:r>
        <w:t>NH</w:t>
      </w:r>
      <w:r>
        <w:rPr>
          <w:vertAlign w:val="subscript"/>
        </w:rPr>
        <w:t>3</w:t>
      </w:r>
      <w:r>
        <w:rPr>
          <w:rFonts w:hint="eastAsia"/>
        </w:rPr>
        <w:t>、</w:t>
      </w:r>
      <w:r>
        <w:t>H</w:t>
      </w:r>
      <w:r>
        <w:rPr>
          <w:vertAlign w:val="subscript"/>
        </w:rPr>
        <w:t>2</w:t>
      </w:r>
      <w:r>
        <w:t>S</w:t>
      </w:r>
      <w:r>
        <w:rPr>
          <w:rFonts w:hint="eastAsia"/>
          <w:lang w:eastAsia="zh-CN"/>
        </w:rPr>
        <w:t>的现状质量状况，本项目引用《</w:t>
      </w:r>
      <w:r>
        <w:rPr>
          <w:rFonts w:hint="eastAsia" w:ascii="Times New Roman" w:hAnsi="Times New Roman" w:cs="Times New Roman"/>
        </w:rPr>
        <w:t>澧县荣盛牲猪养殖专业合作社年出栏30000头生猪养殖建设项目</w:t>
      </w:r>
      <w:r>
        <w:rPr>
          <w:rFonts w:hint="eastAsia"/>
          <w:lang w:eastAsia="zh-CN"/>
        </w:rPr>
        <w:t>》环评内</w:t>
      </w:r>
      <w:r>
        <w:rPr>
          <w:rFonts w:hint="eastAsia"/>
          <w:lang w:val="en-US" w:eastAsia="zh-CN"/>
        </w:rPr>
        <w:t>1个</w:t>
      </w:r>
      <w:r>
        <w:rPr>
          <w:rFonts w:hint="eastAsia"/>
          <w:lang w:eastAsia="zh-CN"/>
        </w:rPr>
        <w:t>大气特征因子监测点，位于本项目东南侧</w:t>
      </w:r>
      <w:r>
        <w:rPr>
          <w:rFonts w:hint="eastAsia"/>
          <w:lang w:val="en-US" w:eastAsia="zh-CN"/>
        </w:rPr>
        <w:t>1.5km。</w:t>
      </w:r>
    </w:p>
    <w:p>
      <w:r>
        <w:rPr>
          <w:rFonts w:hint="eastAsia"/>
        </w:rPr>
        <w:t>监测点位情况见表</w:t>
      </w:r>
      <w:r>
        <w:rPr>
          <w:rFonts w:hint="eastAsia"/>
          <w:lang w:val="en-US" w:eastAsia="zh-CN"/>
        </w:rPr>
        <w:t>3.2</w:t>
      </w:r>
      <w:r>
        <w:t>-</w:t>
      </w:r>
      <w:r>
        <w:rPr>
          <w:rFonts w:hint="eastAsia"/>
        </w:rPr>
        <w:t>5，监测点位置分布见附图</w:t>
      </w:r>
      <w:r>
        <w:t>5</w:t>
      </w:r>
      <w:r>
        <w:rPr>
          <w:rFonts w:hint="eastAsia"/>
        </w:rPr>
        <w:t>。</w:t>
      </w: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5</w:t>
      </w:r>
      <w:r>
        <w:fldChar w:fldCharType="end"/>
      </w:r>
      <w:r>
        <w:rPr>
          <w:rFonts w:hint="eastAsia"/>
          <w:lang w:val="en-US" w:eastAsia="zh-CN"/>
        </w:rPr>
        <w:t xml:space="preserve">  </w:t>
      </w:r>
      <w:r>
        <w:rPr>
          <w:rFonts w:hint="eastAsia"/>
        </w:rPr>
        <w:t>环境空气质量现状监测布点表</w:t>
      </w:r>
    </w:p>
    <w:tbl>
      <w:tblPr>
        <w:tblStyle w:val="17"/>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3334"/>
        <w:gridCol w:w="138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19" w:type="dxa"/>
            <w:vAlign w:val="center"/>
          </w:tcPr>
          <w:p>
            <w:pPr>
              <w:pStyle w:val="8"/>
              <w:bidi w:val="0"/>
            </w:pPr>
            <w:r>
              <w:rPr>
                <w:rFonts w:hint="eastAsia"/>
              </w:rPr>
              <w:t>序号</w:t>
            </w:r>
          </w:p>
        </w:tc>
        <w:tc>
          <w:tcPr>
            <w:tcW w:w="3334" w:type="dxa"/>
            <w:vAlign w:val="center"/>
          </w:tcPr>
          <w:p>
            <w:pPr>
              <w:pStyle w:val="8"/>
              <w:bidi w:val="0"/>
            </w:pPr>
            <w:r>
              <w:rPr>
                <w:rFonts w:hint="eastAsia"/>
              </w:rPr>
              <w:t>测点名称</w:t>
            </w:r>
          </w:p>
        </w:tc>
        <w:tc>
          <w:tcPr>
            <w:tcW w:w="1385" w:type="dxa"/>
            <w:vAlign w:val="center"/>
          </w:tcPr>
          <w:p>
            <w:pPr>
              <w:pStyle w:val="8"/>
              <w:bidi w:val="0"/>
            </w:pPr>
            <w:r>
              <w:rPr>
                <w:rFonts w:hint="eastAsia"/>
              </w:rPr>
              <w:t>功能区</w:t>
            </w:r>
          </w:p>
        </w:tc>
        <w:tc>
          <w:tcPr>
            <w:tcW w:w="3020" w:type="dxa"/>
            <w:vAlign w:val="center"/>
          </w:tcPr>
          <w:p>
            <w:pPr>
              <w:pStyle w:val="8"/>
              <w:bidi w:val="0"/>
            </w:pPr>
            <w:r>
              <w:rPr>
                <w:rFonts w:hint="eastAsia"/>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19" w:type="dxa"/>
            <w:vAlign w:val="center"/>
          </w:tcPr>
          <w:p>
            <w:pPr>
              <w:pStyle w:val="8"/>
              <w:bidi w:val="0"/>
            </w:pPr>
            <w:r>
              <w:rPr>
                <w:rFonts w:hint="eastAsia"/>
              </w:rPr>
              <w:t>G</w:t>
            </w:r>
            <w:r>
              <w:t>1</w:t>
            </w:r>
          </w:p>
        </w:tc>
        <w:tc>
          <w:tcPr>
            <w:tcW w:w="3334" w:type="dxa"/>
            <w:vAlign w:val="center"/>
          </w:tcPr>
          <w:p>
            <w:pPr>
              <w:pStyle w:val="8"/>
              <w:bidi w:val="0"/>
              <w:rPr>
                <w:rFonts w:hint="eastAsia" w:eastAsiaTheme="minorEastAsia"/>
                <w:lang w:val="en-US" w:eastAsia="zh-CN"/>
              </w:rPr>
            </w:pPr>
            <w:r>
              <w:rPr>
                <w:rFonts w:hint="eastAsia" w:ascii="Times New Roman" w:hAnsi="Times New Roman" w:cs="Times New Roman"/>
              </w:rPr>
              <w:t>荣盛牲猪养殖</w:t>
            </w:r>
            <w:r>
              <w:rPr>
                <w:rFonts w:hint="eastAsia" w:ascii="Times New Roman" w:hAnsi="Times New Roman" w:cs="Times New Roman"/>
                <w:lang w:eastAsia="zh-CN"/>
              </w:rPr>
              <w:t>场内</w:t>
            </w:r>
          </w:p>
        </w:tc>
        <w:tc>
          <w:tcPr>
            <w:tcW w:w="1385" w:type="dxa"/>
            <w:vAlign w:val="center"/>
          </w:tcPr>
          <w:p>
            <w:pPr>
              <w:pStyle w:val="8"/>
              <w:bidi w:val="0"/>
            </w:pPr>
            <w:r>
              <w:rPr>
                <w:rFonts w:hint="eastAsia"/>
              </w:rPr>
              <w:t>二级</w:t>
            </w:r>
          </w:p>
        </w:tc>
        <w:tc>
          <w:tcPr>
            <w:tcW w:w="3020" w:type="dxa"/>
            <w:vAlign w:val="center"/>
          </w:tcPr>
          <w:p>
            <w:pPr>
              <w:pStyle w:val="8"/>
              <w:bidi w:val="0"/>
            </w:pPr>
            <w:r>
              <w:t>NH</w:t>
            </w:r>
            <w:r>
              <w:rPr>
                <w:vertAlign w:val="subscript"/>
              </w:rPr>
              <w:t>3</w:t>
            </w:r>
            <w:r>
              <w:rPr>
                <w:rFonts w:hint="eastAsia"/>
              </w:rPr>
              <w:t>、</w:t>
            </w:r>
            <w:r>
              <w:t>H</w:t>
            </w:r>
            <w:r>
              <w:rPr>
                <w:vertAlign w:val="subscript"/>
              </w:rPr>
              <w:t>2</w:t>
            </w:r>
            <w:r>
              <w:t>S</w:t>
            </w:r>
          </w:p>
        </w:tc>
      </w:tr>
    </w:tbl>
    <w:p>
      <w:r>
        <w:rPr>
          <w:rFonts w:hint="eastAsia"/>
        </w:rPr>
        <w:t>（</w:t>
      </w:r>
      <w:r>
        <w:t>2</w:t>
      </w:r>
      <w:r>
        <w:rPr>
          <w:rFonts w:hint="eastAsia"/>
        </w:rPr>
        <w:t>）监测时间、频率和方法</w:t>
      </w:r>
    </w:p>
    <w:p>
      <w:r>
        <w:rPr>
          <w:rFonts w:hint="eastAsia"/>
        </w:rPr>
        <w:t>监测时间为</w:t>
      </w:r>
      <w:r>
        <w:t>201</w:t>
      </w:r>
      <w:r>
        <w:rPr>
          <w:rFonts w:hint="eastAsia"/>
        </w:rPr>
        <w:t>9年10月31日至11月6日，连续监测</w:t>
      </w:r>
      <w:r>
        <w:t>7</w:t>
      </w:r>
      <w:r>
        <w:rPr>
          <w:rFonts w:hint="eastAsia"/>
        </w:rPr>
        <w:t>天。</w:t>
      </w:r>
    </w:p>
    <w:p>
      <w:r>
        <w:rPr>
          <w:rFonts w:hint="eastAsia"/>
        </w:rPr>
        <w:t>（</w:t>
      </w:r>
      <w:r>
        <w:t>3</w:t>
      </w:r>
      <w:r>
        <w:rPr>
          <w:rFonts w:hint="eastAsia"/>
        </w:rPr>
        <w:t>）评价结果与分析</w:t>
      </w:r>
    </w:p>
    <w:p>
      <w:r>
        <w:rPr>
          <w:rFonts w:hint="eastAsia"/>
        </w:rPr>
        <w:t>环境空气监测及评价结果见表</w:t>
      </w:r>
      <w:r>
        <w:rPr>
          <w:rFonts w:hint="eastAsia"/>
          <w:lang w:val="en-US" w:eastAsia="zh-CN"/>
        </w:rPr>
        <w:t>3.2</w:t>
      </w:r>
      <w:r>
        <w:t>-</w:t>
      </w:r>
      <w:r>
        <w:rPr>
          <w:rFonts w:hint="eastAsia"/>
        </w:rPr>
        <w:t>6。</w:t>
      </w: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6</w:t>
      </w:r>
      <w:r>
        <w:fldChar w:fldCharType="end"/>
      </w:r>
      <w:r>
        <w:rPr>
          <w:rFonts w:hint="eastAsia"/>
          <w:lang w:val="en-US" w:eastAsia="zh-CN"/>
        </w:rPr>
        <w:t xml:space="preserve">    </w:t>
      </w:r>
      <w:r>
        <w:rPr>
          <w:rFonts w:hint="eastAsia"/>
        </w:rPr>
        <w:t>环境空气质量现状监测和评价结果</w:t>
      </w:r>
    </w:p>
    <w:tbl>
      <w:tblPr>
        <w:tblStyle w:val="18"/>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154"/>
        <w:gridCol w:w="857"/>
        <w:gridCol w:w="857"/>
        <w:gridCol w:w="857"/>
        <w:gridCol w:w="857"/>
        <w:gridCol w:w="857"/>
        <w:gridCol w:w="857"/>
        <w:gridCol w:w="860"/>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10" w:type="dxa"/>
            <w:vMerge w:val="restart"/>
            <w:tcBorders>
              <w:tl2br w:val="nil"/>
              <w:tr2bl w:val="nil"/>
            </w:tcBorders>
            <w:vAlign w:val="center"/>
          </w:tcPr>
          <w:p>
            <w:pPr>
              <w:pStyle w:val="8"/>
              <w:bidi w:val="0"/>
            </w:pPr>
            <w:r>
              <w:t>采样</w:t>
            </w:r>
          </w:p>
          <w:p>
            <w:pPr>
              <w:pStyle w:val="8"/>
              <w:bidi w:val="0"/>
            </w:pPr>
            <w:r>
              <w:t>点位</w:t>
            </w:r>
          </w:p>
        </w:tc>
        <w:tc>
          <w:tcPr>
            <w:tcW w:w="1154" w:type="dxa"/>
            <w:vMerge w:val="restart"/>
            <w:tcBorders>
              <w:tl2br w:val="nil"/>
              <w:tr2bl w:val="nil"/>
            </w:tcBorders>
            <w:vAlign w:val="center"/>
          </w:tcPr>
          <w:p>
            <w:pPr>
              <w:pStyle w:val="8"/>
              <w:bidi w:val="0"/>
            </w:pPr>
            <w:r>
              <w:t>检测</w:t>
            </w:r>
          </w:p>
          <w:p>
            <w:pPr>
              <w:pStyle w:val="8"/>
              <w:bidi w:val="0"/>
            </w:pPr>
            <w:r>
              <w:t>项目</w:t>
            </w:r>
          </w:p>
        </w:tc>
        <w:tc>
          <w:tcPr>
            <w:tcW w:w="6002" w:type="dxa"/>
            <w:gridSpan w:val="7"/>
            <w:tcBorders>
              <w:tl2br w:val="nil"/>
              <w:tr2bl w:val="nil"/>
            </w:tcBorders>
            <w:vAlign w:val="center"/>
          </w:tcPr>
          <w:p>
            <w:pPr>
              <w:pStyle w:val="8"/>
              <w:bidi w:val="0"/>
            </w:pPr>
            <w:r>
              <w:t>检测结果（mg/m</w:t>
            </w:r>
            <w:r>
              <w:rPr>
                <w:vertAlign w:val="superscript"/>
              </w:rPr>
              <w:t>3</w:t>
            </w:r>
            <w:r>
              <w:t>）</w:t>
            </w:r>
          </w:p>
        </w:tc>
        <w:tc>
          <w:tcPr>
            <w:tcW w:w="713" w:type="dxa"/>
            <w:vMerge w:val="restart"/>
            <w:tcBorders>
              <w:tl2br w:val="nil"/>
              <w:tr2bl w:val="nil"/>
            </w:tcBorders>
            <w:vAlign w:val="center"/>
          </w:tcPr>
          <w:p>
            <w:pPr>
              <w:pStyle w:val="8"/>
              <w:bidi w:val="0"/>
            </w:pPr>
            <w:r>
              <w:t>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10" w:type="dxa"/>
            <w:vMerge w:val="continue"/>
            <w:tcBorders>
              <w:tl2br w:val="nil"/>
              <w:tr2bl w:val="nil"/>
            </w:tcBorders>
            <w:vAlign w:val="center"/>
          </w:tcPr>
          <w:p>
            <w:pPr>
              <w:pStyle w:val="8"/>
              <w:bidi w:val="0"/>
            </w:pPr>
          </w:p>
        </w:tc>
        <w:tc>
          <w:tcPr>
            <w:tcW w:w="1154" w:type="dxa"/>
            <w:vMerge w:val="continue"/>
            <w:tcBorders>
              <w:tl2br w:val="nil"/>
              <w:tr2bl w:val="nil"/>
            </w:tcBorders>
            <w:vAlign w:val="center"/>
          </w:tcPr>
          <w:p>
            <w:pPr>
              <w:pStyle w:val="8"/>
              <w:bidi w:val="0"/>
            </w:pPr>
          </w:p>
        </w:tc>
        <w:tc>
          <w:tcPr>
            <w:tcW w:w="857" w:type="dxa"/>
            <w:tcBorders>
              <w:tl2br w:val="nil"/>
              <w:tr2bl w:val="nil"/>
            </w:tcBorders>
            <w:vAlign w:val="center"/>
          </w:tcPr>
          <w:p>
            <w:pPr>
              <w:pStyle w:val="8"/>
              <w:bidi w:val="0"/>
            </w:pPr>
            <w:r>
              <w:t>10.31</w:t>
            </w:r>
          </w:p>
        </w:tc>
        <w:tc>
          <w:tcPr>
            <w:tcW w:w="857" w:type="dxa"/>
            <w:tcBorders>
              <w:tl2br w:val="nil"/>
              <w:tr2bl w:val="nil"/>
            </w:tcBorders>
            <w:vAlign w:val="center"/>
          </w:tcPr>
          <w:p>
            <w:pPr>
              <w:pStyle w:val="8"/>
              <w:bidi w:val="0"/>
            </w:pPr>
            <w:r>
              <w:t>11.1</w:t>
            </w:r>
          </w:p>
        </w:tc>
        <w:tc>
          <w:tcPr>
            <w:tcW w:w="857" w:type="dxa"/>
            <w:tcBorders>
              <w:tl2br w:val="nil"/>
              <w:tr2bl w:val="nil"/>
            </w:tcBorders>
            <w:vAlign w:val="center"/>
          </w:tcPr>
          <w:p>
            <w:pPr>
              <w:pStyle w:val="8"/>
              <w:bidi w:val="0"/>
            </w:pPr>
            <w:r>
              <w:t>11.2</w:t>
            </w:r>
          </w:p>
        </w:tc>
        <w:tc>
          <w:tcPr>
            <w:tcW w:w="857" w:type="dxa"/>
            <w:tcBorders>
              <w:tl2br w:val="nil"/>
              <w:tr2bl w:val="nil"/>
            </w:tcBorders>
            <w:vAlign w:val="center"/>
          </w:tcPr>
          <w:p>
            <w:pPr>
              <w:pStyle w:val="8"/>
              <w:bidi w:val="0"/>
            </w:pPr>
            <w:r>
              <w:t>11.3</w:t>
            </w:r>
          </w:p>
        </w:tc>
        <w:tc>
          <w:tcPr>
            <w:tcW w:w="857" w:type="dxa"/>
            <w:tcBorders>
              <w:tl2br w:val="nil"/>
              <w:tr2bl w:val="nil"/>
            </w:tcBorders>
            <w:vAlign w:val="center"/>
          </w:tcPr>
          <w:p>
            <w:pPr>
              <w:pStyle w:val="8"/>
              <w:bidi w:val="0"/>
            </w:pPr>
            <w:r>
              <w:t>11.4</w:t>
            </w:r>
          </w:p>
        </w:tc>
        <w:tc>
          <w:tcPr>
            <w:tcW w:w="857" w:type="dxa"/>
            <w:tcBorders>
              <w:tl2br w:val="nil"/>
              <w:tr2bl w:val="nil"/>
            </w:tcBorders>
            <w:vAlign w:val="center"/>
          </w:tcPr>
          <w:p>
            <w:pPr>
              <w:pStyle w:val="8"/>
              <w:bidi w:val="0"/>
            </w:pPr>
            <w:r>
              <w:t>11.5</w:t>
            </w:r>
          </w:p>
        </w:tc>
        <w:tc>
          <w:tcPr>
            <w:tcW w:w="860" w:type="dxa"/>
            <w:tcBorders>
              <w:tl2br w:val="nil"/>
              <w:tr2bl w:val="nil"/>
            </w:tcBorders>
            <w:vAlign w:val="center"/>
          </w:tcPr>
          <w:p>
            <w:pPr>
              <w:pStyle w:val="8"/>
              <w:bidi w:val="0"/>
            </w:pPr>
            <w:r>
              <w:t>11.6</w:t>
            </w:r>
          </w:p>
        </w:tc>
        <w:tc>
          <w:tcPr>
            <w:tcW w:w="713" w:type="dxa"/>
            <w:vMerge w:val="continue"/>
            <w:tcBorders>
              <w:tl2br w:val="nil"/>
              <w:tr2bl w:val="nil"/>
            </w:tcBorders>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910" w:type="dxa"/>
            <w:vMerge w:val="restart"/>
            <w:tcBorders>
              <w:tl2br w:val="nil"/>
              <w:tr2bl w:val="nil"/>
            </w:tcBorders>
            <w:vAlign w:val="center"/>
          </w:tcPr>
          <w:p>
            <w:pPr>
              <w:pStyle w:val="8"/>
              <w:bidi w:val="0"/>
            </w:pPr>
            <w:r>
              <w:t>G1</w:t>
            </w:r>
          </w:p>
        </w:tc>
        <w:tc>
          <w:tcPr>
            <w:tcW w:w="1154" w:type="dxa"/>
            <w:tcBorders>
              <w:tl2br w:val="nil"/>
              <w:tr2bl w:val="nil"/>
            </w:tcBorders>
            <w:vAlign w:val="center"/>
          </w:tcPr>
          <w:p>
            <w:pPr>
              <w:pStyle w:val="8"/>
              <w:bidi w:val="0"/>
            </w:pPr>
            <w:r>
              <w:t>硫化氢</w:t>
            </w:r>
          </w:p>
        </w:tc>
        <w:tc>
          <w:tcPr>
            <w:tcW w:w="857" w:type="dxa"/>
            <w:tcBorders>
              <w:tl2br w:val="nil"/>
              <w:tr2bl w:val="nil"/>
            </w:tcBorders>
            <w:vAlign w:val="center"/>
          </w:tcPr>
          <w:p>
            <w:pPr>
              <w:pStyle w:val="8"/>
              <w:bidi w:val="0"/>
            </w:pPr>
            <w:r>
              <w:t>0.010</w:t>
            </w:r>
          </w:p>
        </w:tc>
        <w:tc>
          <w:tcPr>
            <w:tcW w:w="857" w:type="dxa"/>
            <w:tcBorders>
              <w:tl2br w:val="nil"/>
              <w:tr2bl w:val="nil"/>
            </w:tcBorders>
            <w:vAlign w:val="center"/>
          </w:tcPr>
          <w:p>
            <w:pPr>
              <w:pStyle w:val="8"/>
              <w:bidi w:val="0"/>
            </w:pPr>
            <w:r>
              <w:t>0.009</w:t>
            </w:r>
          </w:p>
        </w:tc>
        <w:tc>
          <w:tcPr>
            <w:tcW w:w="857" w:type="dxa"/>
            <w:tcBorders>
              <w:tl2br w:val="nil"/>
              <w:tr2bl w:val="nil"/>
            </w:tcBorders>
            <w:vAlign w:val="center"/>
          </w:tcPr>
          <w:p>
            <w:pPr>
              <w:pStyle w:val="8"/>
              <w:bidi w:val="0"/>
            </w:pPr>
            <w:r>
              <w:t>0.010</w:t>
            </w:r>
          </w:p>
        </w:tc>
        <w:tc>
          <w:tcPr>
            <w:tcW w:w="857" w:type="dxa"/>
            <w:tcBorders>
              <w:tl2br w:val="nil"/>
              <w:tr2bl w:val="nil"/>
            </w:tcBorders>
            <w:vAlign w:val="center"/>
          </w:tcPr>
          <w:p>
            <w:pPr>
              <w:pStyle w:val="8"/>
              <w:bidi w:val="0"/>
            </w:pPr>
            <w:r>
              <w:t>0.010</w:t>
            </w:r>
          </w:p>
        </w:tc>
        <w:tc>
          <w:tcPr>
            <w:tcW w:w="857" w:type="dxa"/>
            <w:tcBorders>
              <w:tl2br w:val="nil"/>
              <w:tr2bl w:val="nil"/>
            </w:tcBorders>
            <w:vAlign w:val="center"/>
          </w:tcPr>
          <w:p>
            <w:pPr>
              <w:pStyle w:val="8"/>
              <w:bidi w:val="0"/>
            </w:pPr>
            <w:r>
              <w:t>0.010</w:t>
            </w:r>
          </w:p>
        </w:tc>
        <w:tc>
          <w:tcPr>
            <w:tcW w:w="857" w:type="dxa"/>
            <w:tcBorders>
              <w:tl2br w:val="nil"/>
              <w:tr2bl w:val="nil"/>
            </w:tcBorders>
            <w:vAlign w:val="center"/>
          </w:tcPr>
          <w:p>
            <w:pPr>
              <w:pStyle w:val="8"/>
              <w:bidi w:val="0"/>
            </w:pPr>
            <w:r>
              <w:t>0.010</w:t>
            </w:r>
          </w:p>
        </w:tc>
        <w:tc>
          <w:tcPr>
            <w:tcW w:w="860" w:type="dxa"/>
            <w:tcBorders>
              <w:tl2br w:val="nil"/>
              <w:tr2bl w:val="nil"/>
            </w:tcBorders>
            <w:vAlign w:val="center"/>
          </w:tcPr>
          <w:p>
            <w:pPr>
              <w:pStyle w:val="8"/>
              <w:bidi w:val="0"/>
            </w:pPr>
            <w:r>
              <w:t>0.010</w:t>
            </w:r>
          </w:p>
        </w:tc>
        <w:tc>
          <w:tcPr>
            <w:tcW w:w="713" w:type="dxa"/>
            <w:tcBorders>
              <w:tl2br w:val="nil"/>
              <w:tr2bl w:val="nil"/>
            </w:tcBorders>
            <w:vAlign w:val="center"/>
          </w:tcPr>
          <w:p>
            <w:pPr>
              <w:pStyle w:val="8"/>
              <w:bidi w:val="0"/>
            </w:pPr>
            <w:r>
              <w:rPr>
                <w:rFonts w:hint="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910" w:type="dxa"/>
            <w:vMerge w:val="continue"/>
            <w:tcBorders>
              <w:tl2br w:val="nil"/>
              <w:tr2bl w:val="nil"/>
            </w:tcBorders>
            <w:vAlign w:val="center"/>
          </w:tcPr>
          <w:p>
            <w:pPr>
              <w:pStyle w:val="8"/>
              <w:bidi w:val="0"/>
            </w:pPr>
          </w:p>
        </w:tc>
        <w:tc>
          <w:tcPr>
            <w:tcW w:w="1154" w:type="dxa"/>
            <w:tcBorders>
              <w:tl2br w:val="nil"/>
              <w:tr2bl w:val="nil"/>
            </w:tcBorders>
            <w:vAlign w:val="center"/>
          </w:tcPr>
          <w:p>
            <w:pPr>
              <w:pStyle w:val="8"/>
              <w:bidi w:val="0"/>
            </w:pPr>
            <w:r>
              <w:t>氨</w:t>
            </w:r>
          </w:p>
        </w:tc>
        <w:tc>
          <w:tcPr>
            <w:tcW w:w="857" w:type="dxa"/>
            <w:tcBorders>
              <w:tl2br w:val="nil"/>
              <w:tr2bl w:val="nil"/>
            </w:tcBorders>
            <w:vAlign w:val="center"/>
          </w:tcPr>
          <w:p>
            <w:pPr>
              <w:pStyle w:val="8"/>
              <w:bidi w:val="0"/>
            </w:pPr>
            <w:r>
              <w:t>0.05</w:t>
            </w:r>
          </w:p>
        </w:tc>
        <w:tc>
          <w:tcPr>
            <w:tcW w:w="857" w:type="dxa"/>
            <w:tcBorders>
              <w:tl2br w:val="nil"/>
              <w:tr2bl w:val="nil"/>
            </w:tcBorders>
            <w:vAlign w:val="center"/>
          </w:tcPr>
          <w:p>
            <w:pPr>
              <w:pStyle w:val="8"/>
              <w:bidi w:val="0"/>
            </w:pPr>
            <w:r>
              <w:t>0.05</w:t>
            </w:r>
          </w:p>
        </w:tc>
        <w:tc>
          <w:tcPr>
            <w:tcW w:w="857" w:type="dxa"/>
            <w:tcBorders>
              <w:tl2br w:val="nil"/>
              <w:tr2bl w:val="nil"/>
            </w:tcBorders>
            <w:vAlign w:val="center"/>
          </w:tcPr>
          <w:p>
            <w:pPr>
              <w:pStyle w:val="8"/>
              <w:bidi w:val="0"/>
            </w:pPr>
            <w:r>
              <w:t>0.06</w:t>
            </w:r>
          </w:p>
        </w:tc>
        <w:tc>
          <w:tcPr>
            <w:tcW w:w="857" w:type="dxa"/>
            <w:tcBorders>
              <w:tl2br w:val="nil"/>
              <w:tr2bl w:val="nil"/>
            </w:tcBorders>
            <w:vAlign w:val="center"/>
          </w:tcPr>
          <w:p>
            <w:pPr>
              <w:pStyle w:val="8"/>
              <w:bidi w:val="0"/>
            </w:pPr>
            <w:r>
              <w:t>0.05</w:t>
            </w:r>
          </w:p>
        </w:tc>
        <w:tc>
          <w:tcPr>
            <w:tcW w:w="857" w:type="dxa"/>
            <w:tcBorders>
              <w:tl2br w:val="nil"/>
              <w:tr2bl w:val="nil"/>
            </w:tcBorders>
            <w:vAlign w:val="center"/>
          </w:tcPr>
          <w:p>
            <w:pPr>
              <w:pStyle w:val="8"/>
              <w:bidi w:val="0"/>
            </w:pPr>
            <w:r>
              <w:t>0.06</w:t>
            </w:r>
          </w:p>
        </w:tc>
        <w:tc>
          <w:tcPr>
            <w:tcW w:w="857" w:type="dxa"/>
            <w:tcBorders>
              <w:tl2br w:val="nil"/>
              <w:tr2bl w:val="nil"/>
            </w:tcBorders>
            <w:vAlign w:val="center"/>
          </w:tcPr>
          <w:p>
            <w:pPr>
              <w:pStyle w:val="8"/>
              <w:bidi w:val="0"/>
            </w:pPr>
            <w:r>
              <w:t>0.05</w:t>
            </w:r>
          </w:p>
        </w:tc>
        <w:tc>
          <w:tcPr>
            <w:tcW w:w="860" w:type="dxa"/>
            <w:tcBorders>
              <w:tl2br w:val="nil"/>
              <w:tr2bl w:val="nil"/>
            </w:tcBorders>
            <w:vAlign w:val="center"/>
          </w:tcPr>
          <w:p>
            <w:pPr>
              <w:pStyle w:val="8"/>
              <w:bidi w:val="0"/>
            </w:pPr>
            <w:r>
              <w:t>0.05</w:t>
            </w:r>
          </w:p>
        </w:tc>
        <w:tc>
          <w:tcPr>
            <w:tcW w:w="713" w:type="dxa"/>
            <w:tcBorders>
              <w:tl2br w:val="nil"/>
              <w:tr2bl w:val="nil"/>
            </w:tcBorders>
            <w:vAlign w:val="center"/>
          </w:tcPr>
          <w:p>
            <w:pPr>
              <w:pStyle w:val="8"/>
              <w:bidi w:val="0"/>
            </w:pPr>
            <w:r>
              <w:rPr>
                <w:rFonts w:hint="eastAsia"/>
              </w:rPr>
              <w:t>0.2</w:t>
            </w:r>
          </w:p>
        </w:tc>
      </w:tr>
    </w:tbl>
    <w:p>
      <w:r>
        <w:rPr>
          <w:rFonts w:hint="eastAsia"/>
        </w:rPr>
        <w:t>由表</w:t>
      </w:r>
      <w:r>
        <w:rPr>
          <w:rFonts w:hint="eastAsia"/>
          <w:lang w:val="en-US" w:eastAsia="zh-CN"/>
        </w:rPr>
        <w:t>3.2</w:t>
      </w:r>
      <w:r>
        <w:t>-</w:t>
      </w:r>
      <w:r>
        <w:rPr>
          <w:rFonts w:hint="eastAsia"/>
        </w:rPr>
        <w:t>6可知，特征污染物</w:t>
      </w:r>
      <w:r>
        <w:t>NH</w:t>
      </w:r>
      <w:r>
        <w:rPr>
          <w:vertAlign w:val="subscript"/>
        </w:rPr>
        <w:t>3</w:t>
      </w:r>
      <w:r>
        <w:rPr>
          <w:rFonts w:hint="eastAsia"/>
        </w:rPr>
        <w:t>、</w:t>
      </w:r>
      <w:r>
        <w:t>H</w:t>
      </w:r>
      <w:r>
        <w:rPr>
          <w:vertAlign w:val="subscript"/>
        </w:rPr>
        <w:t>2</w:t>
      </w:r>
      <w:r>
        <w:t>S</w:t>
      </w:r>
      <w:r>
        <w:rPr>
          <w:rFonts w:hint="eastAsia"/>
        </w:rPr>
        <w:t>可</w:t>
      </w:r>
      <w:bookmarkStart w:id="166" w:name="_Hlk486192634"/>
      <w:r>
        <w:rPr>
          <w:rFonts w:hint="eastAsia"/>
        </w:rPr>
        <w:t>满足《环境影响评价技术导则 大气环境》（HJ2.2-2018）附录D1“其他污染物空气质量参考限值”，该区域环境空气质量较好。</w:t>
      </w:r>
    </w:p>
    <w:bookmarkEnd w:id="166"/>
    <w:p>
      <w:pPr>
        <w:pStyle w:val="5"/>
        <w:bidi w:val="0"/>
      </w:pPr>
      <w:bookmarkStart w:id="167" w:name="_Toc489916029"/>
      <w:bookmarkStart w:id="168" w:name="_Toc468689173"/>
      <w:r>
        <w:t>声环境质量现状监测与评价</w:t>
      </w:r>
      <w:bookmarkEnd w:id="167"/>
      <w:bookmarkEnd w:id="168"/>
    </w:p>
    <w:p>
      <w:r>
        <w:rPr>
          <w:rFonts w:hint="eastAsia"/>
        </w:rPr>
        <w:t>（</w:t>
      </w:r>
      <w:r>
        <w:t>1</w:t>
      </w:r>
      <w:r>
        <w:rPr>
          <w:rFonts w:hint="eastAsia"/>
        </w:rPr>
        <w:t>）监测布点</w:t>
      </w:r>
    </w:p>
    <w:p>
      <w:r>
        <w:rPr>
          <w:rFonts w:hint="eastAsia"/>
        </w:rPr>
        <w:t>本次声环境现状共设置4处监测点，分别为项目养殖区东南西北面。监测单位为湖南宏润检测有限公司，监测点位置分布见附图。</w:t>
      </w:r>
    </w:p>
    <w:p>
      <w:r>
        <w:rPr>
          <w:rFonts w:hint="eastAsia"/>
        </w:rPr>
        <w:t>（</w:t>
      </w:r>
      <w:r>
        <w:t>2</w:t>
      </w:r>
      <w:r>
        <w:rPr>
          <w:rFonts w:hint="eastAsia"/>
        </w:rPr>
        <w:t>）监测时间、频率及方法</w:t>
      </w:r>
    </w:p>
    <w:p>
      <w:r>
        <w:rPr>
          <w:rFonts w:hint="eastAsia"/>
        </w:rPr>
        <w:t>监测时间为</w:t>
      </w:r>
      <w:r>
        <w:t>20</w:t>
      </w:r>
      <w:r>
        <w:rPr>
          <w:rFonts w:hint="eastAsia"/>
          <w:lang w:val="en-US" w:eastAsia="zh-CN"/>
        </w:rPr>
        <w:t>20</w:t>
      </w:r>
      <w:r>
        <w:rPr>
          <w:rFonts w:hint="eastAsia"/>
        </w:rPr>
        <w:t>年</w:t>
      </w:r>
      <w:r>
        <w:rPr>
          <w:rFonts w:hint="eastAsia"/>
          <w:lang w:val="en-US" w:eastAsia="zh-CN"/>
        </w:rPr>
        <w:t>6</w:t>
      </w:r>
      <w:r>
        <w:rPr>
          <w:rFonts w:hint="eastAsia"/>
        </w:rPr>
        <w:t>月</w:t>
      </w:r>
      <w:r>
        <w:rPr>
          <w:rFonts w:hint="eastAsia"/>
          <w:lang w:val="en-US" w:eastAsia="zh-CN"/>
        </w:rPr>
        <w:t>24</w:t>
      </w:r>
      <w:r>
        <w:rPr>
          <w:rFonts w:hint="eastAsia"/>
        </w:rPr>
        <w:t>日</w:t>
      </w:r>
      <w:r>
        <w:rPr>
          <w:rFonts w:hint="eastAsia"/>
          <w:lang w:val="en-US" w:eastAsia="zh-CN"/>
        </w:rPr>
        <w:t>~6</w:t>
      </w:r>
      <w:r>
        <w:rPr>
          <w:rFonts w:hint="eastAsia"/>
        </w:rPr>
        <w:t>月</w:t>
      </w:r>
      <w:r>
        <w:rPr>
          <w:rFonts w:hint="eastAsia"/>
          <w:lang w:val="en-US" w:eastAsia="zh-CN"/>
        </w:rPr>
        <w:t>25</w:t>
      </w:r>
      <w:r>
        <w:rPr>
          <w:rFonts w:hint="eastAsia"/>
        </w:rPr>
        <w:t>日，依据《声环境质量标准》（</w:t>
      </w:r>
      <w:r>
        <w:t>GB3096-2008</w:t>
      </w:r>
      <w:r>
        <w:rPr>
          <w:rFonts w:hint="eastAsia"/>
        </w:rPr>
        <w:t>），监测</w:t>
      </w:r>
      <w:r>
        <w:rPr>
          <w:rFonts w:hint="eastAsia"/>
          <w:lang w:val="en-US" w:eastAsia="zh-CN"/>
        </w:rPr>
        <w:t>2</w:t>
      </w:r>
      <w:r>
        <w:rPr>
          <w:rFonts w:hint="eastAsia"/>
        </w:rPr>
        <w:t>天，每天进行昼间、夜间各测</w:t>
      </w:r>
      <w:r>
        <w:t>1</w:t>
      </w:r>
      <w:r>
        <w:rPr>
          <w:rFonts w:hint="eastAsia"/>
        </w:rPr>
        <w:t>次，每次连续监测</w:t>
      </w:r>
      <w:r>
        <w:t>20min</w:t>
      </w:r>
      <w:r>
        <w:rPr>
          <w:rFonts w:hint="eastAsia"/>
        </w:rPr>
        <w:t>。</w:t>
      </w:r>
    </w:p>
    <w:p>
      <w:r>
        <w:rPr>
          <w:rFonts w:hint="eastAsia"/>
        </w:rPr>
        <w:t>（</w:t>
      </w:r>
      <w:r>
        <w:t>3</w:t>
      </w:r>
      <w:r>
        <w:rPr>
          <w:rFonts w:hint="eastAsia"/>
        </w:rPr>
        <w:t>）监测结果</w:t>
      </w:r>
    </w:p>
    <w:p>
      <w:r>
        <w:rPr>
          <w:rFonts w:hint="eastAsia"/>
        </w:rPr>
        <w:t>各敏感点昼、夜间监测结果见表</w:t>
      </w:r>
      <w:r>
        <w:rPr>
          <w:rFonts w:hint="eastAsia"/>
          <w:lang w:val="en-US" w:eastAsia="zh-CN"/>
        </w:rPr>
        <w:t>3.2</w:t>
      </w:r>
      <w:r>
        <w:t>-</w:t>
      </w:r>
      <w:r>
        <w:rPr>
          <w:rFonts w:hint="eastAsia"/>
        </w:rPr>
        <w:t>7。</w:t>
      </w: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7</w:t>
      </w:r>
      <w:r>
        <w:fldChar w:fldCharType="end"/>
      </w:r>
      <w:r>
        <w:rPr>
          <w:rFonts w:hint="eastAsia"/>
          <w:lang w:val="en-US" w:eastAsia="zh-CN"/>
        </w:rPr>
        <w:t xml:space="preserve">   </w:t>
      </w:r>
      <w:r>
        <w:rPr>
          <w:rFonts w:hint="eastAsia"/>
        </w:rPr>
        <w:t>声环境质量现状监测统计结果单位：</w:t>
      </w:r>
      <w:r>
        <w:t>dB(A)</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301"/>
        <w:gridCol w:w="1022"/>
        <w:gridCol w:w="980"/>
        <w:gridCol w:w="1601"/>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tcBorders>
              <w:tl2br w:val="nil"/>
              <w:tr2bl w:val="nil"/>
            </w:tcBorders>
            <w:vAlign w:val="center"/>
          </w:tcPr>
          <w:p>
            <w:pPr>
              <w:keepNext w:val="0"/>
              <w:keepLines w:val="0"/>
              <w:pageBreakBefore w:val="0"/>
              <w:kinsoku/>
              <w:wordWrap/>
              <w:overflowPunct/>
              <w:topLinePunct w:val="0"/>
              <w:bidi w:val="0"/>
              <w:snapToGrid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b/>
                <w:bCs/>
                <w:color w:val="auto"/>
                <w:sz w:val="21"/>
                <w:szCs w:val="21"/>
                <w:lang w:eastAsia="zh-CN"/>
              </w:rPr>
              <w:t>检测类型</w:t>
            </w:r>
          </w:p>
        </w:tc>
        <w:tc>
          <w:tcPr>
            <w:tcW w:w="1270" w:type="pct"/>
            <w:tcBorders>
              <w:tl2br w:val="nil"/>
              <w:tr2bl w:val="nil"/>
            </w:tcBorders>
            <w:vAlign w:val="center"/>
          </w:tcPr>
          <w:p>
            <w:pPr>
              <w:keepNext w:val="0"/>
              <w:keepLines w:val="0"/>
              <w:pageBreakBefore w:val="0"/>
              <w:kinsoku/>
              <w:wordWrap/>
              <w:overflowPunct/>
              <w:topLinePunct w:val="0"/>
              <w:bidi w:val="0"/>
              <w:snapToGrid w:val="0"/>
              <w:spacing w:line="240" w:lineRule="auto"/>
              <w:ind w:firstLine="0" w:firstLineChars="0"/>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采样点位</w:t>
            </w:r>
          </w:p>
        </w:tc>
        <w:tc>
          <w:tcPr>
            <w:tcW w:w="1105" w:type="pct"/>
            <w:gridSpan w:val="2"/>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eastAsia="zh-CN"/>
              </w:rPr>
              <w:t>采样时间</w:t>
            </w:r>
          </w:p>
        </w:tc>
        <w:tc>
          <w:tcPr>
            <w:tcW w:w="884" w:type="pct"/>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检测值</w:t>
            </w:r>
            <w:r>
              <w:rPr>
                <w:rFonts w:hint="default" w:ascii="Times New Roman" w:hAnsi="Times New Roman" w:cs="Times New Roman" w:eastAsiaTheme="minorEastAsia"/>
                <w:b/>
                <w:bCs/>
                <w:color w:val="auto"/>
                <w:sz w:val="21"/>
                <w:szCs w:val="21"/>
                <w:lang w:val="en-US" w:eastAsia="zh-CN"/>
              </w:rPr>
              <w:t>[dB（A）]</w:t>
            </w:r>
          </w:p>
        </w:tc>
        <w:tc>
          <w:tcPr>
            <w:tcW w:w="1133" w:type="pct"/>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both"/>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参考限值[dB（A）]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restart"/>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环境</w:t>
            </w:r>
            <w:r>
              <w:rPr>
                <w:rFonts w:hint="default" w:ascii="Times New Roman" w:hAnsi="Times New Roman" w:cs="Times New Roman" w:eastAsiaTheme="minorEastAsia"/>
                <w:color w:val="auto"/>
                <w:sz w:val="21"/>
                <w:szCs w:val="21"/>
                <w:vertAlign w:val="baseline"/>
                <w:lang w:val="en-US" w:eastAsia="zh-CN"/>
              </w:rPr>
              <w:t>噪声</w:t>
            </w:r>
          </w:p>
        </w:tc>
        <w:tc>
          <w:tcPr>
            <w:tcW w:w="1270" w:type="pct"/>
            <w:vMerge w:val="restart"/>
            <w:tcBorders>
              <w:tl2br w:val="nil"/>
              <w:tr2bl w:val="nil"/>
            </w:tcBorders>
            <w:vAlign w:val="center"/>
          </w:tcPr>
          <w:p>
            <w:pPr>
              <w:keepNext w:val="0"/>
              <w:keepLines w:val="0"/>
              <w:pageBreakBefore w:val="0"/>
              <w:kinsoku/>
              <w:wordWrap/>
              <w:overflowPunct/>
              <w:topLinePunct w:val="0"/>
              <w:bidi w:val="0"/>
              <w:ind w:firstLine="0" w:firstLineChars="0"/>
              <w:jc w:val="center"/>
              <w:rPr>
                <w:rFonts w:hint="eastAsia" w:asciiTheme="minorEastAsia" w:hAnsiTheme="minorEastAsia" w:eastAsiaTheme="minorEastAsia" w:cstheme="minorEastAsia"/>
                <w:sz w:val="21"/>
                <w:szCs w:val="21"/>
                <w:lang w:val="en-US" w:eastAsia="zh-CN"/>
              </w:rPr>
            </w:pPr>
            <w:r>
              <w:rPr>
                <w:rFonts w:hint="default" w:ascii="Times New Roman" w:hAnsi="Times New Roman" w:cs="Times New Roman" w:eastAsiaTheme="minorEastAsia"/>
                <w:sz w:val="21"/>
                <w:szCs w:val="21"/>
                <w:lang w:eastAsia="zh-CN"/>
              </w:rPr>
              <w:t>项目地</w:t>
            </w:r>
            <w:r>
              <w:rPr>
                <w:rFonts w:hint="eastAsia" w:cs="Times New Roman" w:eastAsiaTheme="minorEastAsia"/>
                <w:sz w:val="21"/>
                <w:szCs w:val="21"/>
                <w:lang w:eastAsia="zh-CN"/>
              </w:rPr>
              <w:t>东</w:t>
            </w:r>
            <w:r>
              <w:rPr>
                <w:rFonts w:hint="default" w:ascii="Times New Roman" w:hAnsi="Times New Roman" w:cs="Times New Roman" w:eastAsiaTheme="minorEastAsia"/>
                <w:sz w:val="21"/>
                <w:szCs w:val="21"/>
                <w:lang w:eastAsia="zh-CN"/>
              </w:rPr>
              <w:t>侧</w:t>
            </w:r>
            <w:r>
              <w:rPr>
                <w:rFonts w:hint="default" w:ascii="Times New Roman" w:hAnsi="Times New Roman" w:cs="Times New Roman" w:eastAsiaTheme="minorEastAsia"/>
                <w:sz w:val="21"/>
                <w:szCs w:val="21"/>
                <w:lang w:val="en-US" w:eastAsia="zh-CN"/>
              </w:rPr>
              <w:t>1m处</w:t>
            </w:r>
          </w:p>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asciiTheme="minorEastAsia" w:hAnsiTheme="minorEastAsia" w:eastAsiaTheme="minorEastAsia" w:cstheme="minorEastAsia"/>
                <w:sz w:val="21"/>
                <w:szCs w:val="21"/>
              </w:rPr>
              <w:t>△</w:t>
            </w:r>
            <w:r>
              <w:rPr>
                <w:rFonts w:hint="default" w:ascii="Times New Roman" w:hAnsi="Times New Roman" w:cs="Times New Roman" w:eastAsiaTheme="minorEastAsia"/>
                <w:color w:val="auto"/>
                <w:sz w:val="21"/>
                <w:szCs w:val="21"/>
                <w:vertAlign w:val="baseline"/>
                <w:lang w:val="en-US" w:eastAsia="zh-CN"/>
              </w:rPr>
              <w:t>N</w:t>
            </w:r>
            <w:r>
              <w:rPr>
                <w:rFonts w:hint="eastAsia" w:cs="Times New Roman" w:eastAsiaTheme="minorEastAsia"/>
                <w:color w:val="auto"/>
                <w:sz w:val="21"/>
                <w:szCs w:val="21"/>
                <w:vertAlign w:val="baseline"/>
                <w:lang w:val="en-US" w:eastAsia="zh-CN"/>
              </w:rPr>
              <w:t>1</w:t>
            </w:r>
          </w:p>
        </w:tc>
        <w:tc>
          <w:tcPr>
            <w:tcW w:w="564"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6.24</w:t>
            </w: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54.9</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continue"/>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eastAsia" w:ascii="Times New Roman" w:hAnsi="Times New Roman" w:cs="Times New Roman" w:eastAsiaTheme="minorEastAsia"/>
                <w:sz w:val="21"/>
                <w:szCs w:val="21"/>
                <w:lang w:val="en-US" w:eastAsia="zh-CN" w:bidi="ar-SA"/>
              </w:rPr>
            </w:pP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42.3</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restart"/>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6.25</w:t>
            </w: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54.1</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cs="Times New Roman" w:eastAsiaTheme="minorEastAsia"/>
                <w:color w:val="auto"/>
                <w:sz w:val="21"/>
                <w:szCs w:val="21"/>
                <w:vertAlign w:val="baseline"/>
                <w:lang w:val="en-US" w:eastAsia="zh-CN"/>
              </w:rPr>
            </w:pP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42.7</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restart"/>
            <w:tcBorders>
              <w:tl2br w:val="nil"/>
              <w:tr2bl w:val="nil"/>
            </w:tcBorders>
            <w:vAlign w:val="center"/>
          </w:tcPr>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项目地</w:t>
            </w:r>
            <w:r>
              <w:rPr>
                <w:rFonts w:hint="eastAsia" w:cs="Times New Roman" w:eastAsiaTheme="minorEastAsia"/>
                <w:sz w:val="21"/>
                <w:szCs w:val="21"/>
                <w:lang w:eastAsia="zh-CN"/>
              </w:rPr>
              <w:t>南</w:t>
            </w:r>
            <w:r>
              <w:rPr>
                <w:rFonts w:hint="default" w:ascii="Times New Roman" w:hAnsi="Times New Roman" w:cs="Times New Roman" w:eastAsiaTheme="minorEastAsia"/>
                <w:sz w:val="21"/>
                <w:szCs w:val="21"/>
                <w:lang w:eastAsia="zh-CN"/>
              </w:rPr>
              <w:t>侧</w:t>
            </w:r>
            <w:r>
              <w:rPr>
                <w:rFonts w:hint="default" w:ascii="Times New Roman" w:hAnsi="Times New Roman" w:cs="Times New Roman" w:eastAsiaTheme="minorEastAsia"/>
                <w:sz w:val="21"/>
                <w:szCs w:val="21"/>
                <w:lang w:val="en-US" w:eastAsia="zh-CN"/>
              </w:rPr>
              <w:t>1m处</w:t>
            </w:r>
          </w:p>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asciiTheme="minorEastAsia" w:hAnsiTheme="minorEastAsia" w:eastAsiaTheme="minorEastAsia" w:cstheme="minorEastAsia"/>
                <w:sz w:val="21"/>
                <w:szCs w:val="21"/>
              </w:rPr>
              <w:t>△</w:t>
            </w:r>
            <w:r>
              <w:rPr>
                <w:rFonts w:hint="default" w:ascii="Times New Roman" w:hAnsi="Times New Roman" w:cs="Times New Roman" w:eastAsiaTheme="minorEastAsia"/>
                <w:color w:val="auto"/>
                <w:sz w:val="21"/>
                <w:szCs w:val="21"/>
                <w:vertAlign w:val="baseline"/>
                <w:lang w:val="en-US" w:eastAsia="zh-CN"/>
              </w:rPr>
              <w:t>N2</w:t>
            </w:r>
          </w:p>
        </w:tc>
        <w:tc>
          <w:tcPr>
            <w:tcW w:w="564"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6.24</w:t>
            </w: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54.3</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cs="Times New Roman" w:eastAsiaTheme="minorEastAsia"/>
                <w:color w:val="auto"/>
                <w:sz w:val="21"/>
                <w:szCs w:val="21"/>
                <w:vertAlign w:val="baseline"/>
                <w:lang w:val="en-US" w:eastAsia="zh-CN"/>
              </w:rPr>
            </w:pP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42.6</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restart"/>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6.25</w:t>
            </w: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52.6</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cs="Times New Roman" w:eastAsiaTheme="minorEastAsia"/>
                <w:color w:val="auto"/>
                <w:sz w:val="21"/>
                <w:szCs w:val="21"/>
                <w:vertAlign w:val="baseline"/>
                <w:lang w:val="en-US" w:eastAsia="zh-CN"/>
              </w:rPr>
            </w:pP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40.8</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restart"/>
            <w:tcBorders>
              <w:tl2br w:val="nil"/>
              <w:tr2bl w:val="nil"/>
            </w:tcBorders>
            <w:vAlign w:val="center"/>
          </w:tcPr>
          <w:p>
            <w:pPr>
              <w:keepNext w:val="0"/>
              <w:keepLines w:val="0"/>
              <w:pageBreakBefore w:val="0"/>
              <w:kinsoku/>
              <w:wordWrap/>
              <w:overflowPunct/>
              <w:topLinePunct w:val="0"/>
              <w:bidi w:val="0"/>
              <w:ind w:firstLine="0" w:firstLineChars="0"/>
              <w:jc w:val="center"/>
              <w:rPr>
                <w:rFonts w:hint="eastAsia" w:asciiTheme="minorEastAsia" w:hAnsiTheme="minorEastAsia" w:eastAsiaTheme="minorEastAsia" w:cstheme="minorEastAsia"/>
                <w:sz w:val="21"/>
                <w:szCs w:val="21"/>
                <w:lang w:val="en-US" w:eastAsia="zh-CN"/>
              </w:rPr>
            </w:pPr>
            <w:r>
              <w:rPr>
                <w:rFonts w:hint="default" w:ascii="Times New Roman" w:hAnsi="Times New Roman" w:cs="Times New Roman" w:eastAsiaTheme="minorEastAsia"/>
                <w:sz w:val="21"/>
                <w:szCs w:val="21"/>
                <w:lang w:eastAsia="zh-CN"/>
              </w:rPr>
              <w:t>项目地</w:t>
            </w:r>
            <w:r>
              <w:rPr>
                <w:rFonts w:hint="eastAsia" w:cs="Times New Roman" w:eastAsiaTheme="minorEastAsia"/>
                <w:sz w:val="21"/>
                <w:szCs w:val="21"/>
                <w:lang w:eastAsia="zh-CN"/>
              </w:rPr>
              <w:t>西</w:t>
            </w:r>
            <w:r>
              <w:rPr>
                <w:rFonts w:hint="default" w:ascii="Times New Roman" w:hAnsi="Times New Roman" w:cs="Times New Roman" w:eastAsiaTheme="minorEastAsia"/>
                <w:sz w:val="21"/>
                <w:szCs w:val="21"/>
                <w:lang w:eastAsia="zh-CN"/>
              </w:rPr>
              <w:t>侧</w:t>
            </w:r>
            <w:r>
              <w:rPr>
                <w:rFonts w:hint="default" w:ascii="Times New Roman" w:hAnsi="Times New Roman" w:cs="Times New Roman" w:eastAsiaTheme="minorEastAsia"/>
                <w:sz w:val="21"/>
                <w:szCs w:val="21"/>
                <w:lang w:val="en-US" w:eastAsia="zh-CN"/>
              </w:rPr>
              <w:t>1m处</w:t>
            </w:r>
          </w:p>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asciiTheme="minorEastAsia" w:hAnsiTheme="minorEastAsia" w:eastAsiaTheme="minorEastAsia" w:cstheme="minorEastAsia"/>
                <w:sz w:val="21"/>
                <w:szCs w:val="21"/>
              </w:rPr>
              <w:t>△</w:t>
            </w:r>
            <w:r>
              <w:rPr>
                <w:rFonts w:hint="default" w:ascii="Times New Roman" w:hAnsi="Times New Roman" w:cs="Times New Roman" w:eastAsiaTheme="minorEastAsia"/>
                <w:color w:val="auto"/>
                <w:sz w:val="21"/>
                <w:szCs w:val="21"/>
                <w:vertAlign w:val="baseline"/>
                <w:lang w:val="en-US" w:eastAsia="zh-CN"/>
              </w:rPr>
              <w:t>N3</w:t>
            </w:r>
          </w:p>
        </w:tc>
        <w:tc>
          <w:tcPr>
            <w:tcW w:w="564"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6.24</w:t>
            </w: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53.3</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cs="Times New Roman" w:eastAsiaTheme="minorEastAsia"/>
                <w:color w:val="auto"/>
                <w:sz w:val="21"/>
                <w:szCs w:val="21"/>
                <w:vertAlign w:val="baseline"/>
                <w:lang w:val="en-US" w:eastAsia="zh-CN"/>
              </w:rPr>
            </w:pP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41.9</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restart"/>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6.25</w:t>
            </w: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53.4</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cs="Times New Roman" w:eastAsiaTheme="minorEastAsia"/>
                <w:color w:val="auto"/>
                <w:sz w:val="21"/>
                <w:szCs w:val="21"/>
                <w:vertAlign w:val="baseline"/>
                <w:lang w:val="en-US" w:eastAsia="zh-CN"/>
              </w:rPr>
            </w:pP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39.8</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restart"/>
            <w:tcBorders>
              <w:tl2br w:val="nil"/>
              <w:tr2bl w:val="nil"/>
            </w:tcBorders>
            <w:vAlign w:val="center"/>
          </w:tcPr>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项目地</w:t>
            </w:r>
            <w:r>
              <w:rPr>
                <w:rFonts w:hint="eastAsia" w:cs="Times New Roman" w:eastAsiaTheme="minorEastAsia"/>
                <w:sz w:val="21"/>
                <w:szCs w:val="21"/>
                <w:lang w:eastAsia="zh-CN"/>
              </w:rPr>
              <w:t>北</w:t>
            </w:r>
            <w:r>
              <w:rPr>
                <w:rFonts w:hint="default" w:ascii="Times New Roman" w:hAnsi="Times New Roman" w:cs="Times New Roman" w:eastAsiaTheme="minorEastAsia"/>
                <w:sz w:val="21"/>
                <w:szCs w:val="21"/>
                <w:lang w:eastAsia="zh-CN"/>
              </w:rPr>
              <w:t>侧</w:t>
            </w:r>
            <w:r>
              <w:rPr>
                <w:rFonts w:hint="default" w:ascii="Times New Roman" w:hAnsi="Times New Roman" w:cs="Times New Roman" w:eastAsiaTheme="minorEastAsia"/>
                <w:sz w:val="21"/>
                <w:szCs w:val="21"/>
                <w:lang w:val="en-US" w:eastAsia="zh-CN"/>
              </w:rPr>
              <w:t>1m处</w:t>
            </w:r>
          </w:p>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asciiTheme="minorEastAsia" w:hAnsiTheme="minorEastAsia" w:eastAsiaTheme="minorEastAsia" w:cstheme="minorEastAsia"/>
                <w:sz w:val="21"/>
                <w:szCs w:val="21"/>
              </w:rPr>
              <w:t>△</w:t>
            </w:r>
            <w:r>
              <w:rPr>
                <w:rFonts w:hint="default" w:ascii="Times New Roman" w:hAnsi="Times New Roman" w:cs="Times New Roman" w:eastAsiaTheme="minorEastAsia"/>
                <w:color w:val="auto"/>
                <w:sz w:val="21"/>
                <w:szCs w:val="21"/>
                <w:vertAlign w:val="baseline"/>
                <w:lang w:val="en-US" w:eastAsia="zh-CN"/>
              </w:rPr>
              <w:t>N4</w:t>
            </w:r>
          </w:p>
        </w:tc>
        <w:tc>
          <w:tcPr>
            <w:tcW w:w="564" w:type="pct"/>
            <w:vMerge w:val="restart"/>
            <w:tcBorders>
              <w:tl2br w:val="nil"/>
              <w:tr2bl w:val="nil"/>
            </w:tcBorders>
            <w:vAlign w:val="center"/>
          </w:tcPr>
          <w:p>
            <w:pPr>
              <w:keepNext w:val="0"/>
              <w:keepLines w:val="0"/>
              <w:pageBreakBefore w:val="0"/>
              <w:kinsoku/>
              <w:wordWrap/>
              <w:overflowPunct/>
              <w:topLinePunct w:val="0"/>
              <w:bidi w:val="0"/>
              <w:snapToGrid/>
              <w:spacing w:line="0" w:lineRule="atLeast"/>
              <w:ind w:left="0" w:leftChars="0" w:right="0" w:rightChars="0" w:firstLine="0" w:firstLineChars="0"/>
              <w:jc w:val="center"/>
              <w:outlineLvl w:val="9"/>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6.24</w:t>
            </w: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51.9</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cs="Times New Roman" w:eastAsiaTheme="minorEastAsia"/>
                <w:color w:val="auto"/>
                <w:sz w:val="21"/>
                <w:szCs w:val="21"/>
                <w:vertAlign w:val="baseline"/>
                <w:lang w:val="en-US" w:eastAsia="zh-CN"/>
              </w:rPr>
            </w:pP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42.3</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restart"/>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bidi="ar-SA"/>
              </w:rPr>
            </w:pPr>
            <w:r>
              <w:rPr>
                <w:rFonts w:hint="eastAsia" w:ascii="Times New Roman" w:hAnsi="Times New Roman" w:cs="Times New Roman" w:eastAsiaTheme="minorEastAsia"/>
                <w:color w:val="auto"/>
                <w:sz w:val="21"/>
                <w:szCs w:val="21"/>
                <w:vertAlign w:val="baseline"/>
                <w:lang w:val="en-US" w:eastAsia="zh-CN"/>
              </w:rPr>
              <w:t>6.25</w:t>
            </w: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昼间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51.8</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6"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1270"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cs="Times New Roman" w:eastAsiaTheme="minorEastAsia"/>
                <w:color w:val="auto"/>
                <w:sz w:val="21"/>
                <w:szCs w:val="21"/>
                <w:vertAlign w:val="baseline"/>
                <w:lang w:val="en-US" w:eastAsia="zh-CN"/>
              </w:rPr>
            </w:pPr>
          </w:p>
        </w:tc>
        <w:tc>
          <w:tcPr>
            <w:tcW w:w="564" w:type="pct"/>
            <w:vMerge w:val="continue"/>
            <w:tcBorders>
              <w:tl2br w:val="nil"/>
              <w:tr2bl w:val="nil"/>
            </w:tcBorders>
            <w:vAlign w:val="center"/>
          </w:tcPr>
          <w:p>
            <w:pPr>
              <w:keepNext w:val="0"/>
              <w:keepLines w:val="0"/>
              <w:pageBreakBefore w:val="0"/>
              <w:kinsoku/>
              <w:wordWrap/>
              <w:overflowPunct/>
              <w:topLinePunct w:val="0"/>
              <w:bidi w:val="0"/>
              <w:spacing w:line="240" w:lineRule="auto"/>
              <w:ind w:firstLine="0" w:firstLineChars="0"/>
              <w:jc w:val="center"/>
              <w:rPr>
                <w:rFonts w:hint="eastAsia" w:ascii="Times New Roman" w:hAnsi="Times New Roman" w:cs="Times New Roman" w:eastAsiaTheme="minorEastAsia"/>
                <w:color w:val="auto"/>
                <w:sz w:val="21"/>
                <w:szCs w:val="21"/>
                <w:vertAlign w:val="baseline"/>
                <w:lang w:val="en-US" w:eastAsia="zh-CN"/>
              </w:rPr>
            </w:pPr>
          </w:p>
        </w:tc>
        <w:tc>
          <w:tcPr>
            <w:tcW w:w="5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夜间</w:t>
            </w:r>
          </w:p>
        </w:tc>
        <w:tc>
          <w:tcPr>
            <w:tcW w:w="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21"/>
                <w:szCs w:val="21"/>
                <w:u w:val="none"/>
                <w:lang w:val="en-US" w:eastAsia="zh-CN" w:bidi="ar"/>
              </w:rPr>
            </w:pPr>
            <w:r>
              <w:rPr>
                <w:rFonts w:hint="eastAsia" w:cs="Times New Roman" w:eastAsiaTheme="minorEastAsia"/>
                <w:i w:val="0"/>
                <w:color w:val="auto"/>
                <w:kern w:val="0"/>
                <w:sz w:val="21"/>
                <w:szCs w:val="21"/>
                <w:u w:val="none"/>
                <w:lang w:val="en-US" w:eastAsia="zh-CN" w:bidi="ar"/>
              </w:rPr>
              <w:t>42.6</w:t>
            </w:r>
          </w:p>
        </w:tc>
        <w:tc>
          <w:tcPr>
            <w:tcW w:w="11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50</w:t>
            </w:r>
          </w:p>
        </w:tc>
      </w:tr>
    </w:tbl>
    <w:p>
      <w:r>
        <w:rPr>
          <w:rFonts w:hint="eastAsia"/>
        </w:rPr>
        <w:t>从表</w:t>
      </w:r>
      <w:r>
        <w:rPr>
          <w:rFonts w:hint="eastAsia"/>
          <w:lang w:val="en-US" w:eastAsia="zh-CN"/>
        </w:rPr>
        <w:t>3.2</w:t>
      </w:r>
      <w:r>
        <w:t>-</w:t>
      </w:r>
      <w:r>
        <w:rPr>
          <w:rFonts w:hint="eastAsia"/>
        </w:rPr>
        <w:t>7可知，工程拟建地周边环境噪声昼间、夜间监测值均满足《声环境质量标准》（</w:t>
      </w:r>
      <w:r>
        <w:t>GB3095-2008</w:t>
      </w:r>
      <w:r>
        <w:rPr>
          <w:rFonts w:hint="eastAsia"/>
        </w:rPr>
        <w:t>）中</w:t>
      </w:r>
      <w:r>
        <w:t>2</w:t>
      </w:r>
      <w:r>
        <w:rPr>
          <w:rFonts w:hint="eastAsia"/>
        </w:rPr>
        <w:t>类标准要求。项目所在地声环境质量良好。</w:t>
      </w:r>
    </w:p>
    <w:p>
      <w:pPr>
        <w:pStyle w:val="5"/>
        <w:bidi w:val="0"/>
      </w:pPr>
      <w:bookmarkStart w:id="169" w:name="_Toc468689175"/>
      <w:bookmarkStart w:id="170" w:name="_Toc489916030"/>
      <w:r>
        <w:t>地下水环境质量现状</w:t>
      </w:r>
    </w:p>
    <w:p>
      <w:r>
        <w:t>(1)监测点位</w:t>
      </w:r>
    </w:p>
    <w:p>
      <w:r>
        <w:t>本次</w:t>
      </w:r>
      <w:r>
        <w:rPr>
          <w:rFonts w:hint="eastAsia"/>
        </w:rPr>
        <w:t>环评</w:t>
      </w:r>
      <w:r>
        <w:t>地下水监测位点设置</w:t>
      </w:r>
      <w:r>
        <w:rPr>
          <w:rFonts w:hint="eastAsia"/>
          <w:lang w:val="en-US" w:eastAsia="zh-CN"/>
        </w:rPr>
        <w:t>1</w:t>
      </w:r>
      <w:r>
        <w:t>处，</w:t>
      </w:r>
      <w:r>
        <w:rPr>
          <w:rFonts w:hint="eastAsia"/>
        </w:rPr>
        <w:t>监测点位分别</w:t>
      </w:r>
      <w:r>
        <w:rPr>
          <w:rFonts w:hint="eastAsia"/>
          <w:lang w:eastAsia="zh-CN"/>
        </w:rPr>
        <w:t>为项目内水井</w:t>
      </w:r>
      <w:r>
        <w:rPr>
          <w:rFonts w:hint="eastAsia"/>
        </w:rPr>
        <w:t>，</w:t>
      </w:r>
      <w:r>
        <w:t>委托</w:t>
      </w:r>
      <w:r>
        <w:rPr>
          <w:rFonts w:hint="eastAsia"/>
        </w:rPr>
        <w:t>湖南宏润检测有限公司进行监测分析</w:t>
      </w:r>
      <w:r>
        <w:rPr>
          <w:rFonts w:hint="eastAsia"/>
          <w:lang w:eastAsia="zh-CN"/>
        </w:rPr>
        <w:t>，同时引用《</w:t>
      </w:r>
      <w:r>
        <w:rPr>
          <w:rFonts w:hint="eastAsia" w:ascii="Times New Roman" w:hAnsi="Times New Roman" w:cs="Times New Roman"/>
        </w:rPr>
        <w:t>澧县荣盛牲猪养殖专业合作社年出栏30000头生猪养殖建设项目</w:t>
      </w:r>
      <w:r>
        <w:rPr>
          <w:rFonts w:hint="eastAsia"/>
          <w:lang w:eastAsia="zh-CN"/>
        </w:rPr>
        <w:t>》地下水监测点位，</w:t>
      </w:r>
      <w:r>
        <w:rPr>
          <w:rFonts w:hint="eastAsia" w:ascii="Times New Roman" w:hAnsi="Times New Roman" w:cs="Times New Roman"/>
        </w:rPr>
        <w:t>荣盛牲猪养殖</w:t>
      </w:r>
      <w:r>
        <w:rPr>
          <w:rFonts w:hint="eastAsia" w:ascii="Times New Roman" w:hAnsi="Times New Roman" w:cs="Times New Roman"/>
          <w:lang w:eastAsia="zh-CN"/>
        </w:rPr>
        <w:t>场母猪场、育肥场分别距离本项目</w:t>
      </w:r>
      <w:r>
        <w:rPr>
          <w:rFonts w:hint="eastAsia" w:ascii="Times New Roman" w:hAnsi="Times New Roman" w:cs="Times New Roman"/>
          <w:lang w:val="en-US" w:eastAsia="zh-CN"/>
        </w:rPr>
        <w:t>1500m、1800m</w:t>
      </w:r>
      <w:r>
        <w:rPr>
          <w:rFonts w:hint="eastAsia"/>
        </w:rPr>
        <w:t>。监测点位见表</w:t>
      </w:r>
      <w:r>
        <w:rPr>
          <w:rFonts w:hint="eastAsia"/>
          <w:lang w:val="en-US" w:eastAsia="zh-CN"/>
        </w:rPr>
        <w:t>3.2</w:t>
      </w:r>
      <w:r>
        <w:rPr>
          <w:rFonts w:hint="eastAsia"/>
        </w:rPr>
        <w:t>-8，监测结果见表</w:t>
      </w:r>
      <w:r>
        <w:rPr>
          <w:rFonts w:hint="eastAsia"/>
          <w:lang w:val="en-US" w:eastAsia="zh-CN"/>
        </w:rPr>
        <w:t>3.2</w:t>
      </w:r>
      <w:r>
        <w:rPr>
          <w:rFonts w:hint="eastAsia"/>
        </w:rPr>
        <w:t>-9</w:t>
      </w:r>
      <w:r>
        <w:t>。</w:t>
      </w:r>
    </w:p>
    <w:p>
      <w:pPr>
        <w:pStyle w:val="11"/>
      </w:pPr>
    </w:p>
    <w:p>
      <w:pPr>
        <w:pStyle w:val="11"/>
      </w:pP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8</w:t>
      </w:r>
      <w:r>
        <w:fldChar w:fldCharType="end"/>
      </w:r>
      <w:r>
        <w:rPr>
          <w:rFonts w:hint="eastAsia"/>
          <w:lang w:val="en-US" w:eastAsia="zh-CN"/>
        </w:rPr>
        <w:t xml:space="preserve">   </w:t>
      </w:r>
      <w:r>
        <w:t>现状监测布点表</w:t>
      </w:r>
    </w:p>
    <w:tbl>
      <w:tblPr>
        <w:tblStyle w:val="17"/>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3648"/>
        <w:gridCol w:w="2223"/>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61" w:type="dxa"/>
            <w:vAlign w:val="center"/>
          </w:tcPr>
          <w:p>
            <w:pPr>
              <w:pStyle w:val="8"/>
              <w:bidi w:val="0"/>
            </w:pPr>
            <w:r>
              <w:t>序号</w:t>
            </w:r>
          </w:p>
        </w:tc>
        <w:tc>
          <w:tcPr>
            <w:tcW w:w="3648" w:type="dxa"/>
            <w:vAlign w:val="center"/>
          </w:tcPr>
          <w:p>
            <w:pPr>
              <w:pStyle w:val="8"/>
              <w:bidi w:val="0"/>
            </w:pPr>
            <w:r>
              <w:t>测点名称</w:t>
            </w:r>
          </w:p>
        </w:tc>
        <w:tc>
          <w:tcPr>
            <w:tcW w:w="2223" w:type="dxa"/>
            <w:vAlign w:val="center"/>
          </w:tcPr>
          <w:p>
            <w:pPr>
              <w:pStyle w:val="8"/>
              <w:bidi w:val="0"/>
            </w:pPr>
            <w:r>
              <w:t>监测项目</w:t>
            </w:r>
          </w:p>
        </w:tc>
        <w:tc>
          <w:tcPr>
            <w:tcW w:w="1799" w:type="dxa"/>
            <w:vAlign w:val="center"/>
          </w:tcPr>
          <w:p>
            <w:pPr>
              <w:pStyle w:val="8"/>
              <w:bidi w:val="0"/>
            </w:pPr>
            <w:r>
              <w:t>水体类别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61" w:type="dxa"/>
            <w:vAlign w:val="center"/>
          </w:tcPr>
          <w:p>
            <w:pPr>
              <w:pStyle w:val="8"/>
              <w:bidi w:val="0"/>
            </w:pPr>
            <w:r>
              <w:rPr>
                <w:rFonts w:hint="eastAsia"/>
              </w:rPr>
              <w:t>U</w:t>
            </w:r>
            <w:r>
              <w:t>1</w:t>
            </w:r>
          </w:p>
        </w:tc>
        <w:tc>
          <w:tcPr>
            <w:tcW w:w="3648" w:type="dxa"/>
            <w:vAlign w:val="center"/>
          </w:tcPr>
          <w:p>
            <w:pPr>
              <w:pStyle w:val="8"/>
              <w:bidi w:val="0"/>
            </w:pPr>
            <w:r>
              <w:rPr>
                <w:rFonts w:hint="eastAsia"/>
                <w:lang w:eastAsia="zh-CN"/>
              </w:rPr>
              <w:t>项目范围内水井</w:t>
            </w:r>
          </w:p>
        </w:tc>
        <w:tc>
          <w:tcPr>
            <w:tcW w:w="2223" w:type="dxa"/>
            <w:vMerge w:val="restart"/>
            <w:vAlign w:val="center"/>
          </w:tcPr>
          <w:p>
            <w:pPr>
              <w:pStyle w:val="8"/>
              <w:bidi w:val="0"/>
            </w:pPr>
            <w:r>
              <w:t>pH</w:t>
            </w:r>
            <w:r>
              <w:rPr>
                <w:rFonts w:hint="eastAsia"/>
                <w:lang w:eastAsia="zh-CN"/>
              </w:rPr>
              <w:t>、</w:t>
            </w:r>
            <w:r>
              <w:t>氨氮</w:t>
            </w:r>
            <w:r>
              <w:rPr>
                <w:rFonts w:hint="eastAsia"/>
                <w:lang w:eastAsia="zh-CN"/>
              </w:rPr>
              <w:t>、</w:t>
            </w:r>
            <w:r>
              <w:t>总硬度</w:t>
            </w:r>
            <w:r>
              <w:rPr>
                <w:rFonts w:hint="eastAsia"/>
                <w:lang w:eastAsia="zh-CN"/>
              </w:rPr>
              <w:t>、</w:t>
            </w:r>
            <w:r>
              <w:t>耗氧量</w:t>
            </w:r>
            <w:r>
              <w:rPr>
                <w:rFonts w:hint="eastAsia"/>
                <w:lang w:eastAsia="zh-CN"/>
              </w:rPr>
              <w:t>、</w:t>
            </w:r>
            <w:r>
              <w:rPr>
                <w:rFonts w:hint="eastAsia"/>
              </w:rPr>
              <w:t>挥发性酚类</w:t>
            </w:r>
            <w:r>
              <w:rPr>
                <w:rFonts w:hint="eastAsia"/>
                <w:lang w:eastAsia="zh-CN"/>
              </w:rPr>
              <w:t>、</w:t>
            </w:r>
            <w:r>
              <w:rPr>
                <w:rFonts w:hint="eastAsia"/>
              </w:rPr>
              <w:t>氟</w:t>
            </w:r>
            <w:r>
              <w:t>化物</w:t>
            </w:r>
            <w:r>
              <w:rPr>
                <w:rFonts w:hint="eastAsia"/>
                <w:lang w:eastAsia="zh-CN"/>
              </w:rPr>
              <w:t>、</w:t>
            </w:r>
            <w:r>
              <w:t>硫酸盐</w:t>
            </w:r>
            <w:r>
              <w:rPr>
                <w:rFonts w:hint="eastAsia"/>
                <w:lang w:eastAsia="zh-CN"/>
              </w:rPr>
              <w:t>、</w:t>
            </w:r>
            <w:r>
              <w:t>总大肠菌群</w:t>
            </w:r>
          </w:p>
        </w:tc>
        <w:tc>
          <w:tcPr>
            <w:tcW w:w="1799" w:type="dxa"/>
            <w:vMerge w:val="restart"/>
            <w:vAlign w:val="center"/>
          </w:tcPr>
          <w:p>
            <w:pPr>
              <w:pStyle w:val="8"/>
              <w:bidi w:val="0"/>
            </w:pPr>
            <w:r>
              <w:t>GB/T14848-</w:t>
            </w:r>
            <w:r>
              <w:rPr>
                <w:rFonts w:hint="eastAsia"/>
              </w:rPr>
              <w:t>2017</w:t>
            </w:r>
            <w:r>
              <w:t>中</w:t>
            </w:r>
            <w:r>
              <w:rPr>
                <w:rFonts w:hint="eastAsia" w:ascii="宋体" w:hAnsi="宋体" w:eastAsia="宋体" w:cs="宋体"/>
                <w:sz w:val="21"/>
                <w:szCs w:val="21"/>
              </w:rPr>
              <w:t>Ⅲ</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61" w:type="dxa"/>
            <w:vAlign w:val="center"/>
          </w:tcPr>
          <w:p>
            <w:pPr>
              <w:pStyle w:val="8"/>
              <w:bidi w:val="0"/>
            </w:pPr>
            <w:r>
              <w:rPr>
                <w:rFonts w:hint="eastAsia"/>
                <w:lang w:val="en-US" w:eastAsia="zh-CN"/>
              </w:rPr>
              <w:t>U</w:t>
            </w:r>
            <w:r>
              <w:t>2</w:t>
            </w:r>
          </w:p>
        </w:tc>
        <w:tc>
          <w:tcPr>
            <w:tcW w:w="3648" w:type="dxa"/>
            <w:vAlign w:val="center"/>
          </w:tcPr>
          <w:p>
            <w:pPr>
              <w:pStyle w:val="8"/>
              <w:bidi w:val="0"/>
              <w:rPr>
                <w:lang w:val="en-US" w:eastAsia="zh-CN"/>
              </w:rPr>
            </w:pPr>
            <w:r>
              <w:rPr>
                <w:rFonts w:hint="eastAsia" w:ascii="Times New Roman" w:hAnsi="Times New Roman" w:cs="Times New Roman"/>
              </w:rPr>
              <w:t>荣盛牲猪养殖</w:t>
            </w:r>
            <w:r>
              <w:rPr>
                <w:rFonts w:hint="eastAsia" w:ascii="Times New Roman" w:hAnsi="Times New Roman" w:cs="Times New Roman"/>
                <w:lang w:eastAsia="zh-CN"/>
              </w:rPr>
              <w:t>场</w:t>
            </w:r>
            <w:r>
              <w:rPr>
                <w:rFonts w:hint="eastAsia"/>
              </w:rPr>
              <w:t>母猪场东500m处</w:t>
            </w:r>
          </w:p>
        </w:tc>
        <w:tc>
          <w:tcPr>
            <w:tcW w:w="2223" w:type="dxa"/>
            <w:vMerge w:val="continue"/>
            <w:vAlign w:val="center"/>
          </w:tcPr>
          <w:p>
            <w:pPr>
              <w:pStyle w:val="8"/>
              <w:bidi w:val="0"/>
            </w:pPr>
          </w:p>
        </w:tc>
        <w:tc>
          <w:tcPr>
            <w:tcW w:w="1799"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61" w:type="dxa"/>
            <w:vAlign w:val="center"/>
          </w:tcPr>
          <w:p>
            <w:pPr>
              <w:pStyle w:val="8"/>
              <w:bidi w:val="0"/>
            </w:pPr>
            <w:r>
              <w:rPr>
                <w:rFonts w:hint="eastAsia"/>
                <w:lang w:val="en-US" w:eastAsia="zh-CN"/>
              </w:rPr>
              <w:t>U</w:t>
            </w:r>
            <w:r>
              <w:rPr>
                <w:rFonts w:hint="eastAsia"/>
              </w:rPr>
              <w:t>3</w:t>
            </w:r>
          </w:p>
        </w:tc>
        <w:tc>
          <w:tcPr>
            <w:tcW w:w="3648" w:type="dxa"/>
            <w:vAlign w:val="center"/>
          </w:tcPr>
          <w:p>
            <w:pPr>
              <w:pStyle w:val="8"/>
              <w:bidi w:val="0"/>
              <w:rPr>
                <w:lang w:val="en-US" w:eastAsia="zh-CN"/>
              </w:rPr>
            </w:pPr>
            <w:r>
              <w:rPr>
                <w:rFonts w:hint="eastAsia" w:ascii="Times New Roman" w:hAnsi="Times New Roman" w:cs="Times New Roman"/>
              </w:rPr>
              <w:t>荣盛牲猪养殖</w:t>
            </w:r>
            <w:r>
              <w:rPr>
                <w:rFonts w:hint="eastAsia" w:ascii="Times New Roman" w:hAnsi="Times New Roman" w:cs="Times New Roman"/>
                <w:lang w:eastAsia="zh-CN"/>
              </w:rPr>
              <w:t>场</w:t>
            </w:r>
            <w:r>
              <w:rPr>
                <w:rFonts w:hint="eastAsia"/>
              </w:rPr>
              <w:t>育肥场东北460m处</w:t>
            </w:r>
          </w:p>
        </w:tc>
        <w:tc>
          <w:tcPr>
            <w:tcW w:w="2223" w:type="dxa"/>
            <w:vMerge w:val="continue"/>
            <w:vAlign w:val="center"/>
          </w:tcPr>
          <w:p>
            <w:pPr>
              <w:pStyle w:val="8"/>
              <w:bidi w:val="0"/>
            </w:pPr>
          </w:p>
        </w:tc>
        <w:tc>
          <w:tcPr>
            <w:tcW w:w="1799"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61" w:type="dxa"/>
            <w:vAlign w:val="center"/>
          </w:tcPr>
          <w:p>
            <w:pPr>
              <w:pStyle w:val="8"/>
              <w:bidi w:val="0"/>
              <w:rPr>
                <w:rFonts w:hint="eastAsia" w:eastAsiaTheme="minorEastAsia"/>
                <w:lang w:val="en-US" w:eastAsia="zh-CN"/>
              </w:rPr>
            </w:pPr>
            <w:r>
              <w:rPr>
                <w:rFonts w:hint="eastAsia"/>
                <w:lang w:val="en-US" w:eastAsia="zh-CN"/>
              </w:rPr>
              <w:t>U4</w:t>
            </w:r>
          </w:p>
        </w:tc>
        <w:tc>
          <w:tcPr>
            <w:tcW w:w="3648" w:type="dxa"/>
            <w:vAlign w:val="center"/>
          </w:tcPr>
          <w:p>
            <w:pPr>
              <w:pStyle w:val="8"/>
              <w:bidi w:val="0"/>
              <w:rPr>
                <w:rFonts w:hint="eastAsia"/>
                <w:lang w:val="en-US" w:eastAsia="zh-CN"/>
              </w:rPr>
            </w:pPr>
            <w:r>
              <w:rPr>
                <w:rFonts w:hint="eastAsia" w:ascii="Times New Roman" w:hAnsi="Times New Roman" w:cs="Times New Roman"/>
              </w:rPr>
              <w:t>荣盛牲猪养殖</w:t>
            </w:r>
            <w:r>
              <w:rPr>
                <w:rFonts w:hint="eastAsia" w:ascii="Times New Roman" w:hAnsi="Times New Roman" w:cs="Times New Roman"/>
                <w:lang w:eastAsia="zh-CN"/>
              </w:rPr>
              <w:t>场</w:t>
            </w:r>
            <w:r>
              <w:rPr>
                <w:rFonts w:hint="eastAsia"/>
              </w:rPr>
              <w:t>育肥场东北480m处</w:t>
            </w:r>
          </w:p>
        </w:tc>
        <w:tc>
          <w:tcPr>
            <w:tcW w:w="2223" w:type="dxa"/>
            <w:vMerge w:val="continue"/>
            <w:vAlign w:val="center"/>
          </w:tcPr>
          <w:p>
            <w:pPr>
              <w:pStyle w:val="8"/>
              <w:bidi w:val="0"/>
            </w:pPr>
          </w:p>
        </w:tc>
        <w:tc>
          <w:tcPr>
            <w:tcW w:w="1799" w:type="dxa"/>
            <w:vMerge w:val="continue"/>
            <w:vAlign w:val="center"/>
          </w:tcPr>
          <w:p>
            <w:pPr>
              <w:pStyle w:val="8"/>
              <w:bidi w:val="0"/>
            </w:pPr>
          </w:p>
        </w:tc>
      </w:tr>
    </w:tbl>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pPr>
      <w:r>
        <w:rPr>
          <w:rFonts w:hint="eastAsia"/>
          <w:lang w:eastAsia="zh-CN"/>
        </w:rPr>
        <w:t>（</w:t>
      </w:r>
      <w:r>
        <w:rPr>
          <w:rFonts w:hint="eastAsia"/>
          <w:lang w:val="en-US" w:eastAsia="zh-CN"/>
        </w:rPr>
        <w:t>2</w:t>
      </w:r>
      <w:r>
        <w:rPr>
          <w:rFonts w:hint="eastAsia"/>
          <w:lang w:eastAsia="zh-CN"/>
        </w:rPr>
        <w:t>）</w:t>
      </w:r>
      <w:r>
        <w:t>监测时间</w:t>
      </w:r>
      <w:r>
        <w:rPr>
          <w:rFonts w:hint="eastAsia"/>
        </w:rPr>
        <w:t>、频次及方法</w:t>
      </w:r>
    </w:p>
    <w:p>
      <w:r>
        <w:t>监测时间为20</w:t>
      </w:r>
      <w:r>
        <w:rPr>
          <w:rFonts w:hint="eastAsia"/>
          <w:lang w:val="en-US" w:eastAsia="zh-CN"/>
        </w:rPr>
        <w:t>20</w:t>
      </w:r>
      <w:r>
        <w:t>年</w:t>
      </w:r>
      <w:r>
        <w:rPr>
          <w:rFonts w:hint="eastAsia"/>
          <w:lang w:val="en-US" w:eastAsia="zh-CN"/>
        </w:rPr>
        <w:t>6</w:t>
      </w:r>
      <w:r>
        <w:t>月</w:t>
      </w:r>
      <w:r>
        <w:rPr>
          <w:rFonts w:hint="eastAsia"/>
          <w:lang w:val="en-US" w:eastAsia="zh-CN"/>
        </w:rPr>
        <w:t>24</w:t>
      </w:r>
      <w:r>
        <w:t>日</w:t>
      </w:r>
      <w:r>
        <w:rPr>
          <w:rFonts w:hint="eastAsia"/>
        </w:rPr>
        <w:t>-</w:t>
      </w:r>
      <w:r>
        <w:rPr>
          <w:rFonts w:hint="eastAsia"/>
          <w:lang w:val="en-US" w:eastAsia="zh-CN"/>
        </w:rPr>
        <w:t>6</w:t>
      </w:r>
      <w:r>
        <w:rPr>
          <w:rFonts w:hint="eastAsia"/>
        </w:rPr>
        <w:t>月2</w:t>
      </w:r>
      <w:r>
        <w:rPr>
          <w:rFonts w:hint="eastAsia"/>
          <w:lang w:val="en-US" w:eastAsia="zh-CN"/>
        </w:rPr>
        <w:t>6</w:t>
      </w:r>
      <w:r>
        <w:rPr>
          <w:rFonts w:hint="eastAsia"/>
        </w:rPr>
        <w:t>日</w:t>
      </w:r>
      <w:r>
        <w:t>，监测一天，采样一次。</w:t>
      </w:r>
      <w:r>
        <w:rPr>
          <w:rFonts w:hint="eastAsia"/>
        </w:rPr>
        <w:t>监测方法依据《地下水环境监测技术规范》（HJ/T 164-2004）的规定执行。</w:t>
      </w:r>
    </w:p>
    <w:p>
      <w:r>
        <w:t>(3)监测结果</w:t>
      </w:r>
    </w:p>
    <w:p>
      <w:r>
        <w:t>监测结果详见表</w:t>
      </w:r>
      <w:r>
        <w:rPr>
          <w:rFonts w:hint="eastAsia"/>
          <w:lang w:val="en-US" w:eastAsia="zh-CN"/>
        </w:rPr>
        <w:t>3.2-9</w:t>
      </w:r>
      <w:r>
        <w:t>。</w:t>
      </w:r>
    </w:p>
    <w:p>
      <w:pPr>
        <w:pStyle w:val="11"/>
        <w:rPr>
          <w:rFonts w:hint="eastAsia" w:eastAsiaTheme="minorEastAsia"/>
          <w:lang w:val="en-US" w:eastAsia="zh-CN"/>
        </w:rPr>
      </w:pPr>
      <w:r>
        <w:t xml:space="preserve">表3.2- </w:t>
      </w:r>
      <w:r>
        <w:fldChar w:fldCharType="begin"/>
      </w:r>
      <w:r>
        <w:instrText xml:space="preserve"> SEQ 表3.2- \* ARABIC </w:instrText>
      </w:r>
      <w:r>
        <w:fldChar w:fldCharType="separate"/>
      </w:r>
      <w:r>
        <w:t>9</w:t>
      </w:r>
      <w:r>
        <w:fldChar w:fldCharType="end"/>
      </w:r>
      <w:r>
        <w:rPr>
          <w:rFonts w:hint="eastAsia"/>
          <w:lang w:val="en-US" w:eastAsia="zh-CN"/>
        </w:rPr>
        <w:t xml:space="preserve">  </w:t>
      </w:r>
      <w:r>
        <w:t xml:space="preserve">地下水水质现状监测统计结果  </w:t>
      </w:r>
      <w:r>
        <w:rPr>
          <w:rFonts w:hint="eastAsia"/>
        </w:rPr>
        <w:t xml:space="preserve"> 单位(mg/L)</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849"/>
        <w:gridCol w:w="1259"/>
        <w:gridCol w:w="1468"/>
        <w:gridCol w:w="1139"/>
        <w:gridCol w:w="1139"/>
        <w:gridCol w:w="1139"/>
        <w:gridCol w:w="109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restart"/>
            <w:tcBorders>
              <w:tl2br w:val="nil"/>
              <w:tr2bl w:val="nil"/>
            </w:tcBorders>
            <w:vAlign w:val="center"/>
          </w:tcPr>
          <w:p>
            <w:pPr>
              <w:pStyle w:val="8"/>
              <w:bidi w:val="0"/>
            </w:pPr>
            <w:r>
              <w:t>采样</w:t>
            </w:r>
          </w:p>
          <w:p>
            <w:pPr>
              <w:pStyle w:val="8"/>
              <w:bidi w:val="0"/>
            </w:pPr>
            <w:r>
              <w:t>点位</w:t>
            </w:r>
          </w:p>
        </w:tc>
        <w:tc>
          <w:tcPr>
            <w:tcW w:w="468" w:type="pct"/>
            <w:vMerge w:val="restart"/>
            <w:tcBorders>
              <w:tl2br w:val="nil"/>
              <w:tr2bl w:val="nil"/>
            </w:tcBorders>
            <w:vAlign w:val="center"/>
          </w:tcPr>
          <w:p>
            <w:pPr>
              <w:pStyle w:val="8"/>
              <w:bidi w:val="0"/>
            </w:pPr>
            <w:r>
              <w:t>样品状态</w:t>
            </w:r>
          </w:p>
        </w:tc>
        <w:tc>
          <w:tcPr>
            <w:tcW w:w="695" w:type="pct"/>
            <w:vMerge w:val="restart"/>
            <w:tcBorders>
              <w:tl2br w:val="nil"/>
              <w:tr2bl w:val="nil"/>
            </w:tcBorders>
            <w:vAlign w:val="center"/>
          </w:tcPr>
          <w:p>
            <w:pPr>
              <w:pStyle w:val="8"/>
              <w:bidi w:val="0"/>
            </w:pPr>
            <w:r>
              <w:t>检测项目</w:t>
            </w:r>
          </w:p>
        </w:tc>
        <w:tc>
          <w:tcPr>
            <w:tcW w:w="810" w:type="pct"/>
            <w:vMerge w:val="restart"/>
            <w:tcBorders>
              <w:tl2br w:val="nil"/>
              <w:tr2bl w:val="nil"/>
            </w:tcBorders>
            <w:vAlign w:val="center"/>
          </w:tcPr>
          <w:p>
            <w:pPr>
              <w:pStyle w:val="8"/>
              <w:bidi w:val="0"/>
            </w:pPr>
            <w:r>
              <w:t>单位</w:t>
            </w:r>
          </w:p>
        </w:tc>
        <w:tc>
          <w:tcPr>
            <w:tcW w:w="1886" w:type="pct"/>
            <w:gridSpan w:val="3"/>
            <w:tcBorders>
              <w:tl2br w:val="nil"/>
              <w:tr2bl w:val="nil"/>
            </w:tcBorders>
            <w:vAlign w:val="center"/>
          </w:tcPr>
          <w:p>
            <w:pPr>
              <w:pStyle w:val="8"/>
              <w:bidi w:val="0"/>
              <w:rPr>
                <w:rFonts w:hint="eastAsia"/>
                <w:lang w:eastAsia="zh-CN"/>
              </w:rPr>
            </w:pPr>
            <w:r>
              <w:rPr>
                <w:rFonts w:hint="eastAsia"/>
                <w:lang w:eastAsia="zh-CN"/>
              </w:rPr>
              <w:t>采样时间及检测结果</w:t>
            </w:r>
          </w:p>
        </w:tc>
        <w:tc>
          <w:tcPr>
            <w:tcW w:w="608" w:type="pct"/>
            <w:gridSpan w:val="2"/>
            <w:vMerge w:val="restart"/>
            <w:tcBorders>
              <w:tl2br w:val="nil"/>
              <w:tr2bl w:val="nil"/>
            </w:tcBorders>
            <w:vAlign w:val="center"/>
          </w:tcPr>
          <w:p>
            <w:pPr>
              <w:pStyle w:val="8"/>
              <w:bidi w:val="0"/>
              <w:rPr>
                <w:rFonts w:hint="eastAsia"/>
                <w:lang w:eastAsia="zh-CN"/>
              </w:rPr>
            </w:pPr>
            <w:r>
              <w:rPr>
                <w:rFonts w:hint="eastAsia"/>
                <w:lang w:eastAsia="zh-CN"/>
              </w:rPr>
              <w:t>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vMerge w:val="continue"/>
            <w:tcBorders>
              <w:tl2br w:val="nil"/>
              <w:tr2bl w:val="nil"/>
            </w:tcBorders>
            <w:vAlign w:val="center"/>
          </w:tcPr>
          <w:p>
            <w:pPr>
              <w:pStyle w:val="8"/>
              <w:bidi w:val="0"/>
            </w:pPr>
          </w:p>
        </w:tc>
        <w:tc>
          <w:tcPr>
            <w:tcW w:w="810" w:type="pct"/>
            <w:vMerge w:val="continue"/>
            <w:tcBorders>
              <w:tl2br w:val="nil"/>
              <w:tr2bl w:val="nil"/>
            </w:tcBorders>
            <w:vAlign w:val="center"/>
          </w:tcPr>
          <w:p>
            <w:pPr>
              <w:pStyle w:val="8"/>
              <w:bidi w:val="0"/>
            </w:pP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6.24</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6.25</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6.26</w:t>
            </w:r>
          </w:p>
        </w:tc>
        <w:tc>
          <w:tcPr>
            <w:tcW w:w="608" w:type="pct"/>
            <w:gridSpan w:val="2"/>
            <w:vMerge w:val="continue"/>
            <w:tcBorders>
              <w:tl2br w:val="nil"/>
              <w:tr2bl w:val="nil"/>
            </w:tcBorders>
            <w:vAlign w:val="center"/>
          </w:tcPr>
          <w:p>
            <w:pPr>
              <w:pStyle w:val="8"/>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restart"/>
            <w:tcBorders>
              <w:tl2br w:val="nil"/>
              <w:tr2bl w:val="nil"/>
            </w:tcBorders>
            <w:vAlign w:val="center"/>
          </w:tcPr>
          <w:p>
            <w:pPr>
              <w:pStyle w:val="8"/>
              <w:bidi w:val="0"/>
            </w:pPr>
            <w:r>
              <w:rPr>
                <w:rFonts w:hint="eastAsia"/>
                <w:lang w:val="en-US" w:eastAsia="zh-CN"/>
              </w:rPr>
              <w:t>养殖场内水井</w:t>
            </w:r>
            <w:r>
              <w:t>☆</w:t>
            </w:r>
            <w:r>
              <w:rPr>
                <w:rFonts w:hint="eastAsia"/>
                <w:lang w:val="en-US" w:eastAsia="zh-CN"/>
              </w:rPr>
              <w:t>U</w:t>
            </w:r>
            <w:r>
              <w:t>1</w:t>
            </w:r>
          </w:p>
        </w:tc>
        <w:tc>
          <w:tcPr>
            <w:tcW w:w="468" w:type="pct"/>
            <w:vMerge w:val="restart"/>
            <w:tcBorders>
              <w:tl2br w:val="nil"/>
              <w:tr2bl w:val="nil"/>
            </w:tcBorders>
            <w:vAlign w:val="center"/>
          </w:tcPr>
          <w:p>
            <w:pPr>
              <w:pStyle w:val="8"/>
              <w:bidi w:val="0"/>
              <w:rPr>
                <w:rFonts w:hint="eastAsia"/>
                <w:lang w:eastAsia="zh-CN"/>
              </w:rPr>
            </w:pPr>
            <w:r>
              <w:rPr>
                <w:rFonts w:hint="eastAsia"/>
                <w:lang w:eastAsia="zh-CN"/>
              </w:rPr>
              <w:t>无色、无味</w:t>
            </w:r>
          </w:p>
        </w:tc>
        <w:tc>
          <w:tcPr>
            <w:tcW w:w="695" w:type="pct"/>
            <w:tcBorders>
              <w:tl2br w:val="nil"/>
              <w:tr2bl w:val="nil"/>
            </w:tcBorders>
            <w:vAlign w:val="center"/>
          </w:tcPr>
          <w:p>
            <w:pPr>
              <w:pStyle w:val="8"/>
              <w:bidi w:val="0"/>
              <w:rPr>
                <w:rFonts w:hint="default"/>
                <w:lang w:val="en-US" w:eastAsia="zh-CN"/>
              </w:rPr>
            </w:pPr>
            <w:r>
              <w:rPr>
                <w:rFonts w:hint="default"/>
                <w:lang w:val="en-US" w:eastAsia="zh-CN"/>
              </w:rPr>
              <w:t>pH</w:t>
            </w:r>
          </w:p>
        </w:tc>
        <w:tc>
          <w:tcPr>
            <w:tcW w:w="810" w:type="pct"/>
            <w:tcBorders>
              <w:tl2br w:val="nil"/>
              <w:tr2bl w:val="nil"/>
            </w:tcBorders>
            <w:vAlign w:val="center"/>
          </w:tcPr>
          <w:p>
            <w:pPr>
              <w:pStyle w:val="8"/>
              <w:bidi w:val="0"/>
            </w:pPr>
            <w:r>
              <w:rPr>
                <w:rFonts w:hint="default"/>
                <w:lang w:val="en-US" w:eastAsia="zh-CN"/>
              </w:rPr>
              <w:t>无量纲</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6.64</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6.62</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6.67</w:t>
            </w:r>
          </w:p>
        </w:tc>
        <w:tc>
          <w:tcPr>
            <w:tcW w:w="608" w:type="pct"/>
            <w:gridSpan w:val="2"/>
            <w:tcBorders>
              <w:tl2br w:val="nil"/>
              <w:tr2bl w:val="nil"/>
            </w:tcBorders>
            <w:vAlign w:val="center"/>
          </w:tcPr>
          <w:p>
            <w:pPr>
              <w:pStyle w:val="8"/>
              <w:bidi w:val="0"/>
              <w:rPr>
                <w:rFonts w:hint="default"/>
                <w:lang w:val="en-US" w:eastAsia="zh-CN"/>
              </w:rPr>
            </w:pPr>
            <w:r>
              <w:rPr>
                <w:rFonts w:hint="eastAsia"/>
                <w:lang w:val="en-US" w:eastAsia="zh-CN"/>
              </w:rPr>
              <w:t>6.5≤pH≤8.5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rFonts w:hint="eastAsia"/>
                <w:lang w:val="en-US" w:eastAsia="zh-CN"/>
              </w:rPr>
            </w:pPr>
            <w:r>
              <w:rPr>
                <w:rFonts w:hint="eastAsia"/>
                <w:lang w:val="en-US" w:eastAsia="zh-CN"/>
              </w:rPr>
              <w:t>总硬度</w:t>
            </w:r>
          </w:p>
        </w:tc>
        <w:tc>
          <w:tcPr>
            <w:tcW w:w="810" w:type="pct"/>
            <w:tcBorders>
              <w:tl2br w:val="nil"/>
              <w:tr2bl w:val="nil"/>
            </w:tcBorders>
            <w:vAlign w:val="center"/>
          </w:tcPr>
          <w:p>
            <w:pPr>
              <w:pStyle w:val="8"/>
              <w:bidi w:val="0"/>
            </w:pPr>
            <w:r>
              <w:rPr>
                <w:rFonts w:hint="default"/>
                <w:lang w:val="en-US" w:eastAsia="zh-CN"/>
              </w:rPr>
              <w:t>mg/L</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1.04</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1.19</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1.14</w:t>
            </w:r>
          </w:p>
        </w:tc>
        <w:tc>
          <w:tcPr>
            <w:tcW w:w="608" w:type="pct"/>
            <w:gridSpan w:val="2"/>
            <w:tcBorders>
              <w:tl2br w:val="nil"/>
              <w:tr2bl w:val="nil"/>
            </w:tcBorders>
            <w:vAlign w:val="center"/>
          </w:tcPr>
          <w:p>
            <w:pPr>
              <w:pStyle w:val="8"/>
              <w:bidi w:val="0"/>
              <w:rPr>
                <w:rFonts w:hint="default"/>
                <w:lang w:val="en-US" w:eastAsia="zh-CN"/>
              </w:rPr>
            </w:pPr>
            <w:r>
              <w:rPr>
                <w:rFonts w:hint="eastAsia"/>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rFonts w:hint="eastAsia"/>
                <w:lang w:val="en-US" w:eastAsia="zh-CN"/>
              </w:rPr>
            </w:pPr>
            <w:r>
              <w:rPr>
                <w:rFonts w:hint="default"/>
                <w:lang w:val="en-US" w:eastAsia="zh-CN"/>
              </w:rPr>
              <w:t>氨氮</w:t>
            </w:r>
          </w:p>
        </w:tc>
        <w:tc>
          <w:tcPr>
            <w:tcW w:w="810" w:type="pct"/>
            <w:tcBorders>
              <w:tl2br w:val="nil"/>
              <w:tr2bl w:val="nil"/>
            </w:tcBorders>
            <w:vAlign w:val="center"/>
          </w:tcPr>
          <w:p>
            <w:pPr>
              <w:pStyle w:val="8"/>
              <w:bidi w:val="0"/>
            </w:pPr>
            <w:r>
              <w:rPr>
                <w:rFonts w:hint="default"/>
                <w:lang w:val="en-US" w:eastAsia="zh-CN"/>
              </w:rPr>
              <w:t>mg/L</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206</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211</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212</w:t>
            </w:r>
          </w:p>
        </w:tc>
        <w:tc>
          <w:tcPr>
            <w:tcW w:w="608" w:type="pct"/>
            <w:gridSpan w:val="2"/>
            <w:tcBorders>
              <w:tl2br w:val="nil"/>
              <w:tr2bl w:val="nil"/>
            </w:tcBorders>
            <w:vAlign w:val="center"/>
          </w:tcPr>
          <w:p>
            <w:pPr>
              <w:pStyle w:val="8"/>
              <w:bidi w:val="0"/>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rFonts w:hint="eastAsia"/>
                <w:lang w:val="en-US" w:eastAsia="zh-CN"/>
              </w:rPr>
            </w:pPr>
            <w:r>
              <w:rPr>
                <w:rFonts w:hint="eastAsia"/>
                <w:lang w:val="en-US" w:eastAsia="zh-CN"/>
              </w:rPr>
              <w:t>硫酸盐</w:t>
            </w:r>
          </w:p>
        </w:tc>
        <w:tc>
          <w:tcPr>
            <w:tcW w:w="810" w:type="pct"/>
            <w:tcBorders>
              <w:tl2br w:val="nil"/>
              <w:tr2bl w:val="nil"/>
            </w:tcBorders>
            <w:vAlign w:val="center"/>
          </w:tcPr>
          <w:p>
            <w:pPr>
              <w:pStyle w:val="8"/>
              <w:bidi w:val="0"/>
              <w:rPr>
                <w:rFonts w:hint="default"/>
                <w:lang w:val="en-US" w:eastAsia="zh-CN"/>
              </w:rPr>
            </w:pPr>
            <w:r>
              <w:rPr>
                <w:rFonts w:hint="default"/>
                <w:lang w:val="en-US" w:eastAsia="zh-CN"/>
              </w:rPr>
              <w:t>mg/L</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10.4</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10.8</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10.3</w:t>
            </w:r>
          </w:p>
        </w:tc>
        <w:tc>
          <w:tcPr>
            <w:tcW w:w="608" w:type="pct"/>
            <w:gridSpan w:val="2"/>
            <w:tcBorders>
              <w:tl2br w:val="nil"/>
              <w:tr2bl w:val="nil"/>
            </w:tcBorders>
            <w:vAlign w:val="center"/>
          </w:tcPr>
          <w:p>
            <w:pPr>
              <w:pStyle w:val="8"/>
              <w:bidi w:val="0"/>
              <w:rPr>
                <w:rFonts w:hint="default"/>
                <w:lang w:val="en-US" w:eastAsia="zh-CN"/>
              </w:rPr>
            </w:pPr>
            <w:r>
              <w:rPr>
                <w:rFonts w:hint="eastAsia"/>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rFonts w:hint="eastAsia"/>
                <w:lang w:val="en-US" w:eastAsia="zh-CN"/>
              </w:rPr>
            </w:pPr>
            <w:r>
              <w:rPr>
                <w:rFonts w:hint="eastAsia"/>
                <w:lang w:val="en-US" w:eastAsia="zh-CN"/>
              </w:rPr>
              <w:t>耗氧量</w:t>
            </w:r>
          </w:p>
        </w:tc>
        <w:tc>
          <w:tcPr>
            <w:tcW w:w="810" w:type="pct"/>
            <w:tcBorders>
              <w:tl2br w:val="nil"/>
              <w:tr2bl w:val="nil"/>
            </w:tcBorders>
            <w:vAlign w:val="center"/>
          </w:tcPr>
          <w:p>
            <w:pPr>
              <w:pStyle w:val="8"/>
              <w:bidi w:val="0"/>
              <w:rPr>
                <w:rFonts w:hint="default"/>
                <w:lang w:val="en-US" w:eastAsia="zh-CN"/>
              </w:rPr>
            </w:pPr>
            <w:r>
              <w:rPr>
                <w:rFonts w:hint="default"/>
                <w:lang w:val="en-US" w:eastAsia="zh-CN"/>
              </w:rPr>
              <w:t>mg/L</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0.118</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0.109</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0.130</w:t>
            </w:r>
          </w:p>
        </w:tc>
        <w:tc>
          <w:tcPr>
            <w:tcW w:w="608" w:type="pct"/>
            <w:gridSpan w:val="2"/>
            <w:tcBorders>
              <w:tl2br w:val="nil"/>
              <w:tr2bl w:val="nil"/>
            </w:tcBorders>
            <w:vAlign w:val="center"/>
          </w:tcPr>
          <w:p>
            <w:pPr>
              <w:pStyle w:val="8"/>
              <w:bidi w:val="0"/>
              <w:rPr>
                <w:rFonts w:hint="default"/>
                <w:lang w:val="en-US" w:eastAsia="zh-CN"/>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rFonts w:hint="eastAsia"/>
                <w:lang w:val="en-US" w:eastAsia="zh-CN"/>
              </w:rPr>
            </w:pPr>
            <w:r>
              <w:rPr>
                <w:rFonts w:hint="eastAsia"/>
                <w:lang w:val="en-US" w:eastAsia="zh-CN"/>
              </w:rPr>
              <w:t>氟</w:t>
            </w:r>
            <w:r>
              <w:rPr>
                <w:rFonts w:hint="default"/>
                <w:lang w:val="en-US" w:eastAsia="zh-CN"/>
              </w:rPr>
              <w:t>化物</w:t>
            </w:r>
          </w:p>
        </w:tc>
        <w:tc>
          <w:tcPr>
            <w:tcW w:w="810" w:type="pct"/>
            <w:tcBorders>
              <w:tl2br w:val="nil"/>
              <w:tr2bl w:val="nil"/>
            </w:tcBorders>
            <w:vAlign w:val="center"/>
          </w:tcPr>
          <w:p>
            <w:pPr>
              <w:pStyle w:val="8"/>
              <w:bidi w:val="0"/>
              <w:rPr>
                <w:rFonts w:hint="default"/>
                <w:lang w:val="en-US" w:eastAsia="zh-CN"/>
              </w:rPr>
            </w:pPr>
            <w:r>
              <w:rPr>
                <w:rFonts w:hint="default"/>
                <w:lang w:val="en-US" w:eastAsia="zh-CN"/>
              </w:rPr>
              <w:t>mg/L</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0.064</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0.060</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0.064</w:t>
            </w:r>
          </w:p>
        </w:tc>
        <w:tc>
          <w:tcPr>
            <w:tcW w:w="608" w:type="pct"/>
            <w:gridSpan w:val="2"/>
            <w:tcBorders>
              <w:tl2br w:val="nil"/>
              <w:tr2bl w:val="nil"/>
            </w:tcBorders>
            <w:vAlign w:val="center"/>
          </w:tcPr>
          <w:p>
            <w:pPr>
              <w:pStyle w:val="8"/>
              <w:bidi w:val="0"/>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rFonts w:hint="eastAsia"/>
                <w:lang w:val="en-US" w:eastAsia="zh-CN"/>
              </w:rPr>
            </w:pPr>
            <w:r>
              <w:rPr>
                <w:rFonts w:hint="eastAsia"/>
                <w:lang w:val="en-US" w:eastAsia="zh-CN"/>
              </w:rPr>
              <w:t>总大肠菌群</w:t>
            </w:r>
          </w:p>
        </w:tc>
        <w:tc>
          <w:tcPr>
            <w:tcW w:w="810" w:type="pct"/>
            <w:tcBorders>
              <w:tl2br w:val="nil"/>
              <w:tr2bl w:val="nil"/>
            </w:tcBorders>
            <w:vAlign w:val="center"/>
          </w:tcPr>
          <w:p>
            <w:pPr>
              <w:pStyle w:val="8"/>
              <w:bidi w:val="0"/>
              <w:rPr>
                <w:rFonts w:hint="default"/>
                <w:lang w:val="en-US" w:eastAsia="zh-CN"/>
              </w:rPr>
            </w:pPr>
            <w:r>
              <w:rPr>
                <w:rFonts w:hint="eastAsia"/>
                <w:lang w:val="en-US" w:eastAsia="zh-CN"/>
              </w:rPr>
              <w:t>MPN</w:t>
            </w:r>
            <w:r>
              <w:t>/</w:t>
            </w:r>
            <w:r>
              <w:rPr>
                <w:rFonts w:hint="eastAsia"/>
                <w:lang w:val="en-US" w:eastAsia="zh-CN"/>
              </w:rPr>
              <w:t>100m</w:t>
            </w:r>
            <w:r>
              <w:t>L</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0.0003</w:t>
            </w:r>
            <w:r>
              <w:rPr>
                <w:rFonts w:hint="default"/>
              </w:rPr>
              <w:t>L</w:t>
            </w:r>
          </w:p>
        </w:tc>
        <w:tc>
          <w:tcPr>
            <w:tcW w:w="628" w:type="pct"/>
            <w:tcBorders>
              <w:tl2br w:val="nil"/>
              <w:tr2bl w:val="nil"/>
            </w:tcBorders>
            <w:vAlign w:val="center"/>
          </w:tcPr>
          <w:p>
            <w:pPr>
              <w:pStyle w:val="8"/>
              <w:bidi w:val="0"/>
              <w:rPr>
                <w:rFonts w:hint="eastAsia"/>
                <w:lang w:val="en-US" w:eastAsia="zh-CN"/>
              </w:rPr>
            </w:pPr>
            <w:r>
              <w:rPr>
                <w:rFonts w:hint="eastAsia"/>
                <w:lang w:val="en-US" w:eastAsia="zh-CN"/>
              </w:rPr>
              <w:t>0.0003</w:t>
            </w:r>
            <w:r>
              <w:rPr>
                <w:rFonts w:hint="default"/>
              </w:rPr>
              <w:t>L</w:t>
            </w:r>
          </w:p>
        </w:tc>
        <w:tc>
          <w:tcPr>
            <w:tcW w:w="628" w:type="pct"/>
            <w:tcBorders>
              <w:tl2br w:val="nil"/>
              <w:tr2bl w:val="nil"/>
            </w:tcBorders>
            <w:vAlign w:val="center"/>
          </w:tcPr>
          <w:p>
            <w:pPr>
              <w:pStyle w:val="8"/>
              <w:bidi w:val="0"/>
              <w:rPr>
                <w:rFonts w:hint="eastAsia"/>
                <w:lang w:val="en-US" w:eastAsia="zh-CN"/>
              </w:rPr>
            </w:pPr>
            <w:r>
              <w:rPr>
                <w:rFonts w:hint="eastAsia"/>
                <w:lang w:val="en-US" w:eastAsia="zh-CN"/>
              </w:rPr>
              <w:t>0.0003</w:t>
            </w:r>
            <w:r>
              <w:rPr>
                <w:rFonts w:hint="default"/>
              </w:rPr>
              <w:t>L</w:t>
            </w:r>
          </w:p>
        </w:tc>
        <w:tc>
          <w:tcPr>
            <w:tcW w:w="608" w:type="pct"/>
            <w:gridSpan w:val="2"/>
            <w:tcBorders>
              <w:tl2br w:val="nil"/>
              <w:tr2bl w:val="nil"/>
            </w:tcBorders>
            <w:vAlign w:val="center"/>
          </w:tcPr>
          <w:p>
            <w:pPr>
              <w:pStyle w:val="8"/>
              <w:bidi w:val="0"/>
              <w:rPr>
                <w:rFonts w:hint="default"/>
                <w:lang w:val="en-US" w:eastAsia="zh-CN"/>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rFonts w:hint="eastAsia"/>
                <w:lang w:val="en-US" w:eastAsia="zh-CN"/>
              </w:rPr>
            </w:pPr>
            <w:r>
              <w:rPr>
                <w:rFonts w:hint="eastAsia"/>
                <w:lang w:val="en-US" w:eastAsia="zh-CN"/>
              </w:rPr>
              <w:t>挥发性酚类</w:t>
            </w:r>
          </w:p>
        </w:tc>
        <w:tc>
          <w:tcPr>
            <w:tcW w:w="810" w:type="pct"/>
            <w:tcBorders>
              <w:tl2br w:val="nil"/>
              <w:tr2bl w:val="nil"/>
            </w:tcBorders>
            <w:vAlign w:val="center"/>
          </w:tcPr>
          <w:p>
            <w:pPr>
              <w:pStyle w:val="8"/>
              <w:bidi w:val="0"/>
            </w:pPr>
            <w:r>
              <w:rPr>
                <w:rFonts w:hint="default"/>
                <w:lang w:val="en-US" w:eastAsia="zh-CN"/>
              </w:rPr>
              <w:t>mg/L</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ND</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ND</w:t>
            </w:r>
          </w:p>
        </w:tc>
        <w:tc>
          <w:tcPr>
            <w:tcW w:w="628" w:type="pct"/>
            <w:tcBorders>
              <w:tl2br w:val="nil"/>
              <w:tr2bl w:val="nil"/>
            </w:tcBorders>
            <w:vAlign w:val="center"/>
          </w:tcPr>
          <w:p>
            <w:pPr>
              <w:pStyle w:val="8"/>
              <w:bidi w:val="0"/>
              <w:rPr>
                <w:rFonts w:hint="default"/>
                <w:lang w:val="en-US" w:eastAsia="zh-CN"/>
              </w:rPr>
            </w:pPr>
            <w:r>
              <w:rPr>
                <w:rFonts w:hint="eastAsia"/>
                <w:lang w:val="en-US" w:eastAsia="zh-CN"/>
              </w:rPr>
              <w:t>ND</w:t>
            </w:r>
          </w:p>
        </w:tc>
        <w:tc>
          <w:tcPr>
            <w:tcW w:w="608" w:type="pct"/>
            <w:gridSpan w:val="2"/>
            <w:tcBorders>
              <w:tl2br w:val="nil"/>
              <w:tr2bl w:val="nil"/>
            </w:tcBorders>
            <w:vAlign w:val="center"/>
          </w:tcPr>
          <w:p>
            <w:pPr>
              <w:pStyle w:val="8"/>
              <w:bidi w:val="0"/>
              <w:rPr>
                <w:rFonts w:hint="default"/>
                <w:lang w:val="en-US" w:eastAsia="zh-CN"/>
              </w:rPr>
            </w:pPr>
            <w:r>
              <w:rPr>
                <w:rFonts w:hint="eastAsia"/>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501" w:hRule="atLeast"/>
          <w:jc w:val="center"/>
        </w:trPr>
        <w:tc>
          <w:tcPr>
            <w:tcW w:w="530" w:type="pct"/>
            <w:vMerge w:val="restart"/>
            <w:tcBorders>
              <w:tl2br w:val="nil"/>
              <w:tr2bl w:val="nil"/>
            </w:tcBorders>
            <w:vAlign w:val="center"/>
          </w:tcPr>
          <w:p>
            <w:pPr>
              <w:pStyle w:val="8"/>
              <w:bidi w:val="0"/>
            </w:pPr>
            <w:r>
              <w:t>采样</w:t>
            </w:r>
          </w:p>
          <w:p>
            <w:pPr>
              <w:pStyle w:val="8"/>
              <w:bidi w:val="0"/>
            </w:pPr>
            <w:r>
              <w:t>点位</w:t>
            </w:r>
          </w:p>
        </w:tc>
        <w:tc>
          <w:tcPr>
            <w:tcW w:w="468" w:type="pct"/>
            <w:vMerge w:val="restart"/>
            <w:tcBorders>
              <w:tl2br w:val="nil"/>
              <w:tr2bl w:val="nil"/>
            </w:tcBorders>
            <w:vAlign w:val="center"/>
          </w:tcPr>
          <w:p>
            <w:pPr>
              <w:pStyle w:val="8"/>
              <w:bidi w:val="0"/>
            </w:pPr>
            <w:r>
              <w:t>样品</w:t>
            </w:r>
          </w:p>
          <w:p>
            <w:pPr>
              <w:pStyle w:val="8"/>
              <w:bidi w:val="0"/>
            </w:pPr>
            <w:r>
              <w:t>状态</w:t>
            </w:r>
          </w:p>
        </w:tc>
        <w:tc>
          <w:tcPr>
            <w:tcW w:w="695" w:type="pct"/>
            <w:vMerge w:val="restart"/>
            <w:tcBorders>
              <w:tl2br w:val="nil"/>
              <w:tr2bl w:val="nil"/>
            </w:tcBorders>
            <w:vAlign w:val="center"/>
          </w:tcPr>
          <w:p>
            <w:pPr>
              <w:pStyle w:val="8"/>
              <w:bidi w:val="0"/>
            </w:pPr>
            <w:r>
              <w:t>检测项目</w:t>
            </w:r>
          </w:p>
        </w:tc>
        <w:tc>
          <w:tcPr>
            <w:tcW w:w="810" w:type="pct"/>
            <w:vMerge w:val="restart"/>
            <w:tcBorders>
              <w:tl2br w:val="nil"/>
              <w:tr2bl w:val="nil"/>
            </w:tcBorders>
            <w:vAlign w:val="center"/>
          </w:tcPr>
          <w:p>
            <w:pPr>
              <w:pStyle w:val="8"/>
              <w:bidi w:val="0"/>
            </w:pPr>
            <w:r>
              <w:t>单位</w:t>
            </w:r>
          </w:p>
        </w:tc>
        <w:tc>
          <w:tcPr>
            <w:tcW w:w="1886" w:type="pct"/>
            <w:gridSpan w:val="3"/>
            <w:tcBorders>
              <w:tl2br w:val="nil"/>
              <w:tr2bl w:val="nil"/>
            </w:tcBorders>
            <w:vAlign w:val="center"/>
          </w:tcPr>
          <w:p>
            <w:pPr>
              <w:pStyle w:val="8"/>
              <w:bidi w:val="0"/>
            </w:pPr>
            <w:r>
              <w:t>检测结果</w:t>
            </w:r>
          </w:p>
        </w:tc>
        <w:tc>
          <w:tcPr>
            <w:tcW w:w="605" w:type="pct"/>
            <w:vMerge w:val="restart"/>
            <w:tcBorders>
              <w:tl2br w:val="nil"/>
              <w:tr2bl w:val="nil"/>
            </w:tcBorders>
            <w:vAlign w:val="center"/>
          </w:tcPr>
          <w:p>
            <w:pPr>
              <w:pStyle w:val="8"/>
              <w:bidi w:val="0"/>
            </w:pPr>
            <w:r>
              <w:t>参考</w:t>
            </w:r>
          </w:p>
          <w:p>
            <w:pPr>
              <w:pStyle w:val="8"/>
              <w:bidi w:val="0"/>
            </w:pPr>
            <w: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501"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vMerge w:val="continue"/>
            <w:tcBorders>
              <w:tl2br w:val="nil"/>
              <w:tr2bl w:val="nil"/>
            </w:tcBorders>
            <w:vAlign w:val="center"/>
          </w:tcPr>
          <w:p>
            <w:pPr>
              <w:pStyle w:val="8"/>
              <w:bidi w:val="0"/>
            </w:pPr>
          </w:p>
        </w:tc>
        <w:tc>
          <w:tcPr>
            <w:tcW w:w="810" w:type="pct"/>
            <w:vMerge w:val="continue"/>
            <w:tcBorders>
              <w:tl2br w:val="nil"/>
              <w:tr2bl w:val="nil"/>
            </w:tcBorders>
            <w:vAlign w:val="center"/>
          </w:tcPr>
          <w:p>
            <w:pPr>
              <w:pStyle w:val="8"/>
              <w:bidi w:val="0"/>
            </w:pPr>
          </w:p>
        </w:tc>
        <w:tc>
          <w:tcPr>
            <w:tcW w:w="628" w:type="pct"/>
            <w:tcBorders>
              <w:tl2br w:val="nil"/>
              <w:tr2bl w:val="nil"/>
            </w:tcBorders>
            <w:vAlign w:val="center"/>
          </w:tcPr>
          <w:p>
            <w:pPr>
              <w:pStyle w:val="8"/>
              <w:bidi w:val="0"/>
            </w:pPr>
            <w:r>
              <w:t>10.31</w:t>
            </w:r>
          </w:p>
        </w:tc>
        <w:tc>
          <w:tcPr>
            <w:tcW w:w="628" w:type="pct"/>
            <w:tcBorders>
              <w:tl2br w:val="nil"/>
              <w:tr2bl w:val="nil"/>
            </w:tcBorders>
            <w:vAlign w:val="center"/>
          </w:tcPr>
          <w:p>
            <w:pPr>
              <w:pStyle w:val="8"/>
              <w:bidi w:val="0"/>
            </w:pPr>
            <w:r>
              <w:t>11.1</w:t>
            </w:r>
          </w:p>
        </w:tc>
        <w:tc>
          <w:tcPr>
            <w:tcW w:w="628" w:type="pct"/>
            <w:tcBorders>
              <w:tl2br w:val="nil"/>
              <w:tr2bl w:val="nil"/>
            </w:tcBorders>
            <w:vAlign w:val="center"/>
          </w:tcPr>
          <w:p>
            <w:pPr>
              <w:pStyle w:val="8"/>
              <w:bidi w:val="0"/>
            </w:pPr>
            <w:r>
              <w:t>11.2</w:t>
            </w:r>
          </w:p>
        </w:tc>
        <w:tc>
          <w:tcPr>
            <w:tcW w:w="605" w:type="pct"/>
            <w:vMerge w:val="continue"/>
            <w:tcBorders>
              <w:tl2br w:val="nil"/>
              <w:tr2bl w:val="nil"/>
            </w:tcBorders>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restart"/>
            <w:tcBorders>
              <w:tl2br w:val="nil"/>
              <w:tr2bl w:val="nil"/>
            </w:tcBorders>
            <w:vAlign w:val="center"/>
          </w:tcPr>
          <w:p>
            <w:pPr>
              <w:pStyle w:val="8"/>
              <w:bidi w:val="0"/>
            </w:pPr>
            <w:r>
              <w:t>☆U</w:t>
            </w:r>
            <w:r>
              <w:rPr>
                <w:rFonts w:hint="eastAsia"/>
                <w:lang w:val="en-US" w:eastAsia="zh-CN"/>
              </w:rPr>
              <w:t>2</w:t>
            </w:r>
            <w:r>
              <w:t>种猪场东方500m处</w:t>
            </w:r>
          </w:p>
        </w:tc>
        <w:tc>
          <w:tcPr>
            <w:tcW w:w="468" w:type="pct"/>
            <w:vMerge w:val="restart"/>
            <w:tcBorders>
              <w:tl2br w:val="nil"/>
              <w:tr2bl w:val="nil"/>
            </w:tcBorders>
            <w:vAlign w:val="center"/>
          </w:tcPr>
          <w:p>
            <w:pPr>
              <w:pStyle w:val="8"/>
              <w:bidi w:val="0"/>
            </w:pPr>
            <w:r>
              <w:t>无色、无味</w:t>
            </w:r>
          </w:p>
        </w:tc>
        <w:tc>
          <w:tcPr>
            <w:tcW w:w="695" w:type="pct"/>
            <w:tcBorders>
              <w:tl2br w:val="nil"/>
              <w:tr2bl w:val="nil"/>
            </w:tcBorders>
            <w:vAlign w:val="center"/>
          </w:tcPr>
          <w:p>
            <w:pPr>
              <w:pStyle w:val="8"/>
              <w:bidi w:val="0"/>
            </w:pPr>
            <w:r>
              <w:t>pH</w:t>
            </w:r>
          </w:p>
        </w:tc>
        <w:tc>
          <w:tcPr>
            <w:tcW w:w="810" w:type="pct"/>
            <w:tcBorders>
              <w:tl2br w:val="nil"/>
              <w:tr2bl w:val="nil"/>
            </w:tcBorders>
            <w:vAlign w:val="center"/>
          </w:tcPr>
          <w:p>
            <w:pPr>
              <w:pStyle w:val="8"/>
              <w:bidi w:val="0"/>
            </w:pPr>
            <w:r>
              <w:t>无量纲</w:t>
            </w:r>
          </w:p>
        </w:tc>
        <w:tc>
          <w:tcPr>
            <w:tcW w:w="628" w:type="pct"/>
            <w:tcBorders>
              <w:tl2br w:val="nil"/>
              <w:tr2bl w:val="nil"/>
            </w:tcBorders>
            <w:vAlign w:val="center"/>
          </w:tcPr>
          <w:p>
            <w:pPr>
              <w:pStyle w:val="8"/>
              <w:bidi w:val="0"/>
            </w:pPr>
            <w:r>
              <w:t>6.32</w:t>
            </w:r>
          </w:p>
        </w:tc>
        <w:tc>
          <w:tcPr>
            <w:tcW w:w="628" w:type="pct"/>
            <w:tcBorders>
              <w:tl2br w:val="nil"/>
              <w:tr2bl w:val="nil"/>
            </w:tcBorders>
            <w:vAlign w:val="center"/>
          </w:tcPr>
          <w:p>
            <w:pPr>
              <w:pStyle w:val="8"/>
              <w:bidi w:val="0"/>
            </w:pPr>
            <w:r>
              <w:t>6.42</w:t>
            </w:r>
          </w:p>
        </w:tc>
        <w:tc>
          <w:tcPr>
            <w:tcW w:w="628" w:type="pct"/>
            <w:tcBorders>
              <w:tl2br w:val="nil"/>
              <w:tr2bl w:val="nil"/>
            </w:tcBorders>
            <w:vAlign w:val="center"/>
          </w:tcPr>
          <w:p>
            <w:pPr>
              <w:pStyle w:val="8"/>
              <w:bidi w:val="0"/>
            </w:pPr>
            <w:r>
              <w:t>6.35</w:t>
            </w:r>
          </w:p>
        </w:tc>
        <w:tc>
          <w:tcPr>
            <w:tcW w:w="605" w:type="pct"/>
            <w:tcBorders>
              <w:tl2br w:val="nil"/>
              <w:tr2bl w:val="nil"/>
            </w:tcBorders>
            <w:vAlign w:val="center"/>
          </w:tcPr>
          <w:p>
            <w:pPr>
              <w:pStyle w:val="8"/>
              <w:bidi w:val="0"/>
            </w:pPr>
            <w: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pPr>
            <w:r>
              <w:rPr>
                <w:lang w:eastAsia="en-US"/>
              </w:rPr>
              <w:t>总硬度</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112</w:t>
            </w:r>
          </w:p>
        </w:tc>
        <w:tc>
          <w:tcPr>
            <w:tcW w:w="628" w:type="pct"/>
            <w:tcBorders>
              <w:tl2br w:val="nil"/>
              <w:tr2bl w:val="nil"/>
            </w:tcBorders>
            <w:vAlign w:val="center"/>
          </w:tcPr>
          <w:p>
            <w:pPr>
              <w:pStyle w:val="8"/>
              <w:bidi w:val="0"/>
            </w:pPr>
            <w:r>
              <w:t>124</w:t>
            </w:r>
          </w:p>
        </w:tc>
        <w:tc>
          <w:tcPr>
            <w:tcW w:w="628" w:type="pct"/>
            <w:tcBorders>
              <w:tl2br w:val="nil"/>
              <w:tr2bl w:val="nil"/>
            </w:tcBorders>
            <w:vAlign w:val="center"/>
          </w:tcPr>
          <w:p>
            <w:pPr>
              <w:pStyle w:val="8"/>
              <w:bidi w:val="0"/>
            </w:pPr>
            <w:r>
              <w:t>118</w:t>
            </w:r>
          </w:p>
        </w:tc>
        <w:tc>
          <w:tcPr>
            <w:tcW w:w="605" w:type="pct"/>
            <w:tcBorders>
              <w:tl2br w:val="nil"/>
              <w:tr2bl w:val="nil"/>
            </w:tcBorders>
            <w:vAlign w:val="center"/>
          </w:tcPr>
          <w:p>
            <w:pPr>
              <w:pStyle w:val="8"/>
              <w:bidi w:val="0"/>
            </w:pPr>
            <w: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pPr>
            <w:r>
              <w:rPr>
                <w:lang w:eastAsia="en-US"/>
              </w:rPr>
              <w:t>硫酸盐</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9.35</w:t>
            </w:r>
          </w:p>
        </w:tc>
        <w:tc>
          <w:tcPr>
            <w:tcW w:w="628" w:type="pct"/>
            <w:tcBorders>
              <w:tl2br w:val="nil"/>
              <w:tr2bl w:val="nil"/>
            </w:tcBorders>
            <w:vAlign w:val="center"/>
          </w:tcPr>
          <w:p>
            <w:pPr>
              <w:pStyle w:val="8"/>
              <w:bidi w:val="0"/>
            </w:pPr>
            <w:r>
              <w:t>9.69</w:t>
            </w:r>
          </w:p>
        </w:tc>
        <w:tc>
          <w:tcPr>
            <w:tcW w:w="628" w:type="pct"/>
            <w:tcBorders>
              <w:tl2br w:val="nil"/>
              <w:tr2bl w:val="nil"/>
            </w:tcBorders>
            <w:vAlign w:val="center"/>
          </w:tcPr>
          <w:p>
            <w:pPr>
              <w:pStyle w:val="8"/>
              <w:bidi w:val="0"/>
            </w:pPr>
            <w:r>
              <w:t>9.15</w:t>
            </w:r>
          </w:p>
        </w:tc>
        <w:tc>
          <w:tcPr>
            <w:tcW w:w="605" w:type="pct"/>
            <w:tcBorders>
              <w:tl2br w:val="nil"/>
              <w:tr2bl w:val="nil"/>
            </w:tcBorders>
            <w:vAlign w:val="center"/>
          </w:tcPr>
          <w:p>
            <w:pPr>
              <w:pStyle w:val="8"/>
              <w:bidi w:val="0"/>
            </w:pP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pPr>
            <w:r>
              <w:rPr>
                <w:lang w:eastAsia="en-US"/>
              </w:rPr>
              <w:t>耗氧量</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1.07</w:t>
            </w:r>
          </w:p>
        </w:tc>
        <w:tc>
          <w:tcPr>
            <w:tcW w:w="628" w:type="pct"/>
            <w:tcBorders>
              <w:tl2br w:val="nil"/>
              <w:tr2bl w:val="nil"/>
            </w:tcBorders>
            <w:vAlign w:val="center"/>
          </w:tcPr>
          <w:p>
            <w:pPr>
              <w:pStyle w:val="8"/>
              <w:bidi w:val="0"/>
            </w:pPr>
            <w:r>
              <w:t>1.06</w:t>
            </w:r>
          </w:p>
        </w:tc>
        <w:tc>
          <w:tcPr>
            <w:tcW w:w="628" w:type="pct"/>
            <w:tcBorders>
              <w:tl2br w:val="nil"/>
              <w:tr2bl w:val="nil"/>
            </w:tcBorders>
            <w:vAlign w:val="center"/>
          </w:tcPr>
          <w:p>
            <w:pPr>
              <w:pStyle w:val="8"/>
              <w:bidi w:val="0"/>
            </w:pPr>
            <w:r>
              <w:t>1.04</w:t>
            </w:r>
          </w:p>
        </w:tc>
        <w:tc>
          <w:tcPr>
            <w:tcW w:w="605" w:type="pct"/>
            <w:tcBorders>
              <w:tl2br w:val="nil"/>
              <w:tr2bl w:val="nil"/>
            </w:tcBorders>
            <w:vAlign w:val="center"/>
          </w:tcPr>
          <w:p>
            <w:pPr>
              <w:pStyle w:val="8"/>
              <w:bidi w:val="0"/>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pPr>
            <w:r>
              <w:rPr>
                <w:lang w:eastAsia="en-US"/>
              </w:rPr>
              <w:t>氨氮</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0.175</w:t>
            </w:r>
          </w:p>
        </w:tc>
        <w:tc>
          <w:tcPr>
            <w:tcW w:w="628" w:type="pct"/>
            <w:tcBorders>
              <w:tl2br w:val="nil"/>
              <w:tr2bl w:val="nil"/>
            </w:tcBorders>
            <w:vAlign w:val="center"/>
          </w:tcPr>
          <w:p>
            <w:pPr>
              <w:pStyle w:val="8"/>
              <w:bidi w:val="0"/>
            </w:pPr>
            <w:r>
              <w:t>0.186</w:t>
            </w:r>
          </w:p>
        </w:tc>
        <w:tc>
          <w:tcPr>
            <w:tcW w:w="628" w:type="pct"/>
            <w:tcBorders>
              <w:tl2br w:val="nil"/>
              <w:tr2bl w:val="nil"/>
            </w:tcBorders>
            <w:vAlign w:val="center"/>
          </w:tcPr>
          <w:p>
            <w:pPr>
              <w:pStyle w:val="8"/>
              <w:bidi w:val="0"/>
            </w:pPr>
            <w:r>
              <w:t>0.196</w:t>
            </w:r>
          </w:p>
        </w:tc>
        <w:tc>
          <w:tcPr>
            <w:tcW w:w="605" w:type="pct"/>
            <w:tcBorders>
              <w:tl2br w:val="nil"/>
              <w:tr2bl w:val="nil"/>
            </w:tcBorders>
            <w:vAlign w:val="center"/>
          </w:tcPr>
          <w:p>
            <w:pPr>
              <w:pStyle w:val="8"/>
              <w:bidi w:val="0"/>
            </w:pPr>
            <w: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pPr>
            <w:r>
              <w:rPr>
                <w:lang w:eastAsia="en-US"/>
              </w:rPr>
              <w:t>氟化物</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0.066</w:t>
            </w:r>
          </w:p>
        </w:tc>
        <w:tc>
          <w:tcPr>
            <w:tcW w:w="628" w:type="pct"/>
            <w:tcBorders>
              <w:tl2br w:val="nil"/>
              <w:tr2bl w:val="nil"/>
            </w:tcBorders>
            <w:vAlign w:val="center"/>
          </w:tcPr>
          <w:p>
            <w:pPr>
              <w:pStyle w:val="8"/>
              <w:bidi w:val="0"/>
            </w:pPr>
            <w:r>
              <w:t>0.063</w:t>
            </w:r>
          </w:p>
        </w:tc>
        <w:tc>
          <w:tcPr>
            <w:tcW w:w="628" w:type="pct"/>
            <w:tcBorders>
              <w:tl2br w:val="nil"/>
              <w:tr2bl w:val="nil"/>
            </w:tcBorders>
            <w:vAlign w:val="center"/>
          </w:tcPr>
          <w:p>
            <w:pPr>
              <w:pStyle w:val="8"/>
              <w:bidi w:val="0"/>
            </w:pPr>
            <w:r>
              <w:t>0.063</w:t>
            </w:r>
          </w:p>
        </w:tc>
        <w:tc>
          <w:tcPr>
            <w:tcW w:w="605" w:type="pct"/>
            <w:tcBorders>
              <w:tl2br w:val="nil"/>
              <w:tr2bl w:val="nil"/>
            </w:tcBorders>
            <w:vAlign w:val="center"/>
          </w:tcPr>
          <w:p>
            <w:pPr>
              <w:pStyle w:val="8"/>
              <w:bidi w:val="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pPr>
            <w:r>
              <w:rPr>
                <w:lang w:eastAsia="en-US"/>
              </w:rPr>
              <w:t>总大肠菌群</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未检出</w:t>
            </w:r>
          </w:p>
        </w:tc>
        <w:tc>
          <w:tcPr>
            <w:tcW w:w="628" w:type="pct"/>
            <w:tcBorders>
              <w:tl2br w:val="nil"/>
              <w:tr2bl w:val="nil"/>
            </w:tcBorders>
            <w:vAlign w:val="center"/>
          </w:tcPr>
          <w:p>
            <w:pPr>
              <w:pStyle w:val="8"/>
              <w:bidi w:val="0"/>
            </w:pPr>
            <w:r>
              <w:t>未检出</w:t>
            </w:r>
          </w:p>
        </w:tc>
        <w:tc>
          <w:tcPr>
            <w:tcW w:w="628" w:type="pct"/>
            <w:tcBorders>
              <w:tl2br w:val="nil"/>
              <w:tr2bl w:val="nil"/>
            </w:tcBorders>
            <w:vAlign w:val="center"/>
          </w:tcPr>
          <w:p>
            <w:pPr>
              <w:pStyle w:val="8"/>
              <w:bidi w:val="0"/>
            </w:pPr>
            <w:r>
              <w:t>未检出</w:t>
            </w:r>
          </w:p>
        </w:tc>
        <w:tc>
          <w:tcPr>
            <w:tcW w:w="605" w:type="pct"/>
            <w:tcBorders>
              <w:tl2br w:val="nil"/>
              <w:tr2bl w:val="nil"/>
            </w:tcBorders>
            <w:vAlign w:val="center"/>
          </w:tcPr>
          <w:p>
            <w:pPr>
              <w:pStyle w:val="8"/>
              <w:bidi w:val="0"/>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pPr>
            <w:r>
              <w:rPr>
                <w:lang w:eastAsia="en-US"/>
              </w:rPr>
              <w:t>挥发酚类</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0.0003L</w:t>
            </w:r>
          </w:p>
        </w:tc>
        <w:tc>
          <w:tcPr>
            <w:tcW w:w="628" w:type="pct"/>
            <w:tcBorders>
              <w:tl2br w:val="nil"/>
              <w:tr2bl w:val="nil"/>
            </w:tcBorders>
            <w:vAlign w:val="center"/>
          </w:tcPr>
          <w:p>
            <w:pPr>
              <w:pStyle w:val="8"/>
              <w:bidi w:val="0"/>
            </w:pPr>
            <w:r>
              <w:t>0.0003L</w:t>
            </w:r>
          </w:p>
        </w:tc>
        <w:tc>
          <w:tcPr>
            <w:tcW w:w="628" w:type="pct"/>
            <w:tcBorders>
              <w:tl2br w:val="nil"/>
              <w:tr2bl w:val="nil"/>
            </w:tcBorders>
            <w:vAlign w:val="center"/>
          </w:tcPr>
          <w:p>
            <w:pPr>
              <w:pStyle w:val="8"/>
              <w:bidi w:val="0"/>
            </w:pPr>
            <w:r>
              <w:t>0.0003L</w:t>
            </w:r>
          </w:p>
        </w:tc>
        <w:tc>
          <w:tcPr>
            <w:tcW w:w="605" w:type="pct"/>
            <w:tcBorders>
              <w:tl2br w:val="nil"/>
              <w:tr2bl w:val="nil"/>
            </w:tcBorders>
            <w:vAlign w:val="center"/>
          </w:tcPr>
          <w:p>
            <w:pPr>
              <w:pStyle w:val="8"/>
              <w:bidi w:val="0"/>
            </w:pPr>
            <w: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restart"/>
            <w:tcBorders>
              <w:tl2br w:val="nil"/>
              <w:tr2bl w:val="nil"/>
            </w:tcBorders>
            <w:vAlign w:val="center"/>
          </w:tcPr>
          <w:p>
            <w:pPr>
              <w:pStyle w:val="8"/>
              <w:bidi w:val="0"/>
            </w:pPr>
            <w:r>
              <w:t>☆U</w:t>
            </w:r>
            <w:r>
              <w:rPr>
                <w:rFonts w:hint="eastAsia"/>
                <w:lang w:val="en-US" w:eastAsia="zh-CN"/>
              </w:rPr>
              <w:t>3</w:t>
            </w:r>
            <w:r>
              <w:t>育肥场东北460m处</w:t>
            </w:r>
          </w:p>
        </w:tc>
        <w:tc>
          <w:tcPr>
            <w:tcW w:w="468" w:type="pct"/>
            <w:vMerge w:val="restart"/>
            <w:tcBorders>
              <w:tl2br w:val="nil"/>
              <w:tr2bl w:val="nil"/>
            </w:tcBorders>
            <w:vAlign w:val="center"/>
          </w:tcPr>
          <w:p>
            <w:pPr>
              <w:pStyle w:val="8"/>
              <w:bidi w:val="0"/>
            </w:pPr>
            <w:r>
              <w:t>无色、无味</w:t>
            </w:r>
          </w:p>
        </w:tc>
        <w:tc>
          <w:tcPr>
            <w:tcW w:w="695" w:type="pct"/>
            <w:tcBorders>
              <w:tl2br w:val="nil"/>
              <w:tr2bl w:val="nil"/>
            </w:tcBorders>
            <w:vAlign w:val="center"/>
          </w:tcPr>
          <w:p>
            <w:pPr>
              <w:pStyle w:val="8"/>
              <w:bidi w:val="0"/>
              <w:rPr>
                <w:lang w:eastAsia="en-US"/>
              </w:rPr>
            </w:pPr>
            <w:r>
              <w:t>pH</w:t>
            </w:r>
          </w:p>
        </w:tc>
        <w:tc>
          <w:tcPr>
            <w:tcW w:w="810" w:type="pct"/>
            <w:tcBorders>
              <w:tl2br w:val="nil"/>
              <w:tr2bl w:val="nil"/>
            </w:tcBorders>
            <w:vAlign w:val="center"/>
          </w:tcPr>
          <w:p>
            <w:pPr>
              <w:pStyle w:val="8"/>
              <w:bidi w:val="0"/>
            </w:pPr>
            <w:r>
              <w:t>无量纲</w:t>
            </w:r>
          </w:p>
        </w:tc>
        <w:tc>
          <w:tcPr>
            <w:tcW w:w="628" w:type="pct"/>
            <w:tcBorders>
              <w:tl2br w:val="nil"/>
              <w:tr2bl w:val="nil"/>
            </w:tcBorders>
            <w:vAlign w:val="center"/>
          </w:tcPr>
          <w:p>
            <w:pPr>
              <w:pStyle w:val="8"/>
              <w:bidi w:val="0"/>
            </w:pPr>
            <w:r>
              <w:t>6.18</w:t>
            </w:r>
          </w:p>
        </w:tc>
        <w:tc>
          <w:tcPr>
            <w:tcW w:w="628" w:type="pct"/>
            <w:tcBorders>
              <w:tl2br w:val="nil"/>
              <w:tr2bl w:val="nil"/>
            </w:tcBorders>
            <w:vAlign w:val="center"/>
          </w:tcPr>
          <w:p>
            <w:pPr>
              <w:pStyle w:val="8"/>
              <w:bidi w:val="0"/>
            </w:pPr>
            <w:r>
              <w:t>6.23</w:t>
            </w:r>
          </w:p>
        </w:tc>
        <w:tc>
          <w:tcPr>
            <w:tcW w:w="628" w:type="pct"/>
            <w:tcBorders>
              <w:tl2br w:val="nil"/>
              <w:tr2bl w:val="nil"/>
            </w:tcBorders>
            <w:vAlign w:val="center"/>
          </w:tcPr>
          <w:p>
            <w:pPr>
              <w:pStyle w:val="8"/>
              <w:bidi w:val="0"/>
            </w:pPr>
            <w:r>
              <w:t>6.16</w:t>
            </w:r>
          </w:p>
        </w:tc>
        <w:tc>
          <w:tcPr>
            <w:tcW w:w="605" w:type="pct"/>
            <w:tcBorders>
              <w:tl2br w:val="nil"/>
              <w:tr2bl w:val="nil"/>
            </w:tcBorders>
            <w:vAlign w:val="center"/>
          </w:tcPr>
          <w:p>
            <w:pPr>
              <w:pStyle w:val="8"/>
              <w:bidi w:val="0"/>
            </w:pPr>
            <w: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总硬度</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135</w:t>
            </w:r>
          </w:p>
        </w:tc>
        <w:tc>
          <w:tcPr>
            <w:tcW w:w="628" w:type="pct"/>
            <w:tcBorders>
              <w:tl2br w:val="nil"/>
              <w:tr2bl w:val="nil"/>
            </w:tcBorders>
            <w:vAlign w:val="center"/>
          </w:tcPr>
          <w:p>
            <w:pPr>
              <w:pStyle w:val="8"/>
              <w:bidi w:val="0"/>
            </w:pPr>
            <w:r>
              <w:t>139</w:t>
            </w:r>
          </w:p>
        </w:tc>
        <w:tc>
          <w:tcPr>
            <w:tcW w:w="628" w:type="pct"/>
            <w:tcBorders>
              <w:tl2br w:val="nil"/>
              <w:tr2bl w:val="nil"/>
            </w:tcBorders>
            <w:vAlign w:val="center"/>
          </w:tcPr>
          <w:p>
            <w:pPr>
              <w:pStyle w:val="8"/>
              <w:bidi w:val="0"/>
            </w:pPr>
            <w:r>
              <w:t>130</w:t>
            </w:r>
          </w:p>
        </w:tc>
        <w:tc>
          <w:tcPr>
            <w:tcW w:w="605" w:type="pct"/>
            <w:tcBorders>
              <w:tl2br w:val="nil"/>
              <w:tr2bl w:val="nil"/>
            </w:tcBorders>
            <w:vAlign w:val="center"/>
          </w:tcPr>
          <w:p>
            <w:pPr>
              <w:pStyle w:val="8"/>
              <w:bidi w:val="0"/>
            </w:pPr>
            <w: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硫酸盐</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11.5</w:t>
            </w:r>
          </w:p>
        </w:tc>
        <w:tc>
          <w:tcPr>
            <w:tcW w:w="628" w:type="pct"/>
            <w:tcBorders>
              <w:tl2br w:val="nil"/>
              <w:tr2bl w:val="nil"/>
            </w:tcBorders>
            <w:vAlign w:val="center"/>
          </w:tcPr>
          <w:p>
            <w:pPr>
              <w:pStyle w:val="8"/>
              <w:bidi w:val="0"/>
            </w:pPr>
            <w:r>
              <w:t>11.2</w:t>
            </w:r>
          </w:p>
        </w:tc>
        <w:tc>
          <w:tcPr>
            <w:tcW w:w="628" w:type="pct"/>
            <w:tcBorders>
              <w:tl2br w:val="nil"/>
              <w:tr2bl w:val="nil"/>
            </w:tcBorders>
            <w:vAlign w:val="center"/>
          </w:tcPr>
          <w:p>
            <w:pPr>
              <w:pStyle w:val="8"/>
              <w:bidi w:val="0"/>
            </w:pPr>
            <w:r>
              <w:t>11.9</w:t>
            </w:r>
          </w:p>
        </w:tc>
        <w:tc>
          <w:tcPr>
            <w:tcW w:w="605" w:type="pct"/>
            <w:tcBorders>
              <w:tl2br w:val="nil"/>
              <w:tr2bl w:val="nil"/>
            </w:tcBorders>
            <w:vAlign w:val="center"/>
          </w:tcPr>
          <w:p>
            <w:pPr>
              <w:pStyle w:val="8"/>
              <w:bidi w:val="0"/>
            </w:pP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耗氧量</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1.24</w:t>
            </w:r>
          </w:p>
        </w:tc>
        <w:tc>
          <w:tcPr>
            <w:tcW w:w="628" w:type="pct"/>
            <w:tcBorders>
              <w:tl2br w:val="nil"/>
              <w:tr2bl w:val="nil"/>
            </w:tcBorders>
            <w:vAlign w:val="center"/>
          </w:tcPr>
          <w:p>
            <w:pPr>
              <w:pStyle w:val="8"/>
              <w:bidi w:val="0"/>
            </w:pPr>
            <w:r>
              <w:t>1.15</w:t>
            </w:r>
          </w:p>
        </w:tc>
        <w:tc>
          <w:tcPr>
            <w:tcW w:w="628" w:type="pct"/>
            <w:tcBorders>
              <w:tl2br w:val="nil"/>
              <w:tr2bl w:val="nil"/>
            </w:tcBorders>
            <w:vAlign w:val="center"/>
          </w:tcPr>
          <w:p>
            <w:pPr>
              <w:pStyle w:val="8"/>
              <w:bidi w:val="0"/>
            </w:pPr>
            <w:r>
              <w:t>1.22</w:t>
            </w:r>
          </w:p>
        </w:tc>
        <w:tc>
          <w:tcPr>
            <w:tcW w:w="605" w:type="pct"/>
            <w:tcBorders>
              <w:tl2br w:val="nil"/>
              <w:tr2bl w:val="nil"/>
            </w:tcBorders>
            <w:vAlign w:val="center"/>
          </w:tcPr>
          <w:p>
            <w:pPr>
              <w:pStyle w:val="8"/>
              <w:bidi w:val="0"/>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氨氮</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0.149</w:t>
            </w:r>
          </w:p>
        </w:tc>
        <w:tc>
          <w:tcPr>
            <w:tcW w:w="628" w:type="pct"/>
            <w:tcBorders>
              <w:tl2br w:val="nil"/>
              <w:tr2bl w:val="nil"/>
            </w:tcBorders>
            <w:vAlign w:val="center"/>
          </w:tcPr>
          <w:p>
            <w:pPr>
              <w:pStyle w:val="8"/>
              <w:bidi w:val="0"/>
            </w:pPr>
            <w:r>
              <w:t>0.154</w:t>
            </w:r>
          </w:p>
        </w:tc>
        <w:tc>
          <w:tcPr>
            <w:tcW w:w="628" w:type="pct"/>
            <w:tcBorders>
              <w:tl2br w:val="nil"/>
              <w:tr2bl w:val="nil"/>
            </w:tcBorders>
            <w:vAlign w:val="center"/>
          </w:tcPr>
          <w:p>
            <w:pPr>
              <w:pStyle w:val="8"/>
              <w:bidi w:val="0"/>
            </w:pPr>
            <w:r>
              <w:t>0.154</w:t>
            </w:r>
          </w:p>
        </w:tc>
        <w:tc>
          <w:tcPr>
            <w:tcW w:w="605" w:type="pct"/>
            <w:tcBorders>
              <w:tl2br w:val="nil"/>
              <w:tr2bl w:val="nil"/>
            </w:tcBorders>
            <w:vAlign w:val="center"/>
          </w:tcPr>
          <w:p>
            <w:pPr>
              <w:pStyle w:val="8"/>
              <w:bidi w:val="0"/>
            </w:pPr>
            <w: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氟化物</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0.078</w:t>
            </w:r>
          </w:p>
        </w:tc>
        <w:tc>
          <w:tcPr>
            <w:tcW w:w="628" w:type="pct"/>
            <w:tcBorders>
              <w:tl2br w:val="nil"/>
              <w:tr2bl w:val="nil"/>
            </w:tcBorders>
            <w:vAlign w:val="center"/>
          </w:tcPr>
          <w:p>
            <w:pPr>
              <w:pStyle w:val="8"/>
              <w:bidi w:val="0"/>
            </w:pPr>
            <w:r>
              <w:t>0.076</w:t>
            </w:r>
          </w:p>
        </w:tc>
        <w:tc>
          <w:tcPr>
            <w:tcW w:w="628" w:type="pct"/>
            <w:tcBorders>
              <w:tl2br w:val="nil"/>
              <w:tr2bl w:val="nil"/>
            </w:tcBorders>
            <w:vAlign w:val="center"/>
          </w:tcPr>
          <w:p>
            <w:pPr>
              <w:pStyle w:val="8"/>
              <w:bidi w:val="0"/>
            </w:pPr>
            <w:r>
              <w:t>0.082</w:t>
            </w:r>
          </w:p>
        </w:tc>
        <w:tc>
          <w:tcPr>
            <w:tcW w:w="605" w:type="pct"/>
            <w:tcBorders>
              <w:tl2br w:val="nil"/>
              <w:tr2bl w:val="nil"/>
            </w:tcBorders>
            <w:vAlign w:val="center"/>
          </w:tcPr>
          <w:p>
            <w:pPr>
              <w:pStyle w:val="8"/>
              <w:bidi w:val="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总大肠菌群</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未检出</w:t>
            </w:r>
          </w:p>
        </w:tc>
        <w:tc>
          <w:tcPr>
            <w:tcW w:w="628" w:type="pct"/>
            <w:tcBorders>
              <w:tl2br w:val="nil"/>
              <w:tr2bl w:val="nil"/>
            </w:tcBorders>
            <w:vAlign w:val="center"/>
          </w:tcPr>
          <w:p>
            <w:pPr>
              <w:pStyle w:val="8"/>
              <w:bidi w:val="0"/>
            </w:pPr>
            <w:r>
              <w:t>未检出</w:t>
            </w:r>
          </w:p>
        </w:tc>
        <w:tc>
          <w:tcPr>
            <w:tcW w:w="628" w:type="pct"/>
            <w:tcBorders>
              <w:tl2br w:val="nil"/>
              <w:tr2bl w:val="nil"/>
            </w:tcBorders>
            <w:vAlign w:val="center"/>
          </w:tcPr>
          <w:p>
            <w:pPr>
              <w:pStyle w:val="8"/>
              <w:bidi w:val="0"/>
            </w:pPr>
            <w:r>
              <w:t>未检出</w:t>
            </w:r>
          </w:p>
        </w:tc>
        <w:tc>
          <w:tcPr>
            <w:tcW w:w="605" w:type="pct"/>
            <w:tcBorders>
              <w:tl2br w:val="nil"/>
              <w:tr2bl w:val="nil"/>
            </w:tcBorders>
            <w:vAlign w:val="center"/>
          </w:tcPr>
          <w:p>
            <w:pPr>
              <w:pStyle w:val="8"/>
              <w:bidi w:val="0"/>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挥发酚类</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0.0003L</w:t>
            </w:r>
          </w:p>
        </w:tc>
        <w:tc>
          <w:tcPr>
            <w:tcW w:w="628" w:type="pct"/>
            <w:tcBorders>
              <w:tl2br w:val="nil"/>
              <w:tr2bl w:val="nil"/>
            </w:tcBorders>
            <w:vAlign w:val="center"/>
          </w:tcPr>
          <w:p>
            <w:pPr>
              <w:pStyle w:val="8"/>
              <w:bidi w:val="0"/>
            </w:pPr>
            <w:r>
              <w:t>0.0003L</w:t>
            </w:r>
          </w:p>
        </w:tc>
        <w:tc>
          <w:tcPr>
            <w:tcW w:w="628" w:type="pct"/>
            <w:tcBorders>
              <w:tl2br w:val="nil"/>
              <w:tr2bl w:val="nil"/>
            </w:tcBorders>
            <w:vAlign w:val="center"/>
          </w:tcPr>
          <w:p>
            <w:pPr>
              <w:pStyle w:val="8"/>
              <w:bidi w:val="0"/>
            </w:pPr>
            <w:r>
              <w:t>0.0003L</w:t>
            </w:r>
          </w:p>
        </w:tc>
        <w:tc>
          <w:tcPr>
            <w:tcW w:w="605" w:type="pct"/>
            <w:tcBorders>
              <w:tl2br w:val="nil"/>
              <w:tr2bl w:val="nil"/>
            </w:tcBorders>
            <w:vAlign w:val="center"/>
          </w:tcPr>
          <w:p>
            <w:pPr>
              <w:pStyle w:val="8"/>
              <w:bidi w:val="0"/>
            </w:pPr>
            <w: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restart"/>
            <w:tcBorders>
              <w:tl2br w:val="nil"/>
              <w:tr2bl w:val="nil"/>
            </w:tcBorders>
            <w:vAlign w:val="center"/>
          </w:tcPr>
          <w:p>
            <w:pPr>
              <w:pStyle w:val="8"/>
              <w:bidi w:val="0"/>
            </w:pPr>
            <w:r>
              <w:t>☆U</w:t>
            </w:r>
            <w:r>
              <w:rPr>
                <w:rFonts w:hint="eastAsia"/>
                <w:lang w:val="en-US" w:eastAsia="zh-CN"/>
              </w:rPr>
              <w:t>4</w:t>
            </w:r>
            <w:r>
              <w:t>育肥场东北480m处</w:t>
            </w:r>
          </w:p>
        </w:tc>
        <w:tc>
          <w:tcPr>
            <w:tcW w:w="468" w:type="pct"/>
            <w:vMerge w:val="restart"/>
            <w:tcBorders>
              <w:tl2br w:val="nil"/>
              <w:tr2bl w:val="nil"/>
            </w:tcBorders>
            <w:vAlign w:val="center"/>
          </w:tcPr>
          <w:p>
            <w:pPr>
              <w:pStyle w:val="8"/>
              <w:bidi w:val="0"/>
            </w:pPr>
            <w:r>
              <w:t>无色、无味</w:t>
            </w:r>
          </w:p>
        </w:tc>
        <w:tc>
          <w:tcPr>
            <w:tcW w:w="695" w:type="pct"/>
            <w:tcBorders>
              <w:tl2br w:val="nil"/>
              <w:tr2bl w:val="nil"/>
            </w:tcBorders>
            <w:vAlign w:val="center"/>
          </w:tcPr>
          <w:p>
            <w:pPr>
              <w:pStyle w:val="8"/>
              <w:bidi w:val="0"/>
              <w:rPr>
                <w:lang w:eastAsia="en-US"/>
              </w:rPr>
            </w:pPr>
            <w:r>
              <w:t>pH</w:t>
            </w:r>
          </w:p>
        </w:tc>
        <w:tc>
          <w:tcPr>
            <w:tcW w:w="810" w:type="pct"/>
            <w:tcBorders>
              <w:tl2br w:val="nil"/>
              <w:tr2bl w:val="nil"/>
            </w:tcBorders>
            <w:vAlign w:val="center"/>
          </w:tcPr>
          <w:p>
            <w:pPr>
              <w:pStyle w:val="8"/>
              <w:bidi w:val="0"/>
            </w:pPr>
            <w:r>
              <w:t>无量纲</w:t>
            </w:r>
          </w:p>
        </w:tc>
        <w:tc>
          <w:tcPr>
            <w:tcW w:w="628" w:type="pct"/>
            <w:tcBorders>
              <w:tl2br w:val="nil"/>
              <w:tr2bl w:val="nil"/>
            </w:tcBorders>
            <w:vAlign w:val="center"/>
          </w:tcPr>
          <w:p>
            <w:pPr>
              <w:pStyle w:val="8"/>
              <w:bidi w:val="0"/>
            </w:pPr>
            <w:r>
              <w:t>6.77</w:t>
            </w:r>
          </w:p>
        </w:tc>
        <w:tc>
          <w:tcPr>
            <w:tcW w:w="628" w:type="pct"/>
            <w:tcBorders>
              <w:tl2br w:val="nil"/>
              <w:tr2bl w:val="nil"/>
            </w:tcBorders>
            <w:vAlign w:val="center"/>
          </w:tcPr>
          <w:p>
            <w:pPr>
              <w:pStyle w:val="8"/>
              <w:bidi w:val="0"/>
            </w:pPr>
            <w:r>
              <w:t>6.72</w:t>
            </w:r>
          </w:p>
        </w:tc>
        <w:tc>
          <w:tcPr>
            <w:tcW w:w="628" w:type="pct"/>
            <w:tcBorders>
              <w:tl2br w:val="nil"/>
              <w:tr2bl w:val="nil"/>
            </w:tcBorders>
            <w:vAlign w:val="center"/>
          </w:tcPr>
          <w:p>
            <w:pPr>
              <w:pStyle w:val="8"/>
              <w:bidi w:val="0"/>
            </w:pPr>
            <w:r>
              <w:t>6.62</w:t>
            </w:r>
          </w:p>
        </w:tc>
        <w:tc>
          <w:tcPr>
            <w:tcW w:w="605" w:type="pct"/>
            <w:tcBorders>
              <w:tl2br w:val="nil"/>
              <w:tr2bl w:val="nil"/>
            </w:tcBorders>
            <w:vAlign w:val="center"/>
          </w:tcPr>
          <w:p>
            <w:pPr>
              <w:pStyle w:val="8"/>
              <w:bidi w:val="0"/>
            </w:pPr>
            <w: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总硬度</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127</w:t>
            </w:r>
          </w:p>
        </w:tc>
        <w:tc>
          <w:tcPr>
            <w:tcW w:w="628" w:type="pct"/>
            <w:tcBorders>
              <w:tl2br w:val="nil"/>
              <w:tr2bl w:val="nil"/>
            </w:tcBorders>
            <w:vAlign w:val="center"/>
          </w:tcPr>
          <w:p>
            <w:pPr>
              <w:pStyle w:val="8"/>
              <w:bidi w:val="0"/>
            </w:pPr>
            <w:r>
              <w:t>131</w:t>
            </w:r>
          </w:p>
        </w:tc>
        <w:tc>
          <w:tcPr>
            <w:tcW w:w="628" w:type="pct"/>
            <w:tcBorders>
              <w:tl2br w:val="nil"/>
              <w:tr2bl w:val="nil"/>
            </w:tcBorders>
            <w:vAlign w:val="center"/>
          </w:tcPr>
          <w:p>
            <w:pPr>
              <w:pStyle w:val="8"/>
              <w:bidi w:val="0"/>
            </w:pPr>
            <w:r>
              <w:t>125</w:t>
            </w:r>
          </w:p>
        </w:tc>
        <w:tc>
          <w:tcPr>
            <w:tcW w:w="605" w:type="pct"/>
            <w:tcBorders>
              <w:tl2br w:val="nil"/>
              <w:tr2bl w:val="nil"/>
            </w:tcBorders>
            <w:vAlign w:val="center"/>
          </w:tcPr>
          <w:p>
            <w:pPr>
              <w:pStyle w:val="8"/>
              <w:bidi w:val="0"/>
            </w:pPr>
            <w: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硫酸盐</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10.6</w:t>
            </w:r>
          </w:p>
        </w:tc>
        <w:tc>
          <w:tcPr>
            <w:tcW w:w="628" w:type="pct"/>
            <w:tcBorders>
              <w:tl2br w:val="nil"/>
              <w:tr2bl w:val="nil"/>
            </w:tcBorders>
            <w:vAlign w:val="center"/>
          </w:tcPr>
          <w:p>
            <w:pPr>
              <w:pStyle w:val="8"/>
              <w:bidi w:val="0"/>
            </w:pPr>
            <w:r>
              <w:t>10.9</w:t>
            </w:r>
          </w:p>
        </w:tc>
        <w:tc>
          <w:tcPr>
            <w:tcW w:w="628" w:type="pct"/>
            <w:tcBorders>
              <w:tl2br w:val="nil"/>
              <w:tr2bl w:val="nil"/>
            </w:tcBorders>
            <w:vAlign w:val="center"/>
          </w:tcPr>
          <w:p>
            <w:pPr>
              <w:pStyle w:val="8"/>
              <w:bidi w:val="0"/>
            </w:pPr>
            <w:r>
              <w:t>10.2</w:t>
            </w:r>
          </w:p>
        </w:tc>
        <w:tc>
          <w:tcPr>
            <w:tcW w:w="605" w:type="pct"/>
            <w:tcBorders>
              <w:tl2br w:val="nil"/>
              <w:tr2bl w:val="nil"/>
            </w:tcBorders>
            <w:vAlign w:val="center"/>
          </w:tcPr>
          <w:p>
            <w:pPr>
              <w:pStyle w:val="8"/>
              <w:bidi w:val="0"/>
            </w:pP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耗氧量</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1.12</w:t>
            </w:r>
          </w:p>
        </w:tc>
        <w:tc>
          <w:tcPr>
            <w:tcW w:w="628" w:type="pct"/>
            <w:tcBorders>
              <w:tl2br w:val="nil"/>
              <w:tr2bl w:val="nil"/>
            </w:tcBorders>
            <w:vAlign w:val="center"/>
          </w:tcPr>
          <w:p>
            <w:pPr>
              <w:pStyle w:val="8"/>
              <w:bidi w:val="0"/>
            </w:pPr>
            <w:r>
              <w:t>1.10</w:t>
            </w:r>
          </w:p>
        </w:tc>
        <w:tc>
          <w:tcPr>
            <w:tcW w:w="628" w:type="pct"/>
            <w:tcBorders>
              <w:tl2br w:val="nil"/>
              <w:tr2bl w:val="nil"/>
            </w:tcBorders>
            <w:vAlign w:val="center"/>
          </w:tcPr>
          <w:p>
            <w:pPr>
              <w:pStyle w:val="8"/>
              <w:bidi w:val="0"/>
            </w:pPr>
            <w:r>
              <w:t>1.12</w:t>
            </w:r>
          </w:p>
        </w:tc>
        <w:tc>
          <w:tcPr>
            <w:tcW w:w="605" w:type="pct"/>
            <w:tcBorders>
              <w:tl2br w:val="nil"/>
              <w:tr2bl w:val="nil"/>
            </w:tcBorders>
            <w:vAlign w:val="center"/>
          </w:tcPr>
          <w:p>
            <w:pPr>
              <w:pStyle w:val="8"/>
              <w:bidi w:val="0"/>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氨氮</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0.138</w:t>
            </w:r>
          </w:p>
        </w:tc>
        <w:tc>
          <w:tcPr>
            <w:tcW w:w="628" w:type="pct"/>
            <w:tcBorders>
              <w:tl2br w:val="nil"/>
              <w:tr2bl w:val="nil"/>
            </w:tcBorders>
            <w:vAlign w:val="center"/>
          </w:tcPr>
          <w:p>
            <w:pPr>
              <w:pStyle w:val="8"/>
              <w:bidi w:val="0"/>
            </w:pPr>
            <w:r>
              <w:t>0.143</w:t>
            </w:r>
          </w:p>
        </w:tc>
        <w:tc>
          <w:tcPr>
            <w:tcW w:w="628" w:type="pct"/>
            <w:tcBorders>
              <w:tl2br w:val="nil"/>
              <w:tr2bl w:val="nil"/>
            </w:tcBorders>
            <w:vAlign w:val="center"/>
          </w:tcPr>
          <w:p>
            <w:pPr>
              <w:pStyle w:val="8"/>
              <w:bidi w:val="0"/>
            </w:pPr>
            <w:r>
              <w:t>0.133</w:t>
            </w:r>
          </w:p>
        </w:tc>
        <w:tc>
          <w:tcPr>
            <w:tcW w:w="605" w:type="pct"/>
            <w:tcBorders>
              <w:tl2br w:val="nil"/>
              <w:tr2bl w:val="nil"/>
            </w:tcBorders>
            <w:vAlign w:val="center"/>
          </w:tcPr>
          <w:p>
            <w:pPr>
              <w:pStyle w:val="8"/>
              <w:bidi w:val="0"/>
            </w:pPr>
            <w: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氟化物</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0.074</w:t>
            </w:r>
          </w:p>
        </w:tc>
        <w:tc>
          <w:tcPr>
            <w:tcW w:w="628" w:type="pct"/>
            <w:tcBorders>
              <w:tl2br w:val="nil"/>
              <w:tr2bl w:val="nil"/>
            </w:tcBorders>
            <w:vAlign w:val="center"/>
          </w:tcPr>
          <w:p>
            <w:pPr>
              <w:pStyle w:val="8"/>
              <w:bidi w:val="0"/>
            </w:pPr>
            <w:r>
              <w:t>0.070</w:t>
            </w:r>
          </w:p>
        </w:tc>
        <w:tc>
          <w:tcPr>
            <w:tcW w:w="628" w:type="pct"/>
            <w:tcBorders>
              <w:tl2br w:val="nil"/>
              <w:tr2bl w:val="nil"/>
            </w:tcBorders>
            <w:vAlign w:val="center"/>
          </w:tcPr>
          <w:p>
            <w:pPr>
              <w:pStyle w:val="8"/>
              <w:bidi w:val="0"/>
            </w:pPr>
            <w:r>
              <w:t>0.074</w:t>
            </w:r>
          </w:p>
        </w:tc>
        <w:tc>
          <w:tcPr>
            <w:tcW w:w="605" w:type="pct"/>
            <w:tcBorders>
              <w:tl2br w:val="nil"/>
              <w:tr2bl w:val="nil"/>
            </w:tcBorders>
            <w:vAlign w:val="center"/>
          </w:tcPr>
          <w:p>
            <w:pPr>
              <w:pStyle w:val="8"/>
              <w:bidi w:val="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总大肠菌群</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未检出</w:t>
            </w:r>
          </w:p>
        </w:tc>
        <w:tc>
          <w:tcPr>
            <w:tcW w:w="628" w:type="pct"/>
            <w:tcBorders>
              <w:tl2br w:val="nil"/>
              <w:tr2bl w:val="nil"/>
            </w:tcBorders>
            <w:vAlign w:val="center"/>
          </w:tcPr>
          <w:p>
            <w:pPr>
              <w:pStyle w:val="8"/>
              <w:bidi w:val="0"/>
            </w:pPr>
            <w:r>
              <w:t>未检出</w:t>
            </w:r>
          </w:p>
        </w:tc>
        <w:tc>
          <w:tcPr>
            <w:tcW w:w="628" w:type="pct"/>
            <w:tcBorders>
              <w:tl2br w:val="nil"/>
              <w:tr2bl w:val="nil"/>
            </w:tcBorders>
            <w:vAlign w:val="center"/>
          </w:tcPr>
          <w:p>
            <w:pPr>
              <w:pStyle w:val="8"/>
              <w:bidi w:val="0"/>
            </w:pPr>
            <w:r>
              <w:t>未检出</w:t>
            </w:r>
          </w:p>
        </w:tc>
        <w:tc>
          <w:tcPr>
            <w:tcW w:w="605" w:type="pct"/>
            <w:tcBorders>
              <w:tl2br w:val="nil"/>
              <w:tr2bl w:val="nil"/>
            </w:tcBorders>
            <w:vAlign w:val="center"/>
          </w:tcPr>
          <w:p>
            <w:pPr>
              <w:pStyle w:val="8"/>
              <w:bidi w:val="0"/>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530" w:type="pct"/>
            <w:vMerge w:val="continue"/>
            <w:tcBorders>
              <w:tl2br w:val="nil"/>
              <w:tr2bl w:val="nil"/>
            </w:tcBorders>
            <w:vAlign w:val="center"/>
          </w:tcPr>
          <w:p>
            <w:pPr>
              <w:pStyle w:val="8"/>
              <w:bidi w:val="0"/>
            </w:pPr>
          </w:p>
        </w:tc>
        <w:tc>
          <w:tcPr>
            <w:tcW w:w="468" w:type="pct"/>
            <w:vMerge w:val="continue"/>
            <w:tcBorders>
              <w:tl2br w:val="nil"/>
              <w:tr2bl w:val="nil"/>
            </w:tcBorders>
            <w:vAlign w:val="center"/>
          </w:tcPr>
          <w:p>
            <w:pPr>
              <w:pStyle w:val="8"/>
              <w:bidi w:val="0"/>
            </w:pPr>
          </w:p>
        </w:tc>
        <w:tc>
          <w:tcPr>
            <w:tcW w:w="695" w:type="pct"/>
            <w:tcBorders>
              <w:tl2br w:val="nil"/>
              <w:tr2bl w:val="nil"/>
            </w:tcBorders>
            <w:vAlign w:val="center"/>
          </w:tcPr>
          <w:p>
            <w:pPr>
              <w:pStyle w:val="8"/>
              <w:bidi w:val="0"/>
              <w:rPr>
                <w:lang w:eastAsia="en-US"/>
              </w:rPr>
            </w:pPr>
            <w:r>
              <w:rPr>
                <w:lang w:eastAsia="en-US"/>
              </w:rPr>
              <w:t>挥发酚类</w:t>
            </w:r>
          </w:p>
        </w:tc>
        <w:tc>
          <w:tcPr>
            <w:tcW w:w="810" w:type="pct"/>
            <w:tcBorders>
              <w:tl2br w:val="nil"/>
              <w:tr2bl w:val="nil"/>
            </w:tcBorders>
            <w:vAlign w:val="center"/>
          </w:tcPr>
          <w:p>
            <w:pPr>
              <w:pStyle w:val="8"/>
              <w:bidi w:val="0"/>
            </w:pPr>
            <w:r>
              <w:t>mg/L</w:t>
            </w:r>
          </w:p>
        </w:tc>
        <w:tc>
          <w:tcPr>
            <w:tcW w:w="628" w:type="pct"/>
            <w:tcBorders>
              <w:tl2br w:val="nil"/>
              <w:tr2bl w:val="nil"/>
            </w:tcBorders>
            <w:vAlign w:val="center"/>
          </w:tcPr>
          <w:p>
            <w:pPr>
              <w:pStyle w:val="8"/>
              <w:bidi w:val="0"/>
            </w:pPr>
            <w:r>
              <w:t>0.0003L</w:t>
            </w:r>
          </w:p>
        </w:tc>
        <w:tc>
          <w:tcPr>
            <w:tcW w:w="628" w:type="pct"/>
            <w:tcBorders>
              <w:tl2br w:val="nil"/>
              <w:tr2bl w:val="nil"/>
            </w:tcBorders>
            <w:vAlign w:val="center"/>
          </w:tcPr>
          <w:p>
            <w:pPr>
              <w:pStyle w:val="8"/>
              <w:bidi w:val="0"/>
            </w:pPr>
            <w:r>
              <w:t>0.0003L</w:t>
            </w:r>
          </w:p>
        </w:tc>
        <w:tc>
          <w:tcPr>
            <w:tcW w:w="628" w:type="pct"/>
            <w:tcBorders>
              <w:tl2br w:val="nil"/>
              <w:tr2bl w:val="nil"/>
            </w:tcBorders>
            <w:vAlign w:val="center"/>
          </w:tcPr>
          <w:p>
            <w:pPr>
              <w:pStyle w:val="8"/>
              <w:bidi w:val="0"/>
            </w:pPr>
            <w:r>
              <w:t>0.0003L</w:t>
            </w:r>
          </w:p>
        </w:tc>
        <w:tc>
          <w:tcPr>
            <w:tcW w:w="605" w:type="pct"/>
            <w:tcBorders>
              <w:tl2br w:val="nil"/>
              <w:tr2bl w:val="nil"/>
            </w:tcBorders>
            <w:vAlign w:val="center"/>
          </w:tcPr>
          <w:p>
            <w:pPr>
              <w:pStyle w:val="8"/>
              <w:bidi w:val="0"/>
            </w:pPr>
            <w: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08" w:hRule="atLeast"/>
          <w:jc w:val="center"/>
        </w:trPr>
        <w:tc>
          <w:tcPr>
            <w:tcW w:w="4996" w:type="pct"/>
            <w:gridSpan w:val="8"/>
            <w:tcBorders>
              <w:tl2br w:val="nil"/>
              <w:tr2bl w:val="nil"/>
            </w:tcBorders>
            <w:vAlign w:val="center"/>
          </w:tcPr>
          <w:p>
            <w:pPr>
              <w:pStyle w:val="8"/>
              <w:bidi w:val="0"/>
            </w:pPr>
            <w:r>
              <w:t>备注：参考《地下水质量标准》（GB 14848-2017）表1中</w:t>
            </w:r>
            <w:r>
              <w:fldChar w:fldCharType="begin"/>
            </w:r>
            <w:r>
              <w:instrText xml:space="preserve"> = 3 \* ROMAN \* MERGEFORMAT </w:instrText>
            </w:r>
            <w:r>
              <w:fldChar w:fldCharType="separate"/>
            </w:r>
            <w:r>
              <w:t>III</w:t>
            </w:r>
            <w:r>
              <w:fldChar w:fldCharType="end"/>
            </w:r>
            <w:r>
              <w:t>类标准。</w:t>
            </w:r>
          </w:p>
        </w:tc>
      </w:tr>
    </w:tbl>
    <w:p/>
    <w:p>
      <w:r>
        <w:t>由表</w:t>
      </w:r>
      <w:r>
        <w:rPr>
          <w:rFonts w:hint="eastAsia"/>
          <w:lang w:val="en-US" w:eastAsia="zh-CN"/>
        </w:rPr>
        <w:t>3.2-9</w:t>
      </w:r>
      <w:r>
        <w:t>监测可知，</w:t>
      </w:r>
      <w:r>
        <w:rPr>
          <w:rFonts w:hint="eastAsia"/>
        </w:rPr>
        <w:t>所在区域</w:t>
      </w:r>
      <w:r>
        <w:t>地下水中</w:t>
      </w:r>
      <w:r>
        <w:rPr>
          <w:rFonts w:hint="eastAsia"/>
        </w:rPr>
        <w:t>各监测指标均符合《地下水环境质量标准》（GB/T14848-2017）中III类水质要求，区域地下水环境质量较好</w:t>
      </w:r>
      <w:r>
        <w:t>。</w:t>
      </w:r>
    </w:p>
    <w:p>
      <w:pPr>
        <w:pStyle w:val="5"/>
        <w:bidi w:val="0"/>
      </w:pPr>
      <w:r>
        <w:rPr>
          <w:rFonts w:hint="eastAsia"/>
          <w:lang w:val="en-US" w:eastAsia="zh-CN"/>
        </w:rPr>
        <w:t>土壤</w:t>
      </w:r>
      <w:r>
        <w:t>环境质量现状</w:t>
      </w:r>
    </w:p>
    <w:p>
      <w:pPr>
        <w:rPr>
          <w:rFonts w:hint="default"/>
          <w:lang w:val="en-US" w:eastAsia="zh-CN"/>
        </w:rPr>
      </w:pPr>
      <w:r>
        <w:rPr>
          <w:rFonts w:hint="eastAsia"/>
          <w:lang w:val="en-US" w:eastAsia="zh-CN"/>
        </w:rPr>
        <w:t>根据文件要求，</w:t>
      </w:r>
      <w:r>
        <w:rPr>
          <w:rFonts w:hint="eastAsia"/>
        </w:rPr>
        <w:t>生猪养殖用地作为设施农用地，按农用地管理，不需办理建设用地审批手续</w:t>
      </w:r>
      <w:r>
        <w:rPr>
          <w:rFonts w:hint="eastAsia"/>
          <w:lang w:eastAsia="zh-CN"/>
        </w:rPr>
        <w:t>。</w:t>
      </w:r>
      <w:r>
        <w:rPr>
          <w:rFonts w:hint="eastAsia"/>
          <w:lang w:val="en-US" w:eastAsia="zh-CN"/>
        </w:rPr>
        <w:t>因此，本项目采用设施农用地类型进行监测。</w:t>
      </w:r>
    </w:p>
    <w:p>
      <w:pPr>
        <w:rPr>
          <w:rFonts w:hint="eastAsia"/>
        </w:rPr>
      </w:pPr>
      <w:r>
        <w:rPr>
          <w:rFonts w:hint="eastAsia"/>
          <w:lang w:eastAsia="zh-CN"/>
        </w:rPr>
        <w:t>（</w:t>
      </w:r>
      <w:r>
        <w:rPr>
          <w:rFonts w:hint="eastAsia"/>
          <w:lang w:val="en-US" w:eastAsia="zh-CN"/>
        </w:rPr>
        <w:t>1</w:t>
      </w:r>
      <w:r>
        <w:rPr>
          <w:rFonts w:hint="eastAsia"/>
          <w:lang w:eastAsia="zh-CN"/>
        </w:rPr>
        <w:t>）</w:t>
      </w:r>
      <w:r>
        <w:rPr>
          <w:rFonts w:hint="eastAsia"/>
        </w:rPr>
        <w:t>监测点布设</w:t>
      </w:r>
    </w:p>
    <w:p>
      <w:pPr>
        <w:rPr>
          <w:rFonts w:hint="default"/>
          <w:lang w:val="en-US" w:eastAsia="zh-CN"/>
        </w:rPr>
      </w:pPr>
      <w:r>
        <w:rPr>
          <w:rFonts w:hint="eastAsia"/>
          <w:lang w:val="en-US" w:eastAsia="zh-CN"/>
        </w:rPr>
        <w:t xml:space="preserve">为了解项目所在区域的土壤质量情况，本项目委托了湖南宏润检测公司对项目所在地的土壤进行了监测，监测点位如下表。    </w:t>
      </w: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10</w:t>
      </w:r>
      <w:r>
        <w:fldChar w:fldCharType="end"/>
      </w:r>
      <w:r>
        <w:rPr>
          <w:rFonts w:hint="eastAsia"/>
          <w:lang w:val="en-US" w:eastAsia="zh-CN"/>
        </w:rPr>
        <w:t xml:space="preserve">   土壤监测点位分布</w:t>
      </w:r>
    </w:p>
    <w:tbl>
      <w:tblPr>
        <w:tblStyle w:val="17"/>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12"/>
        <w:gridCol w:w="1625"/>
        <w:gridCol w:w="1488"/>
        <w:gridCol w:w="3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46" w:type="dxa"/>
            <w:noWrap w:val="0"/>
            <w:vAlign w:val="center"/>
          </w:tcPr>
          <w:p>
            <w:pPr>
              <w:pStyle w:val="8"/>
              <w:bidi w:val="0"/>
            </w:pPr>
            <w:r>
              <w:t>序号</w:t>
            </w:r>
          </w:p>
        </w:tc>
        <w:tc>
          <w:tcPr>
            <w:tcW w:w="1512" w:type="dxa"/>
            <w:noWrap w:val="0"/>
            <w:vAlign w:val="center"/>
          </w:tcPr>
          <w:p>
            <w:pPr>
              <w:pStyle w:val="8"/>
              <w:bidi w:val="0"/>
            </w:pPr>
            <w:r>
              <w:t>点位类型</w:t>
            </w:r>
          </w:p>
        </w:tc>
        <w:tc>
          <w:tcPr>
            <w:tcW w:w="1625" w:type="dxa"/>
            <w:noWrap w:val="0"/>
            <w:vAlign w:val="center"/>
          </w:tcPr>
          <w:p>
            <w:pPr>
              <w:pStyle w:val="8"/>
              <w:bidi w:val="0"/>
            </w:pPr>
            <w:r>
              <w:t>监测位置</w:t>
            </w:r>
          </w:p>
        </w:tc>
        <w:tc>
          <w:tcPr>
            <w:tcW w:w="1488" w:type="dxa"/>
            <w:noWrap w:val="0"/>
            <w:vAlign w:val="center"/>
          </w:tcPr>
          <w:p>
            <w:pPr>
              <w:pStyle w:val="8"/>
              <w:bidi w:val="0"/>
            </w:pPr>
            <w:r>
              <w:t>用地类型</w:t>
            </w:r>
          </w:p>
        </w:tc>
        <w:tc>
          <w:tcPr>
            <w:tcW w:w="3307" w:type="dxa"/>
            <w:noWrap w:val="0"/>
            <w:vAlign w:val="center"/>
          </w:tcPr>
          <w:p>
            <w:pPr>
              <w:pStyle w:val="8"/>
              <w:bidi w:val="0"/>
            </w:pPr>
            <w: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46" w:type="dxa"/>
            <w:noWrap w:val="0"/>
            <w:vAlign w:val="center"/>
          </w:tcPr>
          <w:p>
            <w:pPr>
              <w:pStyle w:val="8"/>
              <w:bidi w:val="0"/>
              <w:rPr>
                <w:rFonts w:hint="eastAsia"/>
              </w:rPr>
            </w:pPr>
            <w:r>
              <w:t>表层1</w:t>
            </w:r>
          </w:p>
        </w:tc>
        <w:tc>
          <w:tcPr>
            <w:tcW w:w="1512" w:type="dxa"/>
            <w:noWrap w:val="0"/>
            <w:vAlign w:val="center"/>
          </w:tcPr>
          <w:p>
            <w:pPr>
              <w:pStyle w:val="8"/>
              <w:bidi w:val="0"/>
            </w:pPr>
            <w:r>
              <w:t>表层样点</w:t>
            </w:r>
          </w:p>
        </w:tc>
        <w:tc>
          <w:tcPr>
            <w:tcW w:w="1625" w:type="dxa"/>
            <w:noWrap w:val="0"/>
            <w:vAlign w:val="center"/>
          </w:tcPr>
          <w:p>
            <w:pPr>
              <w:pStyle w:val="8"/>
              <w:bidi w:val="0"/>
            </w:pPr>
            <w:r>
              <w:t>占地范围内</w:t>
            </w:r>
          </w:p>
        </w:tc>
        <w:tc>
          <w:tcPr>
            <w:tcW w:w="1488" w:type="dxa"/>
            <w:noWrap w:val="0"/>
            <w:vAlign w:val="center"/>
          </w:tcPr>
          <w:p>
            <w:pPr>
              <w:pStyle w:val="8"/>
              <w:bidi w:val="0"/>
              <w:rPr>
                <w:rFonts w:hint="eastAsia"/>
                <w:lang w:eastAsia="zh-CN"/>
              </w:rPr>
            </w:pPr>
            <w:r>
              <w:rPr>
                <w:rFonts w:hint="eastAsia"/>
                <w:lang w:val="en-US" w:eastAsia="zh-CN"/>
              </w:rPr>
              <w:t>设施农用地</w:t>
            </w:r>
          </w:p>
        </w:tc>
        <w:tc>
          <w:tcPr>
            <w:tcW w:w="3307" w:type="dxa"/>
            <w:noWrap w:val="0"/>
            <w:vAlign w:val="center"/>
          </w:tcPr>
          <w:p>
            <w:pPr>
              <w:pStyle w:val="8"/>
              <w:bidi w:val="0"/>
              <w:rPr>
                <w:rFonts w:hint="default"/>
                <w:lang w:val="en-US" w:eastAsia="zh-CN"/>
              </w:rPr>
            </w:pPr>
            <w:r>
              <w:rPr>
                <w:rFonts w:hint="eastAsia"/>
              </w:rPr>
              <w:t>畜禽养殖产地环境评价规范</w:t>
            </w:r>
            <w:r>
              <w:rPr>
                <w:rFonts w:hint="eastAsia"/>
                <w:lang w:val="en-US" w:eastAsia="zh-CN"/>
              </w:rPr>
              <w:t>土壤</w:t>
            </w:r>
            <w:r>
              <w:t>基本项目</w:t>
            </w:r>
            <w:r>
              <w:rPr>
                <w:rFonts w:hint="eastAsia"/>
                <w:lang w:eastAsia="zh-CN"/>
              </w:rPr>
              <w:t>：</w:t>
            </w:r>
            <w:r>
              <w:rPr>
                <w:rFonts w:hint="eastAsia"/>
                <w:lang w:val="en-US" w:eastAsia="zh-CN"/>
              </w:rPr>
              <w:t>pH、镉、汞、砷、铜、铅、铬、锌、镍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46" w:type="dxa"/>
            <w:noWrap w:val="0"/>
            <w:vAlign w:val="center"/>
          </w:tcPr>
          <w:p>
            <w:pPr>
              <w:pStyle w:val="8"/>
              <w:bidi w:val="0"/>
              <w:rPr>
                <w:rFonts w:hint="eastAsia"/>
              </w:rPr>
            </w:pPr>
            <w:r>
              <w:t>表层</w:t>
            </w:r>
            <w:r>
              <w:rPr>
                <w:rFonts w:hint="eastAsia"/>
              </w:rPr>
              <w:t>2</w:t>
            </w:r>
          </w:p>
        </w:tc>
        <w:tc>
          <w:tcPr>
            <w:tcW w:w="1512" w:type="dxa"/>
            <w:noWrap w:val="0"/>
            <w:vAlign w:val="center"/>
          </w:tcPr>
          <w:p>
            <w:pPr>
              <w:pStyle w:val="8"/>
              <w:bidi w:val="0"/>
            </w:pPr>
            <w:r>
              <w:t>表层样点</w:t>
            </w:r>
          </w:p>
        </w:tc>
        <w:tc>
          <w:tcPr>
            <w:tcW w:w="1625" w:type="dxa"/>
            <w:noWrap w:val="0"/>
            <w:vAlign w:val="center"/>
          </w:tcPr>
          <w:p>
            <w:pPr>
              <w:pStyle w:val="8"/>
              <w:bidi w:val="0"/>
              <w:rPr>
                <w:rFonts w:hint="eastAsia"/>
              </w:rPr>
            </w:pPr>
            <w:r>
              <w:rPr>
                <w:rFonts w:hint="eastAsia"/>
              </w:rPr>
              <w:t>占地范围内</w:t>
            </w:r>
          </w:p>
        </w:tc>
        <w:tc>
          <w:tcPr>
            <w:tcW w:w="1488" w:type="dxa"/>
            <w:noWrap w:val="0"/>
            <w:vAlign w:val="center"/>
          </w:tcPr>
          <w:p>
            <w:pPr>
              <w:pStyle w:val="8"/>
              <w:bidi w:val="0"/>
              <w:rPr>
                <w:rFonts w:hint="default"/>
                <w:lang w:val="en-US" w:eastAsia="zh-CN"/>
              </w:rPr>
            </w:pPr>
            <w:r>
              <w:rPr>
                <w:rFonts w:hint="eastAsia"/>
                <w:lang w:val="en-US" w:eastAsia="zh-CN"/>
              </w:rPr>
              <w:t>设施农用地</w:t>
            </w:r>
          </w:p>
        </w:tc>
        <w:tc>
          <w:tcPr>
            <w:tcW w:w="3307" w:type="dxa"/>
            <w:noWrap w:val="0"/>
            <w:vAlign w:val="center"/>
          </w:tcPr>
          <w:p>
            <w:pPr>
              <w:pStyle w:val="8"/>
              <w:bidi w:val="0"/>
            </w:pPr>
            <w:r>
              <w:rPr>
                <w:rFonts w:hint="eastAsia"/>
              </w:rPr>
              <w:t>畜禽养殖产地环境评价规范</w:t>
            </w:r>
            <w:r>
              <w:rPr>
                <w:rFonts w:hint="eastAsia"/>
                <w:lang w:val="en-US" w:eastAsia="zh-CN"/>
              </w:rPr>
              <w:t>土壤</w:t>
            </w:r>
            <w:r>
              <w:t>基本项目</w:t>
            </w:r>
            <w:r>
              <w:rPr>
                <w:rFonts w:hint="eastAsia"/>
                <w:lang w:eastAsia="zh-CN"/>
              </w:rPr>
              <w:t>：</w:t>
            </w:r>
            <w:r>
              <w:rPr>
                <w:rFonts w:hint="eastAsia"/>
                <w:lang w:val="en-US" w:eastAsia="zh-CN"/>
              </w:rPr>
              <w:t>pH、镉、汞、砷、铜、铅、铬、锌、镍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146" w:type="dxa"/>
            <w:noWrap w:val="0"/>
            <w:vAlign w:val="center"/>
          </w:tcPr>
          <w:p>
            <w:pPr>
              <w:pStyle w:val="8"/>
              <w:bidi w:val="0"/>
              <w:rPr>
                <w:rFonts w:hint="eastAsia"/>
              </w:rPr>
            </w:pPr>
            <w:r>
              <w:t>表层</w:t>
            </w:r>
            <w:r>
              <w:rPr>
                <w:rFonts w:hint="eastAsia"/>
              </w:rPr>
              <w:t>3</w:t>
            </w:r>
          </w:p>
        </w:tc>
        <w:tc>
          <w:tcPr>
            <w:tcW w:w="1512" w:type="dxa"/>
            <w:noWrap w:val="0"/>
            <w:vAlign w:val="center"/>
          </w:tcPr>
          <w:p>
            <w:pPr>
              <w:pStyle w:val="8"/>
              <w:bidi w:val="0"/>
            </w:pPr>
            <w:r>
              <w:t>表层样点</w:t>
            </w:r>
          </w:p>
        </w:tc>
        <w:tc>
          <w:tcPr>
            <w:tcW w:w="1625" w:type="dxa"/>
            <w:noWrap w:val="0"/>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rPr>
              <w:t>占地范围内</w:t>
            </w:r>
          </w:p>
        </w:tc>
        <w:tc>
          <w:tcPr>
            <w:tcW w:w="1488" w:type="dxa"/>
            <w:noWrap w:val="0"/>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设施农用地</w:t>
            </w:r>
          </w:p>
        </w:tc>
        <w:tc>
          <w:tcPr>
            <w:tcW w:w="3307" w:type="dxa"/>
            <w:noWrap w:val="0"/>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rPr>
                <w:rFonts w:hint="eastAsia"/>
              </w:rPr>
              <w:t>畜禽养殖产地环境评价规范</w:t>
            </w:r>
            <w:r>
              <w:rPr>
                <w:rFonts w:hint="eastAsia"/>
                <w:lang w:val="en-US" w:eastAsia="zh-CN"/>
              </w:rPr>
              <w:t>土壤</w:t>
            </w:r>
            <w:r>
              <w:t>基本项目</w:t>
            </w:r>
            <w:r>
              <w:rPr>
                <w:rFonts w:hint="eastAsia"/>
                <w:lang w:eastAsia="zh-CN"/>
              </w:rPr>
              <w:t>：</w:t>
            </w:r>
            <w:r>
              <w:rPr>
                <w:rFonts w:hint="eastAsia"/>
                <w:lang w:val="en-US" w:eastAsia="zh-CN"/>
              </w:rPr>
              <w:t>pH、镉、汞、砷、铜、铅、铬、锌、镍</w:t>
            </w:r>
          </w:p>
        </w:tc>
      </w:tr>
    </w:tbl>
    <w:p>
      <w:pPr>
        <w:rPr>
          <w:rFonts w:hint="eastAsia"/>
        </w:rPr>
      </w:pPr>
      <w:r>
        <w:rPr>
          <w:rFonts w:hint="eastAsia"/>
          <w:lang w:eastAsia="zh-CN"/>
        </w:rPr>
        <w:t>（</w:t>
      </w:r>
      <w:r>
        <w:rPr>
          <w:rFonts w:hint="eastAsia"/>
          <w:lang w:val="en-US" w:eastAsia="zh-CN"/>
        </w:rPr>
        <w:t>2</w:t>
      </w:r>
      <w:r>
        <w:rPr>
          <w:rFonts w:hint="eastAsia"/>
          <w:lang w:eastAsia="zh-CN"/>
        </w:rPr>
        <w:t>）</w:t>
      </w:r>
      <w:r>
        <w:rPr>
          <w:rFonts w:hint="eastAsia"/>
        </w:rPr>
        <w:t xml:space="preserve"> 监测结果与评价</w:t>
      </w:r>
    </w:p>
    <w:p>
      <w:pPr>
        <w:rPr>
          <w:rFonts w:hint="eastAsia"/>
        </w:rPr>
      </w:pPr>
      <w:r>
        <w:rPr>
          <w:rFonts w:hint="eastAsia"/>
        </w:rPr>
        <w:t>土壤状况</w:t>
      </w:r>
      <w:r>
        <w:t>评价结果见表</w:t>
      </w:r>
      <w:r>
        <w:rPr>
          <w:rFonts w:hint="eastAsia"/>
          <w:lang w:val="en-US" w:eastAsia="zh-CN"/>
        </w:rPr>
        <w:t>3.2-11</w:t>
      </w:r>
      <w:r>
        <w:rPr>
          <w:rFonts w:hint="eastAsia"/>
        </w:rPr>
        <w:t>。</w:t>
      </w:r>
    </w:p>
    <w:p>
      <w:pPr>
        <w:pStyle w:val="11"/>
        <w:rPr>
          <w:rFonts w:hint="default" w:eastAsiaTheme="minorEastAsia"/>
          <w:lang w:val="en-US" w:eastAsia="zh-CN"/>
        </w:rPr>
      </w:pPr>
      <w:r>
        <w:t xml:space="preserve">表3.2- </w:t>
      </w:r>
      <w:r>
        <w:fldChar w:fldCharType="begin"/>
      </w:r>
      <w:r>
        <w:instrText xml:space="preserve"> SEQ 表3.2- \* ARABIC </w:instrText>
      </w:r>
      <w:r>
        <w:fldChar w:fldCharType="separate"/>
      </w:r>
      <w:r>
        <w:t>11</w:t>
      </w:r>
      <w:r>
        <w:fldChar w:fldCharType="end"/>
      </w:r>
      <w:r>
        <w:rPr>
          <w:rFonts w:hint="eastAsia"/>
          <w:lang w:val="en-US" w:eastAsia="zh-CN"/>
        </w:rPr>
        <w:t xml:space="preserve">    </w:t>
      </w:r>
      <w:r>
        <w:t>土壤环境</w:t>
      </w:r>
      <w:r>
        <w:rPr>
          <w:rFonts w:hint="eastAsia"/>
        </w:rPr>
        <w:t>监测结果表     （单位 mg/kg）</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817"/>
        <w:gridCol w:w="696"/>
        <w:gridCol w:w="1002"/>
        <w:gridCol w:w="753"/>
        <w:gridCol w:w="2094"/>
        <w:gridCol w:w="1255"/>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r>
              <w:t>采样点位</w:t>
            </w:r>
          </w:p>
        </w:tc>
        <w:tc>
          <w:tcPr>
            <w:tcW w:w="451"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r>
              <w:rPr>
                <w:rFonts w:hint="default"/>
                <w:lang w:eastAsia="zh-CN"/>
              </w:rPr>
              <w:t>采样层</w:t>
            </w:r>
          </w:p>
        </w:tc>
        <w:tc>
          <w:tcPr>
            <w:tcW w:w="385"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r>
              <w:rPr>
                <w:rFonts w:hint="default"/>
                <w:lang w:eastAsia="zh-CN"/>
              </w:rPr>
              <w:t>样品状态</w:t>
            </w:r>
          </w:p>
        </w:tc>
        <w:tc>
          <w:tcPr>
            <w:tcW w:w="553"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r>
              <w:t>检测项目</w:t>
            </w:r>
          </w:p>
        </w:tc>
        <w:tc>
          <w:tcPr>
            <w:tcW w:w="415"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r>
              <w:t>单位</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r>
              <w:rPr>
                <w:rFonts w:hint="eastAsia"/>
                <w:lang w:eastAsia="zh-CN"/>
              </w:rPr>
              <w:t>采样时间及</w:t>
            </w:r>
            <w:r>
              <w:t>检测结果</w:t>
            </w:r>
          </w:p>
        </w:tc>
        <w:tc>
          <w:tcPr>
            <w:tcW w:w="693"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lang w:val="en-US" w:eastAsia="zh-CN" w:bidi="ar-SA"/>
              </w:rPr>
            </w:pPr>
            <w:r>
              <w:rPr>
                <w:rFonts w:hint="eastAsia"/>
                <w:lang w:val="en-US" w:eastAsia="zh-CN"/>
              </w:rPr>
              <w:t>HJ568-2010</w:t>
            </w:r>
            <w:r>
              <w:rPr>
                <w:rFonts w:hint="eastAsia"/>
                <w:lang w:eastAsia="zh-CN"/>
              </w:rPr>
              <w:t>参考限值</w:t>
            </w:r>
          </w:p>
        </w:tc>
        <w:tc>
          <w:tcPr>
            <w:tcW w:w="844"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single"/>
                <w:lang w:val="en-US" w:eastAsia="zh-CN" w:bidi="ar-SA"/>
              </w:rPr>
            </w:pPr>
            <w:r>
              <w:rPr>
                <w:rFonts w:hint="eastAsia"/>
                <w:u w:val="single"/>
                <w:lang w:val="en-US" w:eastAsia="zh-CN"/>
              </w:rPr>
              <w:t>GB15618-2018</w:t>
            </w:r>
            <w:r>
              <w:rPr>
                <w:rFonts w:hint="eastAsia"/>
                <w:u w:val="single"/>
                <w:lang w:eastAsia="zh-CN"/>
              </w:rPr>
              <w:t>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rPr>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rPr>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rPr>
            </w:pPr>
          </w:p>
        </w:tc>
        <w:tc>
          <w:tcPr>
            <w:tcW w:w="553"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1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rPr>
            </w:pP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p>
        </w:tc>
        <w:tc>
          <w:tcPr>
            <w:tcW w:w="693"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p>
        </w:tc>
        <w:tc>
          <w:tcPr>
            <w:tcW w:w="844"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项目占地范围内■</w:t>
            </w:r>
            <w:r>
              <w:rPr>
                <w:rFonts w:hint="default"/>
                <w:lang w:val="en-US" w:eastAsia="zh-CN"/>
              </w:rPr>
              <w:t>T</w:t>
            </w:r>
            <w:r>
              <w:rPr>
                <w:rFonts w:hint="eastAsia"/>
                <w:lang w:val="en-US" w:eastAsia="zh-CN"/>
              </w:rPr>
              <w:t>1</w:t>
            </w:r>
          </w:p>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p>
        </w:tc>
        <w:tc>
          <w:tcPr>
            <w:tcW w:w="451"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default"/>
                <w:lang w:val="en-US" w:eastAsia="zh-CN"/>
              </w:rPr>
              <w:t>0-0.</w:t>
            </w:r>
            <w:r>
              <w:rPr>
                <w:rFonts w:hint="eastAsia"/>
                <w:lang w:val="en-US" w:eastAsia="zh-CN"/>
              </w:rPr>
              <w:t>2</w:t>
            </w:r>
            <w:r>
              <w:rPr>
                <w:rFonts w:hint="default"/>
                <w:lang w:val="en-US" w:eastAsia="zh-CN"/>
              </w:rPr>
              <w:t>m</w:t>
            </w:r>
          </w:p>
          <w:p>
            <w:pPr>
              <w:pStyle w:val="8"/>
              <w:keepNext w:val="0"/>
              <w:keepLines/>
              <w:pageBreakBefore w:val="0"/>
              <w:widowControl w:val="0"/>
              <w:kinsoku/>
              <w:wordWrap/>
              <w:overflowPunct w:val="0"/>
              <w:topLinePunct w:val="0"/>
              <w:autoSpaceDE/>
              <w:autoSpaceDN/>
              <w:bidi w:val="0"/>
              <w:adjustRightInd/>
              <w:snapToGrid/>
              <w:textAlignment w:val="baseline"/>
              <w:rPr>
                <w:lang w:val="en-US" w:eastAsia="zh-CN"/>
              </w:rPr>
            </w:pPr>
          </w:p>
        </w:tc>
        <w:tc>
          <w:tcPr>
            <w:tcW w:w="385"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黄棕色</w:t>
            </w:r>
          </w:p>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pH</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无量纲</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4.00</w:t>
            </w:r>
          </w:p>
        </w:tc>
        <w:tc>
          <w:tcPr>
            <w:tcW w:w="693" w:type="pct"/>
            <w:tcBorders>
              <w:tl2br w:val="nil"/>
              <w:tr2bl w:val="nil"/>
            </w:tcBorders>
            <w:vAlign w:val="center"/>
          </w:tcPr>
          <w:p>
            <w:pPr>
              <w:pStyle w:val="8"/>
              <w:bidi w:val="0"/>
              <w:rPr>
                <w:rFonts w:hint="default"/>
                <w:lang w:val="en-US" w:eastAsia="zh-CN"/>
              </w:rPr>
            </w:pPr>
            <w:r>
              <w:rPr>
                <w:rFonts w:hint="default"/>
                <w:lang w:val="en-US" w:eastAsia="zh-CN"/>
              </w:rPr>
              <w:t>——</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default"/>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镉</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0.23</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1.0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汞</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0.102</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1.5</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砷</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12.5</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40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铜</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18.7</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400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铅</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16</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500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镍</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12.9</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200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铬</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61.6</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300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锌</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41.2</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500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项目占地范围内■</w:t>
            </w:r>
            <w:r>
              <w:rPr>
                <w:rFonts w:hint="default"/>
                <w:lang w:val="en-US" w:eastAsia="zh-CN"/>
              </w:rPr>
              <w:t>T</w:t>
            </w:r>
            <w:r>
              <w:rPr>
                <w:rFonts w:hint="eastAsia"/>
                <w:lang w:val="en-US" w:eastAsia="zh-CN"/>
              </w:rPr>
              <w:t>2</w:t>
            </w:r>
          </w:p>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p>
        </w:tc>
        <w:tc>
          <w:tcPr>
            <w:tcW w:w="451"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default"/>
                <w:lang w:val="en-US" w:eastAsia="zh-CN"/>
              </w:rPr>
              <w:t>0-0.</w:t>
            </w:r>
            <w:r>
              <w:rPr>
                <w:rFonts w:hint="eastAsia"/>
                <w:lang w:val="en-US" w:eastAsia="zh-CN"/>
              </w:rPr>
              <w:t>2</w:t>
            </w:r>
            <w:r>
              <w:rPr>
                <w:rFonts w:hint="default"/>
                <w:lang w:val="en-US" w:eastAsia="zh-CN"/>
              </w:rPr>
              <w:t>m</w:t>
            </w:r>
          </w:p>
          <w:p>
            <w:pPr>
              <w:pStyle w:val="8"/>
              <w:keepNext w:val="0"/>
              <w:keepLines/>
              <w:pageBreakBefore w:val="0"/>
              <w:widowControl w:val="0"/>
              <w:kinsoku/>
              <w:wordWrap/>
              <w:overflowPunct w:val="0"/>
              <w:topLinePunct w:val="0"/>
              <w:autoSpaceDE/>
              <w:autoSpaceDN/>
              <w:bidi w:val="0"/>
              <w:adjustRightInd/>
              <w:snapToGrid/>
              <w:textAlignment w:val="baseline"/>
              <w:rPr>
                <w:lang w:val="en-US" w:eastAsia="zh-CN"/>
              </w:rPr>
            </w:pPr>
          </w:p>
        </w:tc>
        <w:tc>
          <w:tcPr>
            <w:tcW w:w="385"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黄棕色</w:t>
            </w:r>
          </w:p>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pH</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无量纲</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4.82</w:t>
            </w:r>
          </w:p>
        </w:tc>
        <w:tc>
          <w:tcPr>
            <w:tcW w:w="693" w:type="pct"/>
            <w:tcBorders>
              <w:tl2br w:val="nil"/>
              <w:tr2bl w:val="nil"/>
            </w:tcBorders>
            <w:vAlign w:val="center"/>
          </w:tcPr>
          <w:p>
            <w:pPr>
              <w:pStyle w:val="8"/>
              <w:bidi w:val="0"/>
              <w:rPr>
                <w:rFonts w:hint="default"/>
                <w:lang w:val="en-US" w:eastAsia="zh-CN"/>
              </w:rPr>
            </w:pPr>
            <w:r>
              <w:rPr>
                <w:rFonts w:hint="default"/>
                <w:lang w:val="en-US" w:eastAsia="zh-CN"/>
              </w:rPr>
              <w:t>——</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default"/>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镉</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0.26</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1.0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汞</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0.076</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1.5</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砷</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10.0</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40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铜</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15.1</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400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铅</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14</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500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镍</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12.7</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200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铬</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70.6</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300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锌</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34.4</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500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eastAsia"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项目占地范围内■</w:t>
            </w:r>
            <w:r>
              <w:rPr>
                <w:rFonts w:hint="default"/>
                <w:lang w:val="en-US" w:eastAsia="zh-CN"/>
              </w:rPr>
              <w:t>T</w:t>
            </w:r>
            <w:r>
              <w:rPr>
                <w:rFonts w:hint="eastAsia"/>
                <w:lang w:val="en-US" w:eastAsia="zh-CN"/>
              </w:rPr>
              <w:t>3</w:t>
            </w:r>
          </w:p>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default"/>
                <w:lang w:val="en-US" w:eastAsia="zh-CN"/>
              </w:rPr>
              <w:t>0-0.</w:t>
            </w:r>
            <w:r>
              <w:rPr>
                <w:rFonts w:hint="eastAsia"/>
                <w:lang w:val="en-US" w:eastAsia="zh-CN"/>
              </w:rPr>
              <w:t>2</w:t>
            </w:r>
            <w:r>
              <w:rPr>
                <w:rFonts w:hint="default"/>
                <w:lang w:val="en-US" w:eastAsia="zh-CN"/>
              </w:rPr>
              <w:t>m</w:t>
            </w:r>
          </w:p>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restar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黄棕色</w:t>
            </w:r>
          </w:p>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pH</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无量纲</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4.29</w:t>
            </w:r>
          </w:p>
        </w:tc>
        <w:tc>
          <w:tcPr>
            <w:tcW w:w="693" w:type="pct"/>
            <w:tcBorders>
              <w:tl2br w:val="nil"/>
              <w:tr2bl w:val="nil"/>
            </w:tcBorders>
            <w:vAlign w:val="center"/>
          </w:tcPr>
          <w:p>
            <w:pPr>
              <w:pStyle w:val="8"/>
              <w:bidi w:val="0"/>
              <w:rPr>
                <w:rFonts w:hint="default"/>
                <w:lang w:val="en-US" w:eastAsia="zh-CN"/>
              </w:rPr>
            </w:pPr>
            <w:r>
              <w:rPr>
                <w:rFonts w:hint="default"/>
                <w:lang w:val="en-US" w:eastAsia="zh-CN"/>
              </w:rPr>
              <w:t>——</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single"/>
                <w:lang w:val="en-US" w:eastAsia="zh-CN" w:bidi="ar-SA"/>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镉</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0.22</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1.0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汞</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0.081</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1.5</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砷</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13.5</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40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铜</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23.1</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400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铅</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22</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500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镍</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19.5</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200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铬</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58.2</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300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9"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451"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385" w:type="pct"/>
            <w:vMerge w:val="continue"/>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pPr>
          </w:p>
        </w:tc>
        <w:tc>
          <w:tcPr>
            <w:tcW w:w="553"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锌</w:t>
            </w:r>
          </w:p>
        </w:tc>
        <w:tc>
          <w:tcPr>
            <w:tcW w:w="415"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default"/>
                <w:lang w:val="en-US" w:eastAsia="zh-CN"/>
              </w:rPr>
              <w:t>mg/kg</w:t>
            </w:r>
          </w:p>
        </w:tc>
        <w:tc>
          <w:tcPr>
            <w:tcW w:w="1156"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default"/>
                <w:lang w:val="en-US" w:eastAsia="zh-CN"/>
              </w:rPr>
            </w:pPr>
            <w:r>
              <w:rPr>
                <w:rFonts w:hint="eastAsia"/>
                <w:lang w:val="en-US" w:eastAsia="zh-CN"/>
              </w:rPr>
              <w:t>47.5</w:t>
            </w:r>
          </w:p>
        </w:tc>
        <w:tc>
          <w:tcPr>
            <w:tcW w:w="693" w:type="pct"/>
            <w:tcBorders>
              <w:tl2br w:val="nil"/>
              <w:tr2bl w:val="nil"/>
            </w:tcBorders>
            <w:vAlign w:val="center"/>
          </w:tcPr>
          <w:p>
            <w:pPr>
              <w:pStyle w:val="8"/>
              <w:bidi w:val="0"/>
              <w:rPr>
                <w:rFonts w:hint="default"/>
                <w:lang w:val="en-US" w:eastAsia="zh-CN"/>
              </w:rPr>
            </w:pPr>
            <w:r>
              <w:rPr>
                <w:rFonts w:hint="eastAsia"/>
                <w:lang w:val="en-US" w:eastAsia="zh-CN"/>
              </w:rPr>
              <w:t>500</w:t>
            </w:r>
          </w:p>
        </w:tc>
        <w:tc>
          <w:tcPr>
            <w:tcW w:w="844" w:type="pct"/>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ind w:firstLine="0" w:firstLineChars="0"/>
              <w:textAlignment w:val="baseline"/>
              <w:rPr>
                <w:rFonts w:hint="default" w:ascii="Times New Roman" w:hAnsi="Times New Roman" w:eastAsiaTheme="minorEastAsia" w:cstheme="minorBidi"/>
                <w:kern w:val="20"/>
                <w:sz w:val="21"/>
                <w:szCs w:val="20"/>
                <w:u w:val="none"/>
                <w:lang w:val="en-US" w:eastAsia="zh-CN" w:bidi="ar-SA"/>
              </w:rPr>
            </w:pPr>
            <w:r>
              <w:rPr>
                <w:rFonts w:hint="eastAsia" w:ascii="Times New Roman" w:hAnsi="Times New Roman" w:cstheme="minorBidi"/>
                <w:kern w:val="20"/>
                <w:sz w:val="21"/>
                <w:szCs w:val="20"/>
                <w:u w:val="none"/>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8"/>
            <w:tcBorders>
              <w:tl2br w:val="nil"/>
              <w:tr2bl w:val="nil"/>
            </w:tcBorders>
            <w:vAlign w:val="center"/>
          </w:tcPr>
          <w:p>
            <w:pPr>
              <w:pStyle w:val="8"/>
              <w:keepNext w:val="0"/>
              <w:keepLines/>
              <w:pageBreakBefore w:val="0"/>
              <w:widowControl w:val="0"/>
              <w:kinsoku/>
              <w:wordWrap/>
              <w:overflowPunct w:val="0"/>
              <w:topLinePunct w:val="0"/>
              <w:autoSpaceDE/>
              <w:autoSpaceDN/>
              <w:bidi w:val="0"/>
              <w:adjustRightInd/>
              <w:snapToGrid/>
              <w:textAlignment w:val="baseline"/>
              <w:rPr>
                <w:rFonts w:hint="eastAsia"/>
                <w:lang w:val="en-US" w:eastAsia="zh-CN"/>
              </w:rPr>
            </w:pPr>
            <w:r>
              <w:rPr>
                <w:rFonts w:hint="eastAsia"/>
                <w:lang w:val="en-US" w:eastAsia="zh-CN"/>
              </w:rPr>
              <w:t>备注：参考《畜禽养殖产地环境评价规范》（HJ 568-2010）表4中养殖场标准限值。</w:t>
            </w:r>
          </w:p>
        </w:tc>
      </w:tr>
    </w:tbl>
    <w:p/>
    <w:p>
      <w:pPr>
        <w:bidi w:val="0"/>
        <w:rPr>
          <w:rFonts w:hint="default"/>
          <w:lang w:val="en-US"/>
        </w:rPr>
      </w:pPr>
      <w:r>
        <w:t>由表</w:t>
      </w:r>
      <w:r>
        <w:rPr>
          <w:rFonts w:hint="eastAsia"/>
          <w:lang w:val="en-US" w:eastAsia="zh-CN"/>
        </w:rPr>
        <w:t>3.2-11</w:t>
      </w:r>
      <w:r>
        <w:t>可以看出，</w:t>
      </w:r>
      <w:r>
        <w:rPr>
          <w:rFonts w:hint="eastAsia"/>
        </w:rPr>
        <w:t>土壤环境各监测值均</w:t>
      </w:r>
      <w:r>
        <w:rPr>
          <w:rFonts w:hint="eastAsia"/>
          <w:lang w:eastAsia="zh-CN"/>
        </w:rPr>
        <w:t>低于</w:t>
      </w:r>
      <w:r>
        <w:rPr>
          <w:rFonts w:hint="eastAsia"/>
          <w:lang w:val="en-US" w:eastAsia="zh-CN"/>
        </w:rPr>
        <w:t>养殖场内土壤执行《畜禽养殖产地环境评价规范》（HJ568-2010）中《畜禽养殖场和养殖小区内土壤环境质量评价指标限值》，同时低于《土壤环境质量  农用地土壤污染风险管控标准》（GB15618-2018）限值。</w:t>
      </w:r>
    </w:p>
    <w:p>
      <w:pPr>
        <w:pStyle w:val="5"/>
        <w:bidi w:val="0"/>
      </w:pPr>
      <w:r>
        <w:t>生态环境质量现状</w:t>
      </w:r>
      <w:bookmarkEnd w:id="169"/>
      <w:bookmarkEnd w:id="170"/>
    </w:p>
    <w:p>
      <w:r>
        <w:t>（</w:t>
      </w:r>
      <w:r>
        <w:rPr>
          <w:rFonts w:hint="eastAsia"/>
        </w:rPr>
        <w:t>1</w:t>
      </w:r>
      <w:r>
        <w:t>）</w:t>
      </w:r>
      <w:r>
        <w:rPr>
          <w:rFonts w:hint="eastAsia"/>
        </w:rPr>
        <w:t>项目占地类型</w:t>
      </w:r>
    </w:p>
    <w:p>
      <w:r>
        <w:rPr>
          <w:rFonts w:hint="eastAsia"/>
        </w:rPr>
        <w:t>项目所在地周边均为山丘林地，土地利用类型以</w:t>
      </w:r>
      <w:r>
        <w:rPr>
          <w:rFonts w:hint="eastAsia"/>
          <w:lang w:eastAsia="zh-CN"/>
        </w:rPr>
        <w:t>坑塘洼地为主</w:t>
      </w:r>
      <w:r>
        <w:rPr>
          <w:rFonts w:hint="eastAsia"/>
        </w:rPr>
        <w:t>。</w:t>
      </w:r>
      <w:r>
        <w:rPr>
          <w:rFonts w:hint="eastAsia"/>
          <w:lang w:eastAsia="zh-CN"/>
        </w:rPr>
        <w:t>项目周边主要是柑橘种植、油菜等种植</w:t>
      </w:r>
      <w:r>
        <w:rPr>
          <w:rFonts w:hint="default"/>
        </w:rPr>
        <w:t>，该部分用地没有改变土地原有的利用类型，只是植被种类有所变化。</w:t>
      </w:r>
    </w:p>
    <w:p>
      <w:r>
        <w:t>（</w:t>
      </w:r>
      <w:r>
        <w:rPr>
          <w:rFonts w:hint="eastAsia"/>
        </w:rPr>
        <w:t>2</w:t>
      </w:r>
      <w:r>
        <w:t>）植物资源现状：</w:t>
      </w:r>
    </w:p>
    <w:p>
      <w:pPr>
        <w:rPr>
          <w:rFonts w:hint="default"/>
        </w:rPr>
      </w:pPr>
      <w:r>
        <w:rPr>
          <w:rFonts w:hint="eastAsia"/>
        </w:rPr>
        <w:t>项目所在地周边植被以</w:t>
      </w:r>
      <w:r>
        <w:rPr>
          <w:rFonts w:hint="default"/>
        </w:rPr>
        <w:t>针叶林阔叶林混交为主，针叶林主要为尾松林，为项目周边林木群落主要生态类型之一，建群树种为马尾松，并半生杉木、毛竹等常绿乔木。针阔叶混交林以马尾松</w:t>
      </w:r>
      <w:r>
        <w:t>—</w:t>
      </w:r>
      <w:r>
        <w:rPr>
          <w:rFonts w:hint="default"/>
        </w:rPr>
        <w:t>杉树</w:t>
      </w:r>
      <w:r>
        <w:t>—</w:t>
      </w:r>
      <w:r>
        <w:rPr>
          <w:rFonts w:hint="default"/>
        </w:rPr>
        <w:t>樟树混交林为主，是区域主要植被类型之一。乔木层以马尾松、杉树、樟树为优势种，伴生有泡桐、枫香、苦槠、锥栗、南酸枣、无患子、油茶树等。灌草丛主要物种有白栎、茅栎、映山红、黄荆、马桑、白马骨、荚迷、山胡椒、箭竹、冬青、盐肤木、野枯草、狗尾草本，间有零星马尾松等树木耸立其中。</w:t>
      </w:r>
    </w:p>
    <w:p>
      <w:pPr>
        <w:rPr>
          <w:rFonts w:hint="default"/>
        </w:rPr>
      </w:pPr>
      <w:r>
        <w:rPr>
          <w:rFonts w:hint="default"/>
        </w:rPr>
        <w:t>评价区内</w:t>
      </w:r>
      <w:r>
        <w:rPr>
          <w:rFonts w:hint="eastAsia"/>
        </w:rPr>
        <w:t>林地主要为杂草和低矮灌木，有少量乔木，部分林地已被开发，种植苹果柚等果树，周边村镇及山丘以农业生态和林业生态为主，都为较常见植物，包括农作物和残次林</w:t>
      </w:r>
      <w:r>
        <w:rPr>
          <w:rFonts w:hint="default"/>
        </w:rPr>
        <w:t>，农作物植被分布广泛，主要的农作物品种以水稻、玉米、花生、红薯、蔬菜、柑橘等油粮作物为主。</w:t>
      </w:r>
    </w:p>
    <w:p>
      <w:r>
        <w:t>（</w:t>
      </w:r>
      <w:r>
        <w:rPr>
          <w:rFonts w:hint="eastAsia"/>
        </w:rPr>
        <w:t>3</w:t>
      </w:r>
      <w:r>
        <w:t>）动物资源现状：</w:t>
      </w:r>
    </w:p>
    <w:p>
      <w:pPr>
        <w:rPr>
          <w:rFonts w:hint="default"/>
        </w:rPr>
      </w:pPr>
      <w:r>
        <w:rPr>
          <w:rFonts w:hint="default"/>
        </w:rPr>
        <w:t>评价区域多为适应耕地和居民点的本地动物，野生动物以小型农田动物及两栖类动物为主，常见动物有田鼠、黄鼠狼、蛇、青蛙、麻雀、喜鹊等，建设区未发现国家保护野生动物。</w:t>
      </w:r>
    </w:p>
    <w:p>
      <w:r>
        <w:rPr>
          <w:rFonts w:hint="default"/>
        </w:rPr>
        <w:t>项目所在区域主要鱼类以经济鱼类为主，鱼类资源主要有草鱼、鲤鱼、青鱼、鲢鱼、鳙鱼等，未发现国家级保护鱼类，本项目评价区域无鱼类三场。项目区域内未发现国家和省级重点保护野生动物，也未发现其栖息地和迁徙通道。</w:t>
      </w:r>
    </w:p>
    <w:p>
      <w:pPr>
        <w:rPr>
          <w:rFonts w:hint="default"/>
        </w:rPr>
      </w:pPr>
      <w:bookmarkStart w:id="171" w:name="_Toc249433237"/>
      <w:bookmarkStart w:id="172" w:name="_Ref245185491"/>
      <w:bookmarkStart w:id="173" w:name="_Ref245185455"/>
      <w:bookmarkStart w:id="174" w:name="_Ref245185462"/>
      <w:bookmarkStart w:id="175" w:name="_Toc289344579"/>
      <w:r>
        <w:rPr>
          <w:rFonts w:hint="default"/>
        </w:rPr>
        <w:t>根据现场调查，评价区范围内无珍稀植被、无古树名木。区域不存在水土流失，自然灾害，生物入侵等生态问题，整体生态环境良好。</w:t>
      </w:r>
    </w:p>
    <w:p>
      <w:pPr>
        <w:pStyle w:val="4"/>
        <w:bidi w:val="0"/>
      </w:pPr>
      <w:bookmarkStart w:id="176" w:name="_Toc8175"/>
      <w:r>
        <w:t>区域面源污染状况调查</w:t>
      </w:r>
      <w:bookmarkEnd w:id="176"/>
    </w:p>
    <w:p>
      <w:pPr>
        <w:rPr>
          <w:rFonts w:hint="default"/>
        </w:rPr>
      </w:pPr>
      <w:r>
        <w:rPr>
          <w:rFonts w:hint="default"/>
        </w:rPr>
        <w:t>项目所在区域位于澧县西北边陲</w:t>
      </w:r>
      <w:r>
        <w:rPr>
          <w:rFonts w:hint="eastAsia"/>
          <w:lang w:val="en-US" w:eastAsia="zh-CN"/>
        </w:rPr>
        <w:t>与临澧县交界的</w:t>
      </w:r>
      <w:r>
        <w:rPr>
          <w:rFonts w:hint="default"/>
        </w:rPr>
        <w:t>农村地区，区域面源污染主要来源为农业种植、畜禽养殖、水产种植等。</w:t>
      </w:r>
    </w:p>
    <w:p>
      <w:pPr>
        <w:rPr>
          <w:rFonts w:hint="default"/>
        </w:rPr>
      </w:pPr>
      <w:r>
        <w:rPr>
          <w:rFonts w:hint="default"/>
        </w:rPr>
        <w:t>（1）农业投入品使用不合理</w:t>
      </w:r>
    </w:p>
    <w:p>
      <w:pPr>
        <w:rPr>
          <w:rFonts w:hint="default"/>
        </w:rPr>
      </w:pPr>
      <w:r>
        <w:rPr>
          <w:rFonts w:hint="default"/>
        </w:rPr>
        <w:t>根据第一次全国农业污染源普查数据显示，澧县每亩农药的施用量为0.756kg、化肥（氮磷）用量为58.4 kg ，并呈逐年上升趋势，这是由于该地区安全用药、科学施肥水平不高，加上农民不按操作规程安全合理地使用农药化肥，喷洒的农药实际着附于作物上只有30%，化肥的有效利用率也只有35%左右，氮、磷的流失成为河流、湖泊、水库富营养化的主要污染源。</w:t>
      </w:r>
    </w:p>
    <w:p>
      <w:pPr>
        <w:rPr>
          <w:rFonts w:hint="default"/>
        </w:rPr>
      </w:pPr>
      <w:r>
        <w:rPr>
          <w:rFonts w:hint="default"/>
        </w:rPr>
        <w:t>（2）畜禽养殖、水产养殖的污染</w:t>
      </w:r>
    </w:p>
    <w:p>
      <w:pPr>
        <w:rPr>
          <w:rFonts w:hint="default"/>
        </w:rPr>
      </w:pPr>
      <w:r>
        <w:rPr>
          <w:rFonts w:hint="default"/>
        </w:rPr>
        <w:t>区域养殖业较发达，由于各方面的原因，许多专业养殖场缺少必要的污染防治措施，环境污染治理投资明显不足，加上养殖业和种植业的日益分离，畜禽粪便无害化后用作农田的比例大幅下降，大多数畜禽养殖场没有配套耕地、林地消纳粪污，形成了农牧的严重脱节，从而使畜禽养殖废弃物成为农业面源污染的重要来源。</w:t>
      </w:r>
    </w:p>
    <w:p>
      <w:pPr>
        <w:rPr>
          <w:rFonts w:hint="default"/>
        </w:rPr>
      </w:pPr>
      <w:r>
        <w:rPr>
          <w:rFonts w:hint="default"/>
        </w:rPr>
        <w:t>项目周边散养鸭子、养鱼的农户较多，可能造成水塘水质污染，水产养殖年向周围水体排放696.5万t饱含鱼药、肥料的养殖用水，造成湖泊的富营养化。</w:t>
      </w:r>
    </w:p>
    <w:p>
      <w:pPr>
        <w:rPr>
          <w:rFonts w:hint="default"/>
        </w:rPr>
      </w:pPr>
      <w:r>
        <w:rPr>
          <w:rFonts w:hint="default"/>
        </w:rPr>
        <w:t>（3）农业废弃物处理不当</w:t>
      </w:r>
    </w:p>
    <w:p>
      <w:pPr>
        <w:rPr>
          <w:rFonts w:hint="default"/>
        </w:rPr>
      </w:pPr>
      <w:r>
        <w:rPr>
          <w:rFonts w:hint="default"/>
        </w:rPr>
        <w:t>澧县农膜的年用量为478.8t，残留量为262.4t，残留率达54.7%，农膜材料在自然条件下难以分解，可残存200年以上，如不及时回收，土壤中的残膜逐年积累，残膜进入土壤后，会改变土壤物理性质，影响土壤的通透性，阻碍土壤水肥的运移，导致农作物减产。</w:t>
      </w:r>
    </w:p>
    <w:p>
      <w:pPr>
        <w:rPr>
          <w:rFonts w:hint="default"/>
        </w:rPr>
      </w:pPr>
      <w:r>
        <w:rPr>
          <w:rFonts w:hint="default"/>
        </w:rPr>
        <w:t>（4）农村生活污染</w:t>
      </w:r>
    </w:p>
    <w:p>
      <w:pPr>
        <w:rPr>
          <w:rFonts w:hint="default"/>
        </w:rPr>
        <w:sectPr>
          <w:pgSz w:w="11907" w:h="16840"/>
          <w:pgMar w:top="1531" w:right="1531" w:bottom="1531" w:left="1531" w:header="851" w:footer="992" w:gutter="0"/>
          <w:pgNumType w:fmt="decimal"/>
          <w:cols w:space="720" w:num="1"/>
          <w:docGrid w:linePitch="312" w:charSpace="0"/>
        </w:sectPr>
      </w:pPr>
      <w:r>
        <w:rPr>
          <w:rFonts w:hint="default"/>
        </w:rPr>
        <w:t>农村因人口居民分散，大部分村镇没有专门的垃圾收集、运输、填进及处理系统，生活垃圾被随意抛弃在田头、路旁、农田、河流，已成为农村污染水质与土壤的一大公害。此外，由于城镇污水集中收集与处理设施的滞后，农村生活污水的排放，也会造成农田、水体水质下降。</w:t>
      </w:r>
      <w:bookmarkEnd w:id="171"/>
      <w:bookmarkEnd w:id="172"/>
      <w:bookmarkEnd w:id="173"/>
      <w:bookmarkEnd w:id="174"/>
      <w:bookmarkEnd w:id="175"/>
    </w:p>
    <w:p>
      <w:pPr>
        <w:pStyle w:val="2"/>
        <w:bidi w:val="0"/>
      </w:pPr>
      <w:bookmarkStart w:id="177" w:name="_Toc10673"/>
      <w:bookmarkStart w:id="178" w:name="_Toc468689177"/>
      <w:bookmarkStart w:id="179" w:name="_Toc289344580"/>
      <w:r>
        <w:t>环境影响预测与评价</w:t>
      </w:r>
      <w:bookmarkEnd w:id="177"/>
    </w:p>
    <w:p>
      <w:pPr>
        <w:pStyle w:val="4"/>
        <w:bidi w:val="0"/>
      </w:pPr>
      <w:bookmarkStart w:id="180" w:name="_Toc589"/>
      <w:r>
        <w:t>施工期环境影响分析</w:t>
      </w:r>
      <w:bookmarkEnd w:id="178"/>
      <w:bookmarkEnd w:id="179"/>
      <w:bookmarkEnd w:id="180"/>
    </w:p>
    <w:p>
      <w:pPr>
        <w:pStyle w:val="5"/>
        <w:bidi w:val="0"/>
      </w:pPr>
      <w:bookmarkStart w:id="181" w:name="_Toc1989"/>
      <w:bookmarkStart w:id="182" w:name="_Toc30956"/>
      <w:bookmarkStart w:id="183" w:name="_Toc489916033"/>
      <w:bookmarkStart w:id="184" w:name="_Toc487411729"/>
      <w:bookmarkStart w:id="185" w:name="_Toc468689191"/>
      <w:bookmarkStart w:id="186" w:name="_Toc289344581"/>
      <w:bookmarkStart w:id="187" w:name="_Toc135624276"/>
      <w:r>
        <w:t>施工期大气污染影响分析</w:t>
      </w:r>
      <w:bookmarkEnd w:id="181"/>
      <w:bookmarkEnd w:id="182"/>
      <w:bookmarkEnd w:id="183"/>
      <w:bookmarkEnd w:id="184"/>
    </w:p>
    <w:p>
      <w:bookmarkStart w:id="188" w:name="_Toc6143"/>
      <w:bookmarkStart w:id="189" w:name="_Toc7700"/>
      <w:r>
        <w:rPr>
          <w:rFonts w:hint="eastAsia"/>
        </w:rPr>
        <w:t>本项目建设施工过程中的大气污染行主要来自于施工场地的扬尘，还有少量的运输车辆及施工机械产生的尾气及装修废气。</w:t>
      </w:r>
    </w:p>
    <w:p>
      <w:r>
        <w:rPr>
          <w:rFonts w:hint="eastAsia"/>
          <w:lang w:eastAsia="zh-CN"/>
        </w:rPr>
        <w:t>（</w:t>
      </w:r>
      <w:r>
        <w:rPr>
          <w:rFonts w:hint="eastAsia"/>
          <w:lang w:val="en-US" w:eastAsia="zh-CN"/>
        </w:rPr>
        <w:t>1</w:t>
      </w:r>
      <w:r>
        <w:rPr>
          <w:rFonts w:hint="eastAsia"/>
          <w:lang w:eastAsia="zh-CN"/>
        </w:rPr>
        <w:t>）</w:t>
      </w:r>
      <w:r>
        <w:rPr>
          <w:rFonts w:hint="eastAsia"/>
        </w:rPr>
        <w:t>施工扬尘</w:t>
      </w:r>
    </w:p>
    <w:p>
      <w:r>
        <w:rPr>
          <w:rFonts w:hint="eastAsia"/>
        </w:rPr>
        <w:t>在整个施工期，产生扬尘的作业有土地平整、开挖、回填、道路浇筑、建材运输、露天堆放、装卸和搅拌等过程，如遇干旱无雨季节，加上大风，施工扬尘将更严重，不同施工阶段主要污染源和排放的污染物见表</w:t>
      </w:r>
      <w:r>
        <w:rPr>
          <w:rFonts w:hint="eastAsia"/>
          <w:lang w:val="en-US" w:eastAsia="zh-CN"/>
        </w:rPr>
        <w:t>4.1</w:t>
      </w:r>
      <w:r>
        <w:t>-1</w:t>
      </w:r>
      <w:r>
        <w:rPr>
          <w:rFonts w:hint="eastAsia"/>
        </w:rPr>
        <w:t>。一般情况下，施工工地、施工道路在自然风作用下产生的扬尘所影响的范围在</w:t>
      </w:r>
      <w:r>
        <w:t>100m</w:t>
      </w:r>
      <w:r>
        <w:rPr>
          <w:rFonts w:hint="eastAsia"/>
        </w:rPr>
        <w:t>以内。</w:t>
      </w:r>
      <w:bookmarkEnd w:id="188"/>
      <w:bookmarkEnd w:id="189"/>
    </w:p>
    <w:p>
      <w:pPr>
        <w:pStyle w:val="11"/>
        <w:rPr>
          <w:rFonts w:hint="default" w:eastAsiaTheme="minorEastAsia"/>
          <w:lang w:val="en-US" w:eastAsia="zh-CN"/>
        </w:rPr>
      </w:pPr>
      <w:r>
        <w:t xml:space="preserve">表4.1- </w:t>
      </w:r>
      <w:r>
        <w:fldChar w:fldCharType="begin"/>
      </w:r>
      <w:r>
        <w:instrText xml:space="preserve"> SEQ 表4.1- \* ARABIC </w:instrText>
      </w:r>
      <w:r>
        <w:fldChar w:fldCharType="separate"/>
      </w:r>
      <w:r>
        <w:t>1</w:t>
      </w:r>
      <w:r>
        <w:fldChar w:fldCharType="end"/>
      </w:r>
      <w:r>
        <w:rPr>
          <w:rFonts w:hint="eastAsia"/>
          <w:lang w:val="en-US" w:eastAsia="zh-CN"/>
        </w:rPr>
        <w:t xml:space="preserve">  </w:t>
      </w:r>
      <w:r>
        <w:rPr>
          <w:rFonts w:hint="eastAsia"/>
        </w:rPr>
        <w:t>不同施工阶段主要污染源</w:t>
      </w:r>
    </w:p>
    <w:tbl>
      <w:tblPr>
        <w:tblStyle w:val="17"/>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4956"/>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jc w:val="center"/>
        </w:trPr>
        <w:tc>
          <w:tcPr>
            <w:tcW w:w="1547" w:type="dxa"/>
            <w:vAlign w:val="center"/>
          </w:tcPr>
          <w:p>
            <w:pPr>
              <w:pStyle w:val="8"/>
              <w:bidi w:val="0"/>
            </w:pPr>
            <w:r>
              <w:rPr>
                <w:rFonts w:hint="eastAsia"/>
              </w:rPr>
              <w:t>施工阶段</w:t>
            </w:r>
          </w:p>
        </w:tc>
        <w:tc>
          <w:tcPr>
            <w:tcW w:w="4956" w:type="dxa"/>
            <w:vAlign w:val="center"/>
          </w:tcPr>
          <w:p>
            <w:pPr>
              <w:pStyle w:val="8"/>
              <w:bidi w:val="0"/>
            </w:pPr>
            <w:r>
              <w:rPr>
                <w:rFonts w:hint="eastAsia"/>
              </w:rPr>
              <w:t>主要污染源</w:t>
            </w:r>
          </w:p>
        </w:tc>
        <w:tc>
          <w:tcPr>
            <w:tcW w:w="2229" w:type="dxa"/>
            <w:vAlign w:val="center"/>
          </w:tcPr>
          <w:p>
            <w:pPr>
              <w:pStyle w:val="8"/>
              <w:bidi w:val="0"/>
            </w:pPr>
            <w:r>
              <w:rPr>
                <w:rFonts w:hint="eastAsia"/>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47" w:type="dxa"/>
            <w:vAlign w:val="center"/>
          </w:tcPr>
          <w:p>
            <w:pPr>
              <w:pStyle w:val="8"/>
              <w:bidi w:val="0"/>
            </w:pPr>
            <w:r>
              <w:rPr>
                <w:rFonts w:hint="eastAsia"/>
              </w:rPr>
              <w:t>场地清表</w:t>
            </w:r>
          </w:p>
        </w:tc>
        <w:tc>
          <w:tcPr>
            <w:tcW w:w="4956" w:type="dxa"/>
            <w:vAlign w:val="center"/>
          </w:tcPr>
          <w:p>
            <w:pPr>
              <w:pStyle w:val="8"/>
              <w:bidi w:val="0"/>
            </w:pPr>
            <w:r>
              <w:t>1</w:t>
            </w:r>
            <w:r>
              <w:rPr>
                <w:rFonts w:hint="eastAsia"/>
              </w:rPr>
              <w:t>、铲车、运输卡车</w:t>
            </w:r>
          </w:p>
        </w:tc>
        <w:tc>
          <w:tcPr>
            <w:tcW w:w="2229" w:type="dxa"/>
            <w:vAlign w:val="center"/>
          </w:tcPr>
          <w:p>
            <w:pPr>
              <w:pStyle w:val="8"/>
              <w:bidi w:val="0"/>
            </w:pPr>
            <w:r>
              <w:rPr>
                <w:rFonts w:hint="eastAsia"/>
              </w:rPr>
              <w:t>扬尘、</w:t>
            </w:r>
            <w:r>
              <w:t>NOx</w:t>
            </w:r>
            <w:r>
              <w:rPr>
                <w:rFonts w:hint="eastAsia"/>
              </w:rPr>
              <w:t>、</w:t>
            </w:r>
            <w:r>
              <w:t>CO</w:t>
            </w:r>
            <w:r>
              <w:rPr>
                <w:rFonts w:hint="eastAsia"/>
              </w:rPr>
              <w:t>、</w:t>
            </w:r>
            <w:r>
              <w: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Align w:val="center"/>
          </w:tcPr>
          <w:p>
            <w:pPr>
              <w:pStyle w:val="8"/>
              <w:bidi w:val="0"/>
            </w:pPr>
            <w:r>
              <w:rPr>
                <w:rFonts w:hint="eastAsia"/>
              </w:rPr>
              <w:t>基础工程</w:t>
            </w:r>
          </w:p>
        </w:tc>
        <w:tc>
          <w:tcPr>
            <w:tcW w:w="4956" w:type="dxa"/>
            <w:vAlign w:val="center"/>
          </w:tcPr>
          <w:p>
            <w:pPr>
              <w:pStyle w:val="8"/>
              <w:bidi w:val="0"/>
            </w:pPr>
            <w:r>
              <w:t>1</w:t>
            </w:r>
            <w:r>
              <w:rPr>
                <w:rFonts w:hint="eastAsia"/>
              </w:rPr>
              <w:t>、裸露地面、土方挖掘、土方堆场、土方装御、道路扬尘、建材堆场等。</w:t>
            </w:r>
          </w:p>
          <w:p>
            <w:pPr>
              <w:pStyle w:val="8"/>
              <w:bidi w:val="0"/>
            </w:pPr>
            <w:r>
              <w:t>2</w:t>
            </w:r>
            <w:r>
              <w:rPr>
                <w:rFonts w:hint="eastAsia"/>
              </w:rPr>
              <w:t>、挖土机、铲车、运输卡车等。</w:t>
            </w:r>
          </w:p>
        </w:tc>
        <w:tc>
          <w:tcPr>
            <w:tcW w:w="2229" w:type="dxa"/>
            <w:vAlign w:val="center"/>
          </w:tcPr>
          <w:p>
            <w:pPr>
              <w:pStyle w:val="8"/>
              <w:bidi w:val="0"/>
            </w:pPr>
            <w:r>
              <w:rPr>
                <w:rFonts w:hint="eastAsia"/>
              </w:rPr>
              <w:t>扬尘、</w:t>
            </w:r>
            <w:r>
              <w:t>NOx</w:t>
            </w:r>
            <w:r>
              <w:rPr>
                <w:rFonts w:hint="eastAsia"/>
              </w:rPr>
              <w:t>、</w:t>
            </w:r>
            <w:r>
              <w:t>CO</w:t>
            </w:r>
            <w:r>
              <w:rPr>
                <w:rFonts w:hint="eastAsia"/>
              </w:rPr>
              <w:t>、</w:t>
            </w:r>
            <w:r>
              <w: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7" w:type="dxa"/>
            <w:vAlign w:val="center"/>
          </w:tcPr>
          <w:p>
            <w:pPr>
              <w:pStyle w:val="8"/>
              <w:bidi w:val="0"/>
            </w:pPr>
            <w:r>
              <w:rPr>
                <w:rFonts w:hint="eastAsia"/>
              </w:rPr>
              <w:t>结构施工</w:t>
            </w:r>
          </w:p>
        </w:tc>
        <w:tc>
          <w:tcPr>
            <w:tcW w:w="4956" w:type="dxa"/>
            <w:vAlign w:val="center"/>
          </w:tcPr>
          <w:p>
            <w:pPr>
              <w:pStyle w:val="8"/>
              <w:bidi w:val="0"/>
            </w:pPr>
            <w:r>
              <w:t>1</w:t>
            </w:r>
            <w:r>
              <w:rPr>
                <w:rFonts w:hint="eastAsia"/>
              </w:rPr>
              <w:t>、建材堆场、建材装卸、施工垃圾的清理及堆放、地面道路场尘等。</w:t>
            </w:r>
          </w:p>
          <w:p>
            <w:pPr>
              <w:pStyle w:val="8"/>
              <w:bidi w:val="0"/>
            </w:pPr>
            <w:r>
              <w:t>2</w:t>
            </w:r>
            <w:r>
              <w:rPr>
                <w:rFonts w:hint="eastAsia"/>
              </w:rPr>
              <w:t>、运输卡车</w:t>
            </w:r>
          </w:p>
        </w:tc>
        <w:tc>
          <w:tcPr>
            <w:tcW w:w="2229" w:type="dxa"/>
            <w:vAlign w:val="center"/>
          </w:tcPr>
          <w:p>
            <w:pPr>
              <w:pStyle w:val="8"/>
              <w:bidi w:val="0"/>
            </w:pPr>
            <w:r>
              <w:rPr>
                <w:rFonts w:hint="eastAsia"/>
              </w:rPr>
              <w:t>扬尘、</w:t>
            </w:r>
            <w:r>
              <w:t>NOx</w:t>
            </w:r>
            <w:r>
              <w:rPr>
                <w:rFonts w:hint="eastAsia"/>
              </w:rPr>
              <w:t>、</w:t>
            </w:r>
            <w:r>
              <w:t>CO</w:t>
            </w:r>
            <w:r>
              <w:rPr>
                <w:rFonts w:hint="eastAsia"/>
              </w:rPr>
              <w:t>、</w:t>
            </w:r>
            <w:r>
              <w:t>HC</w:t>
            </w:r>
          </w:p>
        </w:tc>
      </w:tr>
    </w:tbl>
    <w:p>
      <w:bookmarkStart w:id="190" w:name="_Toc27588"/>
      <w:bookmarkStart w:id="191" w:name="_Toc11918"/>
      <w:r>
        <w:rPr>
          <w:rFonts w:hint="eastAsia"/>
        </w:rPr>
        <w:t>在静风状态下，扬尘污染主要在道路两边扩散，随着离开路边的距离增加，浓度逐渐递减而趋向于背景值。因此，施工期产生的粉尘及车辆运输产生的扬尘主要对施工区域及运输道路附近的空气质量将产生一定的不利影响，主要影响范围为施工运输道路附近。</w:t>
      </w:r>
      <w:bookmarkEnd w:id="190"/>
      <w:bookmarkEnd w:id="191"/>
    </w:p>
    <w:p>
      <w:bookmarkStart w:id="192" w:name="_Toc17096"/>
      <w:bookmarkStart w:id="193" w:name="_Toc5693"/>
      <w:r>
        <w:rPr>
          <w:rFonts w:hint="eastAsia"/>
        </w:rPr>
        <w:t>对整个施工期而言，施工产生的扬尘主要集中在土建施工阶段。按起尘的原因可分为风力起尘和动力起尘，其中风力起尘主要是由于露天堆放的建材及裸露的施工区表层浮尘因天气干燥及大风，产生风尘扬尘；而动力起尘，主要是在建材的运输、装卸、搅拌过程中，由于外力而产生的尘粒再悬浮而造成，其中施工及装卸车辆造成的扬尘最为严重。据有关文献资料介绍，车辆行驶产生的扬尘占总扬尘的</w:t>
      </w:r>
      <w:r>
        <w:t>60%</w:t>
      </w:r>
      <w:r>
        <w:rPr>
          <w:rFonts w:hint="eastAsia"/>
        </w:rPr>
        <w:t>上。车辆行驶产生的扬尘，在完全干燥情况下，可按下列经验公式计算：</w:t>
      </w:r>
      <w:bookmarkEnd w:id="192"/>
      <w:bookmarkEnd w:id="193"/>
    </w:p>
    <w:p>
      <w:r>
        <w:rPr>
          <w:rFonts w:hint="eastAsia"/>
        </w:rPr>
        <w:object>
          <v:shape id="_x0000_i1029" o:spt="75" type="#_x0000_t75" style="height:18.5pt;width:205.5pt;" o:ole="t" filled="f" o:preferrelative="t" stroked="f" coordsize="21600,21600">
            <v:path/>
            <v:fill on="f" focussize="0,0"/>
            <v:stroke on="f" joinstyle="miter"/>
            <v:imagedata r:id="rId41" o:title=""/>
            <o:lock v:ext="edit" aspectratio="t"/>
            <w10:wrap type="none"/>
            <w10:anchorlock/>
          </v:shape>
          <o:OLEObject Type="Embed" ProgID="Equation.3" ShapeID="_x0000_i1029" DrawAspect="Content" ObjectID="_1468075731" r:id="rId40">
            <o:LockedField>false</o:LockedField>
          </o:OLEObject>
        </w:object>
      </w:r>
    </w:p>
    <w:p>
      <w:r>
        <w:rPr>
          <w:rFonts w:hint="eastAsia"/>
        </w:rPr>
        <w:t>式中：</w:t>
      </w:r>
      <w:r>
        <w:t>Q──</w:t>
      </w:r>
      <w:r>
        <w:rPr>
          <w:rFonts w:hint="eastAsia"/>
        </w:rPr>
        <w:t>汽车行驶的扬尘，</w:t>
      </w:r>
      <w:r>
        <w:t>kg/</w:t>
      </w:r>
      <w:r>
        <w:rPr>
          <w:rFonts w:hint="eastAsia"/>
        </w:rPr>
        <w:t>车</w:t>
      </w:r>
      <w:r>
        <w:t>·km</w:t>
      </w:r>
      <w:r>
        <w:rPr>
          <w:rFonts w:hint="eastAsia"/>
        </w:rPr>
        <w:t>；</w:t>
      </w:r>
    </w:p>
    <w:p>
      <w:r>
        <w:t>V──</w:t>
      </w:r>
      <w:r>
        <w:rPr>
          <w:rFonts w:hint="eastAsia"/>
        </w:rPr>
        <w:t>汽车速度，</w:t>
      </w:r>
      <w:r>
        <w:t>km/h</w:t>
      </w:r>
      <w:r>
        <w:rPr>
          <w:rFonts w:hint="eastAsia"/>
        </w:rPr>
        <w:t>；</w:t>
      </w:r>
    </w:p>
    <w:p>
      <w:r>
        <w:t>W──</w:t>
      </w:r>
      <w:r>
        <w:rPr>
          <w:rFonts w:hint="eastAsia"/>
        </w:rPr>
        <w:t>汽车载重量，</w:t>
      </w:r>
      <w:r>
        <w:t>t</w:t>
      </w:r>
      <w:r>
        <w:rPr>
          <w:rFonts w:hint="eastAsia"/>
        </w:rPr>
        <w:t>；</w:t>
      </w:r>
    </w:p>
    <w:p>
      <w:r>
        <w:t>P──</w:t>
      </w:r>
      <w:r>
        <w:rPr>
          <w:rFonts w:hint="eastAsia"/>
        </w:rPr>
        <w:t>道路表面粉尘量，</w:t>
      </w:r>
      <w:r>
        <w:t>kg/m</w:t>
      </w:r>
      <w:r>
        <w:rPr>
          <w:vertAlign w:val="superscript"/>
        </w:rPr>
        <w:t>2</w:t>
      </w:r>
      <w:r>
        <w:rPr>
          <w:rFonts w:hint="eastAsia"/>
        </w:rPr>
        <w:t>。</w:t>
      </w:r>
    </w:p>
    <w:p>
      <w:r>
        <w:rPr>
          <w:rFonts w:hint="eastAsia"/>
        </w:rPr>
        <w:t>表</w:t>
      </w:r>
      <w:r>
        <w:rPr>
          <w:rFonts w:hint="eastAsia"/>
          <w:lang w:val="en-US" w:eastAsia="zh-CN"/>
        </w:rPr>
        <w:t>4.1</w:t>
      </w:r>
      <w:r>
        <w:t>-</w:t>
      </w:r>
      <w:r>
        <w:rPr>
          <w:rFonts w:hint="eastAsia"/>
        </w:rPr>
        <w:t>2为一辆</w:t>
      </w:r>
      <w:r>
        <w:t>10</w:t>
      </w:r>
      <w:r>
        <w:rPr>
          <w:rFonts w:hint="eastAsia"/>
        </w:rPr>
        <w:t>吨卡车，通过一段长度为</w:t>
      </w:r>
      <w:r>
        <w:t>1 km</w:t>
      </w:r>
      <w:r>
        <w:rPr>
          <w:rFonts w:hint="eastAsia"/>
        </w:rPr>
        <w:t>的路面时，不同路面清洁程度，不同行驶速度情况下的扬尘量监测值。</w:t>
      </w:r>
    </w:p>
    <w:p>
      <w:pPr>
        <w:pStyle w:val="11"/>
        <w:rPr>
          <w:rFonts w:hint="default" w:eastAsiaTheme="minorEastAsia"/>
          <w:lang w:val="en-US" w:eastAsia="zh-CN"/>
        </w:rPr>
      </w:pPr>
      <w:r>
        <w:t xml:space="preserve">表4.1- </w:t>
      </w:r>
      <w:r>
        <w:fldChar w:fldCharType="begin"/>
      </w:r>
      <w:r>
        <w:instrText xml:space="preserve"> SEQ 表4.1- \* ARABIC </w:instrText>
      </w:r>
      <w:r>
        <w:fldChar w:fldCharType="separate"/>
      </w:r>
      <w:r>
        <w:t>2</w:t>
      </w:r>
      <w:r>
        <w:fldChar w:fldCharType="end"/>
      </w:r>
      <w:r>
        <w:rPr>
          <w:rFonts w:hint="eastAsia"/>
          <w:lang w:val="en-US" w:eastAsia="zh-CN"/>
        </w:rPr>
        <w:t xml:space="preserve">  </w:t>
      </w:r>
      <w:r>
        <w:rPr>
          <w:rFonts w:hint="eastAsia"/>
        </w:rPr>
        <w:t xml:space="preserve"> 不同车速和地面清洁程度的汽车扬尘监测值单位：</w:t>
      </w:r>
      <w:r>
        <w:t>kg/</w:t>
      </w:r>
      <w:r>
        <w:rPr>
          <w:rFonts w:hint="eastAsia"/>
        </w:rPr>
        <w:t>（车</w:t>
      </w:r>
      <w:r>
        <w:t>·km</w:t>
      </w:r>
      <w:r>
        <w:rPr>
          <w:rFonts w:hint="eastAsia"/>
        </w:rPr>
        <w:t>）</w:t>
      </w:r>
    </w:p>
    <w:tbl>
      <w:tblPr>
        <w:tblStyle w:val="17"/>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238"/>
        <w:gridCol w:w="1236"/>
        <w:gridCol w:w="1237"/>
        <w:gridCol w:w="1236"/>
        <w:gridCol w:w="1234"/>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25" w:type="dxa"/>
            <w:tcBorders>
              <w:tl2br w:val="single" w:color="auto" w:sz="4" w:space="0"/>
            </w:tcBorders>
            <w:vAlign w:val="center"/>
          </w:tcPr>
          <w:p>
            <w:pPr>
              <w:pStyle w:val="8"/>
              <w:bidi w:val="0"/>
            </w:pPr>
            <w:r>
              <w:t xml:space="preserve">   P</w:t>
            </w:r>
          </w:p>
          <w:p>
            <w:pPr>
              <w:pStyle w:val="8"/>
              <w:bidi w:val="0"/>
            </w:pPr>
            <w:r>
              <w:rPr>
                <w:rFonts w:hint="eastAsia"/>
              </w:rPr>
              <w:t>车速</w:t>
            </w:r>
          </w:p>
        </w:tc>
        <w:tc>
          <w:tcPr>
            <w:tcW w:w="1238" w:type="dxa"/>
            <w:vAlign w:val="center"/>
          </w:tcPr>
          <w:p>
            <w:pPr>
              <w:pStyle w:val="8"/>
              <w:bidi w:val="0"/>
            </w:pPr>
            <w:r>
              <w:t>0.1</w:t>
            </w:r>
          </w:p>
          <w:p>
            <w:pPr>
              <w:pStyle w:val="8"/>
              <w:bidi w:val="0"/>
            </w:pPr>
            <w:r>
              <w:t>(kg/m</w:t>
            </w:r>
            <w:r>
              <w:rPr>
                <w:vertAlign w:val="superscript"/>
              </w:rPr>
              <w:t>2</w:t>
            </w:r>
            <w:r>
              <w:t>)</w:t>
            </w:r>
          </w:p>
        </w:tc>
        <w:tc>
          <w:tcPr>
            <w:tcW w:w="1236" w:type="dxa"/>
            <w:vAlign w:val="center"/>
          </w:tcPr>
          <w:p>
            <w:pPr>
              <w:pStyle w:val="8"/>
              <w:bidi w:val="0"/>
            </w:pPr>
            <w:r>
              <w:t>0.2</w:t>
            </w:r>
          </w:p>
          <w:p>
            <w:pPr>
              <w:pStyle w:val="8"/>
              <w:bidi w:val="0"/>
            </w:pPr>
            <w:r>
              <w:t>(kg/m</w:t>
            </w:r>
            <w:r>
              <w:rPr>
                <w:vertAlign w:val="superscript"/>
              </w:rPr>
              <w:t>2</w:t>
            </w:r>
            <w:r>
              <w:t>)</w:t>
            </w:r>
          </w:p>
        </w:tc>
        <w:tc>
          <w:tcPr>
            <w:tcW w:w="1237" w:type="dxa"/>
            <w:vAlign w:val="center"/>
          </w:tcPr>
          <w:p>
            <w:pPr>
              <w:pStyle w:val="8"/>
              <w:bidi w:val="0"/>
            </w:pPr>
            <w:r>
              <w:t>0.3</w:t>
            </w:r>
          </w:p>
          <w:p>
            <w:pPr>
              <w:pStyle w:val="8"/>
              <w:bidi w:val="0"/>
            </w:pPr>
            <w:r>
              <w:t>(kg/m</w:t>
            </w:r>
            <w:r>
              <w:rPr>
                <w:vertAlign w:val="superscript"/>
              </w:rPr>
              <w:t>2</w:t>
            </w:r>
            <w:r>
              <w:t>)</w:t>
            </w:r>
          </w:p>
        </w:tc>
        <w:tc>
          <w:tcPr>
            <w:tcW w:w="1236" w:type="dxa"/>
            <w:vAlign w:val="center"/>
          </w:tcPr>
          <w:p>
            <w:pPr>
              <w:pStyle w:val="8"/>
              <w:bidi w:val="0"/>
            </w:pPr>
            <w:r>
              <w:t>0.4</w:t>
            </w:r>
          </w:p>
          <w:p>
            <w:pPr>
              <w:pStyle w:val="8"/>
              <w:bidi w:val="0"/>
            </w:pPr>
            <w:r>
              <w:t>(kg/m</w:t>
            </w:r>
            <w:r>
              <w:rPr>
                <w:vertAlign w:val="superscript"/>
              </w:rPr>
              <w:t>2</w:t>
            </w:r>
            <w:r>
              <w:t>)</w:t>
            </w:r>
          </w:p>
        </w:tc>
        <w:tc>
          <w:tcPr>
            <w:tcW w:w="1234" w:type="dxa"/>
            <w:vAlign w:val="center"/>
          </w:tcPr>
          <w:p>
            <w:pPr>
              <w:pStyle w:val="8"/>
              <w:bidi w:val="0"/>
            </w:pPr>
            <w:r>
              <w:t>0.5</w:t>
            </w:r>
          </w:p>
          <w:p>
            <w:pPr>
              <w:pStyle w:val="8"/>
              <w:bidi w:val="0"/>
            </w:pPr>
            <w:r>
              <w:t>(kg/m</w:t>
            </w:r>
            <w:r>
              <w:rPr>
                <w:vertAlign w:val="superscript"/>
              </w:rPr>
              <w:t>2</w:t>
            </w:r>
            <w:r>
              <w:t>)</w:t>
            </w:r>
          </w:p>
        </w:tc>
        <w:tc>
          <w:tcPr>
            <w:tcW w:w="1232" w:type="dxa"/>
            <w:vAlign w:val="center"/>
          </w:tcPr>
          <w:p>
            <w:pPr>
              <w:pStyle w:val="8"/>
              <w:bidi w:val="0"/>
            </w:pPr>
            <w:r>
              <w:t>1</w:t>
            </w:r>
          </w:p>
          <w:p>
            <w:pPr>
              <w:pStyle w:val="8"/>
              <w:bidi w:val="0"/>
            </w:pPr>
            <w:r>
              <w:t>(kg/m</w:t>
            </w:r>
            <w:r>
              <w:rPr>
                <w:vertAlign w:val="superscript"/>
              </w:rPr>
              <w:t>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25" w:type="dxa"/>
            <w:vAlign w:val="center"/>
          </w:tcPr>
          <w:p>
            <w:pPr>
              <w:pStyle w:val="8"/>
              <w:bidi w:val="0"/>
            </w:pPr>
            <w:r>
              <w:t>5(km/h)</w:t>
            </w:r>
          </w:p>
        </w:tc>
        <w:tc>
          <w:tcPr>
            <w:tcW w:w="1238" w:type="dxa"/>
            <w:vAlign w:val="center"/>
          </w:tcPr>
          <w:p>
            <w:pPr>
              <w:pStyle w:val="8"/>
              <w:bidi w:val="0"/>
            </w:pPr>
            <w:r>
              <w:t>0.051056</w:t>
            </w:r>
          </w:p>
        </w:tc>
        <w:tc>
          <w:tcPr>
            <w:tcW w:w="1236" w:type="dxa"/>
            <w:vAlign w:val="center"/>
          </w:tcPr>
          <w:p>
            <w:pPr>
              <w:pStyle w:val="8"/>
              <w:bidi w:val="0"/>
            </w:pPr>
            <w:r>
              <w:t>0.085865</w:t>
            </w:r>
          </w:p>
        </w:tc>
        <w:tc>
          <w:tcPr>
            <w:tcW w:w="1237" w:type="dxa"/>
            <w:vAlign w:val="center"/>
          </w:tcPr>
          <w:p>
            <w:pPr>
              <w:pStyle w:val="8"/>
              <w:bidi w:val="0"/>
            </w:pPr>
            <w:r>
              <w:t>0.116382</w:t>
            </w:r>
          </w:p>
        </w:tc>
        <w:tc>
          <w:tcPr>
            <w:tcW w:w="1236" w:type="dxa"/>
            <w:vAlign w:val="center"/>
          </w:tcPr>
          <w:p>
            <w:pPr>
              <w:pStyle w:val="8"/>
              <w:bidi w:val="0"/>
            </w:pPr>
            <w:r>
              <w:t>0.144408</w:t>
            </w:r>
          </w:p>
        </w:tc>
        <w:tc>
          <w:tcPr>
            <w:tcW w:w="1234" w:type="dxa"/>
            <w:vAlign w:val="center"/>
          </w:tcPr>
          <w:p>
            <w:pPr>
              <w:pStyle w:val="8"/>
              <w:bidi w:val="0"/>
            </w:pPr>
            <w:r>
              <w:t>0.170715</w:t>
            </w:r>
          </w:p>
        </w:tc>
        <w:tc>
          <w:tcPr>
            <w:tcW w:w="1232" w:type="dxa"/>
            <w:vAlign w:val="center"/>
          </w:tcPr>
          <w:p>
            <w:pPr>
              <w:pStyle w:val="8"/>
              <w:bidi w:val="0"/>
            </w:pPr>
            <w:r>
              <w:t>0.287108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25" w:type="dxa"/>
            <w:vAlign w:val="center"/>
          </w:tcPr>
          <w:p>
            <w:pPr>
              <w:pStyle w:val="8"/>
              <w:bidi w:val="0"/>
            </w:pPr>
            <w:r>
              <w:t>10(km/h)</w:t>
            </w:r>
          </w:p>
        </w:tc>
        <w:tc>
          <w:tcPr>
            <w:tcW w:w="1238" w:type="dxa"/>
            <w:vAlign w:val="center"/>
          </w:tcPr>
          <w:p>
            <w:pPr>
              <w:pStyle w:val="8"/>
              <w:bidi w:val="0"/>
            </w:pPr>
            <w:r>
              <w:t>0.102112</w:t>
            </w:r>
          </w:p>
        </w:tc>
        <w:tc>
          <w:tcPr>
            <w:tcW w:w="1236" w:type="dxa"/>
            <w:vAlign w:val="center"/>
          </w:tcPr>
          <w:p>
            <w:pPr>
              <w:pStyle w:val="8"/>
              <w:bidi w:val="0"/>
            </w:pPr>
            <w:r>
              <w:t>0.171731</w:t>
            </w:r>
          </w:p>
        </w:tc>
        <w:tc>
          <w:tcPr>
            <w:tcW w:w="1237" w:type="dxa"/>
            <w:vAlign w:val="center"/>
          </w:tcPr>
          <w:p>
            <w:pPr>
              <w:pStyle w:val="8"/>
              <w:bidi w:val="0"/>
            </w:pPr>
            <w:r>
              <w:t>0.232764</w:t>
            </w:r>
          </w:p>
        </w:tc>
        <w:tc>
          <w:tcPr>
            <w:tcW w:w="1236" w:type="dxa"/>
            <w:vAlign w:val="center"/>
          </w:tcPr>
          <w:p>
            <w:pPr>
              <w:pStyle w:val="8"/>
              <w:bidi w:val="0"/>
            </w:pPr>
            <w:r>
              <w:t>0.288815</w:t>
            </w:r>
          </w:p>
        </w:tc>
        <w:tc>
          <w:tcPr>
            <w:tcW w:w="1234" w:type="dxa"/>
            <w:vAlign w:val="center"/>
          </w:tcPr>
          <w:p>
            <w:pPr>
              <w:pStyle w:val="8"/>
              <w:bidi w:val="0"/>
            </w:pPr>
            <w:r>
              <w:t>0.341431</w:t>
            </w:r>
          </w:p>
        </w:tc>
        <w:tc>
          <w:tcPr>
            <w:tcW w:w="1232" w:type="dxa"/>
            <w:vAlign w:val="center"/>
          </w:tcPr>
          <w:p>
            <w:pPr>
              <w:pStyle w:val="8"/>
              <w:bidi w:val="0"/>
            </w:pPr>
            <w:r>
              <w:t>0.574216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25" w:type="dxa"/>
            <w:vAlign w:val="center"/>
          </w:tcPr>
          <w:p>
            <w:pPr>
              <w:pStyle w:val="8"/>
              <w:bidi w:val="0"/>
            </w:pPr>
            <w:r>
              <w:t>15(km/h)</w:t>
            </w:r>
          </w:p>
        </w:tc>
        <w:tc>
          <w:tcPr>
            <w:tcW w:w="1238" w:type="dxa"/>
            <w:vAlign w:val="center"/>
          </w:tcPr>
          <w:p>
            <w:pPr>
              <w:pStyle w:val="8"/>
              <w:bidi w:val="0"/>
            </w:pPr>
            <w:r>
              <w:t>0.153167</w:t>
            </w:r>
          </w:p>
        </w:tc>
        <w:tc>
          <w:tcPr>
            <w:tcW w:w="1236" w:type="dxa"/>
            <w:vAlign w:val="center"/>
          </w:tcPr>
          <w:p>
            <w:pPr>
              <w:pStyle w:val="8"/>
              <w:bidi w:val="0"/>
            </w:pPr>
            <w:r>
              <w:t>0.257596</w:t>
            </w:r>
          </w:p>
        </w:tc>
        <w:tc>
          <w:tcPr>
            <w:tcW w:w="1237" w:type="dxa"/>
            <w:vAlign w:val="center"/>
          </w:tcPr>
          <w:p>
            <w:pPr>
              <w:pStyle w:val="8"/>
              <w:bidi w:val="0"/>
            </w:pPr>
            <w:r>
              <w:t>0.349146</w:t>
            </w:r>
          </w:p>
        </w:tc>
        <w:tc>
          <w:tcPr>
            <w:tcW w:w="1236" w:type="dxa"/>
            <w:vAlign w:val="center"/>
          </w:tcPr>
          <w:p>
            <w:pPr>
              <w:pStyle w:val="8"/>
              <w:bidi w:val="0"/>
            </w:pPr>
            <w:r>
              <w:t>0.433223</w:t>
            </w:r>
          </w:p>
        </w:tc>
        <w:tc>
          <w:tcPr>
            <w:tcW w:w="1234" w:type="dxa"/>
            <w:vAlign w:val="center"/>
          </w:tcPr>
          <w:p>
            <w:pPr>
              <w:pStyle w:val="8"/>
              <w:bidi w:val="0"/>
            </w:pPr>
            <w:r>
              <w:t>0.512146</w:t>
            </w:r>
          </w:p>
        </w:tc>
        <w:tc>
          <w:tcPr>
            <w:tcW w:w="1232" w:type="dxa"/>
            <w:vAlign w:val="center"/>
          </w:tcPr>
          <w:p>
            <w:pPr>
              <w:pStyle w:val="8"/>
              <w:bidi w:val="0"/>
            </w:pPr>
            <w:r>
              <w:t>0.861323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325" w:type="dxa"/>
            <w:vAlign w:val="center"/>
          </w:tcPr>
          <w:p>
            <w:pPr>
              <w:pStyle w:val="8"/>
              <w:bidi w:val="0"/>
            </w:pPr>
            <w:r>
              <w:t>25(km/h)</w:t>
            </w:r>
          </w:p>
        </w:tc>
        <w:tc>
          <w:tcPr>
            <w:tcW w:w="1238" w:type="dxa"/>
            <w:vAlign w:val="center"/>
          </w:tcPr>
          <w:p>
            <w:pPr>
              <w:pStyle w:val="8"/>
              <w:bidi w:val="0"/>
            </w:pPr>
            <w:r>
              <w:t>0.255279</w:t>
            </w:r>
          </w:p>
        </w:tc>
        <w:tc>
          <w:tcPr>
            <w:tcW w:w="1236" w:type="dxa"/>
            <w:vAlign w:val="center"/>
          </w:tcPr>
          <w:p>
            <w:pPr>
              <w:pStyle w:val="8"/>
              <w:bidi w:val="0"/>
            </w:pPr>
            <w:r>
              <w:t>0.429326</w:t>
            </w:r>
          </w:p>
        </w:tc>
        <w:tc>
          <w:tcPr>
            <w:tcW w:w="1237" w:type="dxa"/>
            <w:vAlign w:val="center"/>
          </w:tcPr>
          <w:p>
            <w:pPr>
              <w:pStyle w:val="8"/>
              <w:bidi w:val="0"/>
            </w:pPr>
            <w:r>
              <w:t>0.58191</w:t>
            </w:r>
          </w:p>
        </w:tc>
        <w:tc>
          <w:tcPr>
            <w:tcW w:w="1236" w:type="dxa"/>
            <w:vAlign w:val="center"/>
          </w:tcPr>
          <w:p>
            <w:pPr>
              <w:pStyle w:val="8"/>
              <w:bidi w:val="0"/>
            </w:pPr>
            <w:r>
              <w:t>0.722038</w:t>
            </w:r>
          </w:p>
        </w:tc>
        <w:tc>
          <w:tcPr>
            <w:tcW w:w="1234" w:type="dxa"/>
            <w:vAlign w:val="center"/>
          </w:tcPr>
          <w:p>
            <w:pPr>
              <w:pStyle w:val="8"/>
              <w:bidi w:val="0"/>
            </w:pPr>
            <w:r>
              <w:t>0.853577</w:t>
            </w:r>
          </w:p>
        </w:tc>
        <w:tc>
          <w:tcPr>
            <w:tcW w:w="1232" w:type="dxa"/>
            <w:vAlign w:val="center"/>
          </w:tcPr>
          <w:p>
            <w:pPr>
              <w:pStyle w:val="8"/>
              <w:bidi w:val="0"/>
            </w:pPr>
            <w:r>
              <w:t>1.435539</w:t>
            </w:r>
          </w:p>
        </w:tc>
      </w:tr>
    </w:tbl>
    <w:p>
      <w:bookmarkStart w:id="194" w:name="_Toc26546"/>
      <w:bookmarkStart w:id="195" w:name="_Toc2318"/>
      <w:r>
        <w:rPr>
          <w:rFonts w:hint="eastAsia"/>
        </w:rPr>
        <w:t>由上表可见，在同样路面清洁程度条件下，车速越快，扬尘量越大；而在同样车速情况下，路面越脏，则扬尘量越大。因此，限速行驶及保持路面的清洁是减少汽车扬尘的有效手段。</w:t>
      </w:r>
      <w:bookmarkEnd w:id="194"/>
      <w:bookmarkEnd w:id="195"/>
      <w:bookmarkStart w:id="196" w:name="_Toc22597"/>
      <w:bookmarkStart w:id="197" w:name="_Toc4978"/>
    </w:p>
    <w:p>
      <w:r>
        <w:rPr>
          <w:rFonts w:hint="eastAsia"/>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bookmarkEnd w:id="196"/>
      <w:bookmarkEnd w:id="197"/>
    </w:p>
    <w:p>
      <w:r>
        <w:rPr>
          <w:rFonts w:hint="eastAsia"/>
        </w:rPr>
        <w:object>
          <v:shape id="_x0000_i1030" o:spt="75" type="#_x0000_t75" style="height:22pt;width:144pt;" o:ole="t" filled="f" o:preferrelative="t" stroked="f" coordsize="21600,21600">
            <v:path/>
            <v:fill on="f" focussize="0,0"/>
            <v:stroke on="f" joinstyle="miter"/>
            <v:imagedata r:id="rId43" o:title=""/>
            <o:lock v:ext="edit" aspectratio="t"/>
            <w10:wrap type="none"/>
            <w10:anchorlock/>
          </v:shape>
          <o:OLEObject Type="Embed" ProgID="Equation.3" ShapeID="_x0000_i1030" DrawAspect="Content" ObjectID="_1468075732" r:id="rId42">
            <o:LockedField>false</o:LockedField>
          </o:OLEObject>
        </w:object>
      </w:r>
    </w:p>
    <w:p>
      <w:r>
        <w:rPr>
          <w:rFonts w:hint="eastAsia"/>
        </w:rPr>
        <w:t>其中：</w:t>
      </w:r>
      <w:r>
        <w:t>Q──</w:t>
      </w:r>
      <w:r>
        <w:rPr>
          <w:rFonts w:hint="eastAsia"/>
        </w:rPr>
        <w:t>起尘量，</w:t>
      </w:r>
      <w:r>
        <w:t>kg/t·a</w:t>
      </w:r>
      <w:r>
        <w:rPr>
          <w:rFonts w:hint="eastAsia"/>
        </w:rPr>
        <w:t>；</w:t>
      </w:r>
    </w:p>
    <w:p>
      <w:r>
        <w:t>V50──</w:t>
      </w:r>
      <w:r>
        <w:rPr>
          <w:rFonts w:hint="eastAsia"/>
        </w:rPr>
        <w:t>距地面</w:t>
      </w:r>
      <w:r>
        <w:t>50 m</w:t>
      </w:r>
      <w:r>
        <w:rPr>
          <w:rFonts w:hint="eastAsia"/>
        </w:rPr>
        <w:t>处风速，</w:t>
      </w:r>
      <w:r>
        <w:t>m/s</w:t>
      </w:r>
      <w:r>
        <w:rPr>
          <w:rFonts w:hint="eastAsia"/>
        </w:rPr>
        <w:t>；</w:t>
      </w:r>
    </w:p>
    <w:p>
      <w:r>
        <w:t>V0──</w:t>
      </w:r>
      <w:r>
        <w:rPr>
          <w:rFonts w:hint="eastAsia"/>
        </w:rPr>
        <w:t>起尘风速，</w:t>
      </w:r>
      <w:r>
        <w:t>m/s</w:t>
      </w:r>
      <w:r>
        <w:rPr>
          <w:rFonts w:hint="eastAsia"/>
        </w:rPr>
        <w:t>；</w:t>
      </w:r>
    </w:p>
    <w:p>
      <w:r>
        <w:t>W──</w:t>
      </w:r>
      <w:r>
        <w:rPr>
          <w:rFonts w:hint="eastAsia"/>
        </w:rPr>
        <w:t>尘粒的含水率，</w:t>
      </w:r>
      <w:r>
        <w:t>%</w:t>
      </w:r>
      <w:r>
        <w:rPr>
          <w:rFonts w:hint="eastAsia"/>
        </w:rPr>
        <w:t>。</w:t>
      </w:r>
    </w:p>
    <w:p>
      <w:r>
        <w:t>V0</w:t>
      </w:r>
      <w:r>
        <w:rPr>
          <w:rFonts w:hint="eastAsia"/>
        </w:rPr>
        <w:t>与粒径和含水率有关。因此，减少露天堆放和保证一定的含水率及减少裸露地面是减少风力起尘的有效手段。</w:t>
      </w:r>
    </w:p>
    <w:p>
      <w:r>
        <w:rPr>
          <w:rFonts w:hint="eastAsia"/>
        </w:rPr>
        <w:t>尘粒在空气中的传播扩散情况与风速等气象条件有关，也与尘粒本身的沉降速度有关。以煤尘为例，不同粒径的尘粒的沉降速度见表</w:t>
      </w:r>
      <w:r>
        <w:rPr>
          <w:rFonts w:hint="eastAsia"/>
          <w:lang w:val="en-US" w:eastAsia="zh-CN"/>
        </w:rPr>
        <w:t>4.1</w:t>
      </w:r>
      <w:r>
        <w:t>-3</w:t>
      </w:r>
      <w:r>
        <w:rPr>
          <w:rFonts w:hint="eastAsia"/>
        </w:rPr>
        <w:t>。</w:t>
      </w:r>
    </w:p>
    <w:p>
      <w:pPr>
        <w:pStyle w:val="11"/>
        <w:rPr>
          <w:rFonts w:hint="default" w:eastAsiaTheme="minorEastAsia"/>
          <w:lang w:val="en-US" w:eastAsia="zh-CN"/>
        </w:rPr>
      </w:pPr>
      <w:r>
        <w:t xml:space="preserve">表4.1- </w:t>
      </w:r>
      <w:r>
        <w:fldChar w:fldCharType="begin"/>
      </w:r>
      <w:r>
        <w:instrText xml:space="preserve"> SEQ 表4.1- \* ARABIC </w:instrText>
      </w:r>
      <w:r>
        <w:fldChar w:fldCharType="separate"/>
      </w:r>
      <w:r>
        <w:t>3</w:t>
      </w:r>
      <w:r>
        <w:fldChar w:fldCharType="end"/>
      </w:r>
      <w:r>
        <w:rPr>
          <w:rFonts w:hint="eastAsia"/>
          <w:lang w:val="en-US" w:eastAsia="zh-CN"/>
        </w:rPr>
        <w:t xml:space="preserve">  </w:t>
      </w:r>
      <w:r>
        <w:rPr>
          <w:rFonts w:hint="eastAsia"/>
        </w:rPr>
        <w:t>不同粒径尘粒的沉降速度</w:t>
      </w:r>
    </w:p>
    <w:tbl>
      <w:tblPr>
        <w:tblStyle w:val="17"/>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946"/>
        <w:gridCol w:w="947"/>
        <w:gridCol w:w="946"/>
        <w:gridCol w:w="947"/>
        <w:gridCol w:w="946"/>
        <w:gridCol w:w="947"/>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8"/>
              <w:bidi w:val="0"/>
            </w:pPr>
            <w:r>
              <w:rPr>
                <w:rFonts w:hint="eastAsia"/>
              </w:rPr>
              <w:t>粒径，</w:t>
            </w:r>
            <w:r>
              <w:t>μm</w:t>
            </w:r>
          </w:p>
        </w:tc>
        <w:tc>
          <w:tcPr>
            <w:tcW w:w="946" w:type="dxa"/>
            <w:vAlign w:val="center"/>
          </w:tcPr>
          <w:p>
            <w:pPr>
              <w:pStyle w:val="8"/>
              <w:bidi w:val="0"/>
            </w:pPr>
            <w:r>
              <w:t>10</w:t>
            </w:r>
          </w:p>
        </w:tc>
        <w:tc>
          <w:tcPr>
            <w:tcW w:w="947" w:type="dxa"/>
            <w:vAlign w:val="center"/>
          </w:tcPr>
          <w:p>
            <w:pPr>
              <w:pStyle w:val="8"/>
              <w:bidi w:val="0"/>
            </w:pPr>
            <w:r>
              <w:t>20</w:t>
            </w:r>
          </w:p>
        </w:tc>
        <w:tc>
          <w:tcPr>
            <w:tcW w:w="946" w:type="dxa"/>
            <w:vAlign w:val="center"/>
          </w:tcPr>
          <w:p>
            <w:pPr>
              <w:pStyle w:val="8"/>
              <w:bidi w:val="0"/>
            </w:pPr>
            <w:r>
              <w:t>30</w:t>
            </w:r>
          </w:p>
        </w:tc>
        <w:tc>
          <w:tcPr>
            <w:tcW w:w="947" w:type="dxa"/>
            <w:vAlign w:val="center"/>
          </w:tcPr>
          <w:p>
            <w:pPr>
              <w:pStyle w:val="8"/>
              <w:bidi w:val="0"/>
            </w:pPr>
            <w:r>
              <w:t>40</w:t>
            </w:r>
          </w:p>
        </w:tc>
        <w:tc>
          <w:tcPr>
            <w:tcW w:w="946" w:type="dxa"/>
            <w:vAlign w:val="center"/>
          </w:tcPr>
          <w:p>
            <w:pPr>
              <w:pStyle w:val="8"/>
              <w:bidi w:val="0"/>
            </w:pPr>
            <w:r>
              <w:t>50</w:t>
            </w:r>
          </w:p>
        </w:tc>
        <w:tc>
          <w:tcPr>
            <w:tcW w:w="947" w:type="dxa"/>
            <w:vAlign w:val="center"/>
          </w:tcPr>
          <w:p>
            <w:pPr>
              <w:pStyle w:val="8"/>
              <w:bidi w:val="0"/>
            </w:pPr>
            <w:r>
              <w:t>60</w:t>
            </w:r>
          </w:p>
        </w:tc>
        <w:tc>
          <w:tcPr>
            <w:tcW w:w="939" w:type="dxa"/>
            <w:vAlign w:val="center"/>
          </w:tcPr>
          <w:p>
            <w:pPr>
              <w:pStyle w:val="8"/>
              <w:bidi w:val="0"/>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8"/>
              <w:bidi w:val="0"/>
            </w:pPr>
            <w:r>
              <w:rPr>
                <w:rFonts w:hint="eastAsia"/>
              </w:rPr>
              <w:t>沉降速度，</w:t>
            </w:r>
            <w:r>
              <w:t>m/s</w:t>
            </w:r>
          </w:p>
        </w:tc>
        <w:tc>
          <w:tcPr>
            <w:tcW w:w="946" w:type="dxa"/>
            <w:vAlign w:val="center"/>
          </w:tcPr>
          <w:p>
            <w:pPr>
              <w:pStyle w:val="8"/>
              <w:bidi w:val="0"/>
            </w:pPr>
            <w:r>
              <w:t>0.003</w:t>
            </w:r>
          </w:p>
        </w:tc>
        <w:tc>
          <w:tcPr>
            <w:tcW w:w="947" w:type="dxa"/>
            <w:vAlign w:val="center"/>
          </w:tcPr>
          <w:p>
            <w:pPr>
              <w:pStyle w:val="8"/>
              <w:bidi w:val="0"/>
            </w:pPr>
            <w:r>
              <w:t>0.012</w:t>
            </w:r>
          </w:p>
        </w:tc>
        <w:tc>
          <w:tcPr>
            <w:tcW w:w="946" w:type="dxa"/>
            <w:vAlign w:val="center"/>
          </w:tcPr>
          <w:p>
            <w:pPr>
              <w:pStyle w:val="8"/>
              <w:bidi w:val="0"/>
            </w:pPr>
            <w:r>
              <w:t>0.027</w:t>
            </w:r>
          </w:p>
        </w:tc>
        <w:tc>
          <w:tcPr>
            <w:tcW w:w="947" w:type="dxa"/>
            <w:vAlign w:val="center"/>
          </w:tcPr>
          <w:p>
            <w:pPr>
              <w:pStyle w:val="8"/>
              <w:bidi w:val="0"/>
            </w:pPr>
            <w:r>
              <w:t>0.048</w:t>
            </w:r>
          </w:p>
        </w:tc>
        <w:tc>
          <w:tcPr>
            <w:tcW w:w="946" w:type="dxa"/>
            <w:vAlign w:val="center"/>
          </w:tcPr>
          <w:p>
            <w:pPr>
              <w:pStyle w:val="8"/>
              <w:bidi w:val="0"/>
            </w:pPr>
            <w:r>
              <w:t>0.075</w:t>
            </w:r>
          </w:p>
        </w:tc>
        <w:tc>
          <w:tcPr>
            <w:tcW w:w="947" w:type="dxa"/>
            <w:vAlign w:val="center"/>
          </w:tcPr>
          <w:p>
            <w:pPr>
              <w:pStyle w:val="8"/>
              <w:bidi w:val="0"/>
            </w:pPr>
            <w:r>
              <w:t>0.108</w:t>
            </w:r>
          </w:p>
        </w:tc>
        <w:tc>
          <w:tcPr>
            <w:tcW w:w="939" w:type="dxa"/>
            <w:vAlign w:val="center"/>
          </w:tcPr>
          <w:p>
            <w:pPr>
              <w:pStyle w:val="8"/>
              <w:bidi w:val="0"/>
            </w:pPr>
            <w: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8"/>
              <w:bidi w:val="0"/>
            </w:pPr>
            <w:r>
              <w:rPr>
                <w:rFonts w:hint="eastAsia"/>
              </w:rPr>
              <w:t>粒径，</w:t>
            </w:r>
            <w:r>
              <w:t>μm</w:t>
            </w:r>
          </w:p>
        </w:tc>
        <w:tc>
          <w:tcPr>
            <w:tcW w:w="946" w:type="dxa"/>
            <w:vAlign w:val="center"/>
          </w:tcPr>
          <w:p>
            <w:pPr>
              <w:pStyle w:val="8"/>
              <w:bidi w:val="0"/>
            </w:pPr>
            <w:r>
              <w:t>80</w:t>
            </w:r>
          </w:p>
        </w:tc>
        <w:tc>
          <w:tcPr>
            <w:tcW w:w="947" w:type="dxa"/>
            <w:vAlign w:val="center"/>
          </w:tcPr>
          <w:p>
            <w:pPr>
              <w:pStyle w:val="8"/>
              <w:bidi w:val="0"/>
            </w:pPr>
            <w:r>
              <w:t>90</w:t>
            </w:r>
          </w:p>
        </w:tc>
        <w:tc>
          <w:tcPr>
            <w:tcW w:w="946" w:type="dxa"/>
            <w:vAlign w:val="center"/>
          </w:tcPr>
          <w:p>
            <w:pPr>
              <w:pStyle w:val="8"/>
              <w:bidi w:val="0"/>
            </w:pPr>
            <w:r>
              <w:t>100</w:t>
            </w:r>
          </w:p>
        </w:tc>
        <w:tc>
          <w:tcPr>
            <w:tcW w:w="947" w:type="dxa"/>
            <w:vAlign w:val="center"/>
          </w:tcPr>
          <w:p>
            <w:pPr>
              <w:pStyle w:val="8"/>
              <w:bidi w:val="0"/>
            </w:pPr>
            <w:r>
              <w:t>150</w:t>
            </w:r>
          </w:p>
        </w:tc>
        <w:tc>
          <w:tcPr>
            <w:tcW w:w="946" w:type="dxa"/>
            <w:vAlign w:val="center"/>
          </w:tcPr>
          <w:p>
            <w:pPr>
              <w:pStyle w:val="8"/>
              <w:bidi w:val="0"/>
            </w:pPr>
            <w:r>
              <w:t>200</w:t>
            </w:r>
          </w:p>
        </w:tc>
        <w:tc>
          <w:tcPr>
            <w:tcW w:w="947" w:type="dxa"/>
            <w:vAlign w:val="center"/>
          </w:tcPr>
          <w:p>
            <w:pPr>
              <w:pStyle w:val="8"/>
              <w:bidi w:val="0"/>
            </w:pPr>
            <w:r>
              <w:t>250</w:t>
            </w:r>
          </w:p>
        </w:tc>
        <w:tc>
          <w:tcPr>
            <w:tcW w:w="939" w:type="dxa"/>
            <w:vAlign w:val="center"/>
          </w:tcPr>
          <w:p>
            <w:pPr>
              <w:pStyle w:val="8"/>
              <w:bidi w:val="0"/>
            </w:pPr>
            <w: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8"/>
              <w:bidi w:val="0"/>
            </w:pPr>
            <w:r>
              <w:rPr>
                <w:rFonts w:hint="eastAsia"/>
              </w:rPr>
              <w:t>沉降速度，</w:t>
            </w:r>
            <w:r>
              <w:t>m/s</w:t>
            </w:r>
          </w:p>
        </w:tc>
        <w:tc>
          <w:tcPr>
            <w:tcW w:w="946" w:type="dxa"/>
            <w:vAlign w:val="center"/>
          </w:tcPr>
          <w:p>
            <w:pPr>
              <w:pStyle w:val="8"/>
              <w:bidi w:val="0"/>
            </w:pPr>
            <w:r>
              <w:t>0.158</w:t>
            </w:r>
          </w:p>
        </w:tc>
        <w:tc>
          <w:tcPr>
            <w:tcW w:w="947" w:type="dxa"/>
            <w:vAlign w:val="center"/>
          </w:tcPr>
          <w:p>
            <w:pPr>
              <w:pStyle w:val="8"/>
              <w:bidi w:val="0"/>
            </w:pPr>
            <w:r>
              <w:t>0.170</w:t>
            </w:r>
          </w:p>
        </w:tc>
        <w:tc>
          <w:tcPr>
            <w:tcW w:w="946" w:type="dxa"/>
            <w:vAlign w:val="center"/>
          </w:tcPr>
          <w:p>
            <w:pPr>
              <w:pStyle w:val="8"/>
              <w:bidi w:val="0"/>
            </w:pPr>
            <w:r>
              <w:t>0.182</w:t>
            </w:r>
          </w:p>
        </w:tc>
        <w:tc>
          <w:tcPr>
            <w:tcW w:w="947" w:type="dxa"/>
            <w:vAlign w:val="center"/>
          </w:tcPr>
          <w:p>
            <w:pPr>
              <w:pStyle w:val="8"/>
              <w:bidi w:val="0"/>
            </w:pPr>
            <w:r>
              <w:t>0.239</w:t>
            </w:r>
          </w:p>
        </w:tc>
        <w:tc>
          <w:tcPr>
            <w:tcW w:w="946" w:type="dxa"/>
            <w:vAlign w:val="center"/>
          </w:tcPr>
          <w:p>
            <w:pPr>
              <w:pStyle w:val="8"/>
              <w:bidi w:val="0"/>
            </w:pPr>
            <w:r>
              <w:t>0.804</w:t>
            </w:r>
          </w:p>
        </w:tc>
        <w:tc>
          <w:tcPr>
            <w:tcW w:w="947" w:type="dxa"/>
            <w:vAlign w:val="center"/>
          </w:tcPr>
          <w:p>
            <w:pPr>
              <w:pStyle w:val="8"/>
              <w:bidi w:val="0"/>
            </w:pPr>
            <w:r>
              <w:t>1.005</w:t>
            </w:r>
          </w:p>
        </w:tc>
        <w:tc>
          <w:tcPr>
            <w:tcW w:w="939" w:type="dxa"/>
            <w:vAlign w:val="center"/>
          </w:tcPr>
          <w:p>
            <w:pPr>
              <w:pStyle w:val="8"/>
              <w:bidi w:val="0"/>
            </w:pPr>
            <w: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15" w:type="dxa"/>
            <w:vAlign w:val="center"/>
          </w:tcPr>
          <w:p>
            <w:pPr>
              <w:pStyle w:val="8"/>
              <w:bidi w:val="0"/>
            </w:pPr>
            <w:r>
              <w:rPr>
                <w:rFonts w:hint="eastAsia"/>
              </w:rPr>
              <w:t>粒径，</w:t>
            </w:r>
            <w:r>
              <w:t>μm</w:t>
            </w:r>
          </w:p>
        </w:tc>
        <w:tc>
          <w:tcPr>
            <w:tcW w:w="946" w:type="dxa"/>
            <w:vAlign w:val="center"/>
          </w:tcPr>
          <w:p>
            <w:pPr>
              <w:pStyle w:val="8"/>
              <w:bidi w:val="0"/>
            </w:pPr>
            <w:r>
              <w:t>450</w:t>
            </w:r>
          </w:p>
        </w:tc>
        <w:tc>
          <w:tcPr>
            <w:tcW w:w="947" w:type="dxa"/>
            <w:vAlign w:val="center"/>
          </w:tcPr>
          <w:p>
            <w:pPr>
              <w:pStyle w:val="8"/>
              <w:bidi w:val="0"/>
            </w:pPr>
            <w:r>
              <w:t>550</w:t>
            </w:r>
          </w:p>
        </w:tc>
        <w:tc>
          <w:tcPr>
            <w:tcW w:w="946" w:type="dxa"/>
            <w:vAlign w:val="center"/>
          </w:tcPr>
          <w:p>
            <w:pPr>
              <w:pStyle w:val="8"/>
              <w:bidi w:val="0"/>
            </w:pPr>
            <w:r>
              <w:t>650</w:t>
            </w:r>
          </w:p>
        </w:tc>
        <w:tc>
          <w:tcPr>
            <w:tcW w:w="947" w:type="dxa"/>
            <w:vAlign w:val="center"/>
          </w:tcPr>
          <w:p>
            <w:pPr>
              <w:pStyle w:val="8"/>
              <w:bidi w:val="0"/>
            </w:pPr>
            <w:r>
              <w:t>750</w:t>
            </w:r>
          </w:p>
        </w:tc>
        <w:tc>
          <w:tcPr>
            <w:tcW w:w="946" w:type="dxa"/>
            <w:vAlign w:val="center"/>
          </w:tcPr>
          <w:p>
            <w:pPr>
              <w:pStyle w:val="8"/>
              <w:bidi w:val="0"/>
            </w:pPr>
            <w:r>
              <w:t>850</w:t>
            </w:r>
          </w:p>
        </w:tc>
        <w:tc>
          <w:tcPr>
            <w:tcW w:w="947" w:type="dxa"/>
            <w:vAlign w:val="center"/>
          </w:tcPr>
          <w:p>
            <w:pPr>
              <w:pStyle w:val="8"/>
              <w:bidi w:val="0"/>
            </w:pPr>
            <w:r>
              <w:t>950</w:t>
            </w:r>
          </w:p>
        </w:tc>
        <w:tc>
          <w:tcPr>
            <w:tcW w:w="939" w:type="dxa"/>
            <w:vAlign w:val="center"/>
          </w:tcPr>
          <w:p>
            <w:pPr>
              <w:pStyle w:val="8"/>
              <w:bidi w:val="0"/>
            </w:pPr>
            <w: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115" w:type="dxa"/>
            <w:vAlign w:val="center"/>
          </w:tcPr>
          <w:p>
            <w:pPr>
              <w:pStyle w:val="8"/>
              <w:bidi w:val="0"/>
            </w:pPr>
            <w:r>
              <w:rPr>
                <w:rFonts w:hint="eastAsia"/>
              </w:rPr>
              <w:t>沉降速度，</w:t>
            </w:r>
            <w:r>
              <w:t>m/s</w:t>
            </w:r>
          </w:p>
        </w:tc>
        <w:tc>
          <w:tcPr>
            <w:tcW w:w="946" w:type="dxa"/>
            <w:vAlign w:val="center"/>
          </w:tcPr>
          <w:p>
            <w:pPr>
              <w:pStyle w:val="8"/>
              <w:bidi w:val="0"/>
            </w:pPr>
            <w:r>
              <w:t>2.211</w:t>
            </w:r>
          </w:p>
        </w:tc>
        <w:tc>
          <w:tcPr>
            <w:tcW w:w="947" w:type="dxa"/>
            <w:vAlign w:val="center"/>
          </w:tcPr>
          <w:p>
            <w:pPr>
              <w:pStyle w:val="8"/>
              <w:bidi w:val="0"/>
            </w:pPr>
            <w:r>
              <w:t>2.614</w:t>
            </w:r>
          </w:p>
        </w:tc>
        <w:tc>
          <w:tcPr>
            <w:tcW w:w="946" w:type="dxa"/>
            <w:vAlign w:val="center"/>
          </w:tcPr>
          <w:p>
            <w:pPr>
              <w:pStyle w:val="8"/>
              <w:bidi w:val="0"/>
            </w:pPr>
            <w:r>
              <w:t>3.016</w:t>
            </w:r>
          </w:p>
        </w:tc>
        <w:tc>
          <w:tcPr>
            <w:tcW w:w="947" w:type="dxa"/>
            <w:vAlign w:val="center"/>
          </w:tcPr>
          <w:p>
            <w:pPr>
              <w:pStyle w:val="8"/>
              <w:bidi w:val="0"/>
            </w:pPr>
            <w:r>
              <w:t>3.418</w:t>
            </w:r>
          </w:p>
        </w:tc>
        <w:tc>
          <w:tcPr>
            <w:tcW w:w="946" w:type="dxa"/>
            <w:vAlign w:val="center"/>
          </w:tcPr>
          <w:p>
            <w:pPr>
              <w:pStyle w:val="8"/>
              <w:bidi w:val="0"/>
            </w:pPr>
            <w:r>
              <w:t>3.820</w:t>
            </w:r>
          </w:p>
        </w:tc>
        <w:tc>
          <w:tcPr>
            <w:tcW w:w="947" w:type="dxa"/>
            <w:vAlign w:val="center"/>
          </w:tcPr>
          <w:p>
            <w:pPr>
              <w:pStyle w:val="8"/>
              <w:bidi w:val="0"/>
            </w:pPr>
            <w:r>
              <w:t>4.222</w:t>
            </w:r>
          </w:p>
        </w:tc>
        <w:tc>
          <w:tcPr>
            <w:tcW w:w="939" w:type="dxa"/>
            <w:vAlign w:val="center"/>
          </w:tcPr>
          <w:p>
            <w:pPr>
              <w:pStyle w:val="8"/>
              <w:bidi w:val="0"/>
            </w:pPr>
            <w:r>
              <w:t>4.624</w:t>
            </w:r>
          </w:p>
        </w:tc>
      </w:tr>
    </w:tbl>
    <w:p>
      <w:bookmarkStart w:id="198" w:name="_Toc4366"/>
      <w:bookmarkStart w:id="199" w:name="_Toc27245"/>
      <w:r>
        <w:rPr>
          <w:rFonts w:hint="eastAsia"/>
        </w:rPr>
        <w:t>由上表可知，尘粒在空气中的传播扩散情况与风速等气象条件有关，也与尘粒本身的沉降速度有关。以沙尘土为例，其沉降速度随粒径的增大而迅速增大。当粒径为</w:t>
      </w:r>
      <w:r>
        <w:t>250</w:t>
      </w:r>
      <w:r>
        <w:rPr>
          <w:rFonts w:hint="eastAsia"/>
        </w:rPr>
        <w:t>微米时，沉降速度为</w:t>
      </w:r>
      <w:r>
        <w:t>1.005m/s</w:t>
      </w:r>
      <w:r>
        <w:rPr>
          <w:rFonts w:hint="eastAsia"/>
        </w:rPr>
        <w:t>，因此当尘粒大于</w:t>
      </w:r>
      <w:r>
        <w:t>250</w:t>
      </w:r>
      <w:r>
        <w:rPr>
          <w:rFonts w:hint="eastAsia"/>
        </w:rPr>
        <w:t>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止措施，以减少施工扬尘对周围环境的影响。</w:t>
      </w:r>
      <w:bookmarkEnd w:id="198"/>
      <w:bookmarkEnd w:id="199"/>
    </w:p>
    <w:p>
      <w:bookmarkStart w:id="200" w:name="_Toc3549"/>
      <w:bookmarkStart w:id="201" w:name="_Toc26357"/>
      <w:r>
        <w:rPr>
          <w:rFonts w:hint="eastAsia"/>
        </w:rPr>
        <w:t>按照要求，建设工程工地应在项目四周周边设置不低于</w:t>
      </w:r>
      <w:r>
        <w:t>2.1</w:t>
      </w:r>
      <w:r>
        <w:rPr>
          <w:rFonts w:hint="eastAsia"/>
        </w:rPr>
        <w:t>米的遮挡围护设施。施工道路必须硬化，工地出入口</w:t>
      </w:r>
      <w:r>
        <w:t>5</w:t>
      </w:r>
      <w:r>
        <w:rPr>
          <w:rFonts w:hint="eastAsia"/>
        </w:rPr>
        <w:t>米内应用砼硬化，出口处硬化路面不小于出口宽度，出入口内侧必须安装专用运输车辆轮胎清洗设备及相应的排水和泥浆沉淀设施，将车辆槽帮和车轮冲洗干净，并保持出入口通道以及出入口通道两侧</w:t>
      </w:r>
      <w:r>
        <w:t>50</w:t>
      </w:r>
      <w:r>
        <w:rPr>
          <w:rFonts w:hint="eastAsia"/>
        </w:rPr>
        <w:t>米道路的整洁。</w:t>
      </w:r>
      <w:bookmarkEnd w:id="200"/>
      <w:bookmarkEnd w:id="201"/>
    </w:p>
    <w:p>
      <w:bookmarkStart w:id="202" w:name="_Toc3552"/>
      <w:bookmarkStart w:id="203" w:name="_Toc295"/>
      <w:r>
        <w:rPr>
          <w:rFonts w:hint="eastAsia"/>
        </w:rPr>
        <w:t>建筑工地施工过程必须设置密目网，防止和减少建筑施工过程中物料、渣土外逸，粉尘飞扬及废弃物、杂物飘散。土堆、料堆要有遮盖或喷洒覆盖剂；装卸渣土严禁凌空抛散；要指定专人清扫工地路面；高处工程垃圾必须用容器垂直清运，严禁凌空抛撒及乱倒乱卸；禁止现场进行消化石灰、拌石灰土或其他有严重粉尘污染的作业。</w:t>
      </w:r>
      <w:bookmarkEnd w:id="202"/>
      <w:bookmarkEnd w:id="203"/>
    </w:p>
    <w:p>
      <w:bookmarkStart w:id="204" w:name="_Toc9907"/>
      <w:bookmarkStart w:id="205" w:name="_Toc1697"/>
      <w:r>
        <w:rPr>
          <w:rFonts w:hint="eastAsia"/>
        </w:rPr>
        <w:t>建筑工地扫尾阶段，房内清扫出的垃圾必须装袋清运；外架拆除必须先用水喷洒后拆除，避免粉尘飞扬。</w:t>
      </w:r>
      <w:bookmarkEnd w:id="204"/>
      <w:bookmarkEnd w:id="205"/>
    </w:p>
    <w:p>
      <w:bookmarkStart w:id="206" w:name="_Toc23829"/>
      <w:bookmarkStart w:id="207" w:name="_Toc12207"/>
      <w:r>
        <w:rPr>
          <w:rFonts w:hint="eastAsia"/>
        </w:rPr>
        <w:t>要尽可能减少运输车辆进出的出入口数量，及时清运施工弃土，不能及时清运的，必须采取覆盖措施，严禁在人行道、车行道和施工范围外堆放施工弃土。对道路施工同步通行机动车辆的临时道路必须进行硬化处理，并制定洒水清扫制度，配备洒水设备及指定专人负责洒水和清扫，每天清扫洒水频次不少于</w:t>
      </w:r>
      <w:r>
        <w:t>4</w:t>
      </w:r>
      <w:r>
        <w:rPr>
          <w:rFonts w:hint="eastAsia"/>
        </w:rPr>
        <w:t>次。</w:t>
      </w:r>
      <w:bookmarkEnd w:id="206"/>
      <w:bookmarkEnd w:id="207"/>
    </w:p>
    <w:p>
      <w:bookmarkStart w:id="208" w:name="_Toc5389"/>
      <w:bookmarkStart w:id="209" w:name="_Toc9989"/>
      <w:r>
        <w:rPr>
          <w:rFonts w:hint="eastAsia"/>
        </w:rPr>
        <w:t>严禁运输车辆在装运过程中沿途抛、洒、滴、漏。运输建筑散体物料、垃圾和工程渣土的施工运输车辆驶出施工现场时，装载的垃圾渣土高度不得超过车辆槽帮上沿。零星建筑废土逐步推行袋装转运。</w:t>
      </w:r>
      <w:bookmarkEnd w:id="208"/>
      <w:bookmarkEnd w:id="209"/>
    </w:p>
    <w:p>
      <w:bookmarkStart w:id="210" w:name="_Toc20220"/>
      <w:bookmarkStart w:id="211" w:name="_Toc17421"/>
      <w:r>
        <w:rPr>
          <w:rFonts w:hint="eastAsia"/>
        </w:rPr>
        <w:t>建设工程施工料具应当按照建设工程施工现场平面布置图确定的位置放置，水泥等易产生扬尘污染的建筑材料应当在库房内存放或严密遮盖。建设工地施工现场应当设置密闭式垃圾站用于存放施工垃圾。</w:t>
      </w:r>
      <w:bookmarkEnd w:id="210"/>
      <w:bookmarkEnd w:id="211"/>
    </w:p>
    <w:p>
      <w:bookmarkStart w:id="212" w:name="_Toc27345"/>
      <w:bookmarkStart w:id="213" w:name="_Toc16228"/>
      <w:r>
        <w:rPr>
          <w:rFonts w:hint="eastAsia"/>
        </w:rPr>
        <w:t>在风速四级以上或连续晴天</w:t>
      </w:r>
      <w:r>
        <w:t>10</w:t>
      </w:r>
      <w:r>
        <w:rPr>
          <w:rFonts w:hint="eastAsia"/>
        </w:rPr>
        <w:t>天以上等易产生扬尘的条件下，建设工程施工应尽量避免土方开挖等作业，并对施工工地采取增加洒水频次等地面保湿措施，防止扬尘飞散。</w:t>
      </w:r>
      <w:bookmarkEnd w:id="212"/>
      <w:bookmarkEnd w:id="213"/>
    </w:p>
    <w:p>
      <w:bookmarkStart w:id="214" w:name="_Toc13387"/>
      <w:bookmarkStart w:id="215" w:name="_Toc31044"/>
      <w:r>
        <w:rPr>
          <w:lang w:val="en-GB"/>
        </w:rPr>
        <w:t>（2）</w:t>
      </w:r>
      <w:r>
        <w:rPr>
          <w:rFonts w:hint="eastAsia"/>
          <w:lang w:val="en-GB"/>
        </w:rPr>
        <w:t>运输车辆及燃油机械设备尾气</w:t>
      </w:r>
    </w:p>
    <w:p>
      <w:pPr>
        <w:rPr>
          <w:lang w:val="en-GB"/>
        </w:rPr>
      </w:pPr>
      <w:r>
        <w:rPr>
          <w:rFonts w:hint="eastAsia"/>
          <w:lang w:val="en-GB"/>
        </w:rPr>
        <w:t>项目建设施工过程中，各种燃油动力机械和运输车辆产生一定量排放的废气和尾气，其产生量较小，属间断性、分散性排放，基本可不考虑其影响。</w:t>
      </w:r>
    </w:p>
    <w:p>
      <w:r>
        <w:rPr>
          <w:rFonts w:hint="eastAsia"/>
        </w:rPr>
        <w:t>综上所述，只要施工队伍严格按照上述所提措施施工，对项目周围环境影响不大。</w:t>
      </w:r>
      <w:bookmarkEnd w:id="214"/>
      <w:bookmarkEnd w:id="215"/>
    </w:p>
    <w:p>
      <w:pPr>
        <w:pStyle w:val="5"/>
        <w:bidi w:val="0"/>
      </w:pPr>
      <w:bookmarkStart w:id="216" w:name="_Toc9236"/>
      <w:bookmarkStart w:id="217" w:name="_Toc489916109"/>
      <w:bookmarkStart w:id="218" w:name="_Toc28206"/>
      <w:bookmarkStart w:id="219" w:name="_Toc487411805"/>
      <w:bookmarkStart w:id="220" w:name="_Toc2628"/>
      <w:bookmarkStart w:id="221" w:name="_Toc29379"/>
      <w:bookmarkStart w:id="222" w:name="_Toc489916034"/>
      <w:bookmarkStart w:id="223" w:name="_Toc487411730"/>
      <w:r>
        <w:rPr>
          <w:rFonts w:hint="eastAsia"/>
        </w:rPr>
        <w:t>施工期水污染影响分析</w:t>
      </w:r>
      <w:bookmarkEnd w:id="216"/>
      <w:bookmarkEnd w:id="217"/>
      <w:bookmarkEnd w:id="218"/>
      <w:bookmarkEnd w:id="219"/>
    </w:p>
    <w:p>
      <w:bookmarkStart w:id="224" w:name="_Toc31305"/>
      <w:bookmarkStart w:id="225" w:name="_Toc28467"/>
      <w:r>
        <w:rPr>
          <w:rFonts w:hint="eastAsia"/>
        </w:rPr>
        <w:t>施工期废水主要为建设施工废水和施工人员生活污水。</w:t>
      </w:r>
      <w:r>
        <w:t>建筑施工废水包括施工机械洗涤、施工现场清洗、建筑清洗、混凝土浇筑、养护、冲洗等废水，这部分污水主要污染物为SS和石油类，</w:t>
      </w:r>
      <w:r>
        <w:rPr>
          <w:rFonts w:hint="eastAsia"/>
        </w:rPr>
        <w:t>施工中应严格按照水土保持要求，</w:t>
      </w:r>
      <w:r>
        <w:t>该部分废水经隔油、沉淀池处理后，全部回用于施工场地及道路洒水抑尘。</w:t>
      </w:r>
      <w:r>
        <w:rPr>
          <w:rFonts w:hint="eastAsia"/>
        </w:rPr>
        <w:t>此外，施工机械严格检查，防止油料汇漏进入周边环境。</w:t>
      </w:r>
    </w:p>
    <w:p>
      <w:r>
        <w:t>项目施工人员均为项目周边居民，施工人员均不在场地内食宿。生活污水主要为施工人员如厕废水。</w:t>
      </w:r>
      <w:r>
        <w:rPr>
          <w:rFonts w:hint="eastAsia"/>
        </w:rPr>
        <w:t>建议建设单位应建设临时厕所、化粪池等临时生活设施，生活污水经处理后用于附近种植地施肥灌溉，不外排。</w:t>
      </w:r>
      <w:bookmarkEnd w:id="224"/>
      <w:bookmarkEnd w:id="225"/>
    </w:p>
    <w:p>
      <w:bookmarkStart w:id="226" w:name="_Toc20372"/>
      <w:bookmarkStart w:id="227" w:name="_Toc23287"/>
      <w:r>
        <w:rPr>
          <w:rFonts w:hint="eastAsia"/>
        </w:rPr>
        <w:t>因此，在落实环评提出措施的前提下，项目施工期产生的废水对地表水环境影响较小。</w:t>
      </w:r>
      <w:bookmarkEnd w:id="226"/>
      <w:bookmarkEnd w:id="227"/>
    </w:p>
    <w:p>
      <w:pPr>
        <w:pStyle w:val="5"/>
        <w:bidi w:val="0"/>
      </w:pPr>
      <w:r>
        <w:rPr>
          <w:rFonts w:hint="eastAsia"/>
        </w:rPr>
        <w:t>施工期噪声影响分析</w:t>
      </w:r>
      <w:bookmarkEnd w:id="220"/>
      <w:bookmarkEnd w:id="221"/>
      <w:bookmarkEnd w:id="222"/>
      <w:bookmarkEnd w:id="223"/>
    </w:p>
    <w:p>
      <w:bookmarkStart w:id="228" w:name="_Toc10756"/>
      <w:bookmarkStart w:id="229" w:name="_Toc15277"/>
      <w:r>
        <w:rPr>
          <w:rFonts w:hint="eastAsia"/>
        </w:rPr>
        <w:t>施工期噪声主要可分为机械噪声、施工作业噪声、施工车辆噪声。机械噪声主要有施工机械所造成，如挖土机械、打桩机械、升降机等，多为点源；施工作业噪声主要施工建设过程中的一些零星的敲打声、装卸车辆的撞击声、吆喝声等，多为瞬间噪声；施工车辆的噪声属于交通噪声。上述施工噪声中对声环境影响最大的是机械噪声。</w:t>
      </w:r>
      <w:bookmarkEnd w:id="228"/>
      <w:bookmarkEnd w:id="229"/>
    </w:p>
    <w:p>
      <w:bookmarkStart w:id="230" w:name="_Toc3507"/>
      <w:bookmarkStart w:id="231" w:name="_Toc28133"/>
      <w:r>
        <w:rPr>
          <w:rFonts w:hint="eastAsia"/>
        </w:rPr>
        <w:t>表</w:t>
      </w:r>
      <w:r>
        <w:rPr>
          <w:rFonts w:hint="eastAsia"/>
          <w:lang w:val="en-US" w:eastAsia="zh-CN"/>
        </w:rPr>
        <w:t>4.1</w:t>
      </w:r>
      <w:r>
        <w:t>-4</w:t>
      </w:r>
      <w:r>
        <w:rPr>
          <w:rFonts w:hint="eastAsia"/>
        </w:rPr>
        <w:t>为根据资料所得的不同施工机械的噪声源强。在多台机械设备同时作业时，各台设备产生的噪声会产生叠加，根据类比调查，叠加后的噪声增值约为</w:t>
      </w:r>
      <w:r>
        <w:t>3~8dB</w:t>
      </w:r>
      <w:r>
        <w:rPr>
          <w:rFonts w:hint="eastAsia"/>
        </w:rPr>
        <w:t>。在这类施工机械中，静压式打桩机和钻孔式灌注机较高，在</w:t>
      </w:r>
      <w:r>
        <w:t>80dB</w:t>
      </w:r>
      <w:r>
        <w:rPr>
          <w:rFonts w:hint="eastAsia"/>
        </w:rPr>
        <w:t>以上，且属于节奏的起伏声，很令人厌恶。</w:t>
      </w:r>
      <w:bookmarkEnd w:id="230"/>
      <w:bookmarkEnd w:id="231"/>
    </w:p>
    <w:p>
      <w:pPr>
        <w:pStyle w:val="11"/>
        <w:rPr>
          <w:rFonts w:hint="default" w:eastAsiaTheme="minorEastAsia"/>
          <w:lang w:val="en-US" w:eastAsia="zh-CN"/>
        </w:rPr>
      </w:pPr>
      <w:bookmarkStart w:id="232" w:name="_Toc21636"/>
      <w:bookmarkStart w:id="233" w:name="_Toc21514"/>
      <w:bookmarkStart w:id="234" w:name="_Toc489916035"/>
      <w:bookmarkStart w:id="235" w:name="_Toc487411731"/>
      <w:r>
        <w:t xml:space="preserve">表4.1- </w:t>
      </w:r>
      <w:r>
        <w:fldChar w:fldCharType="begin"/>
      </w:r>
      <w:r>
        <w:instrText xml:space="preserve"> SEQ 表4.1- \* ARABIC </w:instrText>
      </w:r>
      <w:r>
        <w:fldChar w:fldCharType="separate"/>
      </w:r>
      <w:r>
        <w:t>4</w:t>
      </w:r>
      <w:r>
        <w:fldChar w:fldCharType="end"/>
      </w:r>
      <w:r>
        <w:rPr>
          <w:rFonts w:hint="eastAsia"/>
          <w:lang w:val="en-US" w:eastAsia="zh-CN"/>
        </w:rPr>
        <w:t xml:space="preserve">   </w:t>
      </w:r>
      <w:r>
        <w:t xml:space="preserve"> </w:t>
      </w:r>
      <w:r>
        <w:rPr>
          <w:rFonts w:hint="eastAsia"/>
        </w:rPr>
        <w:t>主要施工机械设备的噪声声级</w:t>
      </w:r>
    </w:p>
    <w:tbl>
      <w:tblPr>
        <w:tblStyle w:val="17"/>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2185"/>
        <w:gridCol w:w="2184"/>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185" w:type="dxa"/>
            <w:vAlign w:val="center"/>
          </w:tcPr>
          <w:p>
            <w:pPr>
              <w:pStyle w:val="8"/>
              <w:bidi w:val="0"/>
            </w:pPr>
            <w:r>
              <w:t>序号</w:t>
            </w:r>
            <w:bookmarkEnd w:id="232"/>
            <w:bookmarkEnd w:id="233"/>
            <w:bookmarkEnd w:id="234"/>
            <w:bookmarkEnd w:id="235"/>
          </w:p>
        </w:tc>
        <w:tc>
          <w:tcPr>
            <w:tcW w:w="2185" w:type="dxa"/>
            <w:vAlign w:val="center"/>
          </w:tcPr>
          <w:p>
            <w:pPr>
              <w:pStyle w:val="8"/>
              <w:bidi w:val="0"/>
            </w:pPr>
            <w:bookmarkStart w:id="236" w:name="_Toc2164"/>
            <w:bookmarkStart w:id="237" w:name="_Toc487411732"/>
            <w:bookmarkStart w:id="238" w:name="_Toc10832"/>
            <w:bookmarkStart w:id="239" w:name="_Toc489916036"/>
            <w:r>
              <w:t>施工机械</w:t>
            </w:r>
            <w:bookmarkEnd w:id="236"/>
            <w:bookmarkEnd w:id="237"/>
            <w:bookmarkEnd w:id="238"/>
            <w:bookmarkEnd w:id="239"/>
          </w:p>
        </w:tc>
        <w:tc>
          <w:tcPr>
            <w:tcW w:w="2184" w:type="dxa"/>
            <w:vAlign w:val="center"/>
          </w:tcPr>
          <w:p>
            <w:pPr>
              <w:pStyle w:val="8"/>
              <w:bidi w:val="0"/>
            </w:pPr>
            <w:bookmarkStart w:id="240" w:name="_Toc489916037"/>
            <w:bookmarkStart w:id="241" w:name="_Toc30382"/>
            <w:bookmarkStart w:id="242" w:name="_Toc487411733"/>
            <w:bookmarkStart w:id="243" w:name="_Toc8767"/>
            <w:r>
              <w:t>测量声级，dB（A）</w:t>
            </w:r>
            <w:bookmarkEnd w:id="240"/>
            <w:bookmarkEnd w:id="241"/>
            <w:bookmarkEnd w:id="242"/>
            <w:bookmarkEnd w:id="243"/>
          </w:p>
        </w:tc>
        <w:tc>
          <w:tcPr>
            <w:tcW w:w="2185" w:type="dxa"/>
            <w:vAlign w:val="center"/>
          </w:tcPr>
          <w:p>
            <w:pPr>
              <w:pStyle w:val="8"/>
              <w:bidi w:val="0"/>
            </w:pPr>
            <w:bookmarkStart w:id="244" w:name="_Toc9210"/>
            <w:bookmarkStart w:id="245" w:name="_Toc489916038"/>
            <w:bookmarkStart w:id="246" w:name="_Toc487411734"/>
            <w:bookmarkStart w:id="247" w:name="_Toc26290"/>
            <w:r>
              <w:t>测量距离（m）</w:t>
            </w:r>
            <w:bookmarkEnd w:id="244"/>
            <w:bookmarkEnd w:id="245"/>
            <w:bookmarkEnd w:id="246"/>
            <w:bookmarkEnd w:id="2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8"/>
              <w:bidi w:val="0"/>
            </w:pPr>
            <w:bookmarkStart w:id="248" w:name="_Toc489916039"/>
            <w:bookmarkStart w:id="249" w:name="_Toc8606"/>
            <w:bookmarkStart w:id="250" w:name="_Toc487411735"/>
            <w:bookmarkStart w:id="251" w:name="_Toc3903"/>
            <w:r>
              <w:t>1</w:t>
            </w:r>
            <w:bookmarkEnd w:id="248"/>
            <w:bookmarkEnd w:id="249"/>
            <w:bookmarkEnd w:id="250"/>
            <w:bookmarkEnd w:id="251"/>
          </w:p>
        </w:tc>
        <w:tc>
          <w:tcPr>
            <w:tcW w:w="2185" w:type="dxa"/>
            <w:vAlign w:val="center"/>
          </w:tcPr>
          <w:p>
            <w:pPr>
              <w:pStyle w:val="8"/>
              <w:bidi w:val="0"/>
            </w:pPr>
            <w:bookmarkStart w:id="252" w:name="_Toc489916040"/>
            <w:bookmarkStart w:id="253" w:name="_Toc487411736"/>
            <w:bookmarkStart w:id="254" w:name="_Toc1023"/>
            <w:bookmarkStart w:id="255" w:name="_Toc4004"/>
            <w:r>
              <w:t>挖掘机</w:t>
            </w:r>
            <w:bookmarkEnd w:id="252"/>
            <w:bookmarkEnd w:id="253"/>
            <w:bookmarkEnd w:id="254"/>
            <w:bookmarkEnd w:id="255"/>
          </w:p>
        </w:tc>
        <w:tc>
          <w:tcPr>
            <w:tcW w:w="2184" w:type="dxa"/>
            <w:vAlign w:val="center"/>
          </w:tcPr>
          <w:p>
            <w:pPr>
              <w:pStyle w:val="8"/>
              <w:bidi w:val="0"/>
            </w:pPr>
            <w:bookmarkStart w:id="256" w:name="_Toc489916041"/>
            <w:bookmarkStart w:id="257" w:name="_Toc487411737"/>
            <w:bookmarkStart w:id="258" w:name="_Toc626"/>
            <w:bookmarkStart w:id="259" w:name="_Toc4600"/>
            <w:r>
              <w:t>79</w:t>
            </w:r>
            <w:bookmarkEnd w:id="256"/>
            <w:bookmarkEnd w:id="257"/>
            <w:bookmarkEnd w:id="258"/>
            <w:bookmarkEnd w:id="259"/>
          </w:p>
        </w:tc>
        <w:tc>
          <w:tcPr>
            <w:tcW w:w="2185" w:type="dxa"/>
            <w:vAlign w:val="center"/>
          </w:tcPr>
          <w:p>
            <w:pPr>
              <w:pStyle w:val="8"/>
              <w:bidi w:val="0"/>
            </w:pPr>
            <w:bookmarkStart w:id="260" w:name="_Toc489916042"/>
            <w:bookmarkStart w:id="261" w:name="_Toc24157"/>
            <w:bookmarkStart w:id="262" w:name="_Toc15629"/>
            <w:bookmarkStart w:id="263" w:name="_Toc487411738"/>
            <w:r>
              <w:t>15</w:t>
            </w:r>
            <w:bookmarkEnd w:id="260"/>
            <w:bookmarkEnd w:id="261"/>
            <w:bookmarkEnd w:id="262"/>
            <w:bookmarkEnd w:id="2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8"/>
              <w:bidi w:val="0"/>
            </w:pPr>
            <w:bookmarkStart w:id="264" w:name="_Toc12222"/>
            <w:bookmarkStart w:id="265" w:name="_Toc489916043"/>
            <w:bookmarkStart w:id="266" w:name="_Toc11464"/>
            <w:bookmarkStart w:id="267" w:name="_Toc487411739"/>
            <w:r>
              <w:t>2</w:t>
            </w:r>
            <w:bookmarkEnd w:id="264"/>
            <w:bookmarkEnd w:id="265"/>
            <w:bookmarkEnd w:id="266"/>
            <w:bookmarkEnd w:id="267"/>
          </w:p>
        </w:tc>
        <w:tc>
          <w:tcPr>
            <w:tcW w:w="2185" w:type="dxa"/>
            <w:vAlign w:val="center"/>
          </w:tcPr>
          <w:p>
            <w:pPr>
              <w:pStyle w:val="8"/>
              <w:bidi w:val="0"/>
            </w:pPr>
            <w:bookmarkStart w:id="268" w:name="_Toc489916044"/>
            <w:bookmarkStart w:id="269" w:name="_Toc25357"/>
            <w:bookmarkStart w:id="270" w:name="_Toc23918"/>
            <w:bookmarkStart w:id="271" w:name="_Toc487411740"/>
            <w:r>
              <w:t>压路机</w:t>
            </w:r>
            <w:bookmarkEnd w:id="268"/>
            <w:bookmarkEnd w:id="269"/>
            <w:bookmarkEnd w:id="270"/>
            <w:bookmarkEnd w:id="271"/>
          </w:p>
        </w:tc>
        <w:tc>
          <w:tcPr>
            <w:tcW w:w="2184" w:type="dxa"/>
            <w:vAlign w:val="center"/>
          </w:tcPr>
          <w:p>
            <w:pPr>
              <w:pStyle w:val="8"/>
              <w:bidi w:val="0"/>
            </w:pPr>
            <w:bookmarkStart w:id="272" w:name="_Toc487411741"/>
            <w:bookmarkStart w:id="273" w:name="_Toc489916045"/>
            <w:bookmarkStart w:id="274" w:name="_Toc28795"/>
            <w:bookmarkStart w:id="275" w:name="_Toc12656"/>
            <w:r>
              <w:t>73</w:t>
            </w:r>
            <w:bookmarkEnd w:id="272"/>
            <w:bookmarkEnd w:id="273"/>
            <w:bookmarkEnd w:id="274"/>
            <w:bookmarkEnd w:id="275"/>
          </w:p>
        </w:tc>
        <w:tc>
          <w:tcPr>
            <w:tcW w:w="2185" w:type="dxa"/>
            <w:vAlign w:val="center"/>
          </w:tcPr>
          <w:p>
            <w:pPr>
              <w:pStyle w:val="8"/>
              <w:bidi w:val="0"/>
            </w:pPr>
            <w:bookmarkStart w:id="276" w:name="_Toc489916046"/>
            <w:bookmarkStart w:id="277" w:name="_Toc7757"/>
            <w:bookmarkStart w:id="278" w:name="_Toc11781"/>
            <w:bookmarkStart w:id="279" w:name="_Toc487411742"/>
            <w:r>
              <w:t>10</w:t>
            </w:r>
            <w:bookmarkEnd w:id="276"/>
            <w:bookmarkEnd w:id="277"/>
            <w:bookmarkEnd w:id="278"/>
            <w:bookmarkEnd w:id="2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8"/>
              <w:bidi w:val="0"/>
            </w:pPr>
            <w:bookmarkStart w:id="280" w:name="_Toc487411743"/>
            <w:bookmarkStart w:id="281" w:name="_Toc489916047"/>
            <w:bookmarkStart w:id="282" w:name="_Toc24312"/>
            <w:bookmarkStart w:id="283" w:name="_Toc7704"/>
            <w:r>
              <w:t>3</w:t>
            </w:r>
            <w:bookmarkEnd w:id="280"/>
            <w:bookmarkEnd w:id="281"/>
            <w:bookmarkEnd w:id="282"/>
            <w:bookmarkEnd w:id="283"/>
          </w:p>
        </w:tc>
        <w:tc>
          <w:tcPr>
            <w:tcW w:w="2185" w:type="dxa"/>
            <w:vAlign w:val="center"/>
          </w:tcPr>
          <w:p>
            <w:pPr>
              <w:pStyle w:val="8"/>
              <w:bidi w:val="0"/>
            </w:pPr>
            <w:bookmarkStart w:id="284" w:name="_Toc32308"/>
            <w:bookmarkStart w:id="285" w:name="_Toc2145"/>
            <w:bookmarkStart w:id="286" w:name="_Toc487411744"/>
            <w:bookmarkStart w:id="287" w:name="_Toc489916048"/>
            <w:r>
              <w:t>铲土机</w:t>
            </w:r>
            <w:bookmarkEnd w:id="284"/>
            <w:bookmarkEnd w:id="285"/>
            <w:bookmarkEnd w:id="286"/>
            <w:bookmarkEnd w:id="287"/>
          </w:p>
        </w:tc>
        <w:tc>
          <w:tcPr>
            <w:tcW w:w="2184" w:type="dxa"/>
            <w:vAlign w:val="center"/>
          </w:tcPr>
          <w:p>
            <w:pPr>
              <w:pStyle w:val="8"/>
              <w:bidi w:val="0"/>
            </w:pPr>
            <w:bookmarkStart w:id="288" w:name="_Toc22451"/>
            <w:bookmarkStart w:id="289" w:name="_Toc489916049"/>
            <w:bookmarkStart w:id="290" w:name="_Toc15419"/>
            <w:bookmarkStart w:id="291" w:name="_Toc487411745"/>
            <w:r>
              <w:t>75</w:t>
            </w:r>
            <w:bookmarkEnd w:id="288"/>
            <w:bookmarkEnd w:id="289"/>
            <w:bookmarkEnd w:id="290"/>
            <w:bookmarkEnd w:id="291"/>
          </w:p>
        </w:tc>
        <w:tc>
          <w:tcPr>
            <w:tcW w:w="2185" w:type="dxa"/>
            <w:vAlign w:val="center"/>
          </w:tcPr>
          <w:p>
            <w:pPr>
              <w:pStyle w:val="8"/>
              <w:bidi w:val="0"/>
            </w:pPr>
            <w:bookmarkStart w:id="292" w:name="_Toc489916050"/>
            <w:bookmarkStart w:id="293" w:name="_Toc32081"/>
            <w:bookmarkStart w:id="294" w:name="_Toc31096"/>
            <w:bookmarkStart w:id="295" w:name="_Toc487411746"/>
            <w:r>
              <w:t>15</w:t>
            </w:r>
            <w:bookmarkEnd w:id="292"/>
            <w:bookmarkEnd w:id="293"/>
            <w:bookmarkEnd w:id="294"/>
            <w:bookmarkEnd w:id="2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8"/>
              <w:bidi w:val="0"/>
            </w:pPr>
            <w:bookmarkStart w:id="296" w:name="_Toc25749"/>
            <w:bookmarkStart w:id="297" w:name="_Toc12057"/>
            <w:bookmarkStart w:id="298" w:name="_Toc487411747"/>
            <w:bookmarkStart w:id="299" w:name="_Toc489916051"/>
            <w:r>
              <w:t>4</w:t>
            </w:r>
            <w:bookmarkEnd w:id="296"/>
            <w:bookmarkEnd w:id="297"/>
            <w:bookmarkEnd w:id="298"/>
            <w:bookmarkEnd w:id="299"/>
          </w:p>
        </w:tc>
        <w:tc>
          <w:tcPr>
            <w:tcW w:w="2185" w:type="dxa"/>
            <w:vAlign w:val="center"/>
          </w:tcPr>
          <w:p>
            <w:pPr>
              <w:pStyle w:val="8"/>
              <w:bidi w:val="0"/>
            </w:pPr>
            <w:bookmarkStart w:id="300" w:name="_Toc29490"/>
            <w:bookmarkStart w:id="301" w:name="_Toc489916052"/>
            <w:bookmarkStart w:id="302" w:name="_Toc487411748"/>
            <w:bookmarkStart w:id="303" w:name="_Toc18181"/>
            <w:r>
              <w:t>卡车</w:t>
            </w:r>
            <w:bookmarkEnd w:id="300"/>
            <w:bookmarkEnd w:id="301"/>
            <w:bookmarkEnd w:id="302"/>
            <w:bookmarkEnd w:id="303"/>
          </w:p>
        </w:tc>
        <w:tc>
          <w:tcPr>
            <w:tcW w:w="2184" w:type="dxa"/>
            <w:vAlign w:val="center"/>
          </w:tcPr>
          <w:p>
            <w:pPr>
              <w:pStyle w:val="8"/>
              <w:bidi w:val="0"/>
            </w:pPr>
            <w:bookmarkStart w:id="304" w:name="_Toc487411749"/>
            <w:bookmarkStart w:id="305" w:name="_Toc489916053"/>
            <w:bookmarkStart w:id="306" w:name="_Toc30690"/>
            <w:bookmarkStart w:id="307" w:name="_Toc28203"/>
            <w:r>
              <w:t>70</w:t>
            </w:r>
            <w:bookmarkEnd w:id="304"/>
            <w:bookmarkEnd w:id="305"/>
            <w:bookmarkEnd w:id="306"/>
            <w:bookmarkEnd w:id="307"/>
          </w:p>
        </w:tc>
        <w:tc>
          <w:tcPr>
            <w:tcW w:w="2185" w:type="dxa"/>
            <w:vAlign w:val="center"/>
          </w:tcPr>
          <w:p>
            <w:pPr>
              <w:pStyle w:val="8"/>
              <w:bidi w:val="0"/>
            </w:pPr>
            <w:bookmarkStart w:id="308" w:name="_Toc1222"/>
            <w:bookmarkStart w:id="309" w:name="_Toc487411750"/>
            <w:bookmarkStart w:id="310" w:name="_Toc489916054"/>
            <w:bookmarkStart w:id="311" w:name="_Toc14877"/>
            <w:r>
              <w:t>15</w:t>
            </w:r>
            <w:bookmarkEnd w:id="308"/>
            <w:bookmarkEnd w:id="309"/>
            <w:bookmarkEnd w:id="310"/>
            <w:bookmarkEnd w:id="3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8"/>
              <w:bidi w:val="0"/>
            </w:pPr>
            <w:bookmarkStart w:id="312" w:name="_Toc489916055"/>
            <w:bookmarkStart w:id="313" w:name="_Toc487411751"/>
            <w:bookmarkStart w:id="314" w:name="_Toc30356"/>
            <w:bookmarkStart w:id="315" w:name="_Toc30953"/>
            <w:r>
              <w:t>5</w:t>
            </w:r>
            <w:bookmarkEnd w:id="312"/>
            <w:bookmarkEnd w:id="313"/>
            <w:bookmarkEnd w:id="314"/>
            <w:bookmarkEnd w:id="315"/>
          </w:p>
        </w:tc>
        <w:tc>
          <w:tcPr>
            <w:tcW w:w="2185" w:type="dxa"/>
            <w:vAlign w:val="center"/>
          </w:tcPr>
          <w:p>
            <w:pPr>
              <w:pStyle w:val="8"/>
              <w:bidi w:val="0"/>
            </w:pPr>
            <w:bookmarkStart w:id="316" w:name="_Toc487411752"/>
            <w:bookmarkStart w:id="317" w:name="_Toc489916056"/>
            <w:bookmarkStart w:id="318" w:name="_Toc24632"/>
            <w:bookmarkStart w:id="319" w:name="_Toc23481"/>
            <w:r>
              <w:t>钻孔式灌注桩机</w:t>
            </w:r>
            <w:bookmarkEnd w:id="316"/>
            <w:bookmarkEnd w:id="317"/>
            <w:bookmarkEnd w:id="318"/>
            <w:bookmarkEnd w:id="319"/>
          </w:p>
        </w:tc>
        <w:tc>
          <w:tcPr>
            <w:tcW w:w="2184" w:type="dxa"/>
            <w:vAlign w:val="center"/>
          </w:tcPr>
          <w:p>
            <w:pPr>
              <w:pStyle w:val="8"/>
              <w:bidi w:val="0"/>
            </w:pPr>
            <w:bookmarkStart w:id="320" w:name="_Toc10827"/>
            <w:bookmarkStart w:id="321" w:name="_Toc489916057"/>
            <w:bookmarkStart w:id="322" w:name="_Toc25253"/>
            <w:bookmarkStart w:id="323" w:name="_Toc487411753"/>
            <w:r>
              <w:t>81</w:t>
            </w:r>
            <w:bookmarkEnd w:id="320"/>
            <w:bookmarkEnd w:id="321"/>
            <w:bookmarkEnd w:id="322"/>
            <w:bookmarkEnd w:id="323"/>
          </w:p>
        </w:tc>
        <w:tc>
          <w:tcPr>
            <w:tcW w:w="2185" w:type="dxa"/>
            <w:vAlign w:val="center"/>
          </w:tcPr>
          <w:p>
            <w:pPr>
              <w:pStyle w:val="8"/>
              <w:bidi w:val="0"/>
            </w:pPr>
            <w:bookmarkStart w:id="324" w:name="_Toc31620"/>
            <w:bookmarkStart w:id="325" w:name="_Toc487411754"/>
            <w:bookmarkStart w:id="326" w:name="_Toc489916058"/>
            <w:bookmarkStart w:id="327" w:name="_Toc2050"/>
            <w:r>
              <w:t>15</w:t>
            </w:r>
            <w:bookmarkEnd w:id="324"/>
            <w:bookmarkEnd w:id="325"/>
            <w:bookmarkEnd w:id="326"/>
            <w:bookmarkEnd w:id="3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85" w:type="dxa"/>
            <w:vAlign w:val="center"/>
          </w:tcPr>
          <w:p>
            <w:pPr>
              <w:pStyle w:val="8"/>
              <w:bidi w:val="0"/>
            </w:pPr>
            <w:bookmarkStart w:id="328" w:name="_Toc487411755"/>
            <w:bookmarkStart w:id="329" w:name="_Toc489916059"/>
            <w:bookmarkStart w:id="330" w:name="_Toc27714"/>
            <w:bookmarkStart w:id="331" w:name="_Toc20720"/>
            <w:r>
              <w:t>6</w:t>
            </w:r>
            <w:bookmarkEnd w:id="328"/>
            <w:bookmarkEnd w:id="329"/>
            <w:bookmarkEnd w:id="330"/>
            <w:bookmarkEnd w:id="331"/>
          </w:p>
        </w:tc>
        <w:tc>
          <w:tcPr>
            <w:tcW w:w="2185" w:type="dxa"/>
            <w:vAlign w:val="center"/>
          </w:tcPr>
          <w:p>
            <w:pPr>
              <w:pStyle w:val="8"/>
              <w:bidi w:val="0"/>
            </w:pPr>
            <w:bookmarkStart w:id="332" w:name="_Toc23357"/>
            <w:bookmarkStart w:id="333" w:name="_Toc489916060"/>
            <w:bookmarkStart w:id="334" w:name="_Toc487411756"/>
            <w:bookmarkStart w:id="335" w:name="_Toc20033"/>
            <w:r>
              <w:t>静压式打桩机</w:t>
            </w:r>
            <w:bookmarkEnd w:id="332"/>
            <w:bookmarkEnd w:id="333"/>
            <w:bookmarkEnd w:id="334"/>
            <w:bookmarkEnd w:id="335"/>
          </w:p>
        </w:tc>
        <w:tc>
          <w:tcPr>
            <w:tcW w:w="2184" w:type="dxa"/>
            <w:vAlign w:val="center"/>
          </w:tcPr>
          <w:p>
            <w:pPr>
              <w:pStyle w:val="8"/>
              <w:bidi w:val="0"/>
            </w:pPr>
            <w:bookmarkStart w:id="336" w:name="_Toc487411757"/>
            <w:bookmarkStart w:id="337" w:name="_Toc1135"/>
            <w:bookmarkStart w:id="338" w:name="_Toc16219"/>
            <w:bookmarkStart w:id="339" w:name="_Toc489916061"/>
            <w:r>
              <w:t>80</w:t>
            </w:r>
            <w:bookmarkEnd w:id="336"/>
            <w:bookmarkEnd w:id="337"/>
            <w:bookmarkEnd w:id="338"/>
            <w:bookmarkEnd w:id="339"/>
          </w:p>
        </w:tc>
        <w:tc>
          <w:tcPr>
            <w:tcW w:w="2185" w:type="dxa"/>
            <w:vAlign w:val="center"/>
          </w:tcPr>
          <w:p>
            <w:pPr>
              <w:pStyle w:val="8"/>
              <w:bidi w:val="0"/>
            </w:pPr>
            <w:bookmarkStart w:id="340" w:name="_Toc25025"/>
            <w:bookmarkStart w:id="341" w:name="_Toc487411758"/>
            <w:bookmarkStart w:id="342" w:name="_Toc29749"/>
            <w:bookmarkStart w:id="343" w:name="_Toc489916062"/>
            <w:r>
              <w:t>15</w:t>
            </w:r>
            <w:bookmarkEnd w:id="340"/>
            <w:bookmarkEnd w:id="341"/>
            <w:bookmarkEnd w:id="342"/>
            <w:bookmarkEnd w:id="3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85" w:type="dxa"/>
            <w:vAlign w:val="center"/>
          </w:tcPr>
          <w:p>
            <w:pPr>
              <w:pStyle w:val="8"/>
              <w:bidi w:val="0"/>
            </w:pPr>
            <w:bookmarkStart w:id="344" w:name="_Toc10365"/>
            <w:bookmarkStart w:id="345" w:name="_Toc22494"/>
            <w:bookmarkStart w:id="346" w:name="_Toc489916063"/>
            <w:bookmarkStart w:id="347" w:name="_Toc487411759"/>
            <w:r>
              <w:t>7</w:t>
            </w:r>
            <w:bookmarkEnd w:id="344"/>
            <w:bookmarkEnd w:id="345"/>
            <w:bookmarkEnd w:id="346"/>
            <w:bookmarkEnd w:id="347"/>
          </w:p>
        </w:tc>
        <w:tc>
          <w:tcPr>
            <w:tcW w:w="2185" w:type="dxa"/>
            <w:vAlign w:val="center"/>
          </w:tcPr>
          <w:p>
            <w:pPr>
              <w:pStyle w:val="8"/>
              <w:bidi w:val="0"/>
            </w:pPr>
            <w:bookmarkStart w:id="348" w:name="_Toc5668"/>
            <w:bookmarkStart w:id="349" w:name="_Toc489916064"/>
            <w:bookmarkStart w:id="350" w:name="_Toc15345"/>
            <w:bookmarkStart w:id="351" w:name="_Toc487411760"/>
            <w:r>
              <w:t>升降机</w:t>
            </w:r>
            <w:bookmarkEnd w:id="348"/>
            <w:bookmarkEnd w:id="349"/>
            <w:bookmarkEnd w:id="350"/>
            <w:bookmarkEnd w:id="351"/>
          </w:p>
        </w:tc>
        <w:tc>
          <w:tcPr>
            <w:tcW w:w="2184" w:type="dxa"/>
            <w:vAlign w:val="center"/>
          </w:tcPr>
          <w:p>
            <w:pPr>
              <w:pStyle w:val="8"/>
              <w:bidi w:val="0"/>
            </w:pPr>
            <w:bookmarkStart w:id="352" w:name="_Toc13902"/>
            <w:bookmarkStart w:id="353" w:name="_Toc489916065"/>
            <w:bookmarkStart w:id="354" w:name="_Toc487411761"/>
            <w:bookmarkStart w:id="355" w:name="_Toc22788"/>
            <w:r>
              <w:t>72</w:t>
            </w:r>
            <w:bookmarkEnd w:id="352"/>
            <w:bookmarkEnd w:id="353"/>
            <w:bookmarkEnd w:id="354"/>
            <w:bookmarkEnd w:id="355"/>
          </w:p>
        </w:tc>
        <w:tc>
          <w:tcPr>
            <w:tcW w:w="2185" w:type="dxa"/>
            <w:vAlign w:val="center"/>
          </w:tcPr>
          <w:p>
            <w:pPr>
              <w:pStyle w:val="8"/>
              <w:bidi w:val="0"/>
            </w:pPr>
            <w:bookmarkStart w:id="356" w:name="_Toc487411762"/>
            <w:bookmarkStart w:id="357" w:name="_Toc489916066"/>
            <w:bookmarkStart w:id="358" w:name="_Toc11007"/>
            <w:bookmarkStart w:id="359" w:name="_Toc9720"/>
            <w:r>
              <w:t>15</w:t>
            </w:r>
            <w:bookmarkEnd w:id="356"/>
            <w:bookmarkEnd w:id="357"/>
            <w:bookmarkEnd w:id="358"/>
            <w:bookmarkEnd w:id="359"/>
          </w:p>
        </w:tc>
      </w:tr>
    </w:tbl>
    <w:p>
      <w:bookmarkStart w:id="360" w:name="_Toc16009"/>
      <w:bookmarkStart w:id="361" w:name="_Toc18366"/>
      <w:r>
        <w:t>这些设备经基础减震处理后正常运行情况下的声级值在65~85dB(A)之间。根据上式，评价以施工最大噪声值85dB(A)计算施工噪声影响范围，估算出主要施工机械噪声随距离的衰减结果如下：</w:t>
      </w:r>
    </w:p>
    <w:p>
      <w:pPr>
        <w:pStyle w:val="11"/>
        <w:rPr>
          <w:rFonts w:hint="default" w:eastAsiaTheme="minorEastAsia"/>
          <w:lang w:val="en-US" w:eastAsia="zh-CN"/>
        </w:rPr>
      </w:pPr>
      <w:r>
        <w:t xml:space="preserve">表4.1- </w:t>
      </w:r>
      <w:r>
        <w:fldChar w:fldCharType="begin"/>
      </w:r>
      <w:r>
        <w:instrText xml:space="preserve"> SEQ 表4.1- \* ARABIC </w:instrText>
      </w:r>
      <w:r>
        <w:fldChar w:fldCharType="separate"/>
      </w:r>
      <w:r>
        <w:t>5</w:t>
      </w:r>
      <w:r>
        <w:fldChar w:fldCharType="end"/>
      </w:r>
      <w:r>
        <w:rPr>
          <w:rFonts w:hint="eastAsia"/>
          <w:lang w:val="en-US" w:eastAsia="zh-CN"/>
        </w:rPr>
        <w:t xml:space="preserve">  </w:t>
      </w:r>
      <w:r>
        <w:t>施工机械在不同距离处的噪声预测值单位：dB(A)</w:t>
      </w:r>
    </w:p>
    <w:tbl>
      <w:tblPr>
        <w:tblStyle w:val="17"/>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694"/>
        <w:gridCol w:w="797"/>
        <w:gridCol w:w="798"/>
        <w:gridCol w:w="797"/>
        <w:gridCol w:w="797"/>
        <w:gridCol w:w="799"/>
        <w:gridCol w:w="798"/>
        <w:gridCol w:w="798"/>
        <w:gridCol w:w="798"/>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37" w:type="dxa"/>
            <w:vAlign w:val="center"/>
          </w:tcPr>
          <w:p>
            <w:pPr>
              <w:pStyle w:val="8"/>
              <w:bidi w:val="0"/>
            </w:pPr>
            <w:r>
              <w:t>预测点</w:t>
            </w:r>
          </w:p>
        </w:tc>
        <w:tc>
          <w:tcPr>
            <w:tcW w:w="694" w:type="dxa"/>
            <w:vAlign w:val="center"/>
          </w:tcPr>
          <w:p>
            <w:pPr>
              <w:pStyle w:val="8"/>
              <w:bidi w:val="0"/>
            </w:pPr>
            <w:r>
              <w:t>5m</w:t>
            </w:r>
          </w:p>
        </w:tc>
        <w:tc>
          <w:tcPr>
            <w:tcW w:w="797" w:type="dxa"/>
            <w:vAlign w:val="center"/>
          </w:tcPr>
          <w:p>
            <w:pPr>
              <w:pStyle w:val="8"/>
              <w:bidi w:val="0"/>
            </w:pPr>
            <w:r>
              <w:t>10m</w:t>
            </w:r>
          </w:p>
        </w:tc>
        <w:tc>
          <w:tcPr>
            <w:tcW w:w="798" w:type="dxa"/>
            <w:vAlign w:val="center"/>
          </w:tcPr>
          <w:p>
            <w:pPr>
              <w:pStyle w:val="8"/>
              <w:bidi w:val="0"/>
            </w:pPr>
            <w:r>
              <w:t>20m</w:t>
            </w:r>
          </w:p>
        </w:tc>
        <w:tc>
          <w:tcPr>
            <w:tcW w:w="797" w:type="dxa"/>
            <w:vAlign w:val="center"/>
          </w:tcPr>
          <w:p>
            <w:pPr>
              <w:pStyle w:val="8"/>
              <w:bidi w:val="0"/>
            </w:pPr>
            <w:r>
              <w:t>30m</w:t>
            </w:r>
          </w:p>
        </w:tc>
        <w:tc>
          <w:tcPr>
            <w:tcW w:w="797" w:type="dxa"/>
            <w:vAlign w:val="center"/>
          </w:tcPr>
          <w:p>
            <w:pPr>
              <w:pStyle w:val="8"/>
              <w:bidi w:val="0"/>
            </w:pPr>
            <w:r>
              <w:t>50 m</w:t>
            </w:r>
          </w:p>
        </w:tc>
        <w:tc>
          <w:tcPr>
            <w:tcW w:w="799" w:type="dxa"/>
            <w:vAlign w:val="center"/>
          </w:tcPr>
          <w:p>
            <w:pPr>
              <w:pStyle w:val="8"/>
              <w:bidi w:val="0"/>
            </w:pPr>
            <w:r>
              <w:t>80 m</w:t>
            </w:r>
          </w:p>
        </w:tc>
        <w:tc>
          <w:tcPr>
            <w:tcW w:w="798" w:type="dxa"/>
            <w:vAlign w:val="center"/>
          </w:tcPr>
          <w:p>
            <w:pPr>
              <w:pStyle w:val="8"/>
              <w:bidi w:val="0"/>
            </w:pPr>
            <w:r>
              <w:t>100 m</w:t>
            </w:r>
          </w:p>
        </w:tc>
        <w:tc>
          <w:tcPr>
            <w:tcW w:w="798" w:type="dxa"/>
            <w:vAlign w:val="center"/>
          </w:tcPr>
          <w:p>
            <w:pPr>
              <w:pStyle w:val="8"/>
              <w:bidi w:val="0"/>
            </w:pPr>
            <w:r>
              <w:t>120 m</w:t>
            </w:r>
          </w:p>
        </w:tc>
        <w:tc>
          <w:tcPr>
            <w:tcW w:w="798" w:type="dxa"/>
            <w:vAlign w:val="center"/>
          </w:tcPr>
          <w:p>
            <w:pPr>
              <w:pStyle w:val="8"/>
              <w:bidi w:val="0"/>
            </w:pPr>
            <w:r>
              <w:t>150 m</w:t>
            </w:r>
          </w:p>
        </w:tc>
        <w:tc>
          <w:tcPr>
            <w:tcW w:w="718" w:type="dxa"/>
            <w:vAlign w:val="center"/>
          </w:tcPr>
          <w:p>
            <w:pPr>
              <w:pStyle w:val="8"/>
              <w:bidi w:val="0"/>
            </w:pPr>
            <w: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37" w:type="dxa"/>
            <w:vAlign w:val="center"/>
          </w:tcPr>
          <w:p>
            <w:pPr>
              <w:pStyle w:val="8"/>
              <w:bidi w:val="0"/>
            </w:pPr>
            <w:r>
              <w:t>预测值</w:t>
            </w:r>
          </w:p>
        </w:tc>
        <w:tc>
          <w:tcPr>
            <w:tcW w:w="694" w:type="dxa"/>
            <w:vAlign w:val="center"/>
          </w:tcPr>
          <w:p>
            <w:pPr>
              <w:pStyle w:val="8"/>
              <w:bidi w:val="0"/>
            </w:pPr>
            <w:r>
              <w:t>71.0</w:t>
            </w:r>
          </w:p>
        </w:tc>
        <w:tc>
          <w:tcPr>
            <w:tcW w:w="797" w:type="dxa"/>
            <w:vAlign w:val="center"/>
          </w:tcPr>
          <w:p>
            <w:pPr>
              <w:pStyle w:val="8"/>
              <w:bidi w:val="0"/>
            </w:pPr>
            <w:r>
              <w:t>65.0</w:t>
            </w:r>
          </w:p>
        </w:tc>
        <w:tc>
          <w:tcPr>
            <w:tcW w:w="798" w:type="dxa"/>
            <w:vAlign w:val="center"/>
          </w:tcPr>
          <w:p>
            <w:pPr>
              <w:pStyle w:val="8"/>
              <w:bidi w:val="0"/>
            </w:pPr>
            <w:r>
              <w:t>59.0</w:t>
            </w:r>
          </w:p>
        </w:tc>
        <w:tc>
          <w:tcPr>
            <w:tcW w:w="797" w:type="dxa"/>
            <w:vAlign w:val="center"/>
          </w:tcPr>
          <w:p>
            <w:pPr>
              <w:pStyle w:val="8"/>
              <w:bidi w:val="0"/>
            </w:pPr>
            <w:r>
              <w:t>55.5</w:t>
            </w:r>
          </w:p>
        </w:tc>
        <w:tc>
          <w:tcPr>
            <w:tcW w:w="797" w:type="dxa"/>
            <w:vAlign w:val="center"/>
          </w:tcPr>
          <w:p>
            <w:pPr>
              <w:pStyle w:val="8"/>
              <w:bidi w:val="0"/>
            </w:pPr>
            <w:r>
              <w:t>51.0</w:t>
            </w:r>
          </w:p>
        </w:tc>
        <w:tc>
          <w:tcPr>
            <w:tcW w:w="799" w:type="dxa"/>
            <w:vAlign w:val="center"/>
          </w:tcPr>
          <w:p>
            <w:pPr>
              <w:pStyle w:val="8"/>
              <w:bidi w:val="0"/>
            </w:pPr>
            <w:r>
              <w:t>46.9</w:t>
            </w:r>
          </w:p>
        </w:tc>
        <w:tc>
          <w:tcPr>
            <w:tcW w:w="798" w:type="dxa"/>
            <w:vAlign w:val="center"/>
          </w:tcPr>
          <w:p>
            <w:pPr>
              <w:pStyle w:val="8"/>
              <w:bidi w:val="0"/>
            </w:pPr>
            <w:r>
              <w:t>45</w:t>
            </w:r>
          </w:p>
        </w:tc>
        <w:tc>
          <w:tcPr>
            <w:tcW w:w="798" w:type="dxa"/>
            <w:vAlign w:val="center"/>
          </w:tcPr>
          <w:p>
            <w:pPr>
              <w:pStyle w:val="8"/>
              <w:bidi w:val="0"/>
            </w:pPr>
            <w:r>
              <w:t>43.4</w:t>
            </w:r>
          </w:p>
        </w:tc>
        <w:tc>
          <w:tcPr>
            <w:tcW w:w="798" w:type="dxa"/>
            <w:vAlign w:val="center"/>
          </w:tcPr>
          <w:p>
            <w:pPr>
              <w:pStyle w:val="8"/>
              <w:bidi w:val="0"/>
            </w:pPr>
            <w:r>
              <w:t>41.5</w:t>
            </w:r>
          </w:p>
        </w:tc>
        <w:tc>
          <w:tcPr>
            <w:tcW w:w="718" w:type="dxa"/>
            <w:vAlign w:val="center"/>
          </w:tcPr>
          <w:p>
            <w:pPr>
              <w:pStyle w:val="8"/>
              <w:bidi w:val="0"/>
            </w:pPr>
            <w:r>
              <w:t>39.0</w:t>
            </w:r>
          </w:p>
        </w:tc>
      </w:tr>
    </w:tbl>
    <w:p>
      <w:r>
        <w:t>由上表可知，施工期噪声昼间在10m处可达到《建筑施工场界环境噪声排放标准》（GB12523-2011）中的昼间标准限值要求，夜间在50m处可达到《建筑施工场界环境噪声排放标准》（GB12523-2011）中的夜间标准限值要求。</w:t>
      </w:r>
    </w:p>
    <w:p>
      <w:r>
        <w:t>根据现场调查情况可知，</w:t>
      </w:r>
      <w:r>
        <w:rPr>
          <w:rFonts w:hint="eastAsia"/>
        </w:rPr>
        <w:t>项目养殖区所在区域周边均为山林，</w:t>
      </w:r>
      <w:r>
        <w:t>200m</w:t>
      </w:r>
      <w:r>
        <w:rPr>
          <w:rFonts w:hint="eastAsia"/>
        </w:rPr>
        <w:t>范围内均</w:t>
      </w:r>
      <w:r>
        <w:rPr>
          <w:rFonts w:hint="eastAsia"/>
          <w:lang w:eastAsia="zh-CN"/>
        </w:rPr>
        <w:t>基本</w:t>
      </w:r>
      <w:r>
        <w:rPr>
          <w:rFonts w:hint="eastAsia"/>
        </w:rPr>
        <w:t>没有居民。</w:t>
      </w:r>
      <w:r>
        <w:t>为了确保项目施工作业噪声排放满足《建筑施工场界环境噪声排放标准》（GB12523-2011）的标准限值，本次环评提出项目施工时应采取如下措施：</w:t>
      </w:r>
      <w:bookmarkEnd w:id="360"/>
      <w:bookmarkEnd w:id="361"/>
      <w:bookmarkStart w:id="362" w:name="_Toc31250"/>
      <w:bookmarkStart w:id="363" w:name="_Toc8192"/>
    </w:p>
    <w:p>
      <w:r>
        <w:t>①</w:t>
      </w:r>
      <w:r>
        <w:rPr>
          <w:rFonts w:hint="eastAsia"/>
        </w:rPr>
        <w:t>施工单位必须按国家关于建筑施工场界噪声的要求进行施工，并尽量分散噪声源。</w:t>
      </w:r>
    </w:p>
    <w:p>
      <w:r>
        <w:t>②</w:t>
      </w:r>
      <w:r>
        <w:rPr>
          <w:rFonts w:hint="eastAsia"/>
        </w:rPr>
        <w:t>在施工设备和方法中加以考虑，尽量采用低噪声机械，从源头控制噪声源强；</w:t>
      </w:r>
    </w:p>
    <w:p>
      <w:r>
        <w:t>③</w:t>
      </w:r>
      <w:r>
        <w:rPr>
          <w:rFonts w:hint="eastAsia"/>
        </w:rPr>
        <w:t>施工设备需严格做好隔声、减振、消声等措施，控制设备噪声；</w:t>
      </w:r>
    </w:p>
    <w:p>
      <w:r>
        <w:t>④</w:t>
      </w:r>
      <w:r>
        <w:rPr>
          <w:rFonts w:hint="eastAsia"/>
        </w:rPr>
        <w:t>施工过程中，经常对施工设备进行维修保养，避免由于设备性能减退使噪声增大；</w:t>
      </w:r>
    </w:p>
    <w:p>
      <w:r>
        <w:t>在严格落实以上措施，确保场界噪声排放《建筑施工场界环境噪声排放标准》（GB12523-2011）中的相关要求。因此，项目施工期噪声对外环境影响不大。</w:t>
      </w:r>
    </w:p>
    <w:bookmarkEnd w:id="362"/>
    <w:bookmarkEnd w:id="363"/>
    <w:p>
      <w:pPr>
        <w:pStyle w:val="5"/>
        <w:bidi w:val="0"/>
      </w:pPr>
      <w:bookmarkStart w:id="364" w:name="_Toc487411806"/>
      <w:bookmarkStart w:id="365" w:name="_Toc20898"/>
      <w:bookmarkStart w:id="366" w:name="_Toc489916110"/>
      <w:bookmarkStart w:id="367" w:name="_Toc12063"/>
      <w:r>
        <w:rPr>
          <w:rFonts w:hint="eastAsia"/>
        </w:rPr>
        <w:t>施工期固体废弃物影响分析</w:t>
      </w:r>
      <w:bookmarkEnd w:id="364"/>
      <w:bookmarkEnd w:id="365"/>
      <w:bookmarkEnd w:id="366"/>
      <w:bookmarkEnd w:id="367"/>
    </w:p>
    <w:p>
      <w:r>
        <w:rPr>
          <w:rFonts w:hint="eastAsia"/>
          <w:lang w:val="en-GB"/>
        </w:rPr>
        <w:t>本项目施工期的固体废物主要包括工程弃土、建筑垃圾和施工人员生活垃圾。</w:t>
      </w:r>
    </w:p>
    <w:p>
      <w:r>
        <w:rPr>
          <w:lang w:val="en-GB"/>
        </w:rPr>
        <w:t>（1）工程弃土：</w:t>
      </w:r>
      <w:r>
        <w:rPr>
          <w:rFonts w:hint="eastAsia"/>
        </w:rPr>
        <w:t>本项目由于猪舍、办公楼等构筑物的修筑，</w:t>
      </w:r>
      <w:r>
        <w:rPr>
          <w:lang w:val="en-GB"/>
        </w:rPr>
        <w:t>地下</w:t>
      </w:r>
      <w:r>
        <w:rPr>
          <w:rFonts w:hint="eastAsia"/>
        </w:rPr>
        <w:t>集污</w:t>
      </w:r>
      <w:r>
        <w:rPr>
          <w:lang w:val="en-GB"/>
        </w:rPr>
        <w:t>池的开挖，产生一定量的挖方，</w:t>
      </w:r>
      <w:r>
        <w:rPr>
          <w:rFonts w:hint="eastAsia"/>
        </w:rPr>
        <w:t>约为</w:t>
      </w:r>
      <w:r>
        <w:rPr>
          <w:rFonts w:hint="eastAsia"/>
          <w:lang w:val="en-US" w:eastAsia="zh-CN"/>
        </w:rPr>
        <w:t>8000</w:t>
      </w:r>
      <w:r>
        <w:rPr>
          <w:rFonts w:hint="eastAsia"/>
        </w:rPr>
        <w:t>m</w:t>
      </w:r>
      <w:r>
        <w:rPr>
          <w:rFonts w:hint="eastAsia"/>
          <w:vertAlign w:val="superscript"/>
        </w:rPr>
        <w:t>3</w:t>
      </w:r>
      <w:r>
        <w:rPr>
          <w:rFonts w:hint="eastAsia"/>
        </w:rPr>
        <w:t>，</w:t>
      </w:r>
      <w:r>
        <w:rPr>
          <w:lang w:val="en-GB"/>
        </w:rPr>
        <w:t>由于项目建设场均为山丘，极不平整。项目所在地，由于开发程度很低，没有配套的进场公路，因此项目产生的土石方全部以挖作填就地平衡，集中用于进场道路的修筑和建设场地的平整。</w:t>
      </w:r>
    </w:p>
    <w:p>
      <w:r>
        <w:rPr>
          <w:lang w:val="en-GB"/>
        </w:rPr>
        <w:t>本项目不存在土石方转运，不存在弃方。因此，工程弃土对项目周边环境不会造成明显影响。</w:t>
      </w:r>
    </w:p>
    <w:p>
      <w:r>
        <w:rPr>
          <w:lang w:val="en-GB"/>
        </w:rPr>
        <w:t>（2）建筑垃圾：本项目建筑垃圾主要有废弃的沙土石、水泥、木屑、碎木块、弃砖、水泥袋、纤维、塑料泡沫、碎玻璃、废金属等。建筑垃圾在施工工地内堆放会对自然景观产生影响，占用土地。施工期建筑垃圾应尽量回用，减少垃圾产生量；建筑垃圾要集中暂存在固定地点，不应乱堆放；争取建筑垃圾日产日清，建筑垃圾</w:t>
      </w:r>
      <w:r>
        <w:rPr>
          <w:rFonts w:hint="eastAsia"/>
          <w:lang w:val="en-GB"/>
        </w:rPr>
        <w:t>尽量</w:t>
      </w:r>
      <w:r>
        <w:rPr>
          <w:lang w:val="en-GB"/>
        </w:rPr>
        <w:t>回收利用，剩余的施工垃圾交由环卫部门处理。</w:t>
      </w:r>
    </w:p>
    <w:p>
      <w:r>
        <w:rPr>
          <w:lang w:val="en-GB"/>
        </w:rPr>
        <w:t>（3）施工人员生活垃圾：施工人员生活垃圾</w:t>
      </w:r>
      <w:r>
        <w:rPr>
          <w:rFonts w:hint="eastAsia"/>
          <w:lang w:val="en-GB"/>
        </w:rPr>
        <w:t>应集中收集，</w:t>
      </w:r>
      <w:r>
        <w:rPr>
          <w:lang w:val="en-GB"/>
        </w:rPr>
        <w:t>暂存在垃圾桶中，不允许随处乱丢，垃圾桶应加盖，防止滋生苍蝇、蚊虫等，防止散发臭味，</w:t>
      </w:r>
      <w:r>
        <w:rPr>
          <w:rFonts w:hint="eastAsia"/>
          <w:lang w:val="en-GB"/>
        </w:rPr>
        <w:t>生活</w:t>
      </w:r>
      <w:r>
        <w:rPr>
          <w:lang w:val="en-GB"/>
        </w:rPr>
        <w:t>垃圾</w:t>
      </w:r>
      <w:r>
        <w:rPr>
          <w:rFonts w:hint="eastAsia"/>
          <w:lang w:val="en-GB"/>
        </w:rPr>
        <w:t>定期</w:t>
      </w:r>
      <w:r>
        <w:rPr>
          <w:lang w:val="en-GB"/>
        </w:rPr>
        <w:t>交环卫部门</w:t>
      </w:r>
      <w:r>
        <w:rPr>
          <w:rFonts w:hint="eastAsia"/>
          <w:lang w:val="en-GB"/>
        </w:rPr>
        <w:t>进行清运</w:t>
      </w:r>
      <w:r>
        <w:rPr>
          <w:lang w:val="en-GB"/>
        </w:rPr>
        <w:t>处理。</w:t>
      </w:r>
    </w:p>
    <w:p>
      <w:bookmarkStart w:id="368" w:name="_Toc11046"/>
      <w:bookmarkStart w:id="369" w:name="_Toc25665"/>
      <w:r>
        <w:t>因此，从环境保护的角度看，对建设期产生的固体废弃物进行妥善处置十分重要。只要施工队伍严格按照以上措施施工，则施工过程产生的固废对周围环境影响不大。</w:t>
      </w:r>
      <w:bookmarkEnd w:id="368"/>
      <w:bookmarkEnd w:id="369"/>
    </w:p>
    <w:p>
      <w:pPr>
        <w:pStyle w:val="5"/>
        <w:bidi w:val="0"/>
      </w:pPr>
      <w:bookmarkStart w:id="370" w:name="_Toc29064"/>
      <w:bookmarkStart w:id="371" w:name="_Toc489916111"/>
      <w:bookmarkStart w:id="372" w:name="_Toc487411807"/>
      <w:bookmarkStart w:id="373" w:name="_Toc27535"/>
      <w:r>
        <w:rPr>
          <w:rFonts w:hint="eastAsia"/>
        </w:rPr>
        <w:t>施工期生态环境影响分析</w:t>
      </w:r>
      <w:bookmarkEnd w:id="370"/>
      <w:bookmarkEnd w:id="371"/>
      <w:bookmarkEnd w:id="372"/>
      <w:bookmarkEnd w:id="373"/>
    </w:p>
    <w:p>
      <w:bookmarkStart w:id="374" w:name="_Toc3356"/>
      <w:bookmarkStart w:id="375" w:name="_Toc15970"/>
      <w:r>
        <w:rPr>
          <w:rFonts w:hint="eastAsia"/>
        </w:rPr>
        <w:t>（一）水土流失</w:t>
      </w:r>
      <w:bookmarkEnd w:id="374"/>
      <w:bookmarkEnd w:id="375"/>
    </w:p>
    <w:p>
      <w:bookmarkStart w:id="376" w:name="_Toc10814"/>
      <w:bookmarkStart w:id="377" w:name="_Toc1718"/>
      <w:r>
        <w:rPr>
          <w:lang w:val="en-GB"/>
        </w:rPr>
        <w:t>场区、厂房、道路的土建施工是引起水土流失的主要工程因素。施工期土壤暴露在雨、风以及其他干扰之中。另外，大量的土方挖填、陡坡、边坡的形成和整理，会使土壤暴露情况加剧。施工过程中，泥土转运装卸作业过程与堆放，都可能出现散落和水土流失。同时，施工中的土壤由于被挖出，其结构会受到破坏，土壤抵抗侵蚀的能力因此被减弱，在暴雨中降雨所产尘的土壤侵蚀，也将会导致项目施工建设期的水土流失。</w:t>
      </w:r>
      <w:r>
        <w:t>水土流失的危害性主要表现在：</w:t>
      </w:r>
      <w:bookmarkEnd w:id="376"/>
      <w:bookmarkEnd w:id="377"/>
    </w:p>
    <w:p>
      <w:bookmarkStart w:id="378" w:name="_Toc5962"/>
      <w:bookmarkStart w:id="379" w:name="_Toc2693"/>
      <w:r>
        <w:rPr>
          <w:rFonts w:hint="eastAsia"/>
        </w:rPr>
        <w:t>（</w:t>
      </w:r>
      <w:r>
        <w:t>1</w:t>
      </w:r>
      <w:r>
        <w:rPr>
          <w:rFonts w:hint="eastAsia"/>
        </w:rPr>
        <w:t>）降低土壤肥力，水土流失一般冲走富含有机质的表层细土粒；</w:t>
      </w:r>
      <w:bookmarkEnd w:id="378"/>
      <w:bookmarkEnd w:id="379"/>
    </w:p>
    <w:p>
      <w:bookmarkStart w:id="380" w:name="_Toc28394"/>
      <w:bookmarkStart w:id="381" w:name="_Toc1997"/>
      <w:r>
        <w:rPr>
          <w:rFonts w:hint="eastAsia"/>
        </w:rPr>
        <w:t>（</w:t>
      </w:r>
      <w:r>
        <w:t>2</w:t>
      </w:r>
      <w:r>
        <w:rPr>
          <w:rFonts w:hint="eastAsia"/>
        </w:rPr>
        <w:t>）水土流失造成下游水体水质混浊，影响了水体的使用功能；造成泥沙淤积，抬高河床，降低河道的泄洪能力；</w:t>
      </w:r>
      <w:bookmarkEnd w:id="380"/>
      <w:bookmarkEnd w:id="381"/>
    </w:p>
    <w:p>
      <w:bookmarkStart w:id="382" w:name="_Toc20363"/>
      <w:bookmarkStart w:id="383" w:name="_Toc22051"/>
      <w:r>
        <w:rPr>
          <w:rFonts w:hint="eastAsia"/>
        </w:rPr>
        <w:t>（</w:t>
      </w:r>
      <w:r>
        <w:t>3</w:t>
      </w:r>
      <w:r>
        <w:rPr>
          <w:rFonts w:hint="eastAsia"/>
        </w:rPr>
        <w:t>）项目所在丘陵地区，水土流失可能导致山体滑坡等地质灾害。</w:t>
      </w:r>
      <w:bookmarkEnd w:id="382"/>
      <w:bookmarkEnd w:id="383"/>
    </w:p>
    <w:p>
      <w:bookmarkStart w:id="384" w:name="_Toc11198"/>
      <w:bookmarkStart w:id="385" w:name="_Toc30619"/>
      <w:r>
        <w:rPr>
          <w:rFonts w:hint="eastAsia"/>
        </w:rPr>
        <w:t>为将本项目的水土流失、生态破坏减少到最低程度，建议采取如下措施：</w:t>
      </w:r>
      <w:bookmarkEnd w:id="384"/>
      <w:bookmarkEnd w:id="385"/>
    </w:p>
    <w:p>
      <w:bookmarkStart w:id="386" w:name="_Toc27003"/>
      <w:bookmarkStart w:id="387" w:name="_Toc26192"/>
      <w:r>
        <w:rPr>
          <w:lang w:val="en-GB"/>
        </w:rPr>
        <w:t>（1）施工时对树木的砍伐与土地平整要依工程进度循序渐进的进行。</w:t>
      </w:r>
    </w:p>
    <w:p>
      <w:r>
        <w:rPr>
          <w:lang w:val="en-GB"/>
        </w:rPr>
        <w:t>（2）削坡到位时即行植草、铺护坡，严禁开挖坡度较大的区域。</w:t>
      </w:r>
    </w:p>
    <w:p>
      <w:r>
        <w:t>（3）取土场地、开挖面等裸露地应尽快恢复土层和植被。</w:t>
      </w:r>
      <w:bookmarkEnd w:id="386"/>
      <w:bookmarkEnd w:id="387"/>
    </w:p>
    <w:p>
      <w:bookmarkStart w:id="388" w:name="_Toc15863"/>
      <w:bookmarkStart w:id="389" w:name="_Toc19651"/>
      <w:r>
        <w:t>（4）雨季施工期易造成水土流失，要注意施工场地建筑材料堆放及施工过程弃土的雨水冲刷问题</w:t>
      </w:r>
      <w:r>
        <w:rPr>
          <w:rFonts w:hint="eastAsia"/>
        </w:rPr>
        <w:t>，设置栏挡与覆盖</w:t>
      </w:r>
      <w:r>
        <w:t>。</w:t>
      </w:r>
      <w:bookmarkEnd w:id="388"/>
      <w:bookmarkEnd w:id="389"/>
    </w:p>
    <w:p>
      <w:bookmarkStart w:id="390" w:name="_Toc31579"/>
      <w:bookmarkStart w:id="391" w:name="_Toc3043"/>
      <w:r>
        <w:t>（5）尽量避开暴雨期施工</w:t>
      </w:r>
    </w:p>
    <w:p>
      <w:r>
        <w:rPr>
          <w:lang w:val="en-GB"/>
        </w:rPr>
        <w:t>（</w:t>
      </w:r>
      <w:r>
        <w:t>6</w:t>
      </w:r>
      <w:r>
        <w:rPr>
          <w:lang w:val="en-GB"/>
        </w:rPr>
        <w:t>）防止塌方与水土流失，在土方工程完成后，应加强绿化工作，尽快规划绿地和各种裸露地面的绿化恢复工作，使生态经管得到好转。</w:t>
      </w:r>
    </w:p>
    <w:p>
      <w:r>
        <w:rPr>
          <w:lang w:val="en-GB"/>
        </w:rPr>
        <w:t>（</w:t>
      </w:r>
      <w:r>
        <w:rPr>
          <w:rFonts w:hint="eastAsia"/>
          <w:lang w:val="en-GB"/>
        </w:rPr>
        <w:t>7</w:t>
      </w:r>
      <w:r>
        <w:rPr>
          <w:lang w:val="en-GB"/>
        </w:rPr>
        <w:t>）</w:t>
      </w:r>
      <w:r>
        <w:rPr>
          <w:rFonts w:hint="eastAsia"/>
          <w:lang w:val="en-GB"/>
        </w:rPr>
        <w:t>施工期做好排水工程，项目四周修建导流沟，对边坡进行硬化，防止雨水冲刷导致的水土流失。以挖代填，平整场地，削坡定级，</w:t>
      </w:r>
      <w:r>
        <w:rPr>
          <w:lang w:val="en-GB"/>
        </w:rPr>
        <w:t>对养殖区的裸露地面进行</w:t>
      </w:r>
      <w:r>
        <w:rPr>
          <w:rFonts w:hint="eastAsia"/>
        </w:rPr>
        <w:t>覆盖，尽快进行硬化或绿化等。</w:t>
      </w:r>
    </w:p>
    <w:p>
      <w:pPr>
        <w:rPr>
          <w:lang w:val="en-GB"/>
        </w:rPr>
      </w:pPr>
      <w:r>
        <w:rPr>
          <w:lang w:val="en-GB"/>
        </w:rPr>
        <w:t>（</w:t>
      </w:r>
      <w:r>
        <w:rPr>
          <w:rFonts w:hint="eastAsia"/>
        </w:rPr>
        <w:t>8</w:t>
      </w:r>
      <w:r>
        <w:rPr>
          <w:lang w:val="en-GB"/>
        </w:rPr>
        <w:t>）建设单位应对施工期及施工完毕影响区域的水土保持有足够的重视，落实建设资金，做到按计划有步骤地进行水土流失的防治，确保自然生态环境不受水土流失的严重影响。</w:t>
      </w:r>
    </w:p>
    <w:bookmarkEnd w:id="390"/>
    <w:bookmarkEnd w:id="391"/>
    <w:p>
      <w:bookmarkStart w:id="392" w:name="_Toc6223"/>
      <w:bookmarkStart w:id="393" w:name="_Toc10001"/>
      <w:r>
        <w:t>（二）生态环境</w:t>
      </w:r>
      <w:bookmarkEnd w:id="392"/>
      <w:bookmarkEnd w:id="393"/>
    </w:p>
    <w:p>
      <w:bookmarkStart w:id="394" w:name="_Toc29204"/>
      <w:bookmarkStart w:id="395" w:name="_Toc31485"/>
      <w:r>
        <w:t>本项目用地类型主要为</w:t>
      </w:r>
      <w:r>
        <w:rPr>
          <w:rFonts w:hint="eastAsia"/>
        </w:rPr>
        <w:t>山丘</w:t>
      </w:r>
      <w:r>
        <w:t>林地、杂木灌丛、荒地等，项目</w:t>
      </w:r>
      <w:r>
        <w:rPr>
          <w:rFonts w:hint="eastAsia"/>
        </w:rPr>
        <w:t>养殖区域建设</w:t>
      </w:r>
      <w:r>
        <w:t>施工过程会对其现有的陆生生态系统造成破坏，</w:t>
      </w:r>
      <w:r>
        <w:rPr>
          <w:rFonts w:hint="eastAsia"/>
        </w:rPr>
        <w:t>改变土地的使用类型，</w:t>
      </w:r>
      <w:r>
        <w:t>将其转变成</w:t>
      </w:r>
      <w:r>
        <w:rPr>
          <w:rFonts w:hint="eastAsia"/>
          <w:lang w:eastAsia="zh-CN"/>
        </w:rPr>
        <w:t>农用设施</w:t>
      </w:r>
      <w:r>
        <w:t>用地，但在建设后期通过绿化等措施可缓和对生态系统的不利影响。</w:t>
      </w:r>
      <w:bookmarkEnd w:id="394"/>
      <w:bookmarkEnd w:id="395"/>
      <w:bookmarkStart w:id="396" w:name="_Toc4692"/>
      <w:bookmarkStart w:id="397" w:name="_Toc12800"/>
    </w:p>
    <w:p>
      <w:r>
        <w:t>因此，</w:t>
      </w:r>
      <w:r>
        <w:rPr>
          <w:rFonts w:hint="eastAsia"/>
        </w:rPr>
        <w:t>本项目施工期采取以上措施后，对周边生态环境</w:t>
      </w:r>
      <w:r>
        <w:t>带来不利影响较小。</w:t>
      </w:r>
      <w:bookmarkEnd w:id="396"/>
      <w:bookmarkEnd w:id="397"/>
    </w:p>
    <w:p>
      <w:pPr>
        <w:pStyle w:val="4"/>
        <w:bidi w:val="0"/>
      </w:pPr>
      <w:bookmarkStart w:id="398" w:name="_Toc19910"/>
      <w:r>
        <w:t>营运期环境影响预测与分析</w:t>
      </w:r>
      <w:bookmarkEnd w:id="185"/>
      <w:bookmarkEnd w:id="186"/>
      <w:bookmarkEnd w:id="398"/>
    </w:p>
    <w:p>
      <w:pPr>
        <w:pStyle w:val="5"/>
        <w:bidi w:val="0"/>
      </w:pPr>
      <w:bookmarkStart w:id="399" w:name="_Toc468689192"/>
      <w:r>
        <w:t>地表水环境影响分析</w:t>
      </w:r>
      <w:bookmarkEnd w:id="399"/>
    </w:p>
    <w:p>
      <w:pPr>
        <w:rPr>
          <w:rFonts w:hint="default"/>
          <w:lang w:val="en-US" w:eastAsia="zh-CN"/>
        </w:rPr>
      </w:pPr>
      <w:bookmarkStart w:id="400" w:name="_Hlk486192968"/>
      <w:r>
        <w:rPr>
          <w:rFonts w:hint="eastAsia"/>
        </w:rPr>
        <w:t>本项目养殖场地均实施了雨污分流。项目设有沼气厌氧发酵系统</w:t>
      </w:r>
      <w:r>
        <w:rPr>
          <w:rFonts w:hint="eastAsia"/>
          <w:lang w:eastAsia="zh-CN"/>
        </w:rPr>
        <w:t>，</w:t>
      </w:r>
      <w:r>
        <w:rPr>
          <w:rFonts w:hint="eastAsia"/>
        </w:rPr>
        <w:t>生产、生活废水经厌氧发酵</w:t>
      </w:r>
      <w:r>
        <w:rPr>
          <w:rFonts w:hint="eastAsia"/>
          <w:lang w:val="en-US" w:eastAsia="zh-CN"/>
        </w:rPr>
        <w:t>+AO组合池处理</w:t>
      </w:r>
      <w:r>
        <w:rPr>
          <w:rFonts w:hint="eastAsia"/>
        </w:rPr>
        <w:t>后，沼液直接由</w:t>
      </w:r>
      <w:r>
        <w:rPr>
          <w:rFonts w:hint="eastAsia"/>
          <w:lang w:eastAsia="zh-CN"/>
        </w:rPr>
        <w:t>罐车外运给常德华诚现代农业开发有限公司作</w:t>
      </w:r>
      <w:r>
        <w:rPr>
          <w:rFonts w:hint="eastAsia"/>
        </w:rPr>
        <w:t>农肥</w:t>
      </w:r>
      <w:r>
        <w:rPr>
          <w:rFonts w:hint="eastAsia"/>
          <w:lang w:eastAsia="zh-CN"/>
        </w:rPr>
        <w:t>，</w:t>
      </w:r>
      <w:r>
        <w:rPr>
          <w:rFonts w:hint="eastAsia"/>
        </w:rPr>
        <w:t>项目废水均不外排地表水体。根据《环境影响评价技术导则-地表水环境》（HJ2.3-2018），本项目废水全部综合利用，属于间接排放，废水评价等级为三级B。</w:t>
      </w:r>
      <w:r>
        <w:rPr>
          <w:rFonts w:hint="eastAsia"/>
          <w:lang w:eastAsia="zh-CN"/>
        </w:rPr>
        <w:t>因此，本环评针对项目废水的综合利用，因此，本环评针对项目废水的综合利用，分三个层次进行综合分析。</w:t>
      </w:r>
    </w:p>
    <w:p>
      <w:pPr>
        <w:pStyle w:val="11"/>
        <w:rPr>
          <w:rFonts w:hint="default" w:eastAsiaTheme="minorEastAsia"/>
          <w:lang w:val="en-US" w:eastAsia="zh-CN"/>
        </w:rPr>
      </w:pPr>
      <w:r>
        <w:t xml:space="preserve">表4.2- </w:t>
      </w:r>
      <w:r>
        <w:fldChar w:fldCharType="begin"/>
      </w:r>
      <w:r>
        <w:instrText xml:space="preserve"> SEQ 表4.2- \* ARABIC </w:instrText>
      </w:r>
      <w:r>
        <w:fldChar w:fldCharType="separate"/>
      </w:r>
      <w:r>
        <w:t>1</w:t>
      </w:r>
      <w:r>
        <w:fldChar w:fldCharType="end"/>
      </w:r>
      <w:r>
        <w:rPr>
          <w:rFonts w:hint="eastAsia"/>
          <w:lang w:val="en-US" w:eastAsia="zh-CN"/>
        </w:rPr>
        <w:t xml:space="preserve">  </w:t>
      </w:r>
      <w:r>
        <w:rPr>
          <w:rFonts w:hint="eastAsia"/>
        </w:rPr>
        <w:t>水污染影响型建设项目评价等级判定</w:t>
      </w:r>
    </w:p>
    <w:tbl>
      <w:tblPr>
        <w:tblStyle w:val="17"/>
        <w:tblW w:w="8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1949"/>
        <w:gridCol w:w="4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032" w:type="dxa"/>
            <w:vMerge w:val="restart"/>
            <w:vAlign w:val="center"/>
          </w:tcPr>
          <w:p>
            <w:pPr>
              <w:pStyle w:val="8"/>
              <w:bidi w:val="0"/>
            </w:pPr>
            <w:r>
              <w:rPr>
                <w:rFonts w:hint="eastAsia"/>
              </w:rPr>
              <w:t>评价等级</w:t>
            </w:r>
          </w:p>
        </w:tc>
        <w:tc>
          <w:tcPr>
            <w:tcW w:w="6408" w:type="dxa"/>
            <w:gridSpan w:val="2"/>
            <w:vAlign w:val="center"/>
          </w:tcPr>
          <w:p>
            <w:pPr>
              <w:pStyle w:val="8"/>
              <w:bidi w:val="0"/>
            </w:pPr>
            <w:r>
              <w:rPr>
                <w:rFonts w:hint="eastAsia"/>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032" w:type="dxa"/>
            <w:vMerge w:val="continue"/>
            <w:vAlign w:val="center"/>
          </w:tcPr>
          <w:p>
            <w:pPr>
              <w:pStyle w:val="8"/>
              <w:bidi w:val="0"/>
            </w:pPr>
          </w:p>
        </w:tc>
        <w:tc>
          <w:tcPr>
            <w:tcW w:w="1949" w:type="dxa"/>
            <w:vAlign w:val="center"/>
          </w:tcPr>
          <w:p>
            <w:pPr>
              <w:pStyle w:val="8"/>
              <w:bidi w:val="0"/>
            </w:pPr>
            <w:r>
              <w:rPr>
                <w:rFonts w:hint="eastAsia"/>
              </w:rPr>
              <w:t>排放方式</w:t>
            </w:r>
          </w:p>
        </w:tc>
        <w:tc>
          <w:tcPr>
            <w:tcW w:w="4459" w:type="dxa"/>
            <w:vAlign w:val="center"/>
          </w:tcPr>
          <w:p>
            <w:pPr>
              <w:pStyle w:val="8"/>
              <w:bidi w:val="0"/>
            </w:pPr>
            <w:r>
              <w:rPr>
                <w:rFonts w:hint="eastAsia"/>
              </w:rPr>
              <w:t>废水排放量Q/（m</w:t>
            </w:r>
            <w:r>
              <w:rPr>
                <w:rFonts w:hint="eastAsia"/>
                <w:vertAlign w:val="superscript"/>
              </w:rPr>
              <w:t>3</w:t>
            </w:r>
            <w:r>
              <w:rPr>
                <w:rFonts w:hint="eastAsia"/>
              </w:rPr>
              <w:t>/d）；</w:t>
            </w:r>
          </w:p>
          <w:p>
            <w:pPr>
              <w:pStyle w:val="8"/>
              <w:bidi w:val="0"/>
            </w:pPr>
            <w:r>
              <w:rPr>
                <w:rFonts w:hint="eastAsia"/>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032" w:type="dxa"/>
            <w:vAlign w:val="center"/>
          </w:tcPr>
          <w:p>
            <w:pPr>
              <w:pStyle w:val="8"/>
              <w:bidi w:val="0"/>
            </w:pPr>
            <w:r>
              <w:rPr>
                <w:rFonts w:hint="eastAsia"/>
              </w:rPr>
              <w:t>一级</w:t>
            </w:r>
          </w:p>
        </w:tc>
        <w:tc>
          <w:tcPr>
            <w:tcW w:w="1949" w:type="dxa"/>
            <w:vAlign w:val="center"/>
          </w:tcPr>
          <w:p>
            <w:pPr>
              <w:pStyle w:val="8"/>
              <w:bidi w:val="0"/>
            </w:pPr>
            <w:r>
              <w:rPr>
                <w:rFonts w:hint="eastAsia"/>
              </w:rPr>
              <w:t>直接排放</w:t>
            </w:r>
          </w:p>
        </w:tc>
        <w:tc>
          <w:tcPr>
            <w:tcW w:w="4459" w:type="dxa"/>
            <w:vAlign w:val="center"/>
          </w:tcPr>
          <w:p>
            <w:pPr>
              <w:pStyle w:val="8"/>
              <w:bidi w:val="0"/>
            </w:pPr>
            <w:r>
              <w:rPr>
                <w:rFonts w:hint="eastAsia"/>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032" w:type="dxa"/>
            <w:vAlign w:val="center"/>
          </w:tcPr>
          <w:p>
            <w:pPr>
              <w:pStyle w:val="8"/>
              <w:bidi w:val="0"/>
            </w:pPr>
            <w:r>
              <w:rPr>
                <w:rFonts w:hint="eastAsia"/>
              </w:rPr>
              <w:t>二级</w:t>
            </w:r>
          </w:p>
        </w:tc>
        <w:tc>
          <w:tcPr>
            <w:tcW w:w="1949" w:type="dxa"/>
            <w:vAlign w:val="center"/>
          </w:tcPr>
          <w:p>
            <w:pPr>
              <w:pStyle w:val="8"/>
              <w:bidi w:val="0"/>
            </w:pPr>
            <w:r>
              <w:rPr>
                <w:rFonts w:hint="eastAsia"/>
              </w:rPr>
              <w:t>直接排放</w:t>
            </w:r>
          </w:p>
        </w:tc>
        <w:tc>
          <w:tcPr>
            <w:tcW w:w="4459" w:type="dxa"/>
            <w:vAlign w:val="center"/>
          </w:tcPr>
          <w:p>
            <w:pPr>
              <w:pStyle w:val="8"/>
              <w:bidi w:val="0"/>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032" w:type="dxa"/>
            <w:vAlign w:val="center"/>
          </w:tcPr>
          <w:p>
            <w:pPr>
              <w:pStyle w:val="8"/>
              <w:bidi w:val="0"/>
            </w:pPr>
            <w:r>
              <w:rPr>
                <w:rFonts w:hint="eastAsia"/>
              </w:rPr>
              <w:t>三级A</w:t>
            </w:r>
          </w:p>
        </w:tc>
        <w:tc>
          <w:tcPr>
            <w:tcW w:w="1949" w:type="dxa"/>
            <w:vAlign w:val="center"/>
          </w:tcPr>
          <w:p>
            <w:pPr>
              <w:pStyle w:val="8"/>
              <w:bidi w:val="0"/>
            </w:pPr>
            <w:r>
              <w:rPr>
                <w:rFonts w:hint="eastAsia"/>
              </w:rPr>
              <w:t>直接排放</w:t>
            </w:r>
          </w:p>
        </w:tc>
        <w:tc>
          <w:tcPr>
            <w:tcW w:w="4459" w:type="dxa"/>
            <w:vAlign w:val="center"/>
          </w:tcPr>
          <w:p>
            <w:pPr>
              <w:pStyle w:val="8"/>
              <w:bidi w:val="0"/>
            </w:pPr>
            <w:r>
              <w:rPr>
                <w:rFonts w:hint="eastAsia"/>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032" w:type="dxa"/>
            <w:vAlign w:val="center"/>
          </w:tcPr>
          <w:p>
            <w:pPr>
              <w:pStyle w:val="8"/>
              <w:bidi w:val="0"/>
            </w:pPr>
            <w:r>
              <w:rPr>
                <w:rFonts w:hint="eastAsia"/>
              </w:rPr>
              <w:t>三级B</w:t>
            </w:r>
          </w:p>
        </w:tc>
        <w:tc>
          <w:tcPr>
            <w:tcW w:w="1949" w:type="dxa"/>
            <w:vAlign w:val="center"/>
          </w:tcPr>
          <w:p>
            <w:pPr>
              <w:pStyle w:val="8"/>
              <w:bidi w:val="0"/>
            </w:pPr>
            <w:r>
              <w:rPr>
                <w:rFonts w:hint="eastAsia"/>
              </w:rPr>
              <w:t>间接排放</w:t>
            </w:r>
          </w:p>
        </w:tc>
        <w:tc>
          <w:tcPr>
            <w:tcW w:w="4459" w:type="dxa"/>
            <w:vAlign w:val="center"/>
          </w:tcPr>
          <w:p>
            <w:pPr>
              <w:pStyle w:val="8"/>
              <w:bidi w:val="0"/>
            </w:pPr>
            <w:r>
              <w:rPr>
                <w:rFonts w:hint="eastAsia"/>
              </w:rPr>
              <w:t>—</w:t>
            </w:r>
          </w:p>
        </w:tc>
      </w:tr>
    </w:tbl>
    <w:p>
      <w:pPr>
        <w:bidi w:val="0"/>
      </w:pPr>
      <w:r>
        <w:rPr>
          <w:rFonts w:hint="eastAsia"/>
        </w:rPr>
        <w:t>（1）本项目与区域集中式饮用水水源保护区的位置关系</w:t>
      </w:r>
    </w:p>
    <w:p>
      <w:pPr>
        <w:bidi w:val="0"/>
        <w:rPr>
          <w:rFonts w:hint="eastAsia" w:eastAsiaTheme="minorEastAsia"/>
          <w:lang w:eastAsia="zh-CN"/>
        </w:rPr>
      </w:pPr>
      <w:r>
        <w:rPr>
          <w:rFonts w:hint="eastAsia"/>
        </w:rPr>
        <w:t>项目</w:t>
      </w:r>
      <w:r>
        <w:rPr>
          <w:rFonts w:hint="eastAsia"/>
          <w:lang w:eastAsia="zh-CN"/>
        </w:rPr>
        <w:t>项目东南侧有桑木峪水库，属于</w:t>
      </w:r>
      <w:r>
        <w:rPr>
          <w:rFonts w:hint="eastAsia"/>
        </w:rPr>
        <w:t>饮用水水源保护区</w:t>
      </w:r>
      <w:r>
        <w:rPr>
          <w:rFonts w:hint="eastAsia"/>
          <w:lang w:eastAsia="zh-CN"/>
        </w:rPr>
        <w:t>，边界距离保护区最近距离约为</w:t>
      </w:r>
      <w:r>
        <w:rPr>
          <w:rFonts w:hint="eastAsia"/>
          <w:lang w:val="en-US" w:eastAsia="zh-CN"/>
        </w:rPr>
        <w:t>502m</w:t>
      </w:r>
      <w:r>
        <w:rPr>
          <w:rFonts w:hint="eastAsia"/>
          <w:lang w:eastAsia="zh-CN"/>
        </w:rPr>
        <w:t>。</w:t>
      </w:r>
      <w:r>
        <w:rPr>
          <w:rFonts w:hint="eastAsia"/>
        </w:rPr>
        <w:t>北面</w:t>
      </w:r>
      <w:r>
        <w:rPr>
          <w:rFonts w:hint="eastAsia"/>
          <w:lang w:eastAsia="zh-CN"/>
        </w:rPr>
        <w:t>下游</w:t>
      </w:r>
      <w:r>
        <w:rPr>
          <w:rFonts w:hint="eastAsia"/>
          <w:lang w:val="en-US" w:eastAsia="zh-CN"/>
        </w:rPr>
        <w:t>13km</w:t>
      </w:r>
      <w:r>
        <w:rPr>
          <w:rFonts w:hint="eastAsia"/>
        </w:rPr>
        <w:t>的</w:t>
      </w:r>
      <w:r>
        <w:rPr>
          <w:rFonts w:hint="eastAsia"/>
          <w:lang w:eastAsia="zh-CN"/>
        </w:rPr>
        <w:t>澧水于津市区域有</w:t>
      </w:r>
      <w:r>
        <w:rPr>
          <w:rFonts w:hint="eastAsia"/>
        </w:rPr>
        <w:t>饮用水源地</w:t>
      </w:r>
      <w:r>
        <w:rPr>
          <w:rFonts w:hint="eastAsia"/>
          <w:lang w:eastAsia="zh-CN"/>
        </w:rPr>
        <w:t>。</w:t>
      </w:r>
      <w:r>
        <w:rPr>
          <w:rFonts w:hint="eastAsia"/>
        </w:rPr>
        <w:t>已划定的饮用水水源保护区的范围见表</w:t>
      </w:r>
      <w:r>
        <w:rPr>
          <w:rFonts w:hint="eastAsia"/>
          <w:lang w:val="en-US" w:eastAsia="zh-CN"/>
        </w:rPr>
        <w:t>4.2-2</w:t>
      </w:r>
      <w:r>
        <w:rPr>
          <w:rFonts w:hint="eastAsia"/>
        </w:rPr>
        <w:t>及附图</w:t>
      </w:r>
      <w:r>
        <w:rPr>
          <w:rFonts w:hint="eastAsia"/>
          <w:lang w:eastAsia="zh-CN"/>
        </w:rPr>
        <w:t>。</w:t>
      </w:r>
    </w:p>
    <w:p>
      <w:pPr>
        <w:pStyle w:val="11"/>
        <w:rPr>
          <w:rFonts w:hint="default" w:eastAsiaTheme="minorEastAsia"/>
          <w:lang w:val="en-US" w:eastAsia="zh-CN"/>
        </w:rPr>
      </w:pPr>
      <w:r>
        <w:t xml:space="preserve">表4.2- </w:t>
      </w:r>
      <w:r>
        <w:rPr>
          <w:u w:val="none"/>
        </w:rPr>
        <w:fldChar w:fldCharType="begin"/>
      </w:r>
      <w:r>
        <w:rPr>
          <w:u w:val="none"/>
        </w:rPr>
        <w:instrText xml:space="preserve"> SEQ 表4.2- \* ARABIC </w:instrText>
      </w:r>
      <w:r>
        <w:rPr>
          <w:u w:val="none"/>
        </w:rPr>
        <w:fldChar w:fldCharType="separate"/>
      </w:r>
      <w:r>
        <w:rPr>
          <w:u w:val="none"/>
        </w:rPr>
        <w:t>2</w:t>
      </w:r>
      <w:r>
        <w:rPr>
          <w:u w:val="none"/>
        </w:rPr>
        <w:fldChar w:fldCharType="end"/>
      </w:r>
      <w:r>
        <w:rPr>
          <w:rFonts w:hint="eastAsia"/>
          <w:u w:val="none"/>
          <w:lang w:val="en-US" w:eastAsia="zh-CN"/>
        </w:rPr>
        <w:t xml:space="preserve">  </w:t>
      </w:r>
      <w:r>
        <w:rPr>
          <w:rFonts w:hint="eastAsia"/>
          <w:u w:val="none"/>
        </w:rPr>
        <w:t xml:space="preserve"> </w:t>
      </w:r>
      <w:r>
        <w:rPr>
          <w:rFonts w:hint="eastAsia"/>
          <w:u w:val="none"/>
          <w:lang w:eastAsia="zh-CN"/>
        </w:rPr>
        <w:t>澧水</w:t>
      </w:r>
      <w:r>
        <w:rPr>
          <w:rFonts w:hint="eastAsia"/>
          <w:u w:val="none"/>
        </w:rPr>
        <w:t>饮用水源</w:t>
      </w:r>
      <w:r>
        <w:rPr>
          <w:rFonts w:hint="eastAsia"/>
        </w:rPr>
        <w:t>保护区划定范围</w:t>
      </w:r>
    </w:p>
    <w:tbl>
      <w:tblPr>
        <w:tblStyle w:val="17"/>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833"/>
        <w:gridCol w:w="918"/>
        <w:gridCol w:w="1148"/>
        <w:gridCol w:w="2128"/>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106" w:type="dxa"/>
            <w:vMerge w:val="restart"/>
            <w:shd w:val="clear" w:color="auto" w:fill="auto"/>
            <w:vAlign w:val="center"/>
          </w:tcPr>
          <w:p>
            <w:pPr>
              <w:pStyle w:val="8"/>
              <w:bidi w:val="0"/>
            </w:pPr>
            <w:r>
              <w:rPr>
                <w:rFonts w:hint="eastAsia"/>
              </w:rPr>
              <w:t>保护区</w:t>
            </w:r>
            <w:r>
              <w:t>名称</w:t>
            </w:r>
          </w:p>
        </w:tc>
        <w:tc>
          <w:tcPr>
            <w:tcW w:w="833" w:type="dxa"/>
            <w:vMerge w:val="restart"/>
            <w:shd w:val="clear" w:color="auto" w:fill="auto"/>
            <w:vAlign w:val="center"/>
          </w:tcPr>
          <w:p>
            <w:pPr>
              <w:pStyle w:val="8"/>
              <w:bidi w:val="0"/>
            </w:pPr>
            <w:r>
              <w:rPr>
                <w:rFonts w:hint="eastAsia"/>
              </w:rPr>
              <w:t>所在地</w:t>
            </w:r>
          </w:p>
        </w:tc>
        <w:tc>
          <w:tcPr>
            <w:tcW w:w="918" w:type="dxa"/>
            <w:vMerge w:val="restart"/>
            <w:shd w:val="clear" w:color="auto" w:fill="auto"/>
            <w:vAlign w:val="center"/>
          </w:tcPr>
          <w:p>
            <w:pPr>
              <w:pStyle w:val="8"/>
              <w:bidi w:val="0"/>
            </w:pPr>
            <w:r>
              <w:rPr>
                <w:rFonts w:hint="eastAsia"/>
              </w:rPr>
              <w:t>服务城镇</w:t>
            </w:r>
          </w:p>
        </w:tc>
        <w:tc>
          <w:tcPr>
            <w:tcW w:w="1148" w:type="dxa"/>
            <w:vMerge w:val="restart"/>
            <w:shd w:val="clear" w:color="auto" w:fill="auto"/>
            <w:vAlign w:val="center"/>
          </w:tcPr>
          <w:p>
            <w:pPr>
              <w:pStyle w:val="8"/>
              <w:bidi w:val="0"/>
            </w:pPr>
            <w:r>
              <w:rPr>
                <w:rFonts w:hint="eastAsia"/>
              </w:rPr>
              <w:t>保护级别</w:t>
            </w:r>
          </w:p>
        </w:tc>
        <w:tc>
          <w:tcPr>
            <w:tcW w:w="4632" w:type="dxa"/>
            <w:gridSpan w:val="2"/>
            <w:vMerge w:val="restart"/>
            <w:shd w:val="clear" w:color="auto" w:fill="auto"/>
            <w:vAlign w:val="center"/>
          </w:tcPr>
          <w:p>
            <w:pPr>
              <w:pStyle w:val="8"/>
              <w:bidi w:val="0"/>
            </w:pPr>
            <w:r>
              <w:rPr>
                <w:rFonts w:hint="eastAsia"/>
              </w:rPr>
              <w:t>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106" w:type="dxa"/>
            <w:vMerge w:val="continue"/>
            <w:vAlign w:val="center"/>
          </w:tcPr>
          <w:p>
            <w:pPr>
              <w:pStyle w:val="8"/>
              <w:bidi w:val="0"/>
            </w:pPr>
          </w:p>
        </w:tc>
        <w:tc>
          <w:tcPr>
            <w:tcW w:w="833" w:type="dxa"/>
            <w:vMerge w:val="continue"/>
            <w:vAlign w:val="center"/>
          </w:tcPr>
          <w:p>
            <w:pPr>
              <w:pStyle w:val="8"/>
              <w:bidi w:val="0"/>
            </w:pPr>
          </w:p>
        </w:tc>
        <w:tc>
          <w:tcPr>
            <w:tcW w:w="918" w:type="dxa"/>
            <w:vMerge w:val="continue"/>
            <w:vAlign w:val="center"/>
          </w:tcPr>
          <w:p>
            <w:pPr>
              <w:pStyle w:val="8"/>
              <w:bidi w:val="0"/>
            </w:pPr>
          </w:p>
        </w:tc>
        <w:tc>
          <w:tcPr>
            <w:tcW w:w="1148" w:type="dxa"/>
            <w:vMerge w:val="continue"/>
            <w:vAlign w:val="center"/>
          </w:tcPr>
          <w:p>
            <w:pPr>
              <w:pStyle w:val="8"/>
              <w:bidi w:val="0"/>
            </w:pPr>
          </w:p>
        </w:tc>
        <w:tc>
          <w:tcPr>
            <w:tcW w:w="4632" w:type="dxa"/>
            <w:gridSpan w:val="2"/>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blHeader/>
          <w:jc w:val="center"/>
        </w:trPr>
        <w:tc>
          <w:tcPr>
            <w:tcW w:w="1106" w:type="dxa"/>
            <w:vMerge w:val="continue"/>
            <w:shd w:val="clear" w:color="auto" w:fill="auto"/>
            <w:vAlign w:val="center"/>
          </w:tcPr>
          <w:p>
            <w:pPr>
              <w:pStyle w:val="8"/>
              <w:bidi w:val="0"/>
            </w:pPr>
          </w:p>
        </w:tc>
        <w:tc>
          <w:tcPr>
            <w:tcW w:w="833" w:type="dxa"/>
            <w:vMerge w:val="continue"/>
            <w:shd w:val="clear" w:color="auto" w:fill="auto"/>
            <w:vAlign w:val="center"/>
          </w:tcPr>
          <w:p>
            <w:pPr>
              <w:pStyle w:val="8"/>
              <w:bidi w:val="0"/>
            </w:pPr>
          </w:p>
        </w:tc>
        <w:tc>
          <w:tcPr>
            <w:tcW w:w="918" w:type="dxa"/>
            <w:vMerge w:val="continue"/>
            <w:shd w:val="clear" w:color="auto" w:fill="auto"/>
            <w:vAlign w:val="center"/>
          </w:tcPr>
          <w:p>
            <w:pPr>
              <w:pStyle w:val="8"/>
              <w:bidi w:val="0"/>
            </w:pPr>
          </w:p>
        </w:tc>
        <w:tc>
          <w:tcPr>
            <w:tcW w:w="1148" w:type="dxa"/>
            <w:vMerge w:val="continue"/>
            <w:shd w:val="clear" w:color="auto" w:fill="auto"/>
            <w:vAlign w:val="center"/>
          </w:tcPr>
          <w:p>
            <w:pPr>
              <w:pStyle w:val="8"/>
              <w:bidi w:val="0"/>
            </w:pPr>
          </w:p>
        </w:tc>
        <w:tc>
          <w:tcPr>
            <w:tcW w:w="2128" w:type="dxa"/>
            <w:shd w:val="clear" w:color="auto" w:fill="auto"/>
            <w:vAlign w:val="center"/>
          </w:tcPr>
          <w:p>
            <w:pPr>
              <w:pStyle w:val="8"/>
              <w:bidi w:val="0"/>
            </w:pPr>
            <w:r>
              <w:rPr>
                <w:rFonts w:hint="eastAsia"/>
              </w:rPr>
              <w:t>水域</w:t>
            </w:r>
          </w:p>
        </w:tc>
        <w:tc>
          <w:tcPr>
            <w:tcW w:w="2504" w:type="dxa"/>
            <w:shd w:val="clear" w:color="auto" w:fill="auto"/>
            <w:vAlign w:val="center"/>
          </w:tcPr>
          <w:p>
            <w:pPr>
              <w:pStyle w:val="8"/>
              <w:bidi w:val="0"/>
            </w:pPr>
            <w:r>
              <w:rPr>
                <w:rFonts w:hint="eastAsia"/>
              </w:rPr>
              <w:t>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06" w:type="dxa"/>
            <w:vMerge w:val="restart"/>
            <w:shd w:val="clear" w:color="auto" w:fill="auto"/>
            <w:vAlign w:val="center"/>
          </w:tcPr>
          <w:p>
            <w:pPr>
              <w:pStyle w:val="8"/>
              <w:bidi w:val="0"/>
            </w:pPr>
            <w:r>
              <w:rPr>
                <w:rFonts w:hint="eastAsia"/>
                <w:lang w:eastAsia="zh-CN"/>
              </w:rPr>
              <w:t>大洼水厂</w:t>
            </w:r>
            <w:r>
              <w:rPr>
                <w:rFonts w:hint="eastAsia"/>
              </w:rPr>
              <w:t xml:space="preserve">饮用水水源保护区 </w:t>
            </w:r>
          </w:p>
          <w:p>
            <w:pPr>
              <w:pStyle w:val="8"/>
              <w:bidi w:val="0"/>
            </w:pPr>
          </w:p>
        </w:tc>
        <w:tc>
          <w:tcPr>
            <w:tcW w:w="833" w:type="dxa"/>
            <w:vMerge w:val="restart"/>
            <w:shd w:val="clear" w:color="auto" w:fill="auto"/>
            <w:vAlign w:val="center"/>
          </w:tcPr>
          <w:p>
            <w:pPr>
              <w:pStyle w:val="8"/>
              <w:bidi w:val="0"/>
            </w:pPr>
            <w:r>
              <w:rPr>
                <w:rFonts w:hint="eastAsia"/>
                <w:lang w:eastAsia="zh-CN"/>
              </w:rPr>
              <w:t>津市</w:t>
            </w:r>
          </w:p>
        </w:tc>
        <w:tc>
          <w:tcPr>
            <w:tcW w:w="918" w:type="dxa"/>
            <w:vMerge w:val="restart"/>
            <w:shd w:val="clear" w:color="auto" w:fill="auto"/>
            <w:vAlign w:val="center"/>
          </w:tcPr>
          <w:p>
            <w:pPr>
              <w:pStyle w:val="8"/>
              <w:bidi w:val="0"/>
            </w:pPr>
            <w:r>
              <w:rPr>
                <w:rFonts w:hint="eastAsia"/>
              </w:rPr>
              <w:t>澧水干流</w:t>
            </w:r>
          </w:p>
        </w:tc>
        <w:tc>
          <w:tcPr>
            <w:tcW w:w="1148" w:type="dxa"/>
            <w:shd w:val="clear" w:color="auto" w:fill="auto"/>
            <w:vAlign w:val="center"/>
          </w:tcPr>
          <w:p>
            <w:pPr>
              <w:pStyle w:val="8"/>
              <w:bidi w:val="0"/>
            </w:pPr>
            <w:r>
              <w:rPr>
                <w:rFonts w:hint="eastAsia"/>
              </w:rPr>
              <w:t>一级</w:t>
            </w:r>
          </w:p>
        </w:tc>
        <w:tc>
          <w:tcPr>
            <w:tcW w:w="2128" w:type="dxa"/>
            <w:shd w:val="clear" w:color="auto" w:fill="auto"/>
            <w:vAlign w:val="center"/>
          </w:tcPr>
          <w:p>
            <w:pPr>
              <w:pStyle w:val="8"/>
              <w:bidi w:val="0"/>
            </w:pPr>
            <w:r>
              <w:rPr>
                <w:rFonts w:hint="eastAsia"/>
              </w:rPr>
              <w:t>一级保护区水域为大洼水厂取水口上游1000米至取水口下游100米范围5年一遇洪水淹没区。 </w:t>
            </w:r>
          </w:p>
        </w:tc>
        <w:tc>
          <w:tcPr>
            <w:tcW w:w="2504" w:type="dxa"/>
            <w:shd w:val="clear" w:color="auto" w:fill="auto"/>
            <w:vAlign w:val="center"/>
          </w:tcPr>
          <w:p>
            <w:pPr>
              <w:pStyle w:val="8"/>
              <w:bidi w:val="0"/>
            </w:pPr>
            <w:r>
              <w:rPr>
                <w:rFonts w:hint="eastAsia"/>
              </w:rPr>
              <w:t>北岸由水域边界纵深延伸至防洪堤顶面，南岸不超过第一重山脊线以内区域。</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06" w:type="dxa"/>
            <w:vMerge w:val="continue"/>
            <w:shd w:val="clear" w:color="auto" w:fill="auto"/>
            <w:vAlign w:val="center"/>
          </w:tcPr>
          <w:p>
            <w:pPr>
              <w:pStyle w:val="8"/>
              <w:bidi w:val="0"/>
            </w:pPr>
          </w:p>
        </w:tc>
        <w:tc>
          <w:tcPr>
            <w:tcW w:w="833" w:type="dxa"/>
            <w:vMerge w:val="continue"/>
            <w:shd w:val="clear" w:color="auto" w:fill="auto"/>
            <w:vAlign w:val="center"/>
          </w:tcPr>
          <w:p>
            <w:pPr>
              <w:pStyle w:val="8"/>
              <w:bidi w:val="0"/>
            </w:pPr>
          </w:p>
        </w:tc>
        <w:tc>
          <w:tcPr>
            <w:tcW w:w="918" w:type="dxa"/>
            <w:vMerge w:val="continue"/>
            <w:shd w:val="clear" w:color="auto" w:fill="auto"/>
            <w:vAlign w:val="center"/>
          </w:tcPr>
          <w:p>
            <w:pPr>
              <w:pStyle w:val="8"/>
              <w:bidi w:val="0"/>
            </w:pPr>
          </w:p>
        </w:tc>
        <w:tc>
          <w:tcPr>
            <w:tcW w:w="1148" w:type="dxa"/>
            <w:shd w:val="clear" w:color="auto" w:fill="auto"/>
            <w:vAlign w:val="center"/>
          </w:tcPr>
          <w:p>
            <w:pPr>
              <w:pStyle w:val="8"/>
              <w:bidi w:val="0"/>
            </w:pPr>
            <w:r>
              <w:rPr>
                <w:rFonts w:hint="eastAsia"/>
              </w:rPr>
              <w:t>二级</w:t>
            </w:r>
          </w:p>
        </w:tc>
        <w:tc>
          <w:tcPr>
            <w:tcW w:w="2128" w:type="dxa"/>
            <w:shd w:val="clear" w:color="auto" w:fill="auto"/>
            <w:vAlign w:val="center"/>
          </w:tcPr>
          <w:p>
            <w:pPr>
              <w:pStyle w:val="8"/>
              <w:bidi w:val="0"/>
              <w:rPr>
                <w:rFonts w:hint="eastAsia"/>
              </w:rPr>
            </w:pPr>
            <w:r>
              <w:rPr>
                <w:rFonts w:hint="eastAsia"/>
              </w:rPr>
              <w:t>澧水：一级保护区水域上游边界向上</w:t>
            </w:r>
          </w:p>
          <w:p>
            <w:pPr>
              <w:pStyle w:val="8"/>
              <w:bidi w:val="0"/>
            </w:pPr>
            <w:r>
              <w:rPr>
                <w:rFonts w:hint="eastAsia"/>
              </w:rPr>
              <w:t>游延伸2000 米为界，一级保护区水域下游边界向下游延伸200 米为界。道水：由道水入澧水河口向上延伸2000米范围。10年一遇洪水淹没区。</w:t>
            </w:r>
            <w:r>
              <w:t xml:space="preserve"> </w:t>
            </w:r>
          </w:p>
          <w:p>
            <w:pPr>
              <w:pStyle w:val="8"/>
              <w:bidi w:val="0"/>
            </w:pPr>
          </w:p>
        </w:tc>
        <w:tc>
          <w:tcPr>
            <w:tcW w:w="2504" w:type="dxa"/>
            <w:shd w:val="clear" w:color="auto" w:fill="auto"/>
            <w:vAlign w:val="center"/>
          </w:tcPr>
          <w:p>
            <w:pPr>
              <w:pStyle w:val="8"/>
              <w:bidi w:val="0"/>
            </w:pPr>
            <w:r>
              <w:rPr>
                <w:rFonts w:hint="eastAsia"/>
              </w:rPr>
              <w:t>有防洪堤部分以防洪堤顶面为界，无防洪堤部分以山脊线或道路等具有分水功能的地貌为界。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06" w:type="dxa"/>
            <w:vMerge w:val="restart"/>
            <w:shd w:val="clear" w:color="auto" w:fill="auto"/>
            <w:vAlign w:val="center"/>
          </w:tcPr>
          <w:p>
            <w:pPr>
              <w:pStyle w:val="8"/>
              <w:bidi w:val="0"/>
              <w:rPr>
                <w:rFonts w:hint="eastAsia" w:eastAsiaTheme="minorEastAsia"/>
                <w:lang w:eastAsia="zh-CN"/>
              </w:rPr>
            </w:pPr>
            <w:r>
              <w:rPr>
                <w:rFonts w:hint="eastAsia"/>
                <w:lang w:eastAsia="zh-CN"/>
              </w:rPr>
              <w:t>桑木峪水库</w:t>
            </w:r>
            <w:r>
              <w:rPr>
                <w:rFonts w:hint="eastAsia"/>
              </w:rPr>
              <w:t>饮用水水源保护区</w:t>
            </w:r>
          </w:p>
        </w:tc>
        <w:tc>
          <w:tcPr>
            <w:tcW w:w="833" w:type="dxa"/>
            <w:vMerge w:val="restart"/>
            <w:shd w:val="clear" w:color="auto" w:fill="auto"/>
            <w:vAlign w:val="center"/>
          </w:tcPr>
          <w:p>
            <w:pPr>
              <w:pStyle w:val="8"/>
              <w:bidi w:val="0"/>
              <w:rPr>
                <w:rFonts w:hint="eastAsia" w:eastAsiaTheme="minorEastAsia"/>
                <w:lang w:eastAsia="zh-CN"/>
              </w:rPr>
            </w:pPr>
            <w:r>
              <w:rPr>
                <w:rFonts w:hint="eastAsia"/>
                <w:lang w:eastAsia="zh-CN"/>
              </w:rPr>
              <w:t>澧县</w:t>
            </w:r>
          </w:p>
        </w:tc>
        <w:tc>
          <w:tcPr>
            <w:tcW w:w="918" w:type="dxa"/>
            <w:vMerge w:val="restart"/>
            <w:shd w:val="clear" w:color="auto" w:fill="auto"/>
            <w:vAlign w:val="center"/>
          </w:tcPr>
          <w:p>
            <w:pPr>
              <w:pStyle w:val="8"/>
              <w:bidi w:val="0"/>
              <w:rPr>
                <w:rFonts w:hint="eastAsia" w:eastAsiaTheme="minorEastAsia"/>
                <w:lang w:eastAsia="zh-CN"/>
              </w:rPr>
            </w:pPr>
            <w:r>
              <w:rPr>
                <w:rFonts w:hint="eastAsia"/>
                <w:lang w:eastAsia="zh-CN"/>
              </w:rPr>
              <w:t>天子山社区等</w:t>
            </w:r>
          </w:p>
        </w:tc>
        <w:tc>
          <w:tcPr>
            <w:tcW w:w="1148" w:type="dxa"/>
            <w:vMerge w:val="restart"/>
            <w:shd w:val="clear" w:color="auto" w:fill="auto"/>
            <w:vAlign w:val="center"/>
          </w:tcPr>
          <w:p>
            <w:pPr>
              <w:pStyle w:val="8"/>
              <w:bidi w:val="0"/>
              <w:rPr>
                <w:rFonts w:hint="eastAsia" w:eastAsiaTheme="minorEastAsia"/>
                <w:lang w:eastAsia="zh-CN"/>
              </w:rPr>
            </w:pPr>
            <w:r>
              <w:rPr>
                <w:rFonts w:hint="eastAsia"/>
                <w:lang w:eastAsia="zh-CN"/>
              </w:rPr>
              <w:t>一级</w:t>
            </w:r>
          </w:p>
        </w:tc>
        <w:tc>
          <w:tcPr>
            <w:tcW w:w="2128" w:type="dxa"/>
            <w:shd w:val="clear" w:color="auto" w:fill="auto"/>
            <w:vAlign w:val="center"/>
          </w:tcPr>
          <w:p>
            <w:pPr>
              <w:pStyle w:val="8"/>
              <w:bidi w:val="0"/>
              <w:rPr>
                <w:rFonts w:hint="default" w:eastAsiaTheme="minorEastAsia"/>
                <w:lang w:val="en-US" w:eastAsia="zh-CN"/>
              </w:rPr>
            </w:pPr>
            <w:r>
              <w:rPr>
                <w:rFonts w:hint="eastAsia"/>
                <w:lang w:eastAsia="zh-CN"/>
              </w:rPr>
              <w:t>正常水位下的全部水域范围，面积为</w:t>
            </w:r>
            <w:r>
              <w:rPr>
                <w:rFonts w:hint="eastAsia"/>
                <w:lang w:val="en-US" w:eastAsia="zh-CN"/>
              </w:rPr>
              <w:t>22592m</w:t>
            </w:r>
            <w:r>
              <w:rPr>
                <w:rFonts w:hint="eastAsia"/>
                <w:vertAlign w:val="superscript"/>
                <w:lang w:val="en-US" w:eastAsia="zh-CN"/>
              </w:rPr>
              <w:t>2</w:t>
            </w:r>
          </w:p>
        </w:tc>
        <w:tc>
          <w:tcPr>
            <w:tcW w:w="2504" w:type="dxa"/>
            <w:shd w:val="clear" w:color="auto" w:fill="auto"/>
            <w:vAlign w:val="center"/>
          </w:tcPr>
          <w:p>
            <w:pPr>
              <w:pStyle w:val="8"/>
              <w:bidi w:val="0"/>
              <w:rPr>
                <w:rFonts w:hint="default" w:eastAsiaTheme="minorEastAsia"/>
                <w:lang w:val="en-US" w:eastAsia="zh-CN"/>
              </w:rPr>
            </w:pPr>
            <w:r>
              <w:rPr>
                <w:rFonts w:hint="eastAsia"/>
                <w:lang w:val="en-US" w:eastAsia="zh-CN"/>
              </w:rPr>
              <w:t>水域范围正常水位线以上200m的范围，不超过分水岭，面积为147466m</w:t>
            </w:r>
            <w:r>
              <w:rPr>
                <w:rFonts w:hint="eastAsia"/>
                <w:vertAlign w:val="superscript"/>
                <w:lang w:val="en-US" w:eastAsia="zh-CN"/>
              </w:rPr>
              <w:t>2</w:t>
            </w:r>
            <w:r>
              <w:rPr>
                <w:rFonts w:hint="eastAsia"/>
                <w:lang w:val="en-US" w:eastAsia="zh-CN"/>
              </w:rPr>
              <w:t>，分布在英溪村、临澧县杨板乡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06" w:type="dxa"/>
            <w:vMerge w:val="continue"/>
            <w:shd w:val="clear" w:color="auto" w:fill="auto"/>
            <w:vAlign w:val="center"/>
          </w:tcPr>
          <w:p>
            <w:pPr>
              <w:pStyle w:val="8"/>
              <w:bidi w:val="0"/>
              <w:rPr>
                <w:rFonts w:hint="eastAsia"/>
                <w:lang w:eastAsia="zh-CN"/>
              </w:rPr>
            </w:pPr>
          </w:p>
        </w:tc>
        <w:tc>
          <w:tcPr>
            <w:tcW w:w="833" w:type="dxa"/>
            <w:vMerge w:val="continue"/>
            <w:shd w:val="clear" w:color="auto" w:fill="auto"/>
            <w:vAlign w:val="center"/>
          </w:tcPr>
          <w:p>
            <w:pPr>
              <w:pStyle w:val="8"/>
              <w:bidi w:val="0"/>
              <w:rPr>
                <w:rFonts w:hint="eastAsia"/>
                <w:lang w:eastAsia="zh-CN"/>
              </w:rPr>
            </w:pPr>
          </w:p>
        </w:tc>
        <w:tc>
          <w:tcPr>
            <w:tcW w:w="918" w:type="dxa"/>
            <w:vMerge w:val="continue"/>
            <w:shd w:val="clear" w:color="auto" w:fill="auto"/>
            <w:vAlign w:val="center"/>
          </w:tcPr>
          <w:p>
            <w:pPr>
              <w:pStyle w:val="8"/>
              <w:bidi w:val="0"/>
              <w:rPr>
                <w:rFonts w:hint="eastAsia"/>
                <w:lang w:eastAsia="zh-CN"/>
              </w:rPr>
            </w:pPr>
          </w:p>
        </w:tc>
        <w:tc>
          <w:tcPr>
            <w:tcW w:w="1148" w:type="dxa"/>
            <w:vMerge w:val="continue"/>
            <w:shd w:val="clear" w:color="auto" w:fill="auto"/>
            <w:vAlign w:val="center"/>
          </w:tcPr>
          <w:p>
            <w:pPr>
              <w:pStyle w:val="8"/>
              <w:bidi w:val="0"/>
              <w:rPr>
                <w:rFonts w:hint="eastAsia"/>
                <w:lang w:eastAsia="zh-CN"/>
              </w:rPr>
            </w:pPr>
          </w:p>
        </w:tc>
        <w:tc>
          <w:tcPr>
            <w:tcW w:w="2128" w:type="dxa"/>
            <w:shd w:val="clear" w:color="auto" w:fill="auto"/>
            <w:vAlign w:val="center"/>
          </w:tcPr>
          <w:p>
            <w:pPr>
              <w:pStyle w:val="8"/>
              <w:bidi w:val="0"/>
              <w:rPr>
                <w:rFonts w:hint="default"/>
                <w:lang w:val="en-US" w:eastAsia="zh-CN"/>
              </w:rPr>
            </w:pPr>
            <w:r>
              <w:rPr>
                <w:rFonts w:hint="eastAsia"/>
                <w:lang w:val="en-US" w:eastAsia="zh-CN"/>
              </w:rPr>
              <w:t>/</w:t>
            </w:r>
          </w:p>
        </w:tc>
        <w:tc>
          <w:tcPr>
            <w:tcW w:w="2504" w:type="dxa"/>
            <w:shd w:val="clear" w:color="auto" w:fill="auto"/>
            <w:vAlign w:val="center"/>
          </w:tcPr>
          <w:p>
            <w:pPr>
              <w:pStyle w:val="8"/>
              <w:bidi w:val="0"/>
              <w:rPr>
                <w:rFonts w:hint="default"/>
                <w:lang w:val="en-US" w:eastAsia="zh-CN"/>
              </w:rPr>
            </w:pPr>
            <w:r>
              <w:rPr>
                <w:rFonts w:hint="eastAsia"/>
                <w:lang w:val="en-US" w:eastAsia="zh-CN"/>
              </w:rPr>
              <w:t>集雨区范围内处一级保护区以外的所有陆域面积为629944m</w:t>
            </w:r>
            <w:r>
              <w:rPr>
                <w:rFonts w:hint="eastAsia"/>
                <w:vertAlign w:val="superscript"/>
                <w:lang w:val="en-US" w:eastAsia="zh-CN"/>
              </w:rPr>
              <w:t>2</w:t>
            </w:r>
            <w:r>
              <w:rPr>
                <w:rFonts w:hint="eastAsia"/>
                <w:lang w:val="en-US" w:eastAsia="zh-CN"/>
              </w:rPr>
              <w:t>，分布在英溪村、临澧县杨板乡</w:t>
            </w:r>
          </w:p>
        </w:tc>
      </w:tr>
    </w:tbl>
    <w:p>
      <w:pPr>
        <w:bidi w:val="0"/>
        <w:rPr>
          <w:rFonts w:hint="default"/>
          <w:lang w:val="en-US" w:eastAsia="zh-CN"/>
        </w:rPr>
      </w:pPr>
      <w:r>
        <w:rPr>
          <w:rFonts w:hint="eastAsia"/>
        </w:rPr>
        <w:t>本项目与上述饮用水源保护区的位置关系见附图。综上分析，本项目养殖场不在上述饮用水水源保护区范围内</w:t>
      </w:r>
      <w:r>
        <w:rPr>
          <w:rFonts w:hint="eastAsia"/>
          <w:lang w:eastAsia="zh-CN"/>
        </w:rPr>
        <w:t>，距离水源保护区最近约</w:t>
      </w:r>
      <w:r>
        <w:rPr>
          <w:rFonts w:hint="eastAsia"/>
          <w:lang w:val="en-US" w:eastAsia="zh-CN"/>
        </w:rPr>
        <w:t>502m</w:t>
      </w:r>
      <w:r>
        <w:rPr>
          <w:rFonts w:hint="eastAsia"/>
        </w:rPr>
        <w:t>。</w:t>
      </w:r>
    </w:p>
    <w:p>
      <w:r>
        <w:rPr>
          <w:rFonts w:hint="eastAsia"/>
        </w:rPr>
        <w:t>（</w:t>
      </w:r>
      <w:r>
        <w:rPr>
          <w:rFonts w:hint="eastAsia"/>
          <w:lang w:val="en-US" w:eastAsia="zh-CN"/>
        </w:rPr>
        <w:t>2</w:t>
      </w:r>
      <w:r>
        <w:rPr>
          <w:rFonts w:hint="eastAsia"/>
        </w:rPr>
        <w:t>）正常情况下水环境影响分析</w:t>
      </w:r>
    </w:p>
    <w:p>
      <w:r>
        <w:rPr>
          <w:rFonts w:hint="eastAsia"/>
        </w:rPr>
        <w:t>本项目养殖场均实施了雨污分流，猪尿与冲洗废水均一并</w:t>
      </w:r>
      <w:r>
        <w:rPr>
          <w:rFonts w:hint="eastAsia"/>
          <w:lang w:val="en-US" w:eastAsia="zh-CN"/>
        </w:rPr>
        <w:t>进入</w:t>
      </w:r>
      <w:r>
        <w:rPr>
          <w:rFonts w:hint="eastAsia"/>
          <w:lang w:eastAsia="zh-CN"/>
        </w:rPr>
        <w:t>厌氧发酵</w:t>
      </w:r>
      <w:r>
        <w:rPr>
          <w:rFonts w:hint="eastAsia"/>
          <w:lang w:val="en-US" w:eastAsia="zh-CN"/>
        </w:rPr>
        <w:t>+AO组合池废水处理</w:t>
      </w:r>
      <w:r>
        <w:rPr>
          <w:rFonts w:hint="eastAsia"/>
          <w:lang w:eastAsia="zh-CN"/>
        </w:rPr>
        <w:t>系统。</w:t>
      </w:r>
      <w:r>
        <w:rPr>
          <w:rFonts w:hint="eastAsia"/>
        </w:rPr>
        <w:t>厌氧发酵产沼气，沼液经收集池收集后用于周边苗木</w:t>
      </w:r>
      <w:r>
        <w:rPr>
          <w:rFonts w:hint="eastAsia"/>
          <w:lang w:eastAsia="zh-CN"/>
        </w:rPr>
        <w:t>、果树</w:t>
      </w:r>
      <w:r>
        <w:rPr>
          <w:rFonts w:hint="eastAsia"/>
        </w:rPr>
        <w:t>基地施肥使用，养殖废水不外排</w:t>
      </w:r>
      <w:r>
        <w:t>。</w:t>
      </w:r>
      <w:r>
        <w:rPr>
          <w:rFonts w:hint="eastAsia"/>
        </w:rPr>
        <w:t>评价人员对项目养殖区周边进行走访调查，发现项目周边均为低山丘陵，地表水系不发达，没有明显的表面径流，与周边的河流、水库也没有明显的水力联系通道。因此，本项目养殖污水对周边水体水环境影响很小。</w:t>
      </w:r>
    </w:p>
    <w:p>
      <w:pPr>
        <w:rPr>
          <w:rFonts w:hint="eastAsia"/>
          <w:lang w:val="en-US" w:eastAsia="zh-CN"/>
        </w:rPr>
      </w:pPr>
      <w:r>
        <w:rPr>
          <w:rFonts w:hint="eastAsia"/>
        </w:rPr>
        <w:t>本项目在正常情况下</w:t>
      </w:r>
      <w:r>
        <w:rPr>
          <w:rFonts w:hint="eastAsia"/>
          <w:lang w:eastAsia="zh-CN"/>
        </w:rPr>
        <w:t>尿</w:t>
      </w:r>
      <w:r>
        <w:rPr>
          <w:rFonts w:hint="eastAsia"/>
        </w:rPr>
        <w:t>污经发酵后的沼液全部还田作为农肥使用，污水不外排</w:t>
      </w:r>
      <w:r>
        <w:rPr>
          <w:rFonts w:hint="eastAsia"/>
          <w:lang w:eastAsia="zh-CN"/>
        </w:rPr>
        <w:t>。</w:t>
      </w:r>
      <w:r>
        <w:rPr>
          <w:rFonts w:hint="eastAsia" w:ascii="Times New Roman" w:hAnsi="Times New Roman" w:cs="Times New Roman"/>
        </w:rPr>
        <w:t>周边地表水系</w:t>
      </w:r>
      <w:r>
        <w:rPr>
          <w:rFonts w:hint="eastAsia" w:cs="Times New Roman"/>
          <w:lang w:eastAsia="zh-CN"/>
        </w:rPr>
        <w:t>主要为北侧的道水支流和东侧的道水，直线距离分别为</w:t>
      </w:r>
      <w:r>
        <w:rPr>
          <w:rFonts w:hint="eastAsia" w:cs="Times New Roman"/>
          <w:lang w:val="en-US" w:eastAsia="zh-CN"/>
        </w:rPr>
        <w:t>420m、2500m。项目所在地东南侧502m处的桑木峪水库设立了饮用水源保护区，</w:t>
      </w:r>
      <w:r>
        <w:rPr>
          <w:rFonts w:hint="eastAsia"/>
        </w:rPr>
        <w:t>项目区域不属于饮用水源保护区的集雨范围。</w:t>
      </w:r>
    </w:p>
    <w:p>
      <w:r>
        <w:rPr>
          <w:rFonts w:hint="eastAsia"/>
        </w:rPr>
        <w:t>（</w:t>
      </w:r>
      <w:r>
        <w:rPr>
          <w:rFonts w:hint="eastAsia"/>
          <w:lang w:val="en-US" w:eastAsia="zh-CN"/>
        </w:rPr>
        <w:t>3</w:t>
      </w:r>
      <w:r>
        <w:rPr>
          <w:rFonts w:hint="eastAsia"/>
        </w:rPr>
        <w:t>）非正常排污影响分析</w:t>
      </w:r>
    </w:p>
    <w:p>
      <w:pPr>
        <w:rPr>
          <w:rFonts w:hint="eastAsia"/>
          <w:lang w:eastAsia="zh-CN"/>
        </w:rPr>
      </w:pPr>
      <w:bookmarkStart w:id="401" w:name="_Hlk486193060"/>
      <w:r>
        <w:t>非正常情况</w:t>
      </w:r>
      <w:r>
        <w:rPr>
          <w:rFonts w:hint="eastAsia"/>
        </w:rPr>
        <w:t>下，</w:t>
      </w:r>
      <w:r>
        <w:rPr>
          <w:rFonts w:hint="eastAsia"/>
          <w:lang w:eastAsia="zh-CN"/>
        </w:rPr>
        <w:t>分为两种情况进行分析，一种情况为异常情况，即半失效情况下，一种情况为极端情况，完全失效情况下：</w:t>
      </w:r>
    </w:p>
    <w:p>
      <w:pPr>
        <w:rPr>
          <w:rFonts w:hint="eastAsia"/>
          <w:lang w:eastAsia="zh-CN"/>
        </w:rPr>
      </w:pPr>
      <w:r>
        <w:rPr>
          <w:rFonts w:hint="default"/>
          <w:lang w:val="en-US" w:eastAsia="zh-CN"/>
        </w:rPr>
        <w:t>①</w:t>
      </w:r>
      <w:r>
        <w:rPr>
          <w:rFonts w:hint="eastAsia"/>
        </w:rPr>
        <w:t>若</w:t>
      </w:r>
      <w:r>
        <w:rPr>
          <w:rFonts w:hint="eastAsia"/>
          <w:lang w:eastAsia="zh-CN"/>
        </w:rPr>
        <w:t>在连续的雨季情况下或者厌氧罐异常的情况下，</w:t>
      </w:r>
      <w:r>
        <w:t>项目</w:t>
      </w:r>
      <w:r>
        <w:rPr>
          <w:rFonts w:hint="eastAsia"/>
        </w:rPr>
        <w:t>沼液</w:t>
      </w:r>
      <w:r>
        <w:rPr>
          <w:rFonts w:hint="eastAsia"/>
          <w:lang w:eastAsia="zh-CN"/>
        </w:rPr>
        <w:t>及污水</w:t>
      </w:r>
      <w:r>
        <w:t>未经</w:t>
      </w:r>
      <w:r>
        <w:rPr>
          <w:rFonts w:hint="eastAsia"/>
        </w:rPr>
        <w:t>经有效收集而外泄，首先会流入</w:t>
      </w:r>
      <w:r>
        <w:rPr>
          <w:rFonts w:hint="eastAsia"/>
          <w:lang w:eastAsia="zh-CN"/>
        </w:rPr>
        <w:t>周边灌溉水渠</w:t>
      </w:r>
      <w:r>
        <w:rPr>
          <w:rFonts w:hint="eastAsia"/>
        </w:rPr>
        <w:t>中，对</w:t>
      </w:r>
      <w:r>
        <w:rPr>
          <w:rFonts w:hint="eastAsia"/>
          <w:lang w:eastAsia="zh-CN"/>
        </w:rPr>
        <w:t>灌溉水渠</w:t>
      </w:r>
      <w:r>
        <w:rPr>
          <w:rFonts w:hint="eastAsia"/>
        </w:rPr>
        <w:t>水质造成严重污染</w:t>
      </w:r>
      <w:r>
        <w:t>，</w:t>
      </w:r>
      <w:r>
        <w:rPr>
          <w:rFonts w:hint="eastAsia"/>
        </w:rPr>
        <w:t>一方面影响</w:t>
      </w:r>
      <w:r>
        <w:rPr>
          <w:rFonts w:hint="eastAsia"/>
          <w:lang w:eastAsia="zh-CN"/>
        </w:rPr>
        <w:t>灌溉水渠</w:t>
      </w:r>
      <w:r>
        <w:rPr>
          <w:rFonts w:hint="eastAsia"/>
        </w:rPr>
        <w:t>水质，进入</w:t>
      </w:r>
      <w:r>
        <w:t>影响</w:t>
      </w:r>
      <w:r>
        <w:rPr>
          <w:rFonts w:hint="eastAsia"/>
        </w:rPr>
        <w:t>附近弄</w:t>
      </w:r>
      <w:r>
        <w:t>作物的生长成熟。</w:t>
      </w:r>
      <w:r>
        <w:rPr>
          <w:rFonts w:hint="eastAsia" w:cs="Times New Roman"/>
          <w:lang w:eastAsia="zh-CN"/>
        </w:rPr>
        <w:t>灌溉水渠的水进入道水</w:t>
      </w:r>
      <w:r>
        <w:rPr>
          <w:rFonts w:hint="eastAsia"/>
        </w:rPr>
        <w:t>，</w:t>
      </w:r>
      <w:r>
        <w:rPr>
          <w:rFonts w:hint="eastAsia"/>
          <w:lang w:eastAsia="zh-CN"/>
        </w:rPr>
        <w:t>会</w:t>
      </w:r>
      <w:r>
        <w:rPr>
          <w:rFonts w:hint="eastAsia"/>
        </w:rPr>
        <w:t>对</w:t>
      </w:r>
      <w:r>
        <w:rPr>
          <w:rFonts w:hint="eastAsia"/>
          <w:lang w:eastAsia="zh-CN"/>
        </w:rPr>
        <w:t>周边</w:t>
      </w:r>
      <w:r>
        <w:rPr>
          <w:rFonts w:hint="eastAsia"/>
        </w:rPr>
        <w:t>水质造成局部的严重污染影响</w:t>
      </w:r>
      <w:r>
        <w:rPr>
          <w:rFonts w:hint="eastAsia"/>
          <w:lang w:eastAsia="zh-CN"/>
        </w:rPr>
        <w:t>。</w:t>
      </w:r>
    </w:p>
    <w:p>
      <w:pPr>
        <w:rPr>
          <w:rFonts w:hint="eastAsia"/>
        </w:rPr>
      </w:pPr>
      <w:r>
        <w:rPr>
          <w:rFonts w:hint="eastAsia"/>
        </w:rPr>
        <w:t>沼液</w:t>
      </w:r>
      <w:r>
        <w:rPr>
          <w:rFonts w:hint="eastAsia"/>
          <w:lang w:eastAsia="zh-CN"/>
        </w:rPr>
        <w:t>无法利用</w:t>
      </w:r>
      <w:r>
        <w:rPr>
          <w:rFonts w:hint="eastAsia"/>
          <w:lang w:val="en-US" w:eastAsia="zh-CN"/>
        </w:rPr>
        <w:t>时</w:t>
      </w:r>
      <w:r>
        <w:rPr>
          <w:rFonts w:hint="eastAsia"/>
        </w:rPr>
        <w:t>，</w:t>
      </w:r>
      <w:r>
        <w:t>建设单位</w:t>
      </w:r>
      <w:r>
        <w:rPr>
          <w:rFonts w:hint="eastAsia"/>
        </w:rPr>
        <w:t>应迅速启动突发环境事件应急预案</w:t>
      </w:r>
      <w:r>
        <w:t>，</w:t>
      </w:r>
      <w:r>
        <w:rPr>
          <w:rFonts w:hint="eastAsia"/>
        </w:rPr>
        <w:t>一旦发生沼液外泄</w:t>
      </w:r>
      <w:r>
        <w:rPr>
          <w:rFonts w:hint="eastAsia"/>
          <w:lang w:eastAsia="zh-CN"/>
        </w:rPr>
        <w:t>或无法再利用的</w:t>
      </w:r>
      <w:r>
        <w:rPr>
          <w:rFonts w:hint="eastAsia"/>
        </w:rPr>
        <w:t>事件，应及时农灌渠下游适当位置采取截留措施，出动公司的运输沼液罐车及时进行收集</w:t>
      </w:r>
      <w:r>
        <w:rPr>
          <w:rFonts w:hint="eastAsia"/>
          <w:lang w:eastAsia="zh-CN"/>
        </w:rPr>
        <w:t>进入</w:t>
      </w:r>
      <w:r>
        <w:rPr>
          <w:rFonts w:hint="eastAsia"/>
          <w:lang w:val="en-US" w:eastAsia="zh-CN"/>
        </w:rPr>
        <w:t>沼液储存池</w:t>
      </w:r>
      <w:r>
        <w:rPr>
          <w:rFonts w:hint="eastAsia"/>
        </w:rPr>
        <w:t>，防止高浓度有机废水汇入</w:t>
      </w:r>
      <w:r>
        <w:rPr>
          <w:rFonts w:hint="eastAsia"/>
          <w:lang w:eastAsia="zh-CN"/>
        </w:rPr>
        <w:t>道水</w:t>
      </w:r>
      <w:r>
        <w:rPr>
          <w:rFonts w:hint="eastAsia"/>
        </w:rPr>
        <w:t>流入</w:t>
      </w:r>
      <w:r>
        <w:rPr>
          <w:rFonts w:hint="eastAsia"/>
          <w:lang w:eastAsia="zh-CN"/>
        </w:rPr>
        <w:t>澧水</w:t>
      </w:r>
      <w:r>
        <w:t>，</w:t>
      </w:r>
      <w:r>
        <w:rPr>
          <w:rFonts w:hint="eastAsia"/>
        </w:rPr>
        <w:t>如此，</w:t>
      </w:r>
      <w:r>
        <w:rPr>
          <w:rFonts w:hint="eastAsia"/>
          <w:lang w:eastAsia="zh-CN"/>
        </w:rPr>
        <w:t>减少废水外排对河流</w:t>
      </w:r>
      <w:r>
        <w:rPr>
          <w:rFonts w:hint="eastAsia"/>
        </w:rPr>
        <w:t>水质影响较小。</w:t>
      </w:r>
    </w:p>
    <w:p>
      <w:pPr>
        <w:rPr>
          <w:rFonts w:hint="default"/>
          <w:lang w:val="en-US" w:eastAsia="zh-CN"/>
        </w:rPr>
      </w:pPr>
      <w:r>
        <w:rPr>
          <w:rFonts w:hint="eastAsia"/>
          <w:lang w:eastAsia="zh-CN"/>
        </w:rPr>
        <w:t>因此，项目废水在采取适当的措施后，对地表水体水质影响均较小。</w:t>
      </w:r>
    </w:p>
    <w:bookmarkEnd w:id="400"/>
    <w:bookmarkEnd w:id="401"/>
    <w:p>
      <w:pPr>
        <w:pStyle w:val="5"/>
        <w:bidi w:val="0"/>
      </w:pPr>
      <w:bookmarkStart w:id="402" w:name="_Toc468689196"/>
      <w:r>
        <w:t>地下水环境影响分析</w:t>
      </w:r>
      <w:bookmarkEnd w:id="402"/>
    </w:p>
    <w:p>
      <w:r>
        <w:rPr>
          <w:rFonts w:hint="eastAsia"/>
        </w:rPr>
        <w:t>（</w:t>
      </w:r>
      <w:r>
        <w:t>1</w:t>
      </w:r>
      <w:r>
        <w:rPr>
          <w:rFonts w:hint="eastAsia"/>
        </w:rPr>
        <w:t>）地下水污染途径分析</w:t>
      </w:r>
    </w:p>
    <w:p>
      <w:r>
        <w:rPr>
          <w:rFonts w:hint="eastAsia"/>
        </w:rPr>
        <w:t>本项目产生的养殖污水对地下水的污染途径主要来自厂区养殖区、集污池、</w:t>
      </w:r>
      <w:r>
        <w:rPr>
          <w:rFonts w:hint="eastAsia"/>
          <w:lang w:eastAsia="zh-CN"/>
        </w:rPr>
        <w:t>堆粪棚</w:t>
      </w:r>
      <w:r>
        <w:rPr>
          <w:rFonts w:hint="eastAsia"/>
        </w:rPr>
        <w:t>以及粪污管道等跑、冒、滴、漏，导致粪污水经土层入渗，污染地下水。</w:t>
      </w:r>
    </w:p>
    <w:p>
      <w:r>
        <w:rPr>
          <w:rFonts w:hint="eastAsia"/>
        </w:rPr>
        <w:t>（</w:t>
      </w:r>
      <w:r>
        <w:t>2</w:t>
      </w:r>
      <w:r>
        <w:rPr>
          <w:rFonts w:hint="eastAsia"/>
        </w:rPr>
        <w:t>）地下水影响分析</w:t>
      </w:r>
    </w:p>
    <w:p>
      <w:r>
        <w:rPr>
          <w:rFonts w:hint="eastAsia"/>
        </w:rPr>
        <w:t>由于项目建设，原本的土地面被硬化，增大了地面的地表径流系数，同样使下渗的地下补充水有一定量的减少，但该区域内降雨量丰富，被硬化的土地面积较小，不会对地下水水量造成明显影响。</w:t>
      </w:r>
    </w:p>
    <w:p>
      <w:r>
        <w:rPr>
          <w:rFonts w:hint="eastAsia"/>
        </w:rPr>
        <w:t>本项目无养殖废水外排。每栋猪舍均为</w:t>
      </w:r>
      <w:r>
        <w:rPr>
          <w:rFonts w:hint="eastAsia"/>
          <w:lang w:eastAsia="zh-CN"/>
        </w:rPr>
        <w:t>两</w:t>
      </w:r>
      <w:r>
        <w:rPr>
          <w:rFonts w:hint="eastAsia"/>
        </w:rPr>
        <w:t>层结构，地上一层为猪舍，猪舍水泥漏缝下面为刮粪池，均用混凝土修建</w:t>
      </w:r>
      <w:r>
        <w:t>。集污池体出现开裂和破损、粪污输送管道老化破裂、粪污输送渠道开裂、破损以及生物发酵床池体出现裂缝等情况，将导致养殖废水的非正常排放，粪污水直接入渗地下，从而对地下水质产生不利影响。</w:t>
      </w:r>
    </w:p>
    <w:p>
      <w:r>
        <w:t>本项目粪便污水等经</w:t>
      </w:r>
      <w:r>
        <w:rPr>
          <w:rFonts w:hint="eastAsia"/>
          <w:lang w:eastAsia="zh-CN"/>
        </w:rPr>
        <w:t>厌氧发酵</w:t>
      </w:r>
      <w:r>
        <w:rPr>
          <w:rFonts w:hint="eastAsia"/>
          <w:lang w:val="en-US" w:eastAsia="zh-CN"/>
        </w:rPr>
        <w:t>+AO组合池废水处理</w:t>
      </w:r>
      <w:r>
        <w:rPr>
          <w:rFonts w:hint="eastAsia"/>
          <w:lang w:eastAsia="zh-CN"/>
        </w:rPr>
        <w:t>系统</w:t>
      </w:r>
      <w:r>
        <w:rPr>
          <w:rFonts w:hint="eastAsia"/>
          <w:lang w:val="en-US" w:eastAsia="zh-CN"/>
        </w:rPr>
        <w:t>处理</w:t>
      </w:r>
      <w:r>
        <w:t>后的沼液全部就</w:t>
      </w:r>
      <w:r>
        <w:rPr>
          <w:rFonts w:hint="eastAsia"/>
          <w:lang w:val="en-US" w:eastAsia="zh-CN"/>
        </w:rPr>
        <w:t>用于</w:t>
      </w:r>
      <w:r>
        <w:rPr>
          <w:rFonts w:hint="eastAsia"/>
          <w:lang w:eastAsia="zh-CN"/>
        </w:rPr>
        <w:t>常德华诚现代农业开发有限公司</w:t>
      </w:r>
      <w:r>
        <w:t>还田做农肥使用，无污水外排。据有关资料表明，COD、NH</w:t>
      </w:r>
      <w:r>
        <w:rPr>
          <w:vertAlign w:val="subscript"/>
        </w:rPr>
        <w:t>3</w:t>
      </w:r>
      <w:r>
        <w:t>-N为代表的有机污染物质渗入到地下水体的速度非常缓慢，且在这个过程中98%以上的COD、NH</w:t>
      </w:r>
      <w:r>
        <w:rPr>
          <w:vertAlign w:val="subscript"/>
        </w:rPr>
        <w:t>3</w:t>
      </w:r>
      <w:r>
        <w:t>-N等有机污染物又被土壤的物理和化学吸附作用所截流，因此在沼液还田施肥过程中，进入地下水体的浓度将极大地降低，再加之本项目周边水井极少，当地居民不饮用地下水，所以对地下水环境污染的风险较小。项目粪污处理区按规定进行了防渗处理，可以有效防止污水渗入地下，浇灌过程粪车输送，因而场区污水也不会渗入地下。</w:t>
      </w:r>
    </w:p>
    <w:p>
      <w:r>
        <w:t>因此，必须加强养殖区、集污池、粪污输送管网、生物发酵</w:t>
      </w:r>
      <w:r>
        <w:rPr>
          <w:rFonts w:hint="eastAsia"/>
        </w:rPr>
        <w:t>床池体的防渗，通过强有力的防渗措施可使地下水的影响控制在可接受的范围内。通过调查，评价区域地下水属于上部水量丰富、下部水量中等的双层孔隙承压水的区域，地下水的埋深较深，10m以上，因此，区域地下水受地表水影响较小，受地面渗漏的影响也较小。</w:t>
      </w:r>
      <w:bookmarkStart w:id="403" w:name="_Hlk486193180"/>
      <w:r>
        <w:rPr>
          <w:rFonts w:hint="eastAsia"/>
        </w:rPr>
        <w:t>此外，本项目集污池、</w:t>
      </w:r>
      <w:r>
        <w:rPr>
          <w:rFonts w:hint="eastAsia"/>
          <w:lang w:eastAsia="zh-CN"/>
        </w:rPr>
        <w:t>厌氧罐、沼液池、堆粪棚</w:t>
      </w:r>
      <w:r>
        <w:rPr>
          <w:rFonts w:hint="eastAsia"/>
        </w:rPr>
        <w:t>等按规定进行了相应的防渗处理，防渗等级符合相关标准要求，可以有效防止污水渗入地下，场区污水渗入地下的可能性较小</w:t>
      </w:r>
      <w:bookmarkEnd w:id="403"/>
      <w:r>
        <w:rPr>
          <w:rFonts w:hint="eastAsia"/>
        </w:rPr>
        <w:t>。</w:t>
      </w:r>
    </w:p>
    <w:p>
      <w:pPr>
        <w:pStyle w:val="5"/>
        <w:bidi w:val="0"/>
      </w:pPr>
      <w:bookmarkStart w:id="404" w:name="_Toc468689199"/>
      <w:r>
        <w:t>环境空气影响分析</w:t>
      </w:r>
      <w:bookmarkEnd w:id="404"/>
    </w:p>
    <w:p>
      <w:r>
        <w:rPr>
          <w:rFonts w:hint="eastAsia"/>
        </w:rPr>
        <w:t>本项目运营后，废气排放源主要有猪舍、粪污暂存设施及</w:t>
      </w:r>
      <w:r>
        <w:rPr>
          <w:rFonts w:hint="eastAsia"/>
          <w:lang w:eastAsia="zh-CN"/>
        </w:rPr>
        <w:t>厌氧罐</w:t>
      </w:r>
      <w:r>
        <w:rPr>
          <w:rFonts w:hint="eastAsia"/>
        </w:rPr>
        <w:t>产生的恶臭气体，备用发电机产生的烟气以及食堂产生的油烟等废气</w:t>
      </w:r>
      <w:r>
        <w:t>。</w:t>
      </w:r>
    </w:p>
    <w:p>
      <w:bookmarkStart w:id="405" w:name="_Toc468689200"/>
      <w:r>
        <w:t>(1)</w:t>
      </w:r>
      <w:r>
        <w:rPr>
          <w:rFonts w:hint="eastAsia"/>
        </w:rPr>
        <w:t xml:space="preserve"> 恶臭气体影响分析</w:t>
      </w:r>
    </w:p>
    <w:p>
      <w:r>
        <w:fldChar w:fldCharType="begin"/>
      </w:r>
      <w:r>
        <w:instrText xml:space="preserve"> = 1 \* GB3 </w:instrText>
      </w:r>
      <w:r>
        <w:fldChar w:fldCharType="separate"/>
      </w:r>
      <w:r>
        <w:t>①</w:t>
      </w:r>
      <w:r>
        <w:fldChar w:fldCharType="end"/>
      </w:r>
      <w:r>
        <w:rPr>
          <w:rFonts w:hint="eastAsia"/>
        </w:rPr>
        <w:t>恶臭特点分析</w:t>
      </w:r>
    </w:p>
    <w:p>
      <w:r>
        <w:rPr>
          <w:rFonts w:hint="eastAsia"/>
        </w:rPr>
        <w:t>恶臭是养殖场的主要大气污染物，主要来自猪粪尿、饲料及猪只尸体等腐败分解。猪的新鲜粪便、尿液、消化道排出气体、皮脂腺和汗腺的分泌物、粘附在体表的污物、畜体外激素等发出的难闻气味。但养猪场恶臭主要来源是猪只粪便排出体外之后的腐败分解。影响猪场恶臭产生的主要因素是清粪方式、管理水平、粪便和污水的无害化处理程度。同时，也与场址规划和布局、畜舍设计、畜舍通风等有关。</w:t>
      </w:r>
    </w:p>
    <w:p>
      <w:r>
        <w:rPr>
          <w:rFonts w:hint="eastAsia"/>
        </w:rPr>
        <w:t>根据有关文献，引起猪场恶臭的物质经鉴定有</w:t>
      </w:r>
      <w:r>
        <w:t>160</w:t>
      </w:r>
      <w:r>
        <w:rPr>
          <w:rFonts w:hint="eastAsia"/>
        </w:rPr>
        <w:t>种以上化合物。包括多种挥发性有机酸类（</w:t>
      </w:r>
      <w:r>
        <w:t>Acid</w:t>
      </w:r>
      <w:r>
        <w:rPr>
          <w:rFonts w:hint="eastAsia"/>
        </w:rPr>
        <w:t>）、醇类（</w:t>
      </w:r>
      <w:r>
        <w:t>Alcohls</w:t>
      </w:r>
      <w:r>
        <w:rPr>
          <w:rFonts w:hint="eastAsia"/>
        </w:rPr>
        <w:t>）、酚类（</w:t>
      </w:r>
      <w:r>
        <w:t>Phenols</w:t>
      </w:r>
      <w:r>
        <w:rPr>
          <w:rFonts w:hint="eastAsia"/>
        </w:rPr>
        <w:t>）、酮类（</w:t>
      </w:r>
      <w:r>
        <w:t>Kelones</w:t>
      </w:r>
      <w:r>
        <w:rPr>
          <w:rFonts w:hint="eastAsia"/>
        </w:rPr>
        <w:t>）、酯类（</w:t>
      </w:r>
      <w:r>
        <w:t>Esters</w:t>
      </w:r>
      <w:r>
        <w:rPr>
          <w:rFonts w:hint="eastAsia"/>
        </w:rPr>
        <w:t>）、胺类（</w:t>
      </w:r>
      <w:r>
        <w:t>Amines</w:t>
      </w:r>
      <w:r>
        <w:rPr>
          <w:rFonts w:hint="eastAsia"/>
        </w:rPr>
        <w:t>）、硫醇类（</w:t>
      </w:r>
      <w:r>
        <w:t>Mercaptans</w:t>
      </w:r>
      <w:r>
        <w:rPr>
          <w:rFonts w:hint="eastAsia"/>
        </w:rPr>
        <w:t>）以及含氮杂环类物质。其中主要有三大类化合物：挥发性脂肪酸、酚类化合物，吲哚。养猪场中的恶臭是由许多单一的臭气物质复合作用生成的。其中对环境危害最大的恶臭物质是</w:t>
      </w:r>
      <w:r>
        <w:t>NH</w:t>
      </w:r>
      <w:r>
        <w:rPr>
          <w:vertAlign w:val="subscript"/>
        </w:rPr>
        <w:t>3</w:t>
      </w:r>
      <w:r>
        <w:rPr>
          <w:rFonts w:hint="eastAsia"/>
        </w:rPr>
        <w:t>和</w:t>
      </w:r>
      <w:r>
        <w:t>H</w:t>
      </w:r>
      <w:r>
        <w:rPr>
          <w:vertAlign w:val="subscript"/>
        </w:rPr>
        <w:t>2</w:t>
      </w:r>
      <w:r>
        <w:t>S</w:t>
      </w:r>
      <w:r>
        <w:rPr>
          <w:rFonts w:hint="eastAsia"/>
        </w:rPr>
        <w:t>。</w:t>
      </w:r>
    </w:p>
    <w:p>
      <w:r>
        <w:t>NH</w:t>
      </w:r>
      <w:r>
        <w:rPr>
          <w:vertAlign w:val="subscript"/>
        </w:rPr>
        <w:t>3</w:t>
      </w:r>
      <w:r>
        <w:rPr>
          <w:rFonts w:hint="eastAsia"/>
        </w:rPr>
        <w:t>为无色气体，具有刺激性臭气，比空气轻，易溶于水。</w:t>
      </w:r>
      <w:r>
        <w:t>NH</w:t>
      </w:r>
      <w:r>
        <w:rPr>
          <w:vertAlign w:val="subscript"/>
        </w:rPr>
        <w:t>3</w:t>
      </w:r>
      <w:r>
        <w:rPr>
          <w:rFonts w:hint="eastAsia"/>
        </w:rPr>
        <w:t>能刺激黏膜，引起黏膜充血，喉头水肿，</w:t>
      </w:r>
      <w:r>
        <w:t>NH</w:t>
      </w:r>
      <w:r>
        <w:rPr>
          <w:vertAlign w:val="subscript"/>
        </w:rPr>
        <w:t>3</w:t>
      </w:r>
      <w:r>
        <w:rPr>
          <w:rFonts w:hint="eastAsia"/>
        </w:rPr>
        <w:t>吸入呼吸系统后，可引起上部呼吸道黏膜充血、支气管炎，严重者可引起肺水肿、肺出血等。低浓度的</w:t>
      </w:r>
      <w:r>
        <w:t>NH</w:t>
      </w:r>
      <w:r>
        <w:rPr>
          <w:vertAlign w:val="subscript"/>
        </w:rPr>
        <w:t>3</w:t>
      </w:r>
      <w:r>
        <w:rPr>
          <w:rFonts w:hint="eastAsia"/>
        </w:rPr>
        <w:t>可刺激三叉神经末稍，引起呼吸中枢的反射性兴奋。吸入肺部的</w:t>
      </w:r>
      <w:r>
        <w:t>NH</w:t>
      </w:r>
      <w:r>
        <w:rPr>
          <w:vertAlign w:val="subscript"/>
        </w:rPr>
        <w:t>3</w:t>
      </w:r>
      <w:r>
        <w:rPr>
          <w:rFonts w:hint="eastAsia"/>
        </w:rPr>
        <w:t>，可通过肺泡上皮组织进入血液，引起血管中枢神经的反应，并与血红蛋白结合，置换氧基，破坏血液的运氧功能。如果短期吸入少量的</w:t>
      </w:r>
      <w:r>
        <w:t>NH</w:t>
      </w:r>
      <w:r>
        <w:rPr>
          <w:vertAlign w:val="subscript"/>
        </w:rPr>
        <w:t>3</w:t>
      </w:r>
      <w:r>
        <w:rPr>
          <w:rFonts w:hint="eastAsia"/>
        </w:rPr>
        <w:t>，可被体液吸收，变成尿素排出体外。而高浓度的</w:t>
      </w:r>
      <w:r>
        <w:t>NH</w:t>
      </w:r>
      <w:r>
        <w:rPr>
          <w:vertAlign w:val="subscript"/>
        </w:rPr>
        <w:t>3</w:t>
      </w:r>
      <w:r>
        <w:rPr>
          <w:rFonts w:hint="eastAsia"/>
        </w:rPr>
        <w:t>，可直接刺激肌体组织，引起中枢神经系统麻痹、中毒性肝病、心肌损伤等症。空气中如含有</w:t>
      </w:r>
      <w:r>
        <w:t>47.5mg/m</w:t>
      </w:r>
      <w:r>
        <w:rPr>
          <w:vertAlign w:val="superscript"/>
        </w:rPr>
        <w:t>3</w:t>
      </w:r>
      <w:r>
        <w:rPr>
          <w:rFonts w:hint="eastAsia"/>
        </w:rPr>
        <w:t>的</w:t>
      </w:r>
      <w:r>
        <w:t>NH</w:t>
      </w:r>
      <w:r>
        <w:rPr>
          <w:vertAlign w:val="subscript"/>
        </w:rPr>
        <w:t>3</w:t>
      </w:r>
      <w:r>
        <w:rPr>
          <w:rFonts w:hint="eastAsia"/>
        </w:rPr>
        <w:t>，可使猪的增重滞缓；</w:t>
      </w:r>
      <w:r>
        <w:t>75</w:t>
      </w:r>
      <w:r>
        <w:rPr>
          <w:rFonts w:hint="eastAsia"/>
        </w:rPr>
        <w:t>～</w:t>
      </w:r>
      <w:r>
        <w:t>150mg/m</w:t>
      </w:r>
      <w:r>
        <w:rPr>
          <w:vertAlign w:val="superscript"/>
        </w:rPr>
        <w:t>3</w:t>
      </w:r>
      <w:r>
        <w:rPr>
          <w:rFonts w:hint="eastAsia"/>
        </w:rPr>
        <w:t>时可引起猪只摇头、流涎、喷嚏、丧失食欲。</w:t>
      </w:r>
    </w:p>
    <w:p>
      <w:r>
        <w:t>H</w:t>
      </w:r>
      <w:r>
        <w:rPr>
          <w:vertAlign w:val="subscript"/>
        </w:rPr>
        <w:t>2</w:t>
      </w:r>
      <w:r>
        <w:t>S</w:t>
      </w:r>
      <w:r>
        <w:rPr>
          <w:rFonts w:hint="eastAsia"/>
        </w:rPr>
        <w:t>是一种无色、易挥发的恶臭气体，比空气重，易溶于水。</w:t>
      </w:r>
      <w:r>
        <w:t>H</w:t>
      </w:r>
      <w:r>
        <w:rPr>
          <w:vertAlign w:val="subscript"/>
        </w:rPr>
        <w:t>2</w:t>
      </w:r>
      <w:r>
        <w:t>S</w:t>
      </w:r>
      <w:r>
        <w:rPr>
          <w:rFonts w:hint="eastAsia"/>
        </w:rPr>
        <w:t>氢的危害主要是刺激人的黏膜，当</w:t>
      </w:r>
      <w:r>
        <w:t>H</w:t>
      </w:r>
      <w:r>
        <w:rPr>
          <w:vertAlign w:val="subscript"/>
        </w:rPr>
        <w:t>2</w:t>
      </w:r>
      <w:r>
        <w:t>S</w:t>
      </w:r>
      <w:r>
        <w:rPr>
          <w:rFonts w:hint="eastAsia"/>
        </w:rPr>
        <w:t>接触到动物黏膜上的水分时，很快溶解并与黏液中的钠离子结合生成Na</w:t>
      </w:r>
      <w:r>
        <w:rPr>
          <w:rFonts w:hint="eastAsia"/>
          <w:vertAlign w:val="subscript"/>
        </w:rPr>
        <w:t>2</w:t>
      </w:r>
      <w:r>
        <w:rPr>
          <w:rFonts w:hint="eastAsia"/>
        </w:rPr>
        <w:t>S，对黏膜产生刺激作用，引起结膜炎，表现流泪、角膜混浊、畏光等症状，同时引起鼻炎、气管炎、咽喉灼伤，以至肺水肿。人若经常吸入低浓度的</w:t>
      </w:r>
      <w:r>
        <w:t>H</w:t>
      </w:r>
      <w:r>
        <w:rPr>
          <w:vertAlign w:val="subscript"/>
        </w:rPr>
        <w:t>2</w:t>
      </w:r>
      <w:r>
        <w:t>S</w:t>
      </w:r>
      <w:r>
        <w:rPr>
          <w:rFonts w:hint="eastAsia"/>
        </w:rPr>
        <w:t>，可出现植物性神经紊乱，偶然发生多发性神经炎。</w:t>
      </w:r>
      <w:r>
        <w:t>H</w:t>
      </w:r>
      <w:r>
        <w:rPr>
          <w:vertAlign w:val="subscript"/>
        </w:rPr>
        <w:t>2</w:t>
      </w:r>
      <w:r>
        <w:t>S</w:t>
      </w:r>
      <w:r>
        <w:rPr>
          <w:rFonts w:hint="eastAsia"/>
        </w:rPr>
        <w:t>在肺泡内很快被吸收进入血液内，氧化成硫酸盐或硫代硫酸盐等；游离在血液中的</w:t>
      </w:r>
      <w:r>
        <w:t>H</w:t>
      </w:r>
      <w:r>
        <w:rPr>
          <w:vertAlign w:val="subscript"/>
        </w:rPr>
        <w:t>2</w:t>
      </w:r>
      <w:r>
        <w:t>S</w:t>
      </w:r>
      <w:r>
        <w:rPr>
          <w:rFonts w:hint="eastAsia"/>
        </w:rPr>
        <w:t>，能和氧化型细胞色素氧化酶中的三价铁结合，使酶失去活性，以致影响细胞的氧化过程，造成组织缺氧。长期处于低浓度的</w:t>
      </w:r>
      <w:r>
        <w:t>H</w:t>
      </w:r>
      <w:r>
        <w:rPr>
          <w:vertAlign w:val="subscript"/>
        </w:rPr>
        <w:t>2</w:t>
      </w:r>
      <w:r>
        <w:t>S</w:t>
      </w:r>
      <w:r>
        <w:rPr>
          <w:rFonts w:hint="eastAsia"/>
        </w:rPr>
        <w:t>的环境中，牲畜体质变弱，抗病能力下降，易发生肠胃病、心脏衰弱等；高浓度的</w:t>
      </w:r>
      <w:r>
        <w:t>H</w:t>
      </w:r>
      <w:r>
        <w:rPr>
          <w:vertAlign w:val="subscript"/>
        </w:rPr>
        <w:t>2</w:t>
      </w:r>
      <w:r>
        <w:t>S</w:t>
      </w:r>
      <w:r>
        <w:rPr>
          <w:rFonts w:hint="eastAsia"/>
        </w:rPr>
        <w:t>可直接抵制呼吸中枢，引起窒息或死亡。</w:t>
      </w:r>
      <w:r>
        <w:t>H</w:t>
      </w:r>
      <w:r>
        <w:rPr>
          <w:vertAlign w:val="subscript"/>
        </w:rPr>
        <w:t>2</w:t>
      </w:r>
      <w:r>
        <w:t>S</w:t>
      </w:r>
      <w:r>
        <w:rPr>
          <w:rFonts w:hint="eastAsia"/>
        </w:rPr>
        <w:t>浓度为</w:t>
      </w:r>
      <w:r>
        <w:t>30mg/m</w:t>
      </w:r>
      <w:r>
        <w:rPr>
          <w:vertAlign w:val="superscript"/>
        </w:rPr>
        <w:t>3</w:t>
      </w:r>
      <w:r>
        <w:rPr>
          <w:rFonts w:hint="eastAsia"/>
        </w:rPr>
        <w:t>时，猪只变得畏光、丧失食欲、神经质；</w:t>
      </w:r>
      <w:r>
        <w:t>75</w:t>
      </w:r>
      <w:r>
        <w:rPr>
          <w:rFonts w:hint="eastAsia"/>
        </w:rPr>
        <w:t>～</w:t>
      </w:r>
      <w:r>
        <w:t>300mg/m</w:t>
      </w:r>
      <w:r>
        <w:rPr>
          <w:vertAlign w:val="superscript"/>
        </w:rPr>
        <w:t>3</w:t>
      </w:r>
      <w:r>
        <w:rPr>
          <w:rFonts w:hint="eastAsia"/>
        </w:rPr>
        <w:t>时，猪只会突然呕吐，失去知觉，最后因呼吸中枢和血管运动中枢麻痹而死亡。</w:t>
      </w:r>
      <w:r>
        <w:t>H</w:t>
      </w:r>
      <w:r>
        <w:rPr>
          <w:vertAlign w:val="subscript"/>
        </w:rPr>
        <w:t>2</w:t>
      </w:r>
      <w:r>
        <w:t>S</w:t>
      </w:r>
      <w:r>
        <w:rPr>
          <w:rFonts w:hint="eastAsia"/>
        </w:rPr>
        <w:t>对人类的危害也相当大，低浓度时即可引起慢性中毒，高浓度（大于</w:t>
      </w:r>
      <w:r>
        <w:t>900mg/m</w:t>
      </w:r>
      <w:r>
        <w:rPr>
          <w:vertAlign w:val="superscript"/>
        </w:rPr>
        <w:t>3</w:t>
      </w:r>
      <w:r>
        <w:rPr>
          <w:rFonts w:hint="eastAsia"/>
        </w:rPr>
        <w:t>）时，可直接抵制呼吸中枢，引起窒息死亡。</w:t>
      </w:r>
    </w:p>
    <w:p>
      <w:r>
        <w:fldChar w:fldCharType="begin"/>
      </w:r>
      <w:r>
        <w:instrText xml:space="preserve"> = 2 \* GB3 </w:instrText>
      </w:r>
      <w:r>
        <w:fldChar w:fldCharType="separate"/>
      </w:r>
      <w:r>
        <w:t>②</w:t>
      </w:r>
      <w:r>
        <w:fldChar w:fldCharType="end"/>
      </w:r>
      <w:r>
        <w:rPr>
          <w:rFonts w:hint="eastAsia"/>
        </w:rPr>
        <w:t>猪舍恶臭影响分析</w:t>
      </w:r>
    </w:p>
    <w:p>
      <w:r>
        <w:rPr>
          <w:rFonts w:hint="eastAsia"/>
        </w:rPr>
        <w:t>根据前面的工程分析，结合本项目构筑物的布置，</w:t>
      </w:r>
      <w:r>
        <w:rPr>
          <w:rFonts w:hint="eastAsia"/>
          <w:lang w:eastAsia="zh-CN"/>
        </w:rPr>
        <w:t>本项目将项目占地范围作为一个面源来进行分析</w:t>
      </w:r>
      <w:r>
        <w:rPr>
          <w:rFonts w:hint="eastAsia"/>
        </w:rPr>
        <w:t>。</w:t>
      </w:r>
    </w:p>
    <w:p>
      <w:r>
        <w:rPr>
          <w:rFonts w:hint="eastAsia"/>
        </w:rPr>
        <w:fldChar w:fldCharType="begin"/>
      </w:r>
      <w:r>
        <w:rPr>
          <w:rFonts w:hint="eastAsia"/>
        </w:rPr>
        <w:instrText xml:space="preserve"> = 3 \* GB3 \* MERGEFORMAT </w:instrText>
      </w:r>
      <w:r>
        <w:rPr>
          <w:rFonts w:hint="eastAsia"/>
        </w:rPr>
        <w:fldChar w:fldCharType="separate"/>
      </w:r>
      <w:r>
        <w:t>③</w:t>
      </w:r>
      <w:r>
        <w:rPr>
          <w:rFonts w:hint="eastAsia"/>
        </w:rPr>
        <w:fldChar w:fldCharType="end"/>
      </w:r>
      <w:r>
        <w:rPr>
          <w:rFonts w:hint="eastAsia"/>
        </w:rPr>
        <w:t>食堂油烟废气影响分析</w:t>
      </w:r>
    </w:p>
    <w:p>
      <w:r>
        <w:rPr>
          <w:rFonts w:hint="eastAsia"/>
        </w:rPr>
        <w:t>项目设置职工厨房，食物在烹饪、加工过程中将挥发出油脂、有机质及热分解或裂解产物，产生油烟废气。本项目厨房烹饪产生的油烟拟采取油烟净化器处理后排放，油烟净化器的净化效率不低</w:t>
      </w:r>
      <w:r>
        <w:t>于8</w:t>
      </w:r>
      <w:r>
        <w:rPr>
          <w:rFonts w:hint="eastAsia"/>
          <w:lang w:val="en-US" w:eastAsia="zh-CN"/>
        </w:rPr>
        <w:t>0</w:t>
      </w:r>
      <w:r>
        <w:t>%</w:t>
      </w:r>
      <w:r>
        <w:rPr>
          <w:rFonts w:hint="eastAsia"/>
        </w:rPr>
        <w:t>，经处理后，项目工程油烟的排放浓度为</w:t>
      </w:r>
      <w:r>
        <w:rPr>
          <w:rFonts w:hint="eastAsia"/>
          <w:lang w:val="en-US" w:eastAsia="zh-CN"/>
        </w:rPr>
        <w:t>0.9</w:t>
      </w:r>
      <w:r>
        <w:t>mg/m</w:t>
      </w:r>
      <w:r>
        <w:rPr>
          <w:vertAlign w:val="superscript"/>
        </w:rPr>
        <w:t>3</w:t>
      </w:r>
      <w:r>
        <w:rPr>
          <w:rFonts w:hint="eastAsia"/>
        </w:rPr>
        <w:t>，满足相关的排放标准。由于本项目油烟产生量较小，且为不连续排放，经油烟净化器处理后对周围环境不会产生明显影响。</w:t>
      </w:r>
    </w:p>
    <w:p>
      <w:r>
        <w:rPr>
          <w:rFonts w:hint="eastAsia"/>
        </w:rPr>
        <w:fldChar w:fldCharType="begin"/>
      </w:r>
      <w:r>
        <w:rPr>
          <w:rFonts w:hint="eastAsia"/>
        </w:rPr>
        <w:instrText xml:space="preserve"> = 4 \* GB3 \* MERGEFORMAT </w:instrText>
      </w:r>
      <w:r>
        <w:rPr>
          <w:rFonts w:hint="eastAsia"/>
        </w:rPr>
        <w:fldChar w:fldCharType="separate"/>
      </w:r>
      <w:r>
        <w:t>④</w:t>
      </w:r>
      <w:r>
        <w:rPr>
          <w:rFonts w:hint="eastAsia"/>
        </w:rPr>
        <w:fldChar w:fldCharType="end"/>
      </w:r>
      <w:r>
        <w:rPr>
          <w:rFonts w:hint="eastAsia"/>
        </w:rPr>
        <w:t>备用柴油发电机尾气</w:t>
      </w:r>
    </w:p>
    <w:p>
      <w:r>
        <w:rPr>
          <w:rFonts w:hint="eastAsia"/>
        </w:rPr>
        <w:t>项目设有一台备用柴油发电机，以备停电时供应生产用电。燃油发电机设置在柴油发电机房内。项目发电机使用时间不定，无法进行定量计算。环评要求项目使用</w:t>
      </w:r>
      <w:r>
        <w:t>0＃柴油，0＃柴</w:t>
      </w:r>
      <w:r>
        <w:rPr>
          <w:rFonts w:hint="eastAsia"/>
        </w:rPr>
        <w:t>油属清洁能源，其燃烧产生的废气污染物较少，发电机尾气引至屋顶排放，对周围环境的影响较小。</w:t>
      </w:r>
    </w:p>
    <w:p>
      <w:r>
        <w:rPr>
          <w:rFonts w:hint="eastAsia"/>
        </w:rPr>
        <w:t>因此，</w:t>
      </w:r>
      <w:r>
        <w:t>根据《环境影响评价技术导则 大气环境》HJ2.2—20</w:t>
      </w:r>
      <w:r>
        <w:rPr>
          <w:rFonts w:hint="eastAsia"/>
        </w:rPr>
        <w:t>1</w:t>
      </w:r>
      <w:r>
        <w:t>8</w:t>
      </w:r>
      <w:r>
        <w:rPr>
          <w:rFonts w:hint="eastAsia"/>
        </w:rPr>
        <w:t>，选择项目污染源正常排放的主要污染物及排放参数，采用附录A推荐模式中估算模型（A</w:t>
      </w:r>
      <w:r>
        <w:t>ERSCREEN</w:t>
      </w:r>
      <w:r>
        <w:rPr>
          <w:rFonts w:hint="eastAsia"/>
        </w:rPr>
        <w:t>估算模式）分别计算项目污染源的最大环境影响，计算结果小于0.1%故可不考虑。</w:t>
      </w:r>
    </w:p>
    <w:p>
      <w:r>
        <w:rPr>
          <w:rFonts w:hint="eastAsia"/>
        </w:rPr>
        <w:t>本项目主要</w:t>
      </w:r>
      <w:r>
        <w:t>采用</w:t>
      </w:r>
      <w:r>
        <w:rPr>
          <w:rFonts w:hint="eastAsia"/>
        </w:rPr>
        <w:t>A</w:t>
      </w:r>
      <w:r>
        <w:t>ERSCREEN估算模式对养殖区恶臭气体进行预测，相关预测参数见表</w:t>
      </w:r>
      <w:r>
        <w:rPr>
          <w:rFonts w:hint="eastAsia"/>
          <w:lang w:val="en-US" w:eastAsia="zh-CN"/>
        </w:rPr>
        <w:t>4.2-3、</w:t>
      </w:r>
      <w:r>
        <w:t>表</w:t>
      </w:r>
      <w:r>
        <w:rPr>
          <w:rFonts w:hint="eastAsia"/>
          <w:lang w:val="en-US" w:eastAsia="zh-CN"/>
        </w:rPr>
        <w:t>4.2-4</w:t>
      </w:r>
      <w:r>
        <w:t>，预测结果见表</w:t>
      </w:r>
      <w:r>
        <w:rPr>
          <w:rFonts w:hint="eastAsia"/>
          <w:lang w:val="en-US" w:eastAsia="zh-CN"/>
        </w:rPr>
        <w:t>4.2-5</w:t>
      </w:r>
      <w:r>
        <w:t>。</w:t>
      </w:r>
    </w:p>
    <w:p>
      <w:pPr>
        <w:pStyle w:val="11"/>
        <w:rPr>
          <w:rFonts w:hint="default" w:eastAsiaTheme="minorEastAsia"/>
          <w:lang w:val="en-US" w:eastAsia="zh-CN"/>
        </w:rPr>
      </w:pPr>
      <w:r>
        <w:t xml:space="preserve">表4.2- </w:t>
      </w:r>
      <w:r>
        <w:fldChar w:fldCharType="begin"/>
      </w:r>
      <w:r>
        <w:instrText xml:space="preserve"> SEQ 表4.2- \* ARABIC </w:instrText>
      </w:r>
      <w:r>
        <w:fldChar w:fldCharType="separate"/>
      </w:r>
      <w:r>
        <w:t>3</w:t>
      </w:r>
      <w:r>
        <w:fldChar w:fldCharType="end"/>
      </w:r>
      <w:r>
        <w:rPr>
          <w:rFonts w:hint="eastAsia"/>
          <w:lang w:val="en-US" w:eastAsia="zh-CN"/>
        </w:rPr>
        <w:t xml:space="preserve">   </w:t>
      </w:r>
      <w:r>
        <w:rPr>
          <w:rFonts w:hint="eastAsia"/>
        </w:rPr>
        <w:t>恶臭气体无组织排放面源预测参数表</w:t>
      </w:r>
    </w:p>
    <w:tbl>
      <w:tblPr>
        <w:tblStyle w:val="17"/>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2839"/>
        <w:gridCol w:w="3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098" w:type="dxa"/>
            <w:gridSpan w:val="2"/>
            <w:vAlign w:val="center"/>
          </w:tcPr>
          <w:p>
            <w:pPr>
              <w:pStyle w:val="8"/>
              <w:bidi w:val="0"/>
            </w:pPr>
            <w:r>
              <w:t>参数</w:t>
            </w:r>
          </w:p>
        </w:tc>
        <w:tc>
          <w:tcPr>
            <w:tcW w:w="3671" w:type="dxa"/>
            <w:vAlign w:val="center"/>
          </w:tcPr>
          <w:p>
            <w:pPr>
              <w:pStyle w:val="8"/>
              <w:bidi w:val="0"/>
            </w:pPr>
            <w: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259" w:type="dxa"/>
            <w:vMerge w:val="restart"/>
            <w:vAlign w:val="center"/>
          </w:tcPr>
          <w:p>
            <w:pPr>
              <w:pStyle w:val="8"/>
              <w:bidi w:val="0"/>
            </w:pPr>
            <w:r>
              <w:t>城市农村/选项</w:t>
            </w:r>
          </w:p>
        </w:tc>
        <w:tc>
          <w:tcPr>
            <w:tcW w:w="2839" w:type="dxa"/>
            <w:vAlign w:val="center"/>
          </w:tcPr>
          <w:p>
            <w:pPr>
              <w:pStyle w:val="8"/>
              <w:bidi w:val="0"/>
            </w:pPr>
            <w:r>
              <w:t>城市/农村</w:t>
            </w:r>
          </w:p>
        </w:tc>
        <w:tc>
          <w:tcPr>
            <w:tcW w:w="3671" w:type="dxa"/>
            <w:vAlign w:val="center"/>
          </w:tcPr>
          <w:p>
            <w:pPr>
              <w:pStyle w:val="8"/>
              <w:bidi w:val="0"/>
            </w:pPr>
            <w: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259" w:type="dxa"/>
            <w:vMerge w:val="continue"/>
            <w:vAlign w:val="center"/>
          </w:tcPr>
          <w:p>
            <w:pPr>
              <w:pStyle w:val="8"/>
              <w:bidi w:val="0"/>
            </w:pPr>
          </w:p>
        </w:tc>
        <w:tc>
          <w:tcPr>
            <w:tcW w:w="2839" w:type="dxa"/>
            <w:vAlign w:val="center"/>
          </w:tcPr>
          <w:p>
            <w:pPr>
              <w:pStyle w:val="8"/>
              <w:bidi w:val="0"/>
            </w:pPr>
            <w:r>
              <w:t>人口数(城市人口数)</w:t>
            </w:r>
          </w:p>
        </w:tc>
        <w:tc>
          <w:tcPr>
            <w:tcW w:w="3671" w:type="dxa"/>
            <w:vAlign w:val="center"/>
          </w:tcPr>
          <w:p>
            <w:pPr>
              <w:pStyle w:val="8"/>
              <w:bidi w:val="0"/>
              <w:rPr>
                <w:rFonts w:hint="eastAsia" w:eastAsiaTheme="minorEastAsia"/>
                <w:lang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8" w:type="dxa"/>
            <w:gridSpan w:val="2"/>
            <w:vAlign w:val="center"/>
          </w:tcPr>
          <w:p>
            <w:pPr>
              <w:pStyle w:val="8"/>
              <w:bidi w:val="0"/>
            </w:pPr>
            <w:r>
              <w:t>最高环境温度</w:t>
            </w:r>
          </w:p>
        </w:tc>
        <w:tc>
          <w:tcPr>
            <w:tcW w:w="3671" w:type="dxa"/>
            <w:vAlign w:val="center"/>
          </w:tcPr>
          <w:p>
            <w:pPr>
              <w:pStyle w:val="8"/>
              <w:bidi w:val="0"/>
            </w:pPr>
            <w:r>
              <w:t>40.7°C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5098" w:type="dxa"/>
            <w:gridSpan w:val="2"/>
            <w:vAlign w:val="center"/>
          </w:tcPr>
          <w:p>
            <w:pPr>
              <w:pStyle w:val="8"/>
              <w:bidi w:val="0"/>
            </w:pPr>
            <w:r>
              <w:t>最低环境温度</w:t>
            </w:r>
          </w:p>
        </w:tc>
        <w:tc>
          <w:tcPr>
            <w:tcW w:w="3671" w:type="dxa"/>
            <w:vAlign w:val="center"/>
          </w:tcPr>
          <w:p>
            <w:pPr>
              <w:pStyle w:val="8"/>
              <w:bidi w:val="0"/>
            </w:pPr>
            <w:r>
              <w:t>-</w:t>
            </w:r>
            <w:r>
              <w:rPr>
                <w:rFonts w:hint="eastAsia"/>
                <w:lang w:val="en-US" w:eastAsia="zh-CN"/>
              </w:rPr>
              <w:t>13.45</w:t>
            </w:r>
            <w: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098" w:type="dxa"/>
            <w:gridSpan w:val="2"/>
            <w:vAlign w:val="center"/>
          </w:tcPr>
          <w:p>
            <w:pPr>
              <w:pStyle w:val="8"/>
              <w:bidi w:val="0"/>
            </w:pPr>
            <w:r>
              <w:t>土地利用类型</w:t>
            </w:r>
          </w:p>
        </w:tc>
        <w:tc>
          <w:tcPr>
            <w:tcW w:w="3671" w:type="dxa"/>
            <w:vAlign w:val="center"/>
          </w:tcPr>
          <w:p>
            <w:pPr>
              <w:pStyle w:val="8"/>
              <w:bidi w:val="0"/>
            </w:pPr>
            <w:r>
              <w:rPr>
                <w:rFonts w:hint="eastAsia"/>
              </w:rPr>
              <w:t>农用设施用地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5098" w:type="dxa"/>
            <w:gridSpan w:val="2"/>
            <w:vAlign w:val="center"/>
          </w:tcPr>
          <w:p>
            <w:pPr>
              <w:pStyle w:val="8"/>
              <w:bidi w:val="0"/>
            </w:pPr>
            <w:r>
              <w:t>区域湿度条件</w:t>
            </w:r>
          </w:p>
        </w:tc>
        <w:tc>
          <w:tcPr>
            <w:tcW w:w="3671" w:type="dxa"/>
            <w:vAlign w:val="center"/>
          </w:tcPr>
          <w:p>
            <w:pPr>
              <w:pStyle w:val="8"/>
              <w:bidi w:val="0"/>
            </w:pPr>
            <w: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259" w:type="dxa"/>
            <w:vMerge w:val="restart"/>
            <w:vAlign w:val="center"/>
          </w:tcPr>
          <w:p>
            <w:pPr>
              <w:pStyle w:val="8"/>
              <w:bidi w:val="0"/>
            </w:pPr>
            <w:r>
              <w:t>是否考虑地形</w:t>
            </w:r>
          </w:p>
        </w:tc>
        <w:tc>
          <w:tcPr>
            <w:tcW w:w="2839" w:type="dxa"/>
            <w:vAlign w:val="center"/>
          </w:tcPr>
          <w:p>
            <w:pPr>
              <w:pStyle w:val="8"/>
              <w:bidi w:val="0"/>
            </w:pPr>
            <w:r>
              <w:t>考虑地形</w:t>
            </w:r>
          </w:p>
        </w:tc>
        <w:tc>
          <w:tcPr>
            <w:tcW w:w="3671" w:type="dxa"/>
            <w:vAlign w:val="center"/>
          </w:tcPr>
          <w:p>
            <w:pPr>
              <w:pStyle w:val="8"/>
              <w:bidi w:val="0"/>
            </w:pPr>
            <w: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259" w:type="dxa"/>
            <w:vMerge w:val="continue"/>
            <w:vAlign w:val="center"/>
          </w:tcPr>
          <w:p>
            <w:pPr>
              <w:pStyle w:val="8"/>
              <w:bidi w:val="0"/>
            </w:pPr>
          </w:p>
        </w:tc>
        <w:tc>
          <w:tcPr>
            <w:tcW w:w="2839" w:type="dxa"/>
            <w:vAlign w:val="center"/>
          </w:tcPr>
          <w:p>
            <w:pPr>
              <w:pStyle w:val="8"/>
              <w:bidi w:val="0"/>
            </w:pPr>
            <w:r>
              <w:t>地形数据分辨率/m</w:t>
            </w:r>
          </w:p>
        </w:tc>
        <w:tc>
          <w:tcPr>
            <w:tcW w:w="3671" w:type="dxa"/>
            <w:vAlign w:val="center"/>
          </w:tcPr>
          <w:p>
            <w:pPr>
              <w:pStyle w:val="8"/>
              <w:bidi w:val="0"/>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259" w:type="dxa"/>
            <w:vMerge w:val="restart"/>
            <w:vAlign w:val="center"/>
          </w:tcPr>
          <w:p>
            <w:pPr>
              <w:pStyle w:val="8"/>
              <w:bidi w:val="0"/>
            </w:pPr>
            <w:r>
              <w:t>是否考虑岸线熏烟</w:t>
            </w:r>
          </w:p>
        </w:tc>
        <w:tc>
          <w:tcPr>
            <w:tcW w:w="2839" w:type="dxa"/>
            <w:vAlign w:val="center"/>
          </w:tcPr>
          <w:p>
            <w:pPr>
              <w:pStyle w:val="8"/>
              <w:bidi w:val="0"/>
            </w:pPr>
            <w:r>
              <w:t>考虑岸线熏烟</w:t>
            </w:r>
          </w:p>
        </w:tc>
        <w:tc>
          <w:tcPr>
            <w:tcW w:w="3671" w:type="dxa"/>
            <w:vAlign w:val="center"/>
          </w:tcPr>
          <w:p>
            <w:pPr>
              <w:pStyle w:val="8"/>
              <w:bidi w:val="0"/>
            </w:pPr>
            <w: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259" w:type="dxa"/>
            <w:vMerge w:val="continue"/>
            <w:vAlign w:val="center"/>
          </w:tcPr>
          <w:p>
            <w:pPr>
              <w:pStyle w:val="8"/>
              <w:bidi w:val="0"/>
            </w:pPr>
          </w:p>
        </w:tc>
        <w:tc>
          <w:tcPr>
            <w:tcW w:w="2839" w:type="dxa"/>
            <w:vAlign w:val="center"/>
          </w:tcPr>
          <w:p>
            <w:pPr>
              <w:pStyle w:val="8"/>
              <w:bidi w:val="0"/>
            </w:pPr>
            <w:r>
              <w:rPr>
                <w:rFonts w:hint="eastAsia"/>
              </w:rPr>
              <w:t>岸线距离/km</w:t>
            </w:r>
          </w:p>
        </w:tc>
        <w:tc>
          <w:tcPr>
            <w:tcW w:w="3671" w:type="dxa"/>
            <w:vAlign w:val="center"/>
          </w:tcPr>
          <w:p>
            <w:pPr>
              <w:pStyle w:val="8"/>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259" w:type="dxa"/>
            <w:vMerge w:val="continue"/>
            <w:vAlign w:val="center"/>
          </w:tcPr>
          <w:p>
            <w:pPr>
              <w:pStyle w:val="8"/>
              <w:bidi w:val="0"/>
            </w:pPr>
          </w:p>
        </w:tc>
        <w:tc>
          <w:tcPr>
            <w:tcW w:w="2839" w:type="dxa"/>
            <w:vAlign w:val="center"/>
          </w:tcPr>
          <w:p>
            <w:pPr>
              <w:pStyle w:val="8"/>
              <w:bidi w:val="0"/>
            </w:pPr>
            <w:r>
              <w:rPr>
                <w:rFonts w:hint="eastAsia"/>
              </w:rPr>
              <w:t>岸线方向/º</w:t>
            </w:r>
          </w:p>
        </w:tc>
        <w:tc>
          <w:tcPr>
            <w:tcW w:w="3671" w:type="dxa"/>
            <w:vAlign w:val="center"/>
          </w:tcPr>
          <w:p>
            <w:pPr>
              <w:pStyle w:val="8"/>
              <w:bidi w:val="0"/>
            </w:pPr>
            <w:r>
              <w:rPr>
                <w:rFonts w:hint="eastAsia"/>
              </w:rPr>
              <w:t>/</w:t>
            </w:r>
          </w:p>
        </w:tc>
      </w:tr>
    </w:tbl>
    <w:p/>
    <w:p>
      <w:pPr>
        <w:pStyle w:val="11"/>
        <w:rPr>
          <w:rFonts w:hint="default" w:eastAsiaTheme="minorEastAsia"/>
          <w:lang w:val="en-US" w:eastAsia="zh-CN"/>
        </w:rPr>
      </w:pPr>
      <w:r>
        <w:t xml:space="preserve">表4.2- </w:t>
      </w:r>
      <w:r>
        <w:fldChar w:fldCharType="begin"/>
      </w:r>
      <w:r>
        <w:instrText xml:space="preserve"> SEQ 表4.2- \* ARABIC </w:instrText>
      </w:r>
      <w:r>
        <w:fldChar w:fldCharType="separate"/>
      </w:r>
      <w:r>
        <w:t>4</w:t>
      </w:r>
      <w:r>
        <w:fldChar w:fldCharType="end"/>
      </w:r>
      <w:r>
        <w:rPr>
          <w:rFonts w:hint="eastAsia"/>
          <w:lang w:val="en-US" w:eastAsia="zh-CN"/>
        </w:rPr>
        <w:t xml:space="preserve">   </w:t>
      </w:r>
      <w:r>
        <w:rPr>
          <w:rFonts w:hint="eastAsia"/>
        </w:rPr>
        <w:t>面源参数表</w:t>
      </w:r>
    </w:p>
    <w:tbl>
      <w:tblPr>
        <w:tblStyle w:val="17"/>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167"/>
        <w:gridCol w:w="1100"/>
        <w:gridCol w:w="1367"/>
        <w:gridCol w:w="983"/>
        <w:gridCol w:w="1083"/>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210" w:type="dxa"/>
            <w:vAlign w:val="center"/>
          </w:tcPr>
          <w:p>
            <w:pPr>
              <w:pStyle w:val="8"/>
              <w:bidi w:val="0"/>
            </w:pPr>
            <w:r>
              <w:t>污染源</w:t>
            </w:r>
          </w:p>
        </w:tc>
        <w:tc>
          <w:tcPr>
            <w:tcW w:w="1167" w:type="dxa"/>
            <w:vAlign w:val="center"/>
          </w:tcPr>
          <w:p>
            <w:pPr>
              <w:pStyle w:val="8"/>
              <w:bidi w:val="0"/>
            </w:pPr>
            <w:r>
              <w:t>面源长度/m</w:t>
            </w:r>
          </w:p>
        </w:tc>
        <w:tc>
          <w:tcPr>
            <w:tcW w:w="1100" w:type="dxa"/>
            <w:vAlign w:val="center"/>
          </w:tcPr>
          <w:p>
            <w:pPr>
              <w:pStyle w:val="8"/>
              <w:bidi w:val="0"/>
            </w:pPr>
            <w:r>
              <w:t>面源宽度/m</w:t>
            </w:r>
          </w:p>
        </w:tc>
        <w:tc>
          <w:tcPr>
            <w:tcW w:w="1367" w:type="dxa"/>
            <w:vAlign w:val="center"/>
          </w:tcPr>
          <w:p>
            <w:pPr>
              <w:pStyle w:val="8"/>
              <w:bidi w:val="0"/>
            </w:pPr>
            <w:r>
              <w:t>面源有效排放高度/m</w:t>
            </w:r>
          </w:p>
        </w:tc>
        <w:tc>
          <w:tcPr>
            <w:tcW w:w="983" w:type="dxa"/>
            <w:vAlign w:val="center"/>
          </w:tcPr>
          <w:p>
            <w:pPr>
              <w:pStyle w:val="8"/>
              <w:bidi w:val="0"/>
            </w:pPr>
            <w:r>
              <w:t>污染物</w:t>
            </w:r>
          </w:p>
        </w:tc>
        <w:tc>
          <w:tcPr>
            <w:tcW w:w="1083" w:type="dxa"/>
            <w:vAlign w:val="center"/>
          </w:tcPr>
          <w:p>
            <w:pPr>
              <w:pStyle w:val="8"/>
              <w:bidi w:val="0"/>
            </w:pPr>
            <w:r>
              <w:t>排放速率</w:t>
            </w:r>
          </w:p>
          <w:p>
            <w:pPr>
              <w:pStyle w:val="8"/>
              <w:bidi w:val="0"/>
              <w:rPr>
                <w:rFonts w:hint="default" w:eastAsiaTheme="minorEastAsia"/>
                <w:lang w:val="en-US" w:eastAsia="zh-CN"/>
              </w:rPr>
            </w:pPr>
            <w:r>
              <w:rPr>
                <w:rFonts w:hint="eastAsia"/>
                <w:lang w:val="en-US" w:eastAsia="zh-CN"/>
              </w:rPr>
              <w:t>(kg/h)</w:t>
            </w:r>
          </w:p>
        </w:tc>
        <w:tc>
          <w:tcPr>
            <w:tcW w:w="1430" w:type="dxa"/>
            <w:vAlign w:val="center"/>
          </w:tcPr>
          <w:p>
            <w:pPr>
              <w:pStyle w:val="8"/>
              <w:bidi w:val="0"/>
            </w:pPr>
            <w:r>
              <w:t>折算1h评价标准μg/m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10" w:type="dxa"/>
            <w:vMerge w:val="restart"/>
            <w:vAlign w:val="center"/>
          </w:tcPr>
          <w:p>
            <w:pPr>
              <w:pStyle w:val="8"/>
              <w:bidi w:val="0"/>
              <w:rPr>
                <w:rFonts w:hint="eastAsia" w:eastAsiaTheme="minorEastAsia"/>
                <w:lang w:eastAsia="zh-CN"/>
              </w:rPr>
            </w:pPr>
            <w:r>
              <w:rPr>
                <w:rFonts w:hint="eastAsia"/>
                <w:lang w:eastAsia="zh-CN"/>
              </w:rPr>
              <w:t>养殖区</w:t>
            </w:r>
          </w:p>
        </w:tc>
        <w:tc>
          <w:tcPr>
            <w:tcW w:w="1167" w:type="dxa"/>
            <w:vMerge w:val="restart"/>
            <w:vAlign w:val="center"/>
          </w:tcPr>
          <w:p>
            <w:pPr>
              <w:pStyle w:val="8"/>
              <w:bidi w:val="0"/>
              <w:rPr>
                <w:rFonts w:hint="default" w:eastAsiaTheme="minorEastAsia"/>
                <w:lang w:val="en-US" w:eastAsia="zh-CN"/>
              </w:rPr>
            </w:pPr>
            <w:r>
              <w:rPr>
                <w:rFonts w:hint="eastAsia"/>
                <w:lang w:val="en-US" w:eastAsia="zh-CN"/>
              </w:rPr>
              <w:t>270</w:t>
            </w:r>
          </w:p>
        </w:tc>
        <w:tc>
          <w:tcPr>
            <w:tcW w:w="1100" w:type="dxa"/>
            <w:vMerge w:val="restart"/>
            <w:vAlign w:val="center"/>
          </w:tcPr>
          <w:p>
            <w:pPr>
              <w:pStyle w:val="8"/>
              <w:bidi w:val="0"/>
              <w:rPr>
                <w:rFonts w:hint="default" w:eastAsiaTheme="minorEastAsia"/>
                <w:lang w:val="en-US" w:eastAsia="zh-CN"/>
              </w:rPr>
            </w:pPr>
            <w:r>
              <w:rPr>
                <w:rFonts w:hint="eastAsia"/>
                <w:lang w:val="en-US" w:eastAsia="zh-CN"/>
              </w:rPr>
              <w:t>266</w:t>
            </w:r>
          </w:p>
        </w:tc>
        <w:tc>
          <w:tcPr>
            <w:tcW w:w="1367" w:type="dxa"/>
            <w:vMerge w:val="restart"/>
            <w:vAlign w:val="center"/>
          </w:tcPr>
          <w:p>
            <w:pPr>
              <w:pStyle w:val="8"/>
              <w:bidi w:val="0"/>
            </w:pPr>
            <w:r>
              <w:t>3</w:t>
            </w:r>
          </w:p>
        </w:tc>
        <w:tc>
          <w:tcPr>
            <w:tcW w:w="983" w:type="dxa"/>
            <w:vAlign w:val="center"/>
          </w:tcPr>
          <w:p>
            <w:pPr>
              <w:pStyle w:val="8"/>
              <w:bidi w:val="0"/>
            </w:pPr>
            <w:r>
              <w:t>NH</w:t>
            </w:r>
            <w:r>
              <w:rPr>
                <w:vertAlign w:val="subscript"/>
              </w:rPr>
              <w:t>3</w:t>
            </w:r>
          </w:p>
        </w:tc>
        <w:tc>
          <w:tcPr>
            <w:tcW w:w="1083" w:type="dxa"/>
            <w:vAlign w:val="center"/>
          </w:tcPr>
          <w:p>
            <w:pPr>
              <w:pStyle w:val="8"/>
              <w:bidi w:val="0"/>
              <w:rPr>
                <w:rFonts w:hint="default" w:eastAsiaTheme="minorEastAsia"/>
                <w:lang w:val="en-US" w:eastAsia="zh-CN"/>
              </w:rPr>
            </w:pPr>
            <w:r>
              <w:rPr>
                <w:rFonts w:hint="eastAsia"/>
                <w:lang w:val="en-US" w:eastAsia="zh-CN"/>
              </w:rPr>
              <w:t>0.1723</w:t>
            </w:r>
          </w:p>
        </w:tc>
        <w:tc>
          <w:tcPr>
            <w:tcW w:w="1430" w:type="dxa"/>
            <w:vAlign w:val="center"/>
          </w:tcPr>
          <w:p>
            <w:pPr>
              <w:pStyle w:val="8"/>
              <w:bidi w:val="0"/>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10" w:type="dxa"/>
            <w:vMerge w:val="continue"/>
            <w:vAlign w:val="center"/>
          </w:tcPr>
          <w:p>
            <w:pPr>
              <w:pStyle w:val="8"/>
              <w:bidi w:val="0"/>
            </w:pPr>
          </w:p>
        </w:tc>
        <w:tc>
          <w:tcPr>
            <w:tcW w:w="1167" w:type="dxa"/>
            <w:vMerge w:val="continue"/>
            <w:vAlign w:val="center"/>
          </w:tcPr>
          <w:p>
            <w:pPr>
              <w:pStyle w:val="8"/>
              <w:bidi w:val="0"/>
            </w:pPr>
          </w:p>
        </w:tc>
        <w:tc>
          <w:tcPr>
            <w:tcW w:w="1100" w:type="dxa"/>
            <w:vMerge w:val="continue"/>
            <w:vAlign w:val="center"/>
          </w:tcPr>
          <w:p>
            <w:pPr>
              <w:pStyle w:val="8"/>
              <w:bidi w:val="0"/>
            </w:pPr>
          </w:p>
        </w:tc>
        <w:tc>
          <w:tcPr>
            <w:tcW w:w="1367" w:type="dxa"/>
            <w:vMerge w:val="continue"/>
            <w:vAlign w:val="center"/>
          </w:tcPr>
          <w:p>
            <w:pPr>
              <w:pStyle w:val="8"/>
              <w:bidi w:val="0"/>
            </w:pPr>
          </w:p>
        </w:tc>
        <w:tc>
          <w:tcPr>
            <w:tcW w:w="983" w:type="dxa"/>
            <w:vAlign w:val="center"/>
          </w:tcPr>
          <w:p>
            <w:pPr>
              <w:pStyle w:val="8"/>
              <w:bidi w:val="0"/>
            </w:pPr>
            <w:r>
              <w:t>H</w:t>
            </w:r>
            <w:r>
              <w:rPr>
                <w:vertAlign w:val="subscript"/>
              </w:rPr>
              <w:t>2</w:t>
            </w:r>
            <w:r>
              <w:t>S</w:t>
            </w:r>
          </w:p>
        </w:tc>
        <w:tc>
          <w:tcPr>
            <w:tcW w:w="1083" w:type="dxa"/>
            <w:vAlign w:val="center"/>
          </w:tcPr>
          <w:p>
            <w:pPr>
              <w:pStyle w:val="8"/>
              <w:bidi w:val="0"/>
              <w:rPr>
                <w:rFonts w:hint="default" w:eastAsiaTheme="minorEastAsia"/>
                <w:lang w:val="en-US" w:eastAsia="zh-CN"/>
              </w:rPr>
            </w:pPr>
            <w:r>
              <w:rPr>
                <w:rFonts w:hint="eastAsia"/>
                <w:lang w:val="en-US" w:eastAsia="zh-CN"/>
              </w:rPr>
              <w:t>0.0126</w:t>
            </w:r>
          </w:p>
        </w:tc>
        <w:tc>
          <w:tcPr>
            <w:tcW w:w="1430" w:type="dxa"/>
            <w:vAlign w:val="center"/>
          </w:tcPr>
          <w:p>
            <w:pPr>
              <w:pStyle w:val="8"/>
              <w:bidi w:val="0"/>
            </w:pPr>
            <w:r>
              <w:t>10</w:t>
            </w:r>
          </w:p>
        </w:tc>
      </w:tr>
    </w:tbl>
    <w:p>
      <w:pPr>
        <w:pStyle w:val="11"/>
        <w:rPr>
          <w:rFonts w:hint="default" w:eastAsiaTheme="minorEastAsia"/>
          <w:lang w:val="en-US" w:eastAsia="zh-CN"/>
        </w:rPr>
      </w:pPr>
      <w:r>
        <w:t xml:space="preserve">表4.2- </w:t>
      </w:r>
      <w:r>
        <w:fldChar w:fldCharType="begin"/>
      </w:r>
      <w:r>
        <w:instrText xml:space="preserve"> SEQ 表4.2- \* ARABIC </w:instrText>
      </w:r>
      <w:r>
        <w:fldChar w:fldCharType="separate"/>
      </w:r>
      <w:r>
        <w:t>5</w:t>
      </w:r>
      <w:r>
        <w:fldChar w:fldCharType="end"/>
      </w:r>
      <w:r>
        <w:rPr>
          <w:rFonts w:hint="eastAsia"/>
          <w:lang w:val="en-US" w:eastAsia="zh-CN"/>
        </w:rPr>
        <w:t xml:space="preserve">  </w:t>
      </w:r>
      <w:r>
        <w:t>项目</w:t>
      </w:r>
      <w:r>
        <w:rPr>
          <w:rFonts w:hint="default" w:ascii="Times New Roman" w:hAnsi="Times New Roman" w:cs="Times New Roman"/>
          <w:b/>
          <w:kern w:val="2"/>
          <w:u w:val="none"/>
        </w:rPr>
        <w:t>估算各源最大值统计结果表</w:t>
      </w:r>
    </w:p>
    <w:tbl>
      <w:tblPr>
        <w:tblStyle w:val="17"/>
        <w:tblW w:w="82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58"/>
        <w:gridCol w:w="1588"/>
        <w:gridCol w:w="1837"/>
        <w:gridCol w:w="1625"/>
        <w:gridCol w:w="18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1358" w:type="dxa"/>
            <w:vAlign w:val="center"/>
          </w:tcPr>
          <w:p>
            <w:pPr>
              <w:pStyle w:val="8"/>
              <w:rPr>
                <w:rStyle w:val="19"/>
                <w:rFonts w:hint="default" w:ascii="Times New Roman" w:hAnsi="Times New Roman" w:cs="Times New Roman"/>
                <w:highlight w:val="none"/>
              </w:rPr>
            </w:pPr>
            <w:r>
              <w:rPr>
                <w:rStyle w:val="19"/>
                <w:rFonts w:hint="default" w:ascii="Times New Roman" w:hAnsi="Times New Roman" w:cs="Times New Roman"/>
                <w:highlight w:val="none"/>
              </w:rPr>
              <w:t>污染源</w:t>
            </w:r>
          </w:p>
        </w:tc>
        <w:tc>
          <w:tcPr>
            <w:tcW w:w="1588" w:type="dxa"/>
            <w:vAlign w:val="center"/>
          </w:tcPr>
          <w:p>
            <w:pPr>
              <w:pStyle w:val="8"/>
              <w:rPr>
                <w:rStyle w:val="19"/>
                <w:rFonts w:hint="default" w:ascii="Times New Roman" w:hAnsi="Times New Roman" w:cs="Times New Roman"/>
                <w:highlight w:val="none"/>
              </w:rPr>
            </w:pPr>
            <w:r>
              <w:rPr>
                <w:rStyle w:val="19"/>
                <w:rFonts w:hint="default" w:ascii="Times New Roman" w:hAnsi="Times New Roman" w:cs="Times New Roman"/>
                <w:highlight w:val="none"/>
              </w:rPr>
              <w:t>污染物</w:t>
            </w:r>
          </w:p>
        </w:tc>
        <w:tc>
          <w:tcPr>
            <w:tcW w:w="1837" w:type="dxa"/>
            <w:vAlign w:val="center"/>
          </w:tcPr>
          <w:p>
            <w:pPr>
              <w:pStyle w:val="8"/>
              <w:rPr>
                <w:rStyle w:val="19"/>
                <w:rFonts w:hint="default" w:ascii="Times New Roman" w:hAnsi="Times New Roman" w:cs="Times New Roman" w:eastAsiaTheme="minorEastAsia"/>
                <w:highlight w:val="none"/>
                <w:lang w:eastAsia="zh-CN"/>
              </w:rPr>
            </w:pPr>
            <w:r>
              <w:rPr>
                <w:rStyle w:val="19"/>
                <w:rFonts w:hint="default" w:ascii="Times New Roman" w:hAnsi="Times New Roman" w:cs="Times New Roman"/>
                <w:highlight w:val="none"/>
                <w:lang w:eastAsia="zh-CN"/>
              </w:rPr>
              <w:t>离源距离（</w:t>
            </w:r>
            <w:r>
              <w:rPr>
                <w:rStyle w:val="19"/>
                <w:rFonts w:hint="default" w:ascii="Times New Roman" w:hAnsi="Times New Roman" w:cs="Times New Roman"/>
                <w:highlight w:val="none"/>
                <w:lang w:val="en-US" w:eastAsia="zh-CN"/>
              </w:rPr>
              <w:t>m</w:t>
            </w:r>
            <w:r>
              <w:rPr>
                <w:rStyle w:val="19"/>
                <w:rFonts w:hint="default" w:ascii="Times New Roman" w:hAnsi="Times New Roman" w:cs="Times New Roman"/>
                <w:highlight w:val="none"/>
                <w:lang w:eastAsia="zh-CN"/>
              </w:rPr>
              <w:t>）</w:t>
            </w:r>
          </w:p>
        </w:tc>
        <w:tc>
          <w:tcPr>
            <w:tcW w:w="1625" w:type="dxa"/>
            <w:vAlign w:val="center"/>
          </w:tcPr>
          <w:p>
            <w:pPr>
              <w:pStyle w:val="8"/>
              <w:rPr>
                <w:rStyle w:val="19"/>
                <w:rFonts w:hint="default" w:ascii="Times New Roman" w:hAnsi="Times New Roman" w:cs="Times New Roman"/>
                <w:highlight w:val="none"/>
              </w:rPr>
            </w:pPr>
            <w:r>
              <w:rPr>
                <w:rStyle w:val="19"/>
                <w:rFonts w:hint="default" w:ascii="Times New Roman" w:hAnsi="Times New Roman" w:cs="Times New Roman"/>
                <w:highlight w:val="none"/>
              </w:rPr>
              <w:t>Pmax(%)</w:t>
            </w:r>
          </w:p>
        </w:tc>
        <w:tc>
          <w:tcPr>
            <w:tcW w:w="1870" w:type="dxa"/>
            <w:vAlign w:val="center"/>
          </w:tcPr>
          <w:p>
            <w:pPr>
              <w:pStyle w:val="8"/>
              <w:rPr>
                <w:rStyle w:val="19"/>
                <w:rFonts w:hint="default" w:ascii="Times New Roman" w:hAnsi="Times New Roman" w:cs="Times New Roman"/>
                <w:highlight w:val="none"/>
              </w:rPr>
            </w:pPr>
            <w:r>
              <w:rPr>
                <w:rStyle w:val="19"/>
                <w:rFonts w:hint="eastAsia" w:cs="Times New Roman"/>
                <w:highlight w:val="none"/>
                <w:lang w:val="en-US" w:eastAsia="zh-CN"/>
              </w:rPr>
              <w:t>预测质量浓度（mg/m</w:t>
            </w:r>
            <w:r>
              <w:rPr>
                <w:rStyle w:val="19"/>
                <w:rFonts w:hint="eastAsia" w:cs="Times New Roman"/>
                <w:highlight w:val="none"/>
                <w:vertAlign w:val="superscript"/>
                <w:lang w:val="en-US" w:eastAsia="zh-CN"/>
              </w:rPr>
              <w:t>3</w:t>
            </w:r>
            <w:r>
              <w:rPr>
                <w:rStyle w:val="19"/>
                <w:rFonts w:hint="eastAsia"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358" w:type="dxa"/>
            <w:vMerge w:val="restart"/>
            <w:vAlign w:val="center"/>
          </w:tcPr>
          <w:p>
            <w:pPr>
              <w:pStyle w:val="8"/>
              <w:rPr>
                <w:rStyle w:val="19"/>
                <w:rFonts w:hint="default" w:ascii="Times New Roman" w:hAnsi="Times New Roman" w:cs="Times New Roman"/>
                <w:highlight w:val="none"/>
                <w:lang w:val="en-US" w:eastAsia="zh-CN"/>
              </w:rPr>
            </w:pPr>
            <w:r>
              <w:rPr>
                <w:rFonts w:hint="eastAsia"/>
                <w:lang w:eastAsia="zh-CN"/>
              </w:rPr>
              <w:t>养殖区</w:t>
            </w:r>
          </w:p>
        </w:tc>
        <w:tc>
          <w:tcPr>
            <w:tcW w:w="1588" w:type="dxa"/>
            <w:vAlign w:val="center"/>
          </w:tcPr>
          <w:p>
            <w:pPr>
              <w:pStyle w:val="8"/>
              <w:rPr>
                <w:rStyle w:val="19"/>
                <w:rFonts w:hint="default" w:ascii="Times New Roman" w:hAnsi="Times New Roman" w:cs="Times New Roman"/>
                <w:highlight w:val="none"/>
                <w:lang w:val="en-US" w:eastAsia="zh-CN"/>
              </w:rPr>
            </w:pPr>
            <w:r>
              <w:rPr>
                <w:rFonts w:hint="default" w:ascii="Times New Roman" w:hAnsi="Times New Roman" w:cs="Times New Roman"/>
                <w:lang w:val="en-US" w:eastAsia="zh-CN"/>
              </w:rPr>
              <w:t>NH</w:t>
            </w:r>
            <w:r>
              <w:rPr>
                <w:rFonts w:hint="default" w:ascii="Times New Roman" w:hAnsi="Times New Roman" w:cs="Times New Roman"/>
                <w:vertAlign w:val="subscript"/>
                <w:lang w:val="en-US" w:eastAsia="zh-CN"/>
              </w:rPr>
              <w:t>3</w:t>
            </w:r>
          </w:p>
        </w:tc>
        <w:tc>
          <w:tcPr>
            <w:tcW w:w="1837"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162</w:t>
            </w:r>
          </w:p>
        </w:tc>
        <w:tc>
          <w:tcPr>
            <w:tcW w:w="1625"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6.54</w:t>
            </w:r>
          </w:p>
        </w:tc>
        <w:tc>
          <w:tcPr>
            <w:tcW w:w="1870" w:type="dxa"/>
            <w:vAlign w:val="center"/>
          </w:tcPr>
          <w:p>
            <w:pPr>
              <w:pStyle w:val="8"/>
              <w:rPr>
                <w:rStyle w:val="19"/>
                <w:rFonts w:hint="default" w:ascii="Times New Roman" w:hAnsi="Times New Roman" w:cs="Times New Roman"/>
                <w:highlight w:val="none"/>
                <w:lang w:val="en-US" w:eastAsia="zh-CN"/>
              </w:rPr>
            </w:pPr>
            <w:r>
              <w:rPr>
                <w:rStyle w:val="19"/>
                <w:rFonts w:hint="eastAsia" w:cs="Times New Roman"/>
                <w:highlight w:val="none"/>
                <w:lang w:val="en-US" w:eastAsia="zh-CN"/>
              </w:rPr>
              <w:t>1.31</w:t>
            </w:r>
            <w:r>
              <w:rPr>
                <w:rStyle w:val="19"/>
                <w:rFonts w:hint="default" w:ascii="Times New Roman" w:hAnsi="Times New Roman" w:cs="Times New Roman"/>
                <w:highlight w:val="none"/>
                <w:lang w:val="en-US" w:eastAsia="zh-CN"/>
              </w:rPr>
              <w:t>E-0</w:t>
            </w:r>
            <w:r>
              <w:rPr>
                <w:rStyle w:val="19"/>
                <w:rFonts w:hint="eastAsia" w:cs="Times New Roman"/>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503" w:hRule="atLeast"/>
          <w:jc w:val="center"/>
        </w:trPr>
        <w:tc>
          <w:tcPr>
            <w:tcW w:w="1358" w:type="dxa"/>
            <w:vMerge w:val="continue"/>
            <w:vAlign w:val="center"/>
          </w:tcPr>
          <w:p>
            <w:pPr>
              <w:pStyle w:val="8"/>
              <w:outlineLvl w:val="9"/>
              <w:rPr>
                <w:rStyle w:val="19"/>
                <w:rFonts w:hint="default" w:ascii="Times New Roman" w:hAnsi="Times New Roman" w:cs="Times New Roman"/>
                <w:highlight w:val="none"/>
                <w:lang w:val="en-US" w:eastAsia="zh-CN"/>
              </w:rPr>
            </w:pPr>
          </w:p>
        </w:tc>
        <w:tc>
          <w:tcPr>
            <w:tcW w:w="1588" w:type="dxa"/>
            <w:vAlign w:val="center"/>
          </w:tcPr>
          <w:p>
            <w:pPr>
              <w:pStyle w:val="8"/>
              <w:rPr>
                <w:rStyle w:val="19"/>
                <w:rFonts w:hint="default" w:ascii="Times New Roman" w:hAnsi="Times New Roman" w:cs="Times New Roman"/>
                <w:highlight w:val="none"/>
                <w:lang w:val="en-US" w:eastAsia="zh-CN"/>
              </w:rPr>
            </w:pPr>
            <w:r>
              <w:t>H</w:t>
            </w:r>
            <w:r>
              <w:rPr>
                <w:vertAlign w:val="subscript"/>
              </w:rPr>
              <w:t>2</w:t>
            </w:r>
            <w:r>
              <w:t>S</w:t>
            </w:r>
          </w:p>
        </w:tc>
        <w:tc>
          <w:tcPr>
            <w:tcW w:w="1837" w:type="dxa"/>
            <w:vAlign w:val="center"/>
          </w:tcPr>
          <w:p>
            <w:pPr>
              <w:pStyle w:val="8"/>
              <w:rPr>
                <w:rFonts w:hint="default" w:ascii="Times New Roman" w:hAnsi="Times New Roman" w:cs="Times New Roman"/>
                <w:lang w:val="en-US" w:eastAsia="zh-CN"/>
              </w:rPr>
            </w:pPr>
            <w:r>
              <w:rPr>
                <w:rFonts w:hint="eastAsia" w:cs="Times New Roman"/>
                <w:lang w:val="en-US" w:eastAsia="zh-CN"/>
              </w:rPr>
              <w:t>162</w:t>
            </w:r>
          </w:p>
        </w:tc>
        <w:tc>
          <w:tcPr>
            <w:tcW w:w="1625" w:type="dxa"/>
            <w:vAlign w:val="center"/>
          </w:tcPr>
          <w:p>
            <w:pPr>
              <w:pStyle w:val="8"/>
              <w:rPr>
                <w:rStyle w:val="19"/>
                <w:rFonts w:hint="default" w:ascii="Times New Roman" w:hAnsi="Times New Roman" w:cs="Times New Roman"/>
                <w:highlight w:val="none"/>
                <w:lang w:val="en-US" w:eastAsia="zh-CN"/>
              </w:rPr>
            </w:pPr>
            <w:r>
              <w:rPr>
                <w:rStyle w:val="19"/>
                <w:rFonts w:hint="eastAsia" w:cs="Times New Roman"/>
                <w:highlight w:val="none"/>
                <w:lang w:val="en-US" w:eastAsia="zh-CN"/>
              </w:rPr>
              <w:t>9.56</w:t>
            </w:r>
          </w:p>
        </w:tc>
        <w:tc>
          <w:tcPr>
            <w:tcW w:w="1870" w:type="dxa"/>
            <w:vAlign w:val="center"/>
          </w:tcPr>
          <w:p>
            <w:pPr>
              <w:pStyle w:val="8"/>
              <w:rPr>
                <w:rStyle w:val="19"/>
                <w:rFonts w:hint="default" w:ascii="Times New Roman" w:hAnsi="Times New Roman" w:cs="Times New Roman"/>
                <w:highlight w:val="none"/>
                <w:lang w:val="en-US" w:eastAsia="zh-CN"/>
              </w:rPr>
            </w:pPr>
            <w:r>
              <w:rPr>
                <w:rStyle w:val="19"/>
                <w:rFonts w:hint="default" w:ascii="Times New Roman" w:hAnsi="Times New Roman" w:cs="Times New Roman"/>
                <w:highlight w:val="none"/>
                <w:lang w:val="en-US" w:eastAsia="zh-CN"/>
              </w:rPr>
              <w:t>9.</w:t>
            </w:r>
            <w:r>
              <w:rPr>
                <w:rStyle w:val="19"/>
                <w:rFonts w:hint="eastAsia" w:cs="Times New Roman"/>
                <w:highlight w:val="none"/>
                <w:lang w:val="en-US" w:eastAsia="zh-CN"/>
              </w:rPr>
              <w:t>56</w:t>
            </w:r>
            <w:r>
              <w:rPr>
                <w:rStyle w:val="19"/>
                <w:rFonts w:hint="default" w:ascii="Times New Roman" w:hAnsi="Times New Roman" w:cs="Times New Roman"/>
                <w:highlight w:val="none"/>
                <w:lang w:val="en-US" w:eastAsia="zh-CN"/>
              </w:rPr>
              <w:t>E-04</w:t>
            </w:r>
          </w:p>
        </w:tc>
      </w:tr>
    </w:tbl>
    <w:p>
      <w:r>
        <w:rPr>
          <w:rFonts w:hint="eastAsia"/>
          <w:lang w:eastAsia="zh-CN"/>
        </w:rPr>
        <w:t>根据预测可知，</w:t>
      </w:r>
      <w:r>
        <w:t>污染物NH</w:t>
      </w:r>
      <w:r>
        <w:rPr>
          <w:vertAlign w:val="subscript"/>
        </w:rPr>
        <w:t>3</w:t>
      </w:r>
      <w:r>
        <w:t>最大占标率Pmax为</w:t>
      </w:r>
      <w:r>
        <w:rPr>
          <w:rFonts w:hint="eastAsia"/>
          <w:lang w:val="en-US" w:eastAsia="zh-CN"/>
        </w:rPr>
        <w:t>6.54</w:t>
      </w:r>
      <w:r>
        <w:t>%，</w:t>
      </w:r>
      <w:r>
        <w:rPr>
          <w:rStyle w:val="19"/>
          <w:rFonts w:hint="eastAsia" w:cs="Times New Roman"/>
          <w:highlight w:val="none"/>
          <w:lang w:val="en-US" w:eastAsia="zh-CN"/>
        </w:rPr>
        <w:t>预测质量浓度为1.31</w:t>
      </w:r>
      <w:r>
        <w:rPr>
          <w:rStyle w:val="19"/>
          <w:rFonts w:hint="default" w:ascii="Times New Roman" w:hAnsi="Times New Roman" w:cs="Times New Roman"/>
          <w:highlight w:val="none"/>
          <w:lang w:val="en-US" w:eastAsia="zh-CN"/>
        </w:rPr>
        <w:t>E-0</w:t>
      </w:r>
      <w:r>
        <w:rPr>
          <w:rStyle w:val="19"/>
          <w:rFonts w:hint="eastAsia" w:cs="Times New Roman"/>
          <w:highlight w:val="none"/>
          <w:lang w:val="en-US" w:eastAsia="zh-CN"/>
        </w:rPr>
        <w:t>2mg/m</w:t>
      </w:r>
      <w:r>
        <w:rPr>
          <w:rStyle w:val="19"/>
          <w:rFonts w:hint="eastAsia" w:cs="Times New Roman"/>
          <w:highlight w:val="none"/>
          <w:vertAlign w:val="superscript"/>
          <w:lang w:val="en-US" w:eastAsia="zh-CN"/>
        </w:rPr>
        <w:t>3</w:t>
      </w:r>
      <w:r>
        <w:rPr>
          <w:rStyle w:val="19"/>
          <w:rFonts w:hint="eastAsia" w:cs="Times New Roman"/>
          <w:highlight w:val="none"/>
          <w:lang w:val="en-US" w:eastAsia="zh-CN"/>
        </w:rPr>
        <w:t>，</w:t>
      </w:r>
      <w:r>
        <w:t>H</w:t>
      </w:r>
      <w:r>
        <w:rPr>
          <w:vertAlign w:val="subscript"/>
        </w:rPr>
        <w:t>2</w:t>
      </w:r>
      <w:r>
        <w:t>S最大占标率Pmax为</w:t>
      </w:r>
      <w:r>
        <w:rPr>
          <w:rFonts w:hint="eastAsia"/>
          <w:lang w:val="en-US" w:eastAsia="zh-CN"/>
        </w:rPr>
        <w:t>9.56</w:t>
      </w:r>
      <w:r>
        <w:t>%，</w:t>
      </w:r>
      <w:r>
        <w:rPr>
          <w:rStyle w:val="19"/>
          <w:rFonts w:hint="eastAsia" w:cs="Times New Roman"/>
          <w:highlight w:val="none"/>
          <w:lang w:val="en-US" w:eastAsia="zh-CN"/>
        </w:rPr>
        <w:t>预测质量浓度为</w:t>
      </w:r>
      <w:r>
        <w:rPr>
          <w:rStyle w:val="19"/>
          <w:rFonts w:hint="default" w:ascii="Times New Roman" w:hAnsi="Times New Roman" w:cs="Times New Roman"/>
          <w:highlight w:val="none"/>
          <w:lang w:val="en-US" w:eastAsia="zh-CN"/>
        </w:rPr>
        <w:t>9.</w:t>
      </w:r>
      <w:r>
        <w:rPr>
          <w:rStyle w:val="19"/>
          <w:rFonts w:hint="eastAsia" w:cs="Times New Roman"/>
          <w:highlight w:val="none"/>
          <w:lang w:val="en-US" w:eastAsia="zh-CN"/>
        </w:rPr>
        <w:t>56</w:t>
      </w:r>
      <w:r>
        <w:rPr>
          <w:rStyle w:val="19"/>
          <w:rFonts w:hint="default" w:ascii="Times New Roman" w:hAnsi="Times New Roman" w:cs="Times New Roman"/>
          <w:highlight w:val="none"/>
          <w:lang w:val="en-US" w:eastAsia="zh-CN"/>
        </w:rPr>
        <w:t>E-04</w:t>
      </w:r>
      <w:r>
        <w:rPr>
          <w:rStyle w:val="19"/>
          <w:rFonts w:hint="eastAsia" w:cs="Times New Roman"/>
          <w:highlight w:val="none"/>
          <w:lang w:val="en-US" w:eastAsia="zh-CN"/>
        </w:rPr>
        <w:t>mg/m</w:t>
      </w:r>
      <w:r>
        <w:rPr>
          <w:rStyle w:val="19"/>
          <w:rFonts w:hint="eastAsia" w:cs="Times New Roman"/>
          <w:highlight w:val="none"/>
          <w:vertAlign w:val="superscript"/>
          <w:lang w:val="en-US" w:eastAsia="zh-CN"/>
        </w:rPr>
        <w:t>3</w:t>
      </w:r>
      <w:r>
        <w:rPr>
          <w:rStyle w:val="19"/>
          <w:rFonts w:hint="eastAsia" w:cs="Times New Roman"/>
          <w:highlight w:val="none"/>
          <w:vertAlign w:val="baseline"/>
          <w:lang w:val="en-US" w:eastAsia="zh-CN"/>
        </w:rPr>
        <w:t>，</w:t>
      </w:r>
      <w:r>
        <w:t>离源距离为</w:t>
      </w:r>
      <w:r>
        <w:rPr>
          <w:rFonts w:hint="eastAsia"/>
          <w:lang w:val="en-US" w:eastAsia="zh-CN"/>
        </w:rPr>
        <w:t>162</w:t>
      </w:r>
      <w:r>
        <w:t>m，占标率＜10%。本项目大气评价等级为二级。</w:t>
      </w:r>
    </w:p>
    <w:p>
      <w:r>
        <w:rPr>
          <w:rFonts w:hint="eastAsia"/>
        </w:rPr>
        <w:t>估算模式已考虑了最不利的气象条件，分析预测结果表明，项目养殖区恶臭气体无组织排放对周围大气环境质量影响不大。</w:t>
      </w:r>
    </w:p>
    <w:p>
      <w:r>
        <w:rPr>
          <w:rFonts w:hint="eastAsia"/>
        </w:rPr>
        <w:t>（2）污染物排放量核算</w:t>
      </w:r>
    </w:p>
    <w:p>
      <w:r>
        <w:t>工程分析表明，本项目恶臭主要来自猪舍、发酵区的无组织废气，主要污染物包括有NH</w:t>
      </w:r>
      <w:r>
        <w:rPr>
          <w:vertAlign w:val="subscript"/>
        </w:rPr>
        <w:t>3</w:t>
      </w:r>
      <w:r>
        <w:t>和H</w:t>
      </w:r>
      <w:r>
        <w:rPr>
          <w:vertAlign w:val="subscript"/>
        </w:rPr>
        <w:t>2</w:t>
      </w:r>
      <w:r>
        <w:t>S。大气污染物排放量核算表见表</w:t>
      </w:r>
      <w:r>
        <w:rPr>
          <w:rFonts w:hint="eastAsia"/>
          <w:lang w:val="en-US" w:eastAsia="zh-CN"/>
        </w:rPr>
        <w:t>4.2-6</w:t>
      </w:r>
      <w:r>
        <w:t>。</w:t>
      </w:r>
    </w:p>
    <w:p>
      <w:pPr>
        <w:pStyle w:val="11"/>
        <w:rPr>
          <w:rFonts w:hint="default" w:eastAsiaTheme="minorEastAsia"/>
          <w:lang w:val="en-US" w:eastAsia="zh-CN"/>
        </w:rPr>
      </w:pPr>
      <w:r>
        <w:t xml:space="preserve">表4.2- </w:t>
      </w:r>
      <w:r>
        <w:fldChar w:fldCharType="begin"/>
      </w:r>
      <w:r>
        <w:instrText xml:space="preserve"> SEQ 表4.2- \* ARABIC </w:instrText>
      </w:r>
      <w:r>
        <w:fldChar w:fldCharType="separate"/>
      </w:r>
      <w:r>
        <w:t>6</w:t>
      </w:r>
      <w:r>
        <w:fldChar w:fldCharType="end"/>
      </w:r>
      <w:r>
        <w:rPr>
          <w:rFonts w:hint="eastAsia"/>
          <w:lang w:val="en-US" w:eastAsia="zh-CN"/>
        </w:rPr>
        <w:t xml:space="preserve">    </w:t>
      </w:r>
      <w:r>
        <w:t xml:space="preserve"> 大气污染物无组织排放量核算表</w:t>
      </w:r>
    </w:p>
    <w:tbl>
      <w:tblPr>
        <w:tblStyle w:val="17"/>
        <w:tblW w:w="90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
        <w:gridCol w:w="851"/>
        <w:gridCol w:w="959"/>
        <w:gridCol w:w="851"/>
        <w:gridCol w:w="2007"/>
        <w:gridCol w:w="1806"/>
        <w:gridCol w:w="1134"/>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26" w:type="dxa"/>
            <w:vAlign w:val="center"/>
          </w:tcPr>
          <w:p>
            <w:pPr>
              <w:pStyle w:val="8"/>
              <w:bidi w:val="0"/>
            </w:pPr>
            <w:r>
              <w:rPr>
                <w:rFonts w:hint="eastAsia"/>
              </w:rPr>
              <w:t>序号</w:t>
            </w:r>
          </w:p>
        </w:tc>
        <w:tc>
          <w:tcPr>
            <w:tcW w:w="851" w:type="dxa"/>
            <w:vAlign w:val="center"/>
          </w:tcPr>
          <w:p>
            <w:pPr>
              <w:pStyle w:val="8"/>
              <w:bidi w:val="0"/>
            </w:pPr>
            <w:r>
              <w:rPr>
                <w:rFonts w:hint="eastAsia"/>
              </w:rPr>
              <w:t>排放口编号</w:t>
            </w:r>
          </w:p>
        </w:tc>
        <w:tc>
          <w:tcPr>
            <w:tcW w:w="959" w:type="dxa"/>
            <w:vAlign w:val="center"/>
          </w:tcPr>
          <w:p>
            <w:pPr>
              <w:pStyle w:val="8"/>
              <w:bidi w:val="0"/>
            </w:pPr>
            <w:r>
              <w:rPr>
                <w:rFonts w:hint="eastAsia"/>
              </w:rPr>
              <w:t>污染源</w:t>
            </w:r>
          </w:p>
        </w:tc>
        <w:tc>
          <w:tcPr>
            <w:tcW w:w="851" w:type="dxa"/>
            <w:vAlign w:val="center"/>
          </w:tcPr>
          <w:p>
            <w:pPr>
              <w:pStyle w:val="8"/>
              <w:bidi w:val="0"/>
            </w:pPr>
            <w:r>
              <w:rPr>
                <w:rFonts w:hint="eastAsia"/>
              </w:rPr>
              <w:t>污染物</w:t>
            </w:r>
          </w:p>
        </w:tc>
        <w:tc>
          <w:tcPr>
            <w:tcW w:w="2007" w:type="dxa"/>
            <w:vAlign w:val="center"/>
          </w:tcPr>
          <w:p>
            <w:pPr>
              <w:pStyle w:val="8"/>
              <w:bidi w:val="0"/>
            </w:pPr>
            <w:r>
              <w:rPr>
                <w:rFonts w:hint="eastAsia"/>
              </w:rPr>
              <w:t>主要污染防治措施</w:t>
            </w:r>
          </w:p>
        </w:tc>
        <w:tc>
          <w:tcPr>
            <w:tcW w:w="1806" w:type="dxa"/>
            <w:vAlign w:val="center"/>
          </w:tcPr>
          <w:p>
            <w:pPr>
              <w:pStyle w:val="8"/>
              <w:bidi w:val="0"/>
            </w:pPr>
            <w:r>
              <w:rPr>
                <w:rFonts w:hint="eastAsia"/>
              </w:rPr>
              <w:t>标准名称</w:t>
            </w:r>
          </w:p>
        </w:tc>
        <w:tc>
          <w:tcPr>
            <w:tcW w:w="1134" w:type="dxa"/>
            <w:vAlign w:val="center"/>
          </w:tcPr>
          <w:p>
            <w:pPr>
              <w:pStyle w:val="8"/>
              <w:bidi w:val="0"/>
            </w:pPr>
            <w:r>
              <w:rPr>
                <w:rFonts w:hint="eastAsia"/>
              </w:rPr>
              <w:t>浓度限值</w:t>
            </w:r>
            <w:r>
              <w:t>(mg/m</w:t>
            </w:r>
            <w:r>
              <w:rPr>
                <w:vertAlign w:val="superscript"/>
              </w:rPr>
              <w:t>3</w:t>
            </w:r>
            <w:r>
              <w:t>)</w:t>
            </w:r>
          </w:p>
        </w:tc>
        <w:tc>
          <w:tcPr>
            <w:tcW w:w="992" w:type="dxa"/>
            <w:vAlign w:val="center"/>
          </w:tcPr>
          <w:p>
            <w:pPr>
              <w:pStyle w:val="8"/>
              <w:bidi w:val="0"/>
            </w:pPr>
            <w:r>
              <w:rPr>
                <w:rFonts w:hint="eastAsia"/>
              </w:rPr>
              <w:t>年排放量</w:t>
            </w:r>
            <w:r>
              <w:t>(</w:t>
            </w:r>
            <w:r>
              <w:rPr>
                <w:rFonts w:hint="eastAsia"/>
              </w:rPr>
              <w:t>t/a</w:t>
            </w: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426" w:type="dxa"/>
            <w:vMerge w:val="restart"/>
            <w:vAlign w:val="center"/>
          </w:tcPr>
          <w:p>
            <w:pPr>
              <w:pStyle w:val="8"/>
              <w:bidi w:val="0"/>
            </w:pPr>
            <w:r>
              <w:rPr>
                <w:rFonts w:hint="eastAsia"/>
              </w:rPr>
              <w:t>1</w:t>
            </w:r>
          </w:p>
        </w:tc>
        <w:tc>
          <w:tcPr>
            <w:tcW w:w="851" w:type="dxa"/>
            <w:vMerge w:val="restart"/>
            <w:vAlign w:val="center"/>
          </w:tcPr>
          <w:p>
            <w:pPr>
              <w:pStyle w:val="8"/>
              <w:bidi w:val="0"/>
            </w:pPr>
            <w:r>
              <w:rPr>
                <w:rFonts w:hint="eastAsia"/>
              </w:rPr>
              <w:t>无组织</w:t>
            </w:r>
          </w:p>
        </w:tc>
        <w:tc>
          <w:tcPr>
            <w:tcW w:w="959" w:type="dxa"/>
            <w:vMerge w:val="restart"/>
            <w:vAlign w:val="center"/>
          </w:tcPr>
          <w:p>
            <w:pPr>
              <w:pStyle w:val="8"/>
              <w:bidi w:val="0"/>
            </w:pPr>
            <w:r>
              <w:rPr>
                <w:rFonts w:hint="eastAsia"/>
                <w:lang w:eastAsia="zh-CN"/>
              </w:rPr>
              <w:t>养殖区</w:t>
            </w:r>
            <w:r>
              <w:rPr>
                <w:rFonts w:hint="eastAsia"/>
              </w:rPr>
              <w:t>面源</w:t>
            </w:r>
          </w:p>
        </w:tc>
        <w:tc>
          <w:tcPr>
            <w:tcW w:w="851" w:type="dxa"/>
            <w:vAlign w:val="center"/>
          </w:tcPr>
          <w:p>
            <w:pPr>
              <w:pStyle w:val="8"/>
              <w:bidi w:val="0"/>
            </w:pPr>
            <w:r>
              <w:rPr>
                <w:rFonts w:hint="eastAsia"/>
              </w:rPr>
              <w:t>NH</w:t>
            </w:r>
            <w:r>
              <w:rPr>
                <w:rFonts w:hint="eastAsia"/>
                <w:vertAlign w:val="subscript"/>
              </w:rPr>
              <w:t>3</w:t>
            </w:r>
          </w:p>
        </w:tc>
        <w:tc>
          <w:tcPr>
            <w:tcW w:w="2007" w:type="dxa"/>
            <w:vMerge w:val="restart"/>
            <w:vAlign w:val="center"/>
          </w:tcPr>
          <w:p>
            <w:pPr>
              <w:pStyle w:val="8"/>
              <w:bidi w:val="0"/>
            </w:pPr>
            <w:r>
              <w:rPr>
                <w:rFonts w:hint="eastAsia"/>
              </w:rPr>
              <w:t>猪舍内消毒除臭剂除臭，猪舍外设水帘除臭</w:t>
            </w:r>
            <w:r>
              <w:t>网</w:t>
            </w:r>
          </w:p>
        </w:tc>
        <w:tc>
          <w:tcPr>
            <w:tcW w:w="1806" w:type="dxa"/>
            <w:vMerge w:val="restart"/>
            <w:vAlign w:val="center"/>
          </w:tcPr>
          <w:p>
            <w:pPr>
              <w:pStyle w:val="8"/>
              <w:bidi w:val="0"/>
            </w:pPr>
            <w:r>
              <w:t>《恶臭污染物排放标准》（GB14554-93）</w:t>
            </w:r>
          </w:p>
        </w:tc>
        <w:tc>
          <w:tcPr>
            <w:tcW w:w="1134"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cstheme="minorBidi"/>
                <w:kern w:val="20"/>
                <w:sz w:val="21"/>
                <w:szCs w:val="20"/>
                <w:lang w:val="en-US" w:eastAsia="zh-CN" w:bidi="ar-SA"/>
              </w:rPr>
              <w:t>1.5</w:t>
            </w:r>
          </w:p>
        </w:tc>
        <w:tc>
          <w:tcPr>
            <w:tcW w:w="992"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0.4434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26" w:type="dxa"/>
            <w:vMerge w:val="continue"/>
            <w:vAlign w:val="center"/>
          </w:tcPr>
          <w:p>
            <w:pPr>
              <w:pStyle w:val="8"/>
              <w:bidi w:val="0"/>
            </w:pPr>
          </w:p>
        </w:tc>
        <w:tc>
          <w:tcPr>
            <w:tcW w:w="851" w:type="dxa"/>
            <w:vMerge w:val="continue"/>
            <w:vAlign w:val="center"/>
          </w:tcPr>
          <w:p>
            <w:pPr>
              <w:pStyle w:val="8"/>
              <w:bidi w:val="0"/>
            </w:pPr>
          </w:p>
        </w:tc>
        <w:tc>
          <w:tcPr>
            <w:tcW w:w="959" w:type="dxa"/>
            <w:vMerge w:val="continue"/>
            <w:vAlign w:val="center"/>
          </w:tcPr>
          <w:p>
            <w:pPr>
              <w:pStyle w:val="8"/>
              <w:bidi w:val="0"/>
            </w:pPr>
          </w:p>
        </w:tc>
        <w:tc>
          <w:tcPr>
            <w:tcW w:w="851" w:type="dxa"/>
            <w:vAlign w:val="center"/>
          </w:tcPr>
          <w:p>
            <w:pPr>
              <w:pStyle w:val="8"/>
              <w:bidi w:val="0"/>
            </w:pPr>
            <w:r>
              <w:rPr>
                <w:rFonts w:hint="eastAsia"/>
              </w:rPr>
              <w:t>H</w:t>
            </w:r>
            <w:r>
              <w:rPr>
                <w:rFonts w:hint="eastAsia"/>
                <w:vertAlign w:val="subscript"/>
              </w:rPr>
              <w:t>2</w:t>
            </w:r>
            <w:r>
              <w:rPr>
                <w:rFonts w:hint="eastAsia"/>
              </w:rPr>
              <w:t>S</w:t>
            </w:r>
          </w:p>
        </w:tc>
        <w:tc>
          <w:tcPr>
            <w:tcW w:w="2007" w:type="dxa"/>
            <w:vMerge w:val="continue"/>
            <w:vAlign w:val="center"/>
          </w:tcPr>
          <w:p>
            <w:pPr>
              <w:pStyle w:val="8"/>
              <w:bidi w:val="0"/>
            </w:pPr>
          </w:p>
        </w:tc>
        <w:tc>
          <w:tcPr>
            <w:tcW w:w="1806" w:type="dxa"/>
            <w:vMerge w:val="continue"/>
            <w:vAlign w:val="center"/>
          </w:tcPr>
          <w:p>
            <w:pPr>
              <w:pStyle w:val="8"/>
              <w:bidi w:val="0"/>
            </w:pPr>
          </w:p>
        </w:tc>
        <w:tc>
          <w:tcPr>
            <w:tcW w:w="1134" w:type="dxa"/>
            <w:vAlign w:val="center"/>
          </w:tcPr>
          <w:p>
            <w:pPr>
              <w:pStyle w:val="8"/>
              <w:bidi w:val="0"/>
            </w:pPr>
            <w:r>
              <w:rPr>
                <w:rFonts w:hint="eastAsia"/>
              </w:rPr>
              <w:t>0.06</w:t>
            </w:r>
          </w:p>
        </w:tc>
        <w:tc>
          <w:tcPr>
            <w:tcW w:w="992"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lang w:val="en-US" w:eastAsia="zh-CN"/>
              </w:rPr>
              <w:t>0.0627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26" w:type="dxa"/>
            <w:vMerge w:val="restart"/>
            <w:vAlign w:val="center"/>
          </w:tcPr>
          <w:p>
            <w:pPr>
              <w:pStyle w:val="8"/>
              <w:bidi w:val="0"/>
              <w:rPr>
                <w:rFonts w:hint="eastAsia" w:eastAsiaTheme="minorEastAsia"/>
                <w:lang w:val="en-US" w:eastAsia="zh-CN"/>
              </w:rPr>
            </w:pPr>
            <w:r>
              <w:rPr>
                <w:rFonts w:hint="eastAsia"/>
                <w:lang w:val="en-US" w:eastAsia="zh-CN"/>
              </w:rPr>
              <w:t>2</w:t>
            </w:r>
          </w:p>
        </w:tc>
        <w:tc>
          <w:tcPr>
            <w:tcW w:w="851" w:type="dxa"/>
            <w:vMerge w:val="restart"/>
            <w:vAlign w:val="center"/>
          </w:tcPr>
          <w:p>
            <w:pPr>
              <w:pStyle w:val="8"/>
              <w:bidi w:val="0"/>
              <w:rPr>
                <w:rFonts w:hint="default" w:eastAsiaTheme="minorEastAsia"/>
                <w:lang w:val="en-US" w:eastAsia="zh-CN"/>
              </w:rPr>
            </w:pPr>
            <w:r>
              <w:rPr>
                <w:rFonts w:hint="eastAsia"/>
                <w:lang w:val="en-US" w:eastAsia="zh-CN"/>
              </w:rPr>
              <w:t>无组织</w:t>
            </w:r>
          </w:p>
        </w:tc>
        <w:tc>
          <w:tcPr>
            <w:tcW w:w="959" w:type="dxa"/>
            <w:vMerge w:val="restart"/>
            <w:vAlign w:val="center"/>
          </w:tcPr>
          <w:p>
            <w:pPr>
              <w:pStyle w:val="8"/>
              <w:bidi w:val="0"/>
            </w:pPr>
            <w:r>
              <w:rPr>
                <w:rFonts w:hint="eastAsia"/>
                <w:lang w:val="en-US" w:eastAsia="zh-CN"/>
              </w:rPr>
              <w:t>沼气燃烧</w:t>
            </w:r>
          </w:p>
        </w:tc>
        <w:tc>
          <w:tcPr>
            <w:tcW w:w="851"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default"/>
              </w:rPr>
              <w:t>SO</w:t>
            </w:r>
            <w:r>
              <w:rPr>
                <w:rFonts w:hint="default"/>
                <w:vertAlign w:val="subscript"/>
              </w:rPr>
              <w:t>2</w:t>
            </w:r>
          </w:p>
        </w:tc>
        <w:tc>
          <w:tcPr>
            <w:tcW w:w="2007" w:type="dxa"/>
            <w:vMerge w:val="restart"/>
            <w:vAlign w:val="center"/>
          </w:tcPr>
          <w:p>
            <w:pPr>
              <w:pStyle w:val="8"/>
              <w:bidi w:val="0"/>
              <w:rPr>
                <w:rFonts w:hint="eastAsia" w:eastAsiaTheme="minorEastAsia"/>
                <w:lang w:val="en-US" w:eastAsia="zh-CN"/>
              </w:rPr>
            </w:pPr>
            <w:r>
              <w:rPr>
                <w:rFonts w:hint="eastAsia"/>
                <w:lang w:val="en-US" w:eastAsia="zh-CN"/>
              </w:rPr>
              <w:t>/</w:t>
            </w:r>
          </w:p>
        </w:tc>
        <w:tc>
          <w:tcPr>
            <w:tcW w:w="1806" w:type="dxa"/>
            <w:vMerge w:val="restart"/>
            <w:vAlign w:val="center"/>
          </w:tcPr>
          <w:p>
            <w:pPr>
              <w:pStyle w:val="8"/>
              <w:bidi w:val="0"/>
              <w:rPr>
                <w:rFonts w:hint="eastAsia" w:eastAsiaTheme="minorEastAsia"/>
                <w:lang w:val="en-US" w:eastAsia="zh-CN"/>
              </w:rPr>
            </w:pPr>
            <w:r>
              <w:rPr>
                <w:rFonts w:hint="eastAsia"/>
                <w:lang w:val="en-US" w:eastAsia="zh-CN"/>
              </w:rPr>
              <w:t>《大气污染物综合排放标准》（GB16297-1996）</w:t>
            </w:r>
          </w:p>
        </w:tc>
        <w:tc>
          <w:tcPr>
            <w:tcW w:w="1134" w:type="dxa"/>
            <w:vAlign w:val="center"/>
          </w:tcPr>
          <w:p>
            <w:pPr>
              <w:pStyle w:val="8"/>
              <w:bidi w:val="0"/>
              <w:rPr>
                <w:rFonts w:hint="default" w:eastAsiaTheme="minorEastAsia"/>
                <w:lang w:val="en-US" w:eastAsia="zh-CN"/>
              </w:rPr>
            </w:pPr>
            <w:r>
              <w:rPr>
                <w:rFonts w:hint="eastAsia"/>
                <w:lang w:val="en-US" w:eastAsia="zh-CN"/>
              </w:rPr>
              <w:t>550</w:t>
            </w:r>
          </w:p>
        </w:tc>
        <w:tc>
          <w:tcPr>
            <w:tcW w:w="992"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lang w:val="en-US" w:eastAsia="zh-CN"/>
              </w:rPr>
              <w:t>0.0005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26" w:type="dxa"/>
            <w:vMerge w:val="continue"/>
            <w:tcBorders>
              <w:bottom w:val="single" w:color="auto" w:sz="4" w:space="0"/>
            </w:tcBorders>
            <w:vAlign w:val="center"/>
          </w:tcPr>
          <w:p>
            <w:pPr>
              <w:pStyle w:val="8"/>
              <w:bidi w:val="0"/>
              <w:rPr>
                <w:rFonts w:hint="eastAsia"/>
                <w:lang w:val="en-US" w:eastAsia="zh-CN"/>
              </w:rPr>
            </w:pPr>
          </w:p>
        </w:tc>
        <w:tc>
          <w:tcPr>
            <w:tcW w:w="851" w:type="dxa"/>
            <w:vMerge w:val="continue"/>
            <w:tcBorders>
              <w:bottom w:val="single" w:color="auto" w:sz="4" w:space="0"/>
            </w:tcBorders>
            <w:vAlign w:val="center"/>
          </w:tcPr>
          <w:p>
            <w:pPr>
              <w:pStyle w:val="8"/>
              <w:bidi w:val="0"/>
              <w:rPr>
                <w:rFonts w:hint="eastAsia"/>
                <w:lang w:val="en-US" w:eastAsia="zh-CN"/>
              </w:rPr>
            </w:pPr>
          </w:p>
        </w:tc>
        <w:tc>
          <w:tcPr>
            <w:tcW w:w="959" w:type="dxa"/>
            <w:vMerge w:val="continue"/>
            <w:tcBorders>
              <w:bottom w:val="single" w:color="auto" w:sz="4" w:space="0"/>
            </w:tcBorders>
            <w:vAlign w:val="center"/>
          </w:tcPr>
          <w:p>
            <w:pPr>
              <w:pStyle w:val="8"/>
              <w:bidi w:val="0"/>
              <w:rPr>
                <w:rFonts w:hint="eastAsia"/>
                <w:lang w:val="en-US" w:eastAsia="zh-CN"/>
              </w:rPr>
            </w:pPr>
          </w:p>
        </w:tc>
        <w:tc>
          <w:tcPr>
            <w:tcW w:w="851"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default"/>
              </w:rPr>
              <w:t>NO</w:t>
            </w:r>
            <w:r>
              <w:rPr>
                <w:rFonts w:hint="default"/>
                <w:vertAlign w:val="subscript"/>
              </w:rPr>
              <w:t>2</w:t>
            </w:r>
          </w:p>
        </w:tc>
        <w:tc>
          <w:tcPr>
            <w:tcW w:w="2007" w:type="dxa"/>
            <w:vMerge w:val="continue"/>
            <w:vAlign w:val="center"/>
          </w:tcPr>
          <w:p>
            <w:pPr>
              <w:pStyle w:val="8"/>
              <w:bidi w:val="0"/>
            </w:pPr>
          </w:p>
        </w:tc>
        <w:tc>
          <w:tcPr>
            <w:tcW w:w="1806" w:type="dxa"/>
            <w:vMerge w:val="continue"/>
            <w:vAlign w:val="center"/>
          </w:tcPr>
          <w:p>
            <w:pPr>
              <w:pStyle w:val="8"/>
              <w:bidi w:val="0"/>
            </w:pPr>
          </w:p>
        </w:tc>
        <w:tc>
          <w:tcPr>
            <w:tcW w:w="1134" w:type="dxa"/>
            <w:vAlign w:val="center"/>
          </w:tcPr>
          <w:p>
            <w:pPr>
              <w:pStyle w:val="8"/>
              <w:bidi w:val="0"/>
              <w:rPr>
                <w:rFonts w:hint="default" w:eastAsiaTheme="minorEastAsia"/>
                <w:lang w:val="en-US" w:eastAsia="zh-CN"/>
              </w:rPr>
            </w:pPr>
            <w:r>
              <w:rPr>
                <w:rFonts w:hint="eastAsia"/>
                <w:lang w:val="en-US" w:eastAsia="zh-CN"/>
              </w:rPr>
              <w:t>240</w:t>
            </w:r>
          </w:p>
        </w:tc>
        <w:tc>
          <w:tcPr>
            <w:tcW w:w="992"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lang w:val="en-US" w:eastAsia="zh-CN"/>
              </w:rPr>
              <w:t>0.0414</w:t>
            </w:r>
          </w:p>
        </w:tc>
      </w:tr>
      <w:bookmarkEnd w:id="405"/>
    </w:tbl>
    <w:p>
      <w:r>
        <w:fldChar w:fldCharType="begin"/>
      </w:r>
      <w:r>
        <w:instrText xml:space="preserve"> = 3 \* GB3 </w:instrText>
      </w:r>
      <w:r>
        <w:fldChar w:fldCharType="separate"/>
      </w:r>
      <w:r>
        <w:t>③</w:t>
      </w:r>
      <w:r>
        <w:fldChar w:fldCharType="end"/>
      </w:r>
      <w:r>
        <w:rPr>
          <w:rFonts w:hint="eastAsia"/>
        </w:rPr>
        <w:t>大气环境防护距离设定</w:t>
      </w:r>
    </w:p>
    <w:p>
      <w:r>
        <w:rPr>
          <w:rFonts w:hint="eastAsia"/>
        </w:rPr>
        <w:t>按照《环境影响评价技术导则大气环境》（</w:t>
      </w:r>
      <w:r>
        <w:t>HJ2.2-2008</w:t>
      </w:r>
      <w:r>
        <w:rPr>
          <w:rFonts w:hint="eastAsia"/>
        </w:rPr>
        <w:t>）推荐模式中的大气环境防护距离模式计算无组织排放源的大气环境防护距离。计算出的距离是以污染源中心点为起点的控制距离，并结合场区平面布置图，确定控制距离范围，超出场界外的控制范围，即为项目大气环境防护区域。本项目为二级评价，无大气防护距离。</w:t>
      </w:r>
    </w:p>
    <w:p>
      <w:r>
        <w:fldChar w:fldCharType="begin"/>
      </w:r>
      <w:r>
        <w:instrText xml:space="preserve"> = 4 \* GB3 </w:instrText>
      </w:r>
      <w:r>
        <w:fldChar w:fldCharType="separate"/>
      </w:r>
      <w:r>
        <w:t>④</w:t>
      </w:r>
      <w:r>
        <w:fldChar w:fldCharType="end"/>
      </w:r>
      <w:r>
        <w:rPr>
          <w:rFonts w:hint="eastAsia"/>
        </w:rPr>
        <w:t>卫生防护距离</w:t>
      </w:r>
    </w:p>
    <w:p>
      <w:r>
        <w:t>本评价采用《环境影响评价技术导则-大气环境》(HJ2.2-2008)中推荐模式中的卫生防护距离模式计算NH</w:t>
      </w:r>
      <w:r>
        <w:rPr>
          <w:vertAlign w:val="subscript"/>
        </w:rPr>
        <w:t>3</w:t>
      </w:r>
      <w:r>
        <w:t>、H</w:t>
      </w:r>
      <w:r>
        <w:rPr>
          <w:vertAlign w:val="subscript"/>
        </w:rPr>
        <w:t>2</w:t>
      </w:r>
      <w:r>
        <w:t>S的卫生防护距离。计算结果见下图。各计算参数及计算结果见</w:t>
      </w:r>
      <w:r>
        <w:rPr>
          <w:rFonts w:hint="eastAsia"/>
          <w:lang w:eastAsia="zh-CN"/>
        </w:rPr>
        <w:t>图</w:t>
      </w:r>
      <w:r>
        <w:rPr>
          <w:rFonts w:hint="eastAsia"/>
          <w:lang w:val="en-US" w:eastAsia="zh-CN"/>
        </w:rPr>
        <w:t>4.2-1</w:t>
      </w:r>
      <w:r>
        <w:t>。</w:t>
      </w:r>
    </w:p>
    <w:p>
      <w:pPr>
        <w:keepNext w:val="0"/>
        <w:keepLines w:val="0"/>
        <w:pageBreakBefore w:val="0"/>
        <w:widowControl w:val="0"/>
        <w:kinsoku/>
        <w:wordWrap/>
        <w:overflowPunct/>
        <w:topLinePunct w:val="0"/>
        <w:autoSpaceDE/>
        <w:autoSpaceDN/>
        <w:bidi w:val="0"/>
        <w:adjustRightInd/>
        <w:snapToGrid/>
        <w:ind w:firstLine="0" w:firstLineChars="0"/>
        <w:textAlignment w:val="auto"/>
      </w:pPr>
      <w:r>
        <w:drawing>
          <wp:inline distT="0" distB="0" distL="114300" distR="114300">
            <wp:extent cx="5720715" cy="1605915"/>
            <wp:effectExtent l="0" t="0" r="13335" b="1333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44"/>
                    <a:stretch>
                      <a:fillRect/>
                    </a:stretch>
                  </pic:blipFill>
                  <pic:spPr>
                    <a:xfrm>
                      <a:off x="0" y="0"/>
                      <a:ext cx="5720715" cy="1605915"/>
                    </a:xfrm>
                    <a:prstGeom prst="rect">
                      <a:avLst/>
                    </a:prstGeom>
                    <a:noFill/>
                    <a:ln>
                      <a:noFill/>
                    </a:ln>
                  </pic:spPr>
                </pic:pic>
              </a:graphicData>
            </a:graphic>
          </wp:inline>
        </w:drawing>
      </w:r>
    </w:p>
    <w:p>
      <w:pPr>
        <w:pStyle w:val="11"/>
        <w:bidi w:val="0"/>
        <w:rPr>
          <w:rFonts w:hint="default"/>
          <w:lang w:val="en-US" w:eastAsia="zh-CN"/>
        </w:rPr>
      </w:pPr>
      <w:r>
        <w:rPr>
          <w:rFonts w:hint="eastAsia"/>
          <w:lang w:eastAsia="zh-CN"/>
        </w:rPr>
        <w:t>图</w:t>
      </w:r>
      <w:r>
        <w:rPr>
          <w:rFonts w:hint="eastAsia"/>
          <w:lang w:val="en-US" w:eastAsia="zh-CN"/>
        </w:rPr>
        <w:t>4.2-1  无组织面源卫生防护距离计算结果</w:t>
      </w:r>
    </w:p>
    <w:p>
      <w:r>
        <w:rPr>
          <w:rFonts w:hint="eastAsia"/>
        </w:rPr>
        <w:t>根据级差的规定：“卫生防护距离在</w:t>
      </w:r>
      <w:r>
        <w:t xml:space="preserve">100m </w:t>
      </w:r>
      <w:r>
        <w:rPr>
          <w:rFonts w:hint="eastAsia"/>
        </w:rPr>
        <w:t>以内时，级差为</w:t>
      </w:r>
      <w:r>
        <w:t>50m</w:t>
      </w:r>
      <w:r>
        <w:rPr>
          <w:rFonts w:hint="eastAsia"/>
        </w:rPr>
        <w:t>；超过</w:t>
      </w:r>
      <w:r>
        <w:t>100m</w:t>
      </w:r>
      <w:r>
        <w:rPr>
          <w:rFonts w:hint="eastAsia"/>
        </w:rPr>
        <w:t>，但小于</w:t>
      </w:r>
      <w:r>
        <w:t xml:space="preserve">1000m </w:t>
      </w:r>
      <w:r>
        <w:rPr>
          <w:rFonts w:hint="eastAsia"/>
        </w:rPr>
        <w:t>时，级差为</w:t>
      </w:r>
      <w:r>
        <w:t>100m</w:t>
      </w:r>
      <w:r>
        <w:rPr>
          <w:rFonts w:hint="eastAsia"/>
        </w:rPr>
        <w:t>；超过</w:t>
      </w:r>
      <w:r>
        <w:t xml:space="preserve">1000m </w:t>
      </w:r>
      <w:r>
        <w:rPr>
          <w:rFonts w:hint="eastAsia"/>
        </w:rPr>
        <w:t>以上时，级差为</w:t>
      </w:r>
      <w:r>
        <w:t>200m”</w:t>
      </w:r>
      <w:r>
        <w:rPr>
          <w:rFonts w:hint="eastAsia"/>
        </w:rPr>
        <w:t>、</w:t>
      </w:r>
      <w:r>
        <w:t>“</w:t>
      </w:r>
      <w:r>
        <w:rPr>
          <w:rFonts w:hint="eastAsia"/>
        </w:rPr>
        <w:t>当按两种或两种以上有害气体的卫生防护距离在同一级别时，该类工业企业的卫生防护距离提高一级”。因此，计算得出本项目的卫生防护距离均为</w:t>
      </w:r>
      <w:r>
        <w:t>100m</w:t>
      </w:r>
      <w:r>
        <w:rPr>
          <w:rFonts w:hint="eastAsia"/>
        </w:rPr>
        <w:t>。</w:t>
      </w:r>
    </w:p>
    <w:p>
      <w:r>
        <w:rPr>
          <w:rFonts w:hint="eastAsia"/>
          <w:lang w:eastAsia="zh-CN"/>
        </w:rPr>
        <w:t>结合澧县同类项目的实际情况，</w:t>
      </w:r>
      <w:r>
        <w:rPr>
          <w:rFonts w:hint="eastAsia"/>
        </w:rPr>
        <w:t>本环评建议</w:t>
      </w:r>
      <w:r>
        <w:rPr>
          <w:rFonts w:hint="eastAsia"/>
          <w:lang w:eastAsia="zh-CN"/>
        </w:rPr>
        <w:t>本项目养殖场</w:t>
      </w:r>
      <w:r>
        <w:rPr>
          <w:rFonts w:hint="eastAsia"/>
        </w:rPr>
        <w:t>最终设置2</w:t>
      </w:r>
      <w:r>
        <w:t>00m</w:t>
      </w:r>
      <w:r>
        <w:rPr>
          <w:rFonts w:hint="eastAsia"/>
        </w:rPr>
        <w:t>的卫生防护距离</w:t>
      </w:r>
      <w:r>
        <w:t xml:space="preserve"> (</w:t>
      </w:r>
      <w:r>
        <w:rPr>
          <w:rFonts w:hint="eastAsia"/>
        </w:rPr>
        <w:t>详见附图</w:t>
      </w:r>
      <w:r>
        <w:t>)</w:t>
      </w:r>
      <w:r>
        <w:rPr>
          <w:rFonts w:hint="eastAsia"/>
        </w:rPr>
        <w:t>。</w:t>
      </w:r>
    </w:p>
    <w:p>
      <w:r>
        <w:rPr>
          <w:rFonts w:hint="eastAsia"/>
        </w:rPr>
        <w:t>根据对现场的调查，</w:t>
      </w:r>
      <w:r>
        <w:rPr>
          <w:rFonts w:hint="eastAsia"/>
          <w:lang w:eastAsia="zh-CN"/>
        </w:rPr>
        <w:t>项目</w:t>
      </w:r>
      <w:r>
        <w:rPr>
          <w:rFonts w:hint="eastAsia"/>
        </w:rPr>
        <w:t>的防护距离范围</w:t>
      </w:r>
      <w:r>
        <w:rPr>
          <w:rFonts w:hint="eastAsia"/>
          <w:lang w:eastAsia="zh-CN"/>
        </w:rPr>
        <w:t>暂有</w:t>
      </w:r>
      <w:r>
        <w:rPr>
          <w:rFonts w:hint="eastAsia"/>
          <w:lang w:val="en-US" w:eastAsia="zh-CN"/>
        </w:rPr>
        <w:t>1户</w:t>
      </w:r>
      <w:r>
        <w:rPr>
          <w:rFonts w:hint="eastAsia"/>
          <w:lang w:eastAsia="zh-CN"/>
        </w:rPr>
        <w:t>居民居住，建设单位</w:t>
      </w:r>
      <w:r>
        <w:rPr>
          <w:rFonts w:hint="eastAsia"/>
          <w:lang w:val="en-US" w:eastAsia="zh-CN"/>
        </w:rPr>
        <w:t>已将</w:t>
      </w:r>
      <w:r>
        <w:rPr>
          <w:rFonts w:hint="eastAsia"/>
          <w:lang w:eastAsia="zh-CN"/>
        </w:rPr>
        <w:t>对卫生防护距离内的居民房屋进行租赁，作为办公生活用房，保证项目运行时</w:t>
      </w:r>
      <w:r>
        <w:rPr>
          <w:rFonts w:hint="eastAsia"/>
        </w:rPr>
        <w:t>2</w:t>
      </w:r>
      <w:r>
        <w:t>00m</w:t>
      </w:r>
      <w:r>
        <w:rPr>
          <w:rFonts w:hint="eastAsia"/>
        </w:rPr>
        <w:t>卫生防护距离</w:t>
      </w:r>
      <w:r>
        <w:rPr>
          <w:rFonts w:hint="eastAsia"/>
          <w:lang w:eastAsia="zh-CN"/>
        </w:rPr>
        <w:t>内无常驻居民。</w:t>
      </w:r>
      <w:r>
        <w:rPr>
          <w:rFonts w:hint="eastAsia"/>
        </w:rPr>
        <w:t>今后，在大气环境防护区域范围内禁止新建居民</w:t>
      </w:r>
      <w:r>
        <w:rPr>
          <w:rFonts w:hint="eastAsia"/>
          <w:lang w:eastAsia="zh-CN"/>
        </w:rPr>
        <w:t>点</w:t>
      </w:r>
      <w:r>
        <w:rPr>
          <w:rFonts w:hint="eastAsia"/>
        </w:rPr>
        <w:t>等环境敏感目标。</w:t>
      </w:r>
    </w:p>
    <w:bookmarkEnd w:id="187"/>
    <w:p>
      <w:pPr>
        <w:pStyle w:val="5"/>
        <w:bidi w:val="0"/>
      </w:pPr>
      <w:bookmarkStart w:id="406" w:name="_Toc468689202"/>
      <w:r>
        <w:t>声环境影响</w:t>
      </w:r>
      <w:bookmarkEnd w:id="406"/>
      <w:r>
        <w:t>分析</w:t>
      </w:r>
    </w:p>
    <w:p>
      <w:pPr>
        <w:tabs>
          <w:tab w:val="left" w:pos="1021"/>
          <w:tab w:val="left" w:pos="1320"/>
        </w:tabs>
        <w:rPr>
          <w:rFonts w:hint="default" w:ascii="Times New Roman" w:hAnsi="Times New Roman" w:cs="Times New Roman"/>
          <w:color w:val="auto"/>
          <w:kern w:val="0"/>
          <w:lang w:eastAsia="zh-CN"/>
        </w:rPr>
      </w:pPr>
      <w:r>
        <w:rPr>
          <w:rFonts w:hint="eastAsia" w:cs="Times New Roman"/>
          <w:color w:val="auto"/>
          <w:kern w:val="0"/>
          <w:lang w:eastAsia="zh-CN"/>
        </w:rPr>
        <w:t>（</w:t>
      </w:r>
      <w:r>
        <w:rPr>
          <w:rFonts w:hint="eastAsia" w:cs="Times New Roman"/>
          <w:color w:val="auto"/>
          <w:kern w:val="0"/>
          <w:lang w:val="en-US" w:eastAsia="zh-CN"/>
        </w:rPr>
        <w:t>1</w:t>
      </w:r>
      <w:r>
        <w:rPr>
          <w:rFonts w:hint="eastAsia" w:cs="Times New Roman"/>
          <w:color w:val="auto"/>
          <w:kern w:val="0"/>
          <w:lang w:eastAsia="zh-CN"/>
        </w:rPr>
        <w:t>）预测模式</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根据《环境影响评价技术导则-声环境》（HJ2.4-2009）中的有关规定，本次评价根据声源的分布及噪声传播规律，根据工程噪声源的初步分析，拟建工程噪声源主要为室内噪声源，本评价将预测各声源对保护目标的影响，并对预测结果进行叠加，叠加时主要考虑噪声设备的噪声值</w:t>
      </w:r>
      <w:r>
        <w:rPr>
          <w:rFonts w:hint="eastAsia" w:cs="Times New Roman"/>
          <w:color w:val="auto"/>
          <w:kern w:val="0"/>
          <w:lang w:eastAsia="zh-CN"/>
        </w:rPr>
        <w:t>叠</w:t>
      </w:r>
      <w:r>
        <w:rPr>
          <w:rFonts w:hint="default" w:ascii="Times New Roman" w:hAnsi="Times New Roman" w:cs="Times New Roman"/>
          <w:color w:val="auto"/>
          <w:kern w:val="0"/>
          <w:lang w:eastAsia="zh-CN"/>
        </w:rPr>
        <w:t>加、距离衰减等因素。</w:t>
      </w:r>
    </w:p>
    <w:p>
      <w:pPr>
        <w:tabs>
          <w:tab w:val="left" w:pos="1021"/>
          <w:tab w:val="left" w:pos="1320"/>
        </w:tabs>
        <w:rPr>
          <w:rFonts w:hint="default" w:ascii="Times New Roman" w:hAnsi="Times New Roman" w:cs="Times New Roman"/>
          <w:color w:val="auto"/>
          <w:kern w:val="0"/>
          <w:lang w:eastAsia="zh-CN"/>
        </w:rPr>
      </w:pPr>
      <w:r>
        <w:rPr>
          <w:rFonts w:hint="eastAsia" w:cs="Times New Roman"/>
          <w:color w:val="auto"/>
          <w:kern w:val="0"/>
          <w:lang w:eastAsia="zh-CN"/>
        </w:rPr>
        <w:t>根据养殖场噪声分布特点宜</w:t>
      </w:r>
      <w:r>
        <w:rPr>
          <w:rFonts w:hint="default" w:ascii="Times New Roman" w:hAnsi="Times New Roman" w:cs="Times New Roman"/>
          <w:color w:val="auto"/>
          <w:kern w:val="0"/>
          <w:lang w:eastAsia="zh-CN"/>
        </w:rPr>
        <w:t>采用整体声源模型进行预测。其基本思路是：将各个车间看作一个声源，预先求得该整体声源的声功率级，然后计算该整体声源辐射的声能在向受声点传播过程中由各种因素引起的衰减，最后求得预测受声点的噪声级。</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受声点的预测声级按下式计算：Lp = Lw – ΣAi</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式中：Lp为受声点的预测声压级；</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Lw为整体声源的声功率级；ΣAi为声源传播途径上各种因素引起声能源的总衰减量；Ai为第i 种因素造成的衰减量。</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（1）体声源声功率级的计算公式</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Lw=Lpi+10lg（2S）</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式中：Lpi为整体声源周围测量线上的声级平均值，dB；</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（2）ΣAi的计算方法。</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A．距离衰减Ad</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Ad=10lg（2лr</w:t>
      </w:r>
      <w:r>
        <w:rPr>
          <w:rFonts w:hint="default" w:ascii="Times New Roman" w:hAnsi="Times New Roman" w:cs="Times New Roman"/>
          <w:color w:val="auto"/>
          <w:kern w:val="0"/>
          <w:vertAlign w:val="superscript"/>
          <w:lang w:eastAsia="zh-CN"/>
        </w:rPr>
        <w:t>2</w:t>
      </w:r>
      <w:r>
        <w:rPr>
          <w:rFonts w:hint="default" w:ascii="Times New Roman" w:hAnsi="Times New Roman" w:cs="Times New Roman"/>
          <w:color w:val="auto"/>
          <w:kern w:val="0"/>
          <w:lang w:eastAsia="zh-CN"/>
        </w:rPr>
        <w:t>），其中r为受声点到整体声源中心的距离。</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B．屏障衰减Ab</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val="en-US" w:eastAsia="zh-CN"/>
        </w:rPr>
        <w:t>车间</w:t>
      </w:r>
      <w:r>
        <w:rPr>
          <w:rFonts w:hint="default" w:ascii="Times New Roman" w:hAnsi="Times New Roman" w:cs="Times New Roman"/>
          <w:color w:val="auto"/>
          <w:kern w:val="0"/>
          <w:lang w:eastAsia="zh-CN"/>
        </w:rPr>
        <w:t>墙体隔声取20dB，建筑物阻隔衰减隔声量按10dB计算。</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C．空气系数衰减Aa</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Aa=10lg（1+1.5×10-3r）</w:t>
      </w:r>
    </w:p>
    <w:p>
      <w:pPr>
        <w:tabs>
          <w:tab w:val="left" w:pos="1021"/>
          <w:tab w:val="left" w:pos="1320"/>
        </w:tabs>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总的衰减量: ΣAi=Ad+Ab+Aa</w:t>
      </w:r>
    </w:p>
    <w:p>
      <w:pPr>
        <w:bidi w:val="0"/>
        <w:rPr>
          <w:rFonts w:hint="default"/>
        </w:rPr>
      </w:pPr>
      <w:r>
        <w:rPr>
          <w:rFonts w:hint="eastAsia"/>
          <w:lang w:eastAsia="zh-CN"/>
        </w:rPr>
        <w:t>（</w:t>
      </w:r>
      <w:r>
        <w:rPr>
          <w:rFonts w:hint="eastAsia"/>
          <w:lang w:val="en-US" w:eastAsia="zh-CN"/>
        </w:rPr>
        <w:t>2</w:t>
      </w:r>
      <w:r>
        <w:rPr>
          <w:rFonts w:hint="eastAsia"/>
          <w:lang w:eastAsia="zh-CN"/>
        </w:rPr>
        <w:t>）</w:t>
      </w:r>
      <w:r>
        <w:rPr>
          <w:rFonts w:hint="default"/>
        </w:rPr>
        <w:t>预测结果</w:t>
      </w:r>
    </w:p>
    <w:p>
      <w:pPr>
        <w:tabs>
          <w:tab w:val="left" w:pos="1021"/>
          <w:tab w:val="left" w:pos="1320"/>
        </w:tabs>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本项目整体噪声源强约</w:t>
      </w:r>
      <w:r>
        <w:rPr>
          <w:rFonts w:hint="eastAsia" w:cs="Times New Roman"/>
          <w:color w:val="auto"/>
          <w:lang w:val="en-US" w:eastAsia="zh-CN"/>
        </w:rPr>
        <w:t>60~65</w:t>
      </w:r>
      <w:r>
        <w:rPr>
          <w:rFonts w:hint="default" w:ascii="Times New Roman" w:hAnsi="Times New Roman" w:cs="Times New Roman"/>
          <w:color w:val="auto"/>
          <w:lang w:eastAsia="zh-CN"/>
        </w:rPr>
        <w:t>dB(A)左右，本评价取</w:t>
      </w:r>
      <w:r>
        <w:rPr>
          <w:rFonts w:hint="eastAsia" w:cs="Times New Roman"/>
          <w:color w:val="auto"/>
          <w:lang w:val="en-US" w:eastAsia="zh-CN"/>
        </w:rPr>
        <w:t>62</w:t>
      </w:r>
      <w:r>
        <w:rPr>
          <w:rFonts w:hint="default" w:ascii="Times New Roman" w:hAnsi="Times New Roman" w:cs="Times New Roman"/>
          <w:color w:val="auto"/>
          <w:lang w:eastAsia="zh-CN"/>
        </w:rPr>
        <w:t>dB(A)。本项目声源基本参数见表</w:t>
      </w:r>
      <w:r>
        <w:rPr>
          <w:rFonts w:hint="eastAsia" w:cs="Times New Roman"/>
          <w:color w:val="auto"/>
          <w:lang w:val="en-US" w:eastAsia="zh-CN"/>
        </w:rPr>
        <w:t>4.2</w:t>
      </w:r>
      <w:r>
        <w:rPr>
          <w:rFonts w:hint="default" w:ascii="Times New Roman" w:hAnsi="Times New Roman" w:cs="Times New Roman"/>
          <w:color w:val="auto"/>
          <w:lang w:eastAsia="zh-CN"/>
        </w:rPr>
        <w:t>-</w:t>
      </w:r>
      <w:r>
        <w:rPr>
          <w:rFonts w:hint="eastAsia" w:cs="Times New Roman"/>
          <w:color w:val="auto"/>
          <w:lang w:val="en-US" w:eastAsia="zh-CN"/>
        </w:rPr>
        <w:t>7</w:t>
      </w:r>
      <w:r>
        <w:rPr>
          <w:rFonts w:hint="default" w:ascii="Times New Roman" w:hAnsi="Times New Roman" w:cs="Times New Roman"/>
          <w:color w:val="auto"/>
          <w:lang w:eastAsia="zh-CN"/>
        </w:rPr>
        <w:t>。</w:t>
      </w:r>
    </w:p>
    <w:p>
      <w:pPr>
        <w:pStyle w:val="11"/>
        <w:rPr>
          <w:rFonts w:hint="default" w:eastAsiaTheme="minorEastAsia"/>
          <w:lang w:val="en-US" w:eastAsia="zh-CN"/>
        </w:rPr>
      </w:pPr>
      <w:r>
        <w:t xml:space="preserve">表4.2- </w:t>
      </w:r>
      <w:r>
        <w:fldChar w:fldCharType="begin"/>
      </w:r>
      <w:r>
        <w:instrText xml:space="preserve"> SEQ 表4.2- \* ARABIC </w:instrText>
      </w:r>
      <w:r>
        <w:fldChar w:fldCharType="separate"/>
      </w:r>
      <w:r>
        <w:t>7</w:t>
      </w:r>
      <w:r>
        <w:fldChar w:fldCharType="end"/>
      </w:r>
      <w:r>
        <w:rPr>
          <w:rFonts w:hint="eastAsia"/>
          <w:lang w:val="en-US" w:eastAsia="zh-CN"/>
        </w:rPr>
        <w:t xml:space="preserve">  </w:t>
      </w:r>
      <w:r>
        <w:rPr>
          <w:rFonts w:hint="default" w:ascii="Times New Roman" w:hAnsi="Times New Roman" w:cs="Times New Roman"/>
          <w:b/>
          <w:color w:val="auto"/>
          <w:szCs w:val="21"/>
        </w:rPr>
        <w:t>声源基本参数</w:t>
      </w:r>
    </w:p>
    <w:tbl>
      <w:tblPr>
        <w:tblStyle w:val="17"/>
        <w:tblW w:w="8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067"/>
        <w:gridCol w:w="1080"/>
        <w:gridCol w:w="1523"/>
        <w:gridCol w:w="954"/>
        <w:gridCol w:w="1011"/>
        <w:gridCol w:w="944"/>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46" w:type="dxa"/>
            <w:vAlign w:val="center"/>
          </w:tcPr>
          <w:p>
            <w:pPr>
              <w:pStyle w:val="8"/>
              <w:bidi w:val="0"/>
              <w:rPr>
                <w:rFonts w:hint="default" w:ascii="Times New Roman" w:hAnsi="Times New Roman" w:cs="Times New Roman"/>
              </w:rPr>
            </w:pPr>
            <w:r>
              <w:rPr>
                <w:rFonts w:hint="default" w:ascii="Times New Roman" w:hAnsi="Times New Roman" w:cs="Times New Roman"/>
              </w:rPr>
              <w:t>噪声源</w:t>
            </w:r>
          </w:p>
        </w:tc>
        <w:tc>
          <w:tcPr>
            <w:tcW w:w="1067" w:type="dxa"/>
            <w:vAlign w:val="center"/>
          </w:tcPr>
          <w:p>
            <w:pPr>
              <w:pStyle w:val="8"/>
              <w:bidi w:val="0"/>
              <w:rPr>
                <w:rFonts w:hint="default" w:ascii="Times New Roman" w:hAnsi="Times New Roman" w:cs="Times New Roman"/>
              </w:rPr>
            </w:pPr>
            <w:r>
              <w:rPr>
                <w:rFonts w:hint="default" w:ascii="Times New Roman" w:hAnsi="Times New Roman" w:cs="Times New Roman"/>
              </w:rPr>
              <w:t>平均噪声级(dB(A))</w:t>
            </w:r>
          </w:p>
        </w:tc>
        <w:tc>
          <w:tcPr>
            <w:tcW w:w="1080" w:type="dxa"/>
            <w:vAlign w:val="center"/>
          </w:tcPr>
          <w:p>
            <w:pPr>
              <w:pStyle w:val="8"/>
              <w:bidi w:val="0"/>
              <w:rPr>
                <w:rFonts w:hint="default" w:ascii="Times New Roman" w:hAnsi="Times New Roman" w:cs="Times New Roman"/>
              </w:rPr>
            </w:pPr>
            <w:r>
              <w:rPr>
                <w:rFonts w:hint="default" w:ascii="Times New Roman" w:hAnsi="Times New Roman" w:cs="Times New Roman"/>
              </w:rPr>
              <w:t>有效面积(m</w:t>
            </w:r>
            <w:r>
              <w:rPr>
                <w:rFonts w:hint="default" w:ascii="Times New Roman" w:hAnsi="Times New Roman" w:cs="Times New Roman"/>
                <w:vertAlign w:val="superscript"/>
              </w:rPr>
              <w:t>2</w:t>
            </w:r>
            <w:r>
              <w:rPr>
                <w:rFonts w:hint="default" w:ascii="Times New Roman" w:hAnsi="Times New Roman" w:cs="Times New Roman"/>
              </w:rPr>
              <w:t>)</w:t>
            </w:r>
          </w:p>
        </w:tc>
        <w:tc>
          <w:tcPr>
            <w:tcW w:w="1523" w:type="dxa"/>
            <w:vAlign w:val="center"/>
          </w:tcPr>
          <w:p>
            <w:pPr>
              <w:pStyle w:val="8"/>
              <w:bidi w:val="0"/>
              <w:rPr>
                <w:rFonts w:hint="default" w:ascii="Times New Roman" w:hAnsi="Times New Roman" w:cs="Times New Roman"/>
              </w:rPr>
            </w:pPr>
            <w:r>
              <w:rPr>
                <w:rFonts w:hint="default" w:ascii="Times New Roman" w:hAnsi="Times New Roman" w:cs="Times New Roman"/>
              </w:rPr>
              <w:t>与预测点距离（m）</w:t>
            </w:r>
          </w:p>
        </w:tc>
        <w:tc>
          <w:tcPr>
            <w:tcW w:w="954" w:type="dxa"/>
            <w:vAlign w:val="center"/>
          </w:tcPr>
          <w:p>
            <w:pPr>
              <w:pStyle w:val="8"/>
              <w:bidi w:val="0"/>
              <w:rPr>
                <w:rFonts w:hint="default" w:ascii="Times New Roman" w:hAnsi="Times New Roman" w:cs="Times New Roman"/>
              </w:rPr>
            </w:pPr>
            <w:r>
              <w:rPr>
                <w:rFonts w:hint="default" w:ascii="Times New Roman" w:hAnsi="Times New Roman" w:cs="Times New Roman"/>
              </w:rPr>
              <w:t>东厂界</w:t>
            </w:r>
          </w:p>
        </w:tc>
        <w:tc>
          <w:tcPr>
            <w:tcW w:w="1011" w:type="dxa"/>
            <w:vAlign w:val="center"/>
          </w:tcPr>
          <w:p>
            <w:pPr>
              <w:pStyle w:val="8"/>
              <w:bidi w:val="0"/>
              <w:rPr>
                <w:rFonts w:hint="default" w:ascii="Times New Roman" w:hAnsi="Times New Roman" w:cs="Times New Roman"/>
              </w:rPr>
            </w:pPr>
            <w:r>
              <w:rPr>
                <w:rFonts w:hint="default" w:ascii="Times New Roman" w:hAnsi="Times New Roman" w:cs="Times New Roman"/>
              </w:rPr>
              <w:t>南厂界</w:t>
            </w:r>
          </w:p>
        </w:tc>
        <w:tc>
          <w:tcPr>
            <w:tcW w:w="944" w:type="dxa"/>
            <w:vAlign w:val="center"/>
          </w:tcPr>
          <w:p>
            <w:pPr>
              <w:pStyle w:val="8"/>
              <w:bidi w:val="0"/>
              <w:rPr>
                <w:rFonts w:hint="default" w:ascii="Times New Roman" w:hAnsi="Times New Roman" w:cs="Times New Roman"/>
              </w:rPr>
            </w:pPr>
            <w:r>
              <w:rPr>
                <w:rFonts w:hint="default" w:ascii="Times New Roman" w:hAnsi="Times New Roman" w:cs="Times New Roman"/>
              </w:rPr>
              <w:t>西厂界</w:t>
            </w:r>
          </w:p>
        </w:tc>
        <w:tc>
          <w:tcPr>
            <w:tcW w:w="885" w:type="dxa"/>
            <w:vAlign w:val="center"/>
          </w:tcPr>
          <w:p>
            <w:pPr>
              <w:pStyle w:val="8"/>
              <w:bidi w:val="0"/>
              <w:rPr>
                <w:rFonts w:hint="default" w:ascii="Times New Roman" w:hAnsi="Times New Roman" w:cs="Times New Roman"/>
              </w:rPr>
            </w:pPr>
            <w:r>
              <w:rPr>
                <w:rFonts w:hint="default" w:ascii="Times New Roman" w:hAnsi="Times New Roman" w:cs="Times New Roman"/>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46" w:type="dxa"/>
            <w:vAlign w:val="center"/>
          </w:tcPr>
          <w:p>
            <w:pPr>
              <w:pStyle w:val="8"/>
              <w:bidi w:val="0"/>
              <w:rPr>
                <w:rFonts w:hint="eastAsia" w:ascii="Times New Roman" w:hAnsi="Times New Roman" w:cs="Times New Roman" w:eastAsiaTheme="minorEastAsia"/>
                <w:lang w:eastAsia="zh-CN"/>
              </w:rPr>
            </w:pPr>
            <w:r>
              <w:rPr>
                <w:rFonts w:hint="eastAsia" w:cs="Times New Roman"/>
                <w:lang w:eastAsia="zh-CN"/>
              </w:rPr>
              <w:t>养殖区</w:t>
            </w:r>
          </w:p>
        </w:tc>
        <w:tc>
          <w:tcPr>
            <w:tcW w:w="1067"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62</w:t>
            </w:r>
          </w:p>
        </w:tc>
        <w:tc>
          <w:tcPr>
            <w:tcW w:w="1080"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67800</w:t>
            </w:r>
          </w:p>
        </w:tc>
        <w:tc>
          <w:tcPr>
            <w:tcW w:w="1523" w:type="dxa"/>
            <w:vAlign w:val="center"/>
          </w:tcPr>
          <w:p>
            <w:pPr>
              <w:pStyle w:val="8"/>
              <w:bidi w:val="0"/>
              <w:rPr>
                <w:rFonts w:hint="default" w:ascii="Times New Roman" w:hAnsi="Times New Roman" w:cs="Times New Roman"/>
              </w:rPr>
            </w:pPr>
            <w:r>
              <w:rPr>
                <w:rFonts w:hint="default" w:ascii="Times New Roman" w:hAnsi="Times New Roman" w:cs="Times New Roman"/>
              </w:rPr>
              <w:t>折算成点声源</w:t>
            </w:r>
          </w:p>
        </w:tc>
        <w:tc>
          <w:tcPr>
            <w:tcW w:w="954"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80</w:t>
            </w:r>
          </w:p>
        </w:tc>
        <w:tc>
          <w:tcPr>
            <w:tcW w:w="1011"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150</w:t>
            </w:r>
          </w:p>
        </w:tc>
        <w:tc>
          <w:tcPr>
            <w:tcW w:w="944"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80</w:t>
            </w:r>
          </w:p>
        </w:tc>
        <w:tc>
          <w:tcPr>
            <w:tcW w:w="885"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150</w:t>
            </w:r>
          </w:p>
        </w:tc>
      </w:tr>
    </w:tbl>
    <w:p>
      <w:pPr>
        <w:adjustRightInd w:val="0"/>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整体声源的声功率级计算公式：</w:t>
      </w:r>
    </w:p>
    <w:p>
      <w:pPr>
        <w:adjustRightInd w:val="0"/>
        <w:snapToGrid w:val="0"/>
        <w:spacing w:line="360" w:lineRule="auto"/>
        <w:ind w:firstLine="480"/>
        <w:jc w:val="center"/>
        <w:rPr>
          <w:rFonts w:hint="default" w:ascii="Times New Roman" w:hAnsi="Times New Roman" w:cs="Times New Roman"/>
          <w:color w:val="auto"/>
        </w:rPr>
      </w:pPr>
      <w:r>
        <w:rPr>
          <w:rFonts w:hint="default" w:ascii="Times New Roman" w:hAnsi="Times New Roman" w:cs="Times New Roman"/>
          <w:color w:val="auto"/>
        </w:rPr>
        <w:t>Lw</w:t>
      </w:r>
      <w:r>
        <w:rPr>
          <w:rFonts w:hint="default" w:ascii="Times New Roman" w:hAnsi="Times New Roman" w:cs="Times New Roman"/>
          <w:color w:val="auto"/>
          <w:vertAlign w:val="subscript"/>
        </w:rPr>
        <w:t>1</w:t>
      </w:r>
      <w:r>
        <w:rPr>
          <w:rFonts w:hint="default" w:ascii="Times New Roman" w:hAnsi="Times New Roman" w:cs="Times New Roman"/>
          <w:color w:val="auto"/>
        </w:rPr>
        <w:t>=Lpi</w:t>
      </w:r>
      <w:r>
        <w:rPr>
          <w:rFonts w:hint="default" w:ascii="Times New Roman" w:hAnsi="Times New Roman" w:cs="Times New Roman"/>
          <w:color w:val="auto"/>
          <w:vertAlign w:val="subscript"/>
        </w:rPr>
        <w:t>1</w:t>
      </w:r>
      <w:r>
        <w:rPr>
          <w:rFonts w:hint="default" w:ascii="Times New Roman" w:hAnsi="Times New Roman" w:cs="Times New Roman"/>
          <w:color w:val="auto"/>
        </w:rPr>
        <w:t>+10lg（2S）</w:t>
      </w:r>
    </w:p>
    <w:p>
      <w:pPr>
        <w:adjustRightInd w:val="0"/>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如：杀螟丹车间声功率级=</w:t>
      </w:r>
      <w:r>
        <w:rPr>
          <w:rFonts w:hint="eastAsia" w:cs="Times New Roman"/>
          <w:color w:val="auto"/>
          <w:lang w:val="en-US" w:eastAsia="zh-CN"/>
        </w:rPr>
        <w:t>62</w:t>
      </w:r>
      <w:r>
        <w:rPr>
          <w:rFonts w:hint="default" w:ascii="Times New Roman" w:hAnsi="Times New Roman" w:cs="Times New Roman"/>
          <w:color w:val="auto"/>
        </w:rPr>
        <w:t>+10lg[2×</w:t>
      </w:r>
      <w:r>
        <w:rPr>
          <w:rFonts w:hint="eastAsia" w:cs="Times New Roman"/>
          <w:color w:val="auto"/>
          <w:lang w:val="en-US" w:eastAsia="zh-CN"/>
        </w:rPr>
        <w:t>67800</w:t>
      </w:r>
      <w:r>
        <w:rPr>
          <w:rFonts w:hint="default" w:ascii="Times New Roman" w:hAnsi="Times New Roman" w:cs="Times New Roman"/>
          <w:color w:val="auto"/>
        </w:rPr>
        <w:t>]=</w:t>
      </w:r>
      <w:r>
        <w:rPr>
          <w:rFonts w:hint="eastAsia" w:cs="Times New Roman"/>
          <w:color w:val="auto"/>
          <w:lang w:val="en-US" w:eastAsia="zh-CN"/>
        </w:rPr>
        <w:t>62</w:t>
      </w:r>
      <w:r>
        <w:rPr>
          <w:rFonts w:hint="default" w:ascii="Times New Roman" w:hAnsi="Times New Roman" w:cs="Times New Roman"/>
          <w:color w:val="auto"/>
        </w:rPr>
        <w:t>+</w:t>
      </w:r>
      <w:r>
        <w:rPr>
          <w:rFonts w:hint="eastAsia" w:cs="Times New Roman"/>
          <w:color w:val="auto"/>
          <w:lang w:val="en-US" w:eastAsia="zh-CN"/>
        </w:rPr>
        <w:t>51.3</w:t>
      </w:r>
      <w:r>
        <w:rPr>
          <w:rFonts w:hint="default" w:ascii="Times New Roman" w:hAnsi="Times New Roman" w:cs="Times New Roman"/>
          <w:color w:val="auto"/>
        </w:rPr>
        <w:t>=</w:t>
      </w:r>
      <w:bookmarkStart w:id="407" w:name="_Hlk528175905"/>
      <w:r>
        <w:rPr>
          <w:rFonts w:hint="eastAsia" w:cs="Times New Roman"/>
          <w:color w:val="auto"/>
          <w:lang w:val="en-US" w:eastAsia="zh-CN"/>
        </w:rPr>
        <w:t>113.3</w:t>
      </w:r>
      <w:r>
        <w:rPr>
          <w:rFonts w:hint="default" w:ascii="Times New Roman" w:hAnsi="Times New Roman" w:cs="Times New Roman"/>
          <w:color w:val="auto"/>
        </w:rPr>
        <w:t>dB</w:t>
      </w:r>
      <w:bookmarkEnd w:id="407"/>
      <w:r>
        <w:rPr>
          <w:rFonts w:hint="default" w:ascii="Times New Roman" w:hAnsi="Times New Roman" w:cs="Times New Roman"/>
          <w:color w:val="auto"/>
        </w:rPr>
        <w:t>。</w:t>
      </w:r>
    </w:p>
    <w:p>
      <w:pPr>
        <w:adjustRightInd w:val="0"/>
        <w:snapToGrid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由此可计算出车间噪声对各个厂界的贡献值，具体见表</w:t>
      </w:r>
      <w:r>
        <w:rPr>
          <w:rFonts w:hint="eastAsia" w:cs="Times New Roman"/>
          <w:color w:val="auto"/>
          <w:lang w:val="en-US" w:eastAsia="zh-CN"/>
        </w:rPr>
        <w:t>4.2</w:t>
      </w:r>
      <w:r>
        <w:rPr>
          <w:rFonts w:hint="default" w:ascii="Times New Roman" w:hAnsi="Times New Roman" w:cs="Times New Roman"/>
          <w:color w:val="auto"/>
        </w:rPr>
        <w:t>-</w:t>
      </w:r>
      <w:r>
        <w:rPr>
          <w:rFonts w:hint="eastAsia" w:cs="Times New Roman"/>
          <w:color w:val="auto"/>
          <w:lang w:val="en-US" w:eastAsia="zh-CN"/>
        </w:rPr>
        <w:t>8</w:t>
      </w:r>
      <w:r>
        <w:rPr>
          <w:rFonts w:hint="default" w:ascii="Times New Roman" w:hAnsi="Times New Roman" w:cs="Times New Roman"/>
          <w:color w:val="auto"/>
        </w:rPr>
        <w:t>。</w:t>
      </w:r>
    </w:p>
    <w:p>
      <w:pPr>
        <w:pStyle w:val="11"/>
        <w:rPr>
          <w:rFonts w:hint="default" w:eastAsiaTheme="minorEastAsia"/>
          <w:lang w:val="en-US" w:eastAsia="zh-CN"/>
        </w:rPr>
      </w:pPr>
      <w:r>
        <w:t xml:space="preserve">表4.2- </w:t>
      </w:r>
      <w:r>
        <w:fldChar w:fldCharType="begin"/>
      </w:r>
      <w:r>
        <w:instrText xml:space="preserve"> SEQ 表4.2- \* ARABIC </w:instrText>
      </w:r>
      <w:r>
        <w:fldChar w:fldCharType="separate"/>
      </w:r>
      <w:r>
        <w:t>8</w:t>
      </w:r>
      <w:r>
        <w:fldChar w:fldCharType="end"/>
      </w:r>
      <w:r>
        <w:rPr>
          <w:rFonts w:hint="eastAsia"/>
          <w:lang w:val="en-US" w:eastAsia="zh-CN"/>
        </w:rPr>
        <w:t xml:space="preserve">   </w:t>
      </w:r>
      <w:r>
        <w:rPr>
          <w:rFonts w:hint="default" w:ascii="Times New Roman" w:hAnsi="Times New Roman" w:cs="Times New Roman"/>
          <w:b/>
          <w:bCs/>
          <w:color w:val="auto"/>
        </w:rPr>
        <w:t>车间噪声对各厂界的贡献值   单位：</w:t>
      </w:r>
      <w:r>
        <w:rPr>
          <w:rFonts w:hint="default" w:ascii="Times New Roman" w:hAnsi="Times New Roman" w:cs="Times New Roman"/>
          <w:color w:val="auto"/>
        </w:rPr>
        <w:t>dB（A）</w:t>
      </w:r>
    </w:p>
    <w:tbl>
      <w:tblPr>
        <w:tblStyle w:val="17"/>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4"/>
        <w:gridCol w:w="1924"/>
        <w:gridCol w:w="2304"/>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点位名称</w:t>
            </w:r>
          </w:p>
        </w:tc>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隔声量</w:t>
            </w:r>
          </w:p>
        </w:tc>
        <w:tc>
          <w:tcPr>
            <w:tcW w:w="2304" w:type="dxa"/>
            <w:vAlign w:val="center"/>
          </w:tcPr>
          <w:p>
            <w:pPr>
              <w:pStyle w:val="8"/>
              <w:bidi w:val="0"/>
              <w:rPr>
                <w:rFonts w:hint="default" w:ascii="Times New Roman" w:hAnsi="Times New Roman" w:cs="Times New Roman"/>
              </w:rPr>
            </w:pPr>
            <w:r>
              <w:rPr>
                <w:rFonts w:hint="default" w:ascii="Times New Roman" w:hAnsi="Times New Roman" w:cs="Times New Roman"/>
              </w:rPr>
              <w:t>距离衰减值</w:t>
            </w:r>
          </w:p>
        </w:tc>
        <w:tc>
          <w:tcPr>
            <w:tcW w:w="2265" w:type="dxa"/>
            <w:vAlign w:val="center"/>
          </w:tcPr>
          <w:p>
            <w:pPr>
              <w:pStyle w:val="8"/>
              <w:bidi w:val="0"/>
              <w:rPr>
                <w:rFonts w:hint="default" w:ascii="Times New Roman" w:hAnsi="Times New Roman" w:cs="Times New Roman"/>
              </w:rPr>
            </w:pPr>
            <w:r>
              <w:rPr>
                <w:rFonts w:hint="default" w:ascii="Times New Roman" w:hAnsi="Times New Roman" w:cs="Times New Roman"/>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东面厂界</w:t>
            </w:r>
          </w:p>
        </w:tc>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30</w:t>
            </w:r>
          </w:p>
        </w:tc>
        <w:tc>
          <w:tcPr>
            <w:tcW w:w="2304"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38.1</w:t>
            </w:r>
          </w:p>
        </w:tc>
        <w:tc>
          <w:tcPr>
            <w:tcW w:w="2265" w:type="dxa"/>
            <w:vAlign w:val="center"/>
          </w:tcPr>
          <w:p>
            <w:pPr>
              <w:pStyle w:val="8"/>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南面厂界</w:t>
            </w:r>
          </w:p>
        </w:tc>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30</w:t>
            </w:r>
          </w:p>
        </w:tc>
        <w:tc>
          <w:tcPr>
            <w:tcW w:w="2304"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43.5</w:t>
            </w:r>
          </w:p>
        </w:tc>
        <w:tc>
          <w:tcPr>
            <w:tcW w:w="2265" w:type="dxa"/>
            <w:vAlign w:val="center"/>
          </w:tcPr>
          <w:p>
            <w:pPr>
              <w:pStyle w:val="8"/>
              <w:bidi w:val="0"/>
              <w:rPr>
                <w:rFonts w:hint="default"/>
                <w:lang w:val="en-US" w:eastAsia="zh-CN"/>
              </w:rPr>
            </w:pPr>
            <w:r>
              <w:rPr>
                <w:rFonts w:hint="eastAsia"/>
                <w:lang w:val="en-US" w:eastAsia="zh-CN"/>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西面厂界</w:t>
            </w:r>
          </w:p>
        </w:tc>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30</w:t>
            </w:r>
          </w:p>
        </w:tc>
        <w:tc>
          <w:tcPr>
            <w:tcW w:w="2304"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38.1</w:t>
            </w:r>
          </w:p>
        </w:tc>
        <w:tc>
          <w:tcPr>
            <w:tcW w:w="2265" w:type="dxa"/>
            <w:vAlign w:val="center"/>
          </w:tcPr>
          <w:p>
            <w:pPr>
              <w:pStyle w:val="8"/>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北面厂界</w:t>
            </w:r>
          </w:p>
        </w:tc>
        <w:tc>
          <w:tcPr>
            <w:tcW w:w="1924" w:type="dxa"/>
            <w:vAlign w:val="center"/>
          </w:tcPr>
          <w:p>
            <w:pPr>
              <w:pStyle w:val="8"/>
              <w:bidi w:val="0"/>
              <w:rPr>
                <w:rFonts w:hint="default" w:ascii="Times New Roman" w:hAnsi="Times New Roman" w:cs="Times New Roman"/>
              </w:rPr>
            </w:pPr>
            <w:r>
              <w:rPr>
                <w:rFonts w:hint="default" w:ascii="Times New Roman" w:hAnsi="Times New Roman" w:cs="Times New Roman"/>
              </w:rPr>
              <w:t>30</w:t>
            </w:r>
          </w:p>
        </w:tc>
        <w:tc>
          <w:tcPr>
            <w:tcW w:w="2304" w:type="dxa"/>
            <w:vAlign w:val="center"/>
          </w:tcPr>
          <w:p>
            <w:pPr>
              <w:pStyle w:val="8"/>
              <w:bidi w:val="0"/>
              <w:rPr>
                <w:rFonts w:hint="default" w:ascii="Times New Roman" w:hAnsi="Times New Roman" w:cs="Times New Roman" w:eastAsiaTheme="minorEastAsia"/>
                <w:lang w:val="en-US" w:eastAsia="zh-CN"/>
              </w:rPr>
            </w:pPr>
            <w:r>
              <w:rPr>
                <w:rFonts w:hint="eastAsia" w:cs="Times New Roman"/>
                <w:lang w:val="en-US" w:eastAsia="zh-CN"/>
              </w:rPr>
              <w:t>43.5</w:t>
            </w:r>
          </w:p>
        </w:tc>
        <w:tc>
          <w:tcPr>
            <w:tcW w:w="2265" w:type="dxa"/>
            <w:vAlign w:val="center"/>
          </w:tcPr>
          <w:p>
            <w:pPr>
              <w:pStyle w:val="8"/>
              <w:bidi w:val="0"/>
              <w:rPr>
                <w:rFonts w:hint="default"/>
                <w:lang w:val="en-US" w:eastAsia="zh-CN"/>
              </w:rPr>
            </w:pPr>
            <w:r>
              <w:rPr>
                <w:rFonts w:hint="eastAsia"/>
                <w:lang w:val="en-US" w:eastAsia="zh-CN"/>
              </w:rPr>
              <w:t>39.8</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textAlignment w:val="auto"/>
        <w:rPr>
          <w:rFonts w:hint="default" w:ascii="Times New Roman" w:hAnsi="Times New Roman" w:cs="Times New Roman" w:eastAsiaTheme="minorEastAsia"/>
          <w:lang w:val="en-US" w:eastAsia="zh-CN"/>
        </w:rPr>
      </w:pPr>
      <w:r>
        <w:rPr>
          <w:rFonts w:hint="default" w:ascii="Times New Roman" w:hAnsi="Times New Roman" w:cs="Times New Roman"/>
          <w:color w:val="auto"/>
        </w:rPr>
        <w:t>使用上述声环境影响预测模式，预测厂界的噪声值，预测结果见表</w:t>
      </w:r>
      <w:r>
        <w:rPr>
          <w:rFonts w:hint="eastAsia" w:cs="Times New Roman"/>
          <w:color w:val="auto"/>
          <w:lang w:val="en-US" w:eastAsia="zh-CN"/>
        </w:rPr>
        <w:t>4.2</w:t>
      </w:r>
      <w:r>
        <w:rPr>
          <w:rFonts w:hint="default" w:ascii="Times New Roman" w:hAnsi="Times New Roman" w:cs="Times New Roman"/>
          <w:color w:val="auto"/>
        </w:rPr>
        <w:t>-</w:t>
      </w:r>
      <w:r>
        <w:rPr>
          <w:rFonts w:hint="eastAsia"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lang w:val="en-US" w:eastAsia="zh-CN"/>
        </w:rPr>
        <w:t xml:space="preserve">  </w:t>
      </w:r>
    </w:p>
    <w:p>
      <w:pPr>
        <w:pStyle w:val="11"/>
        <w:rPr>
          <w:rFonts w:hint="default" w:eastAsiaTheme="minorEastAsia"/>
          <w:lang w:val="en-US" w:eastAsia="zh-CN"/>
        </w:rPr>
      </w:pPr>
      <w:r>
        <w:t xml:space="preserve">表4.2- </w:t>
      </w:r>
      <w:r>
        <w:fldChar w:fldCharType="begin"/>
      </w:r>
      <w:r>
        <w:instrText xml:space="preserve"> SEQ 表4.2- \* ARABIC </w:instrText>
      </w:r>
      <w:r>
        <w:fldChar w:fldCharType="separate"/>
      </w:r>
      <w:r>
        <w:t>9</w:t>
      </w:r>
      <w:r>
        <w:fldChar w:fldCharType="end"/>
      </w:r>
      <w:r>
        <w:rPr>
          <w:rFonts w:hint="eastAsia"/>
          <w:lang w:val="en-US" w:eastAsia="zh-CN"/>
        </w:rPr>
        <w:t xml:space="preserve">  </w:t>
      </w:r>
      <w:r>
        <w:rPr>
          <w:rFonts w:hint="default" w:ascii="Times New Roman" w:hAnsi="Times New Roman" w:cs="Times New Roman"/>
          <w:b/>
          <w:color w:val="auto"/>
          <w:szCs w:val="21"/>
        </w:rPr>
        <w:t>本工程厂界噪声预测结果</w:t>
      </w:r>
    </w:p>
    <w:tbl>
      <w:tblPr>
        <w:tblStyle w:val="17"/>
        <w:tblW w:w="8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089"/>
        <w:gridCol w:w="785"/>
        <w:gridCol w:w="800"/>
        <w:gridCol w:w="897"/>
        <w:gridCol w:w="746"/>
        <w:gridCol w:w="857"/>
        <w:gridCol w:w="772"/>
        <w:gridCol w:w="905"/>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62" w:type="dxa"/>
            <w:vMerge w:val="restart"/>
            <w:vAlign w:val="center"/>
          </w:tcPr>
          <w:p>
            <w:pPr>
              <w:pStyle w:val="8"/>
              <w:bidi w:val="0"/>
              <w:rPr>
                <w:rFonts w:hint="default" w:ascii="Times New Roman" w:hAnsi="Times New Roman" w:cs="Times New Roman"/>
              </w:rPr>
            </w:pPr>
            <w:r>
              <w:rPr>
                <w:rFonts w:hint="default" w:ascii="Times New Roman" w:hAnsi="Times New Roman" w:cs="Times New Roman"/>
              </w:rPr>
              <w:t>点位名称</w:t>
            </w:r>
          </w:p>
        </w:tc>
        <w:tc>
          <w:tcPr>
            <w:tcW w:w="1089" w:type="dxa"/>
            <w:vMerge w:val="restart"/>
            <w:vAlign w:val="center"/>
          </w:tcPr>
          <w:p>
            <w:pPr>
              <w:pStyle w:val="8"/>
              <w:bidi w:val="0"/>
              <w:rPr>
                <w:rFonts w:hint="default" w:ascii="Times New Roman" w:hAnsi="Times New Roman" w:cs="Times New Roman"/>
              </w:rPr>
            </w:pPr>
            <w:r>
              <w:rPr>
                <w:rFonts w:hint="default" w:ascii="Times New Roman" w:hAnsi="Times New Roman" w:cs="Times New Roman"/>
              </w:rPr>
              <w:t>贡献值</w:t>
            </w:r>
          </w:p>
          <w:p>
            <w:pPr>
              <w:pStyle w:val="8"/>
              <w:bidi w:val="0"/>
              <w:rPr>
                <w:rFonts w:hint="default" w:ascii="Times New Roman" w:hAnsi="Times New Roman" w:cs="Times New Roman"/>
              </w:rPr>
            </w:pPr>
            <w:r>
              <w:rPr>
                <w:rFonts w:hint="default" w:ascii="Times New Roman" w:hAnsi="Times New Roman" w:cs="Times New Roman"/>
              </w:rPr>
              <w:t>Leq[dB(A)]</w:t>
            </w:r>
          </w:p>
        </w:tc>
        <w:tc>
          <w:tcPr>
            <w:tcW w:w="1585" w:type="dxa"/>
            <w:gridSpan w:val="2"/>
            <w:vAlign w:val="center"/>
          </w:tcPr>
          <w:p>
            <w:pPr>
              <w:pStyle w:val="8"/>
              <w:bidi w:val="0"/>
              <w:rPr>
                <w:rFonts w:hint="default" w:ascii="Times New Roman" w:hAnsi="Times New Roman" w:cs="Times New Roman"/>
              </w:rPr>
            </w:pPr>
            <w:r>
              <w:rPr>
                <w:rFonts w:hint="default" w:ascii="Times New Roman" w:hAnsi="Times New Roman" w:cs="Times New Roman"/>
              </w:rPr>
              <w:t>现状值Leq[dB(A)]</w:t>
            </w:r>
          </w:p>
        </w:tc>
        <w:tc>
          <w:tcPr>
            <w:tcW w:w="1643" w:type="dxa"/>
            <w:gridSpan w:val="2"/>
            <w:vAlign w:val="center"/>
          </w:tcPr>
          <w:p>
            <w:pPr>
              <w:pStyle w:val="8"/>
              <w:bidi w:val="0"/>
              <w:rPr>
                <w:rFonts w:hint="default" w:ascii="Times New Roman" w:hAnsi="Times New Roman" w:cs="Times New Roman"/>
              </w:rPr>
            </w:pPr>
            <w:r>
              <w:rPr>
                <w:rFonts w:hint="default" w:ascii="Times New Roman" w:hAnsi="Times New Roman" w:cs="Times New Roman"/>
              </w:rPr>
              <w:t>叠加值Leq[dB(A)]</w:t>
            </w:r>
          </w:p>
        </w:tc>
        <w:tc>
          <w:tcPr>
            <w:tcW w:w="1629" w:type="dxa"/>
            <w:gridSpan w:val="2"/>
            <w:vAlign w:val="center"/>
          </w:tcPr>
          <w:p>
            <w:pPr>
              <w:pStyle w:val="8"/>
              <w:bidi w:val="0"/>
              <w:rPr>
                <w:rFonts w:hint="default" w:ascii="Times New Roman" w:hAnsi="Times New Roman" w:cs="Times New Roman"/>
              </w:rPr>
            </w:pPr>
            <w:r>
              <w:rPr>
                <w:rFonts w:hint="default" w:ascii="Times New Roman" w:hAnsi="Times New Roman" w:cs="Times New Roman"/>
              </w:rPr>
              <w:t>标准值Leq[dB(A)]</w:t>
            </w:r>
          </w:p>
        </w:tc>
        <w:tc>
          <w:tcPr>
            <w:tcW w:w="1795" w:type="dxa"/>
            <w:gridSpan w:val="2"/>
            <w:vAlign w:val="center"/>
          </w:tcPr>
          <w:p>
            <w:pPr>
              <w:pStyle w:val="8"/>
              <w:bidi w:val="0"/>
              <w:rPr>
                <w:rFonts w:hint="default" w:ascii="Times New Roman" w:hAnsi="Times New Roman" w:cs="Times New Roman"/>
              </w:rPr>
            </w:pPr>
            <w:r>
              <w:rPr>
                <w:rFonts w:hint="default" w:ascii="Times New Roman" w:hAnsi="Times New Roman" w:cs="Times New Roman"/>
              </w:rPr>
              <w:t>超标情况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62" w:type="dxa"/>
            <w:vMerge w:val="continue"/>
            <w:vAlign w:val="center"/>
          </w:tcPr>
          <w:p>
            <w:pPr>
              <w:pStyle w:val="8"/>
              <w:bidi w:val="0"/>
              <w:outlineLvl w:val="9"/>
              <w:rPr>
                <w:rFonts w:hint="default" w:ascii="Times New Roman" w:hAnsi="Times New Roman" w:cs="Times New Roman"/>
              </w:rPr>
            </w:pPr>
          </w:p>
        </w:tc>
        <w:tc>
          <w:tcPr>
            <w:tcW w:w="1089" w:type="dxa"/>
            <w:vMerge w:val="continue"/>
            <w:vAlign w:val="center"/>
          </w:tcPr>
          <w:p>
            <w:pPr>
              <w:pStyle w:val="8"/>
              <w:bidi w:val="0"/>
              <w:outlineLvl w:val="9"/>
              <w:rPr>
                <w:rFonts w:hint="default" w:ascii="Times New Roman" w:hAnsi="Times New Roman" w:cs="Times New Roman"/>
              </w:rPr>
            </w:pPr>
          </w:p>
        </w:tc>
        <w:tc>
          <w:tcPr>
            <w:tcW w:w="785" w:type="dxa"/>
            <w:vAlign w:val="center"/>
          </w:tcPr>
          <w:p>
            <w:pPr>
              <w:pStyle w:val="8"/>
              <w:bidi w:val="0"/>
              <w:rPr>
                <w:rFonts w:hint="default" w:ascii="Times New Roman" w:hAnsi="Times New Roman" w:cs="Times New Roman"/>
              </w:rPr>
            </w:pPr>
            <w:r>
              <w:rPr>
                <w:rFonts w:hint="default" w:ascii="Times New Roman" w:hAnsi="Times New Roman" w:cs="Times New Roman"/>
              </w:rPr>
              <w:t>昼间</w:t>
            </w:r>
          </w:p>
        </w:tc>
        <w:tc>
          <w:tcPr>
            <w:tcW w:w="800" w:type="dxa"/>
            <w:vAlign w:val="center"/>
          </w:tcPr>
          <w:p>
            <w:pPr>
              <w:pStyle w:val="8"/>
              <w:bidi w:val="0"/>
              <w:rPr>
                <w:rFonts w:hint="default" w:ascii="Times New Roman" w:hAnsi="Times New Roman" w:cs="Times New Roman"/>
              </w:rPr>
            </w:pPr>
            <w:r>
              <w:rPr>
                <w:rFonts w:hint="default" w:ascii="Times New Roman" w:hAnsi="Times New Roman" w:cs="Times New Roman"/>
              </w:rPr>
              <w:t>夜间</w:t>
            </w:r>
          </w:p>
        </w:tc>
        <w:tc>
          <w:tcPr>
            <w:tcW w:w="897" w:type="dxa"/>
            <w:vAlign w:val="center"/>
          </w:tcPr>
          <w:p>
            <w:pPr>
              <w:pStyle w:val="8"/>
              <w:bidi w:val="0"/>
              <w:rPr>
                <w:rFonts w:hint="default" w:ascii="Times New Roman" w:hAnsi="Times New Roman" w:cs="Times New Roman"/>
              </w:rPr>
            </w:pPr>
            <w:r>
              <w:rPr>
                <w:rFonts w:hint="default" w:ascii="Times New Roman" w:hAnsi="Times New Roman" w:cs="Times New Roman"/>
              </w:rPr>
              <w:t>昼间</w:t>
            </w:r>
          </w:p>
        </w:tc>
        <w:tc>
          <w:tcPr>
            <w:tcW w:w="746" w:type="dxa"/>
            <w:vAlign w:val="center"/>
          </w:tcPr>
          <w:p>
            <w:pPr>
              <w:pStyle w:val="8"/>
              <w:bidi w:val="0"/>
              <w:rPr>
                <w:rFonts w:hint="default" w:ascii="Times New Roman" w:hAnsi="Times New Roman" w:cs="Times New Roman"/>
              </w:rPr>
            </w:pPr>
            <w:r>
              <w:rPr>
                <w:rFonts w:hint="default" w:ascii="Times New Roman" w:hAnsi="Times New Roman" w:cs="Times New Roman"/>
              </w:rPr>
              <w:t>夜间</w:t>
            </w:r>
          </w:p>
        </w:tc>
        <w:tc>
          <w:tcPr>
            <w:tcW w:w="857" w:type="dxa"/>
            <w:vAlign w:val="center"/>
          </w:tcPr>
          <w:p>
            <w:pPr>
              <w:pStyle w:val="8"/>
              <w:bidi w:val="0"/>
              <w:rPr>
                <w:rFonts w:hint="default" w:ascii="Times New Roman" w:hAnsi="Times New Roman" w:cs="Times New Roman"/>
              </w:rPr>
            </w:pPr>
            <w:r>
              <w:rPr>
                <w:rFonts w:hint="default" w:ascii="Times New Roman" w:hAnsi="Times New Roman" w:cs="Times New Roman"/>
              </w:rPr>
              <w:t>昼间</w:t>
            </w:r>
          </w:p>
        </w:tc>
        <w:tc>
          <w:tcPr>
            <w:tcW w:w="772" w:type="dxa"/>
            <w:vAlign w:val="center"/>
          </w:tcPr>
          <w:p>
            <w:pPr>
              <w:pStyle w:val="8"/>
              <w:bidi w:val="0"/>
              <w:rPr>
                <w:rFonts w:hint="default" w:ascii="Times New Roman" w:hAnsi="Times New Roman" w:cs="Times New Roman"/>
              </w:rPr>
            </w:pPr>
            <w:r>
              <w:rPr>
                <w:rFonts w:hint="default" w:ascii="Times New Roman" w:hAnsi="Times New Roman" w:cs="Times New Roman"/>
              </w:rPr>
              <w:t>夜间</w:t>
            </w:r>
          </w:p>
        </w:tc>
        <w:tc>
          <w:tcPr>
            <w:tcW w:w="905" w:type="dxa"/>
            <w:vAlign w:val="center"/>
          </w:tcPr>
          <w:p>
            <w:pPr>
              <w:pStyle w:val="8"/>
              <w:bidi w:val="0"/>
              <w:rPr>
                <w:rFonts w:hint="default" w:ascii="Times New Roman" w:hAnsi="Times New Roman" w:cs="Times New Roman"/>
              </w:rPr>
            </w:pPr>
            <w:r>
              <w:rPr>
                <w:rFonts w:hint="default" w:ascii="Times New Roman" w:hAnsi="Times New Roman" w:cs="Times New Roman"/>
              </w:rPr>
              <w:t>昼间</w:t>
            </w:r>
          </w:p>
        </w:tc>
        <w:tc>
          <w:tcPr>
            <w:tcW w:w="890" w:type="dxa"/>
            <w:vAlign w:val="center"/>
          </w:tcPr>
          <w:p>
            <w:pPr>
              <w:pStyle w:val="8"/>
              <w:bidi w:val="0"/>
              <w:rPr>
                <w:rFonts w:hint="default" w:ascii="Times New Roman" w:hAnsi="Times New Roman" w:cs="Times New Roman"/>
              </w:rPr>
            </w:pPr>
            <w:r>
              <w:rPr>
                <w:rFonts w:hint="default" w:ascii="Times New Roman" w:hAnsi="Times New Roman"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pPr>
              <w:pStyle w:val="8"/>
              <w:bidi w:val="0"/>
              <w:rPr>
                <w:rFonts w:hint="default" w:ascii="Times New Roman" w:hAnsi="Times New Roman" w:cs="Times New Roman"/>
              </w:rPr>
            </w:pPr>
            <w:r>
              <w:rPr>
                <w:rFonts w:hint="default" w:ascii="Times New Roman" w:hAnsi="Times New Roman" w:cs="Times New Roman"/>
              </w:rPr>
              <w:t>东厂界</w:t>
            </w:r>
          </w:p>
        </w:tc>
        <w:tc>
          <w:tcPr>
            <w:tcW w:w="1089"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45.2</w:t>
            </w:r>
          </w:p>
        </w:tc>
        <w:tc>
          <w:tcPr>
            <w:tcW w:w="7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sz w:val="21"/>
                <w:szCs w:val="21"/>
                <w:vertAlign w:val="baseline"/>
                <w:lang w:val="en-US" w:eastAsia="zh-CN"/>
              </w:rPr>
              <w:t>54.5</w:t>
            </w:r>
          </w:p>
        </w:tc>
        <w:tc>
          <w:tcPr>
            <w:tcW w:w="800" w:type="dxa"/>
            <w:vAlign w:val="center"/>
          </w:tcPr>
          <w:p>
            <w:pPr>
              <w:pStyle w:val="8"/>
              <w:bidi w:val="0"/>
              <w:rPr>
                <w:rFonts w:hint="default"/>
                <w:lang w:val="en-US" w:eastAsia="zh-CN"/>
              </w:rPr>
            </w:pPr>
            <w:r>
              <w:rPr>
                <w:rFonts w:hint="eastAsia" w:cs="Times New Roman" w:eastAsiaTheme="minorEastAsia"/>
                <w:color w:val="auto"/>
                <w:sz w:val="21"/>
                <w:szCs w:val="21"/>
                <w:vertAlign w:val="baseline"/>
                <w:lang w:val="en-US" w:eastAsia="zh-CN"/>
              </w:rPr>
              <w:t>42.5</w:t>
            </w:r>
          </w:p>
        </w:tc>
        <w:tc>
          <w:tcPr>
            <w:tcW w:w="8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54.98</w:t>
            </w:r>
          </w:p>
        </w:tc>
        <w:tc>
          <w:tcPr>
            <w:tcW w:w="746" w:type="dxa"/>
            <w:vAlign w:val="center"/>
          </w:tcPr>
          <w:p>
            <w:pPr>
              <w:pStyle w:val="8"/>
              <w:bidi w:val="0"/>
              <w:rPr>
                <w:rFonts w:hint="default" w:ascii="Times New Roman" w:hAnsi="Times New Roman" w:cs="Times New Roman"/>
                <w:lang w:val="en-US" w:eastAsia="zh-CN"/>
              </w:rPr>
            </w:pPr>
            <w:r>
              <w:rPr>
                <w:rFonts w:hint="eastAsia" w:cs="Times New Roman"/>
                <w:lang w:val="en-US" w:eastAsia="zh-CN"/>
              </w:rPr>
              <w:t>47.07</w:t>
            </w:r>
          </w:p>
        </w:tc>
        <w:tc>
          <w:tcPr>
            <w:tcW w:w="857" w:type="dxa"/>
            <w:vAlign w:val="center"/>
          </w:tcPr>
          <w:p>
            <w:pPr>
              <w:pStyle w:val="8"/>
              <w:bidi w:val="0"/>
              <w:rPr>
                <w:rFonts w:hint="eastAsia" w:ascii="Times New Roman" w:hAnsi="Times New Roman" w:cs="Times New Roman" w:eastAsiaTheme="minorEastAsia"/>
                <w:lang w:eastAsia="zh-CN"/>
              </w:rPr>
            </w:pPr>
            <w:r>
              <w:rPr>
                <w:rFonts w:hint="default" w:ascii="Times New Roman" w:hAnsi="Times New Roman" w:cs="Times New Roman"/>
              </w:rPr>
              <w:t>6</w:t>
            </w:r>
            <w:r>
              <w:rPr>
                <w:rFonts w:hint="eastAsia" w:cs="Times New Roman"/>
                <w:lang w:val="en-US" w:eastAsia="zh-CN"/>
              </w:rPr>
              <w:t>0</w:t>
            </w:r>
          </w:p>
        </w:tc>
        <w:tc>
          <w:tcPr>
            <w:tcW w:w="772" w:type="dxa"/>
            <w:vAlign w:val="center"/>
          </w:tcPr>
          <w:p>
            <w:pPr>
              <w:pStyle w:val="8"/>
              <w:bidi w:val="0"/>
              <w:rPr>
                <w:rFonts w:hint="eastAsia" w:ascii="Times New Roman" w:hAnsi="Times New Roman" w:cs="Times New Roman" w:eastAsiaTheme="minorEastAsia"/>
                <w:lang w:eastAsia="zh-CN"/>
              </w:rPr>
            </w:pPr>
            <w:r>
              <w:rPr>
                <w:rFonts w:hint="default" w:ascii="Times New Roman" w:hAnsi="Times New Roman" w:cs="Times New Roman"/>
              </w:rPr>
              <w:t>5</w:t>
            </w:r>
            <w:r>
              <w:rPr>
                <w:rFonts w:hint="eastAsia" w:cs="Times New Roman"/>
                <w:lang w:val="en-US" w:eastAsia="zh-CN"/>
              </w:rPr>
              <w:t>0</w:t>
            </w:r>
          </w:p>
        </w:tc>
        <w:tc>
          <w:tcPr>
            <w:tcW w:w="905" w:type="dxa"/>
            <w:vAlign w:val="center"/>
          </w:tcPr>
          <w:p>
            <w:pPr>
              <w:pStyle w:val="8"/>
              <w:bidi w:val="0"/>
              <w:rPr>
                <w:rFonts w:hint="default" w:ascii="Times New Roman" w:hAnsi="Times New Roman" w:cs="Times New Roman"/>
              </w:rPr>
            </w:pPr>
            <w:r>
              <w:rPr>
                <w:rFonts w:hint="default" w:ascii="Times New Roman" w:hAnsi="Times New Roman" w:cs="Times New Roman"/>
              </w:rPr>
              <w:t>未超标</w:t>
            </w:r>
          </w:p>
        </w:tc>
        <w:tc>
          <w:tcPr>
            <w:tcW w:w="890" w:type="dxa"/>
            <w:vAlign w:val="center"/>
          </w:tcPr>
          <w:p>
            <w:pPr>
              <w:pStyle w:val="8"/>
              <w:bidi w:val="0"/>
              <w:rPr>
                <w:rFonts w:hint="default" w:ascii="Times New Roman" w:hAnsi="Times New Roman" w:cs="Times New Roman"/>
              </w:rPr>
            </w:pPr>
            <w:r>
              <w:rPr>
                <w:rFonts w:hint="default" w:ascii="Times New Roman" w:hAnsi="Times New Roman" w:cs="Times New Roma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pPr>
              <w:pStyle w:val="8"/>
              <w:bidi w:val="0"/>
              <w:rPr>
                <w:rFonts w:hint="default" w:ascii="Times New Roman" w:hAnsi="Times New Roman" w:cs="Times New Roman"/>
              </w:rPr>
            </w:pPr>
            <w:r>
              <w:rPr>
                <w:rFonts w:hint="default" w:ascii="Times New Roman" w:hAnsi="Times New Roman" w:cs="Times New Roman"/>
              </w:rPr>
              <w:t>南厂界</w:t>
            </w:r>
          </w:p>
        </w:tc>
        <w:tc>
          <w:tcPr>
            <w:tcW w:w="1089"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39.8</w:t>
            </w:r>
          </w:p>
        </w:tc>
        <w:tc>
          <w:tcPr>
            <w:tcW w:w="7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53.4</w:t>
            </w:r>
          </w:p>
        </w:tc>
        <w:tc>
          <w:tcPr>
            <w:tcW w:w="800" w:type="dxa"/>
            <w:vAlign w:val="center"/>
          </w:tcPr>
          <w:p>
            <w:pPr>
              <w:pStyle w:val="8"/>
              <w:bidi w:val="0"/>
              <w:rPr>
                <w:rFonts w:hint="default"/>
                <w:lang w:val="en-US" w:eastAsia="zh-CN"/>
              </w:rPr>
            </w:pPr>
            <w:r>
              <w:rPr>
                <w:rFonts w:hint="eastAsia" w:cs="Times New Roman" w:eastAsiaTheme="minorEastAsia"/>
                <w:color w:val="auto"/>
                <w:sz w:val="21"/>
                <w:szCs w:val="21"/>
                <w:vertAlign w:val="baseline"/>
                <w:lang w:val="en-US" w:eastAsia="zh-CN" w:bidi="ar-SA"/>
              </w:rPr>
              <w:t>41.7</w:t>
            </w:r>
          </w:p>
        </w:tc>
        <w:tc>
          <w:tcPr>
            <w:tcW w:w="89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53.93</w:t>
            </w:r>
          </w:p>
        </w:tc>
        <w:tc>
          <w:tcPr>
            <w:tcW w:w="746" w:type="dxa"/>
            <w:vAlign w:val="center"/>
          </w:tcPr>
          <w:p>
            <w:pPr>
              <w:pStyle w:val="8"/>
              <w:bidi w:val="0"/>
              <w:rPr>
                <w:rFonts w:hint="default" w:ascii="Times New Roman" w:hAnsi="Times New Roman" w:cs="Times New Roman"/>
                <w:lang w:val="en-US" w:eastAsia="zh-CN"/>
              </w:rPr>
            </w:pPr>
            <w:r>
              <w:rPr>
                <w:rFonts w:hint="eastAsia" w:cs="Times New Roman"/>
                <w:lang w:val="en-US" w:eastAsia="zh-CN"/>
              </w:rPr>
              <w:t>46.55</w:t>
            </w:r>
          </w:p>
        </w:tc>
        <w:tc>
          <w:tcPr>
            <w:tcW w:w="857" w:type="dxa"/>
            <w:vAlign w:val="center"/>
          </w:tcPr>
          <w:p>
            <w:pPr>
              <w:pStyle w:val="8"/>
              <w:bidi w:val="0"/>
              <w:ind w:firstLine="0" w:firstLineChars="0"/>
              <w:rPr>
                <w:rFonts w:hint="default" w:ascii="Times New Roman" w:hAnsi="Times New Roman" w:cs="Times New Roman" w:eastAsiaTheme="minorEastAsia"/>
                <w:kern w:val="20"/>
                <w:sz w:val="21"/>
                <w:szCs w:val="20"/>
                <w:lang w:val="en-US" w:eastAsia="zh-CN" w:bidi="ar-SA"/>
              </w:rPr>
            </w:pPr>
            <w:r>
              <w:rPr>
                <w:rFonts w:hint="default" w:ascii="Times New Roman" w:hAnsi="Times New Roman" w:cs="Times New Roman"/>
              </w:rPr>
              <w:t>6</w:t>
            </w:r>
            <w:r>
              <w:rPr>
                <w:rFonts w:hint="eastAsia" w:cs="Times New Roman"/>
                <w:lang w:val="en-US" w:eastAsia="zh-CN"/>
              </w:rPr>
              <w:t>0</w:t>
            </w:r>
          </w:p>
        </w:tc>
        <w:tc>
          <w:tcPr>
            <w:tcW w:w="772" w:type="dxa"/>
            <w:vAlign w:val="center"/>
          </w:tcPr>
          <w:p>
            <w:pPr>
              <w:pStyle w:val="8"/>
              <w:bidi w:val="0"/>
              <w:ind w:firstLine="0" w:firstLineChars="0"/>
              <w:rPr>
                <w:rFonts w:hint="default" w:ascii="Times New Roman" w:hAnsi="Times New Roman" w:cs="Times New Roman" w:eastAsiaTheme="minorEastAsia"/>
                <w:kern w:val="20"/>
                <w:sz w:val="21"/>
                <w:szCs w:val="20"/>
                <w:lang w:val="en-US" w:eastAsia="zh-CN" w:bidi="ar-SA"/>
              </w:rPr>
            </w:pPr>
            <w:r>
              <w:rPr>
                <w:rFonts w:hint="default" w:ascii="Times New Roman" w:hAnsi="Times New Roman" w:cs="Times New Roman"/>
              </w:rPr>
              <w:t>5</w:t>
            </w:r>
            <w:r>
              <w:rPr>
                <w:rFonts w:hint="eastAsia" w:cs="Times New Roman"/>
                <w:lang w:val="en-US" w:eastAsia="zh-CN"/>
              </w:rPr>
              <w:t>0</w:t>
            </w:r>
          </w:p>
        </w:tc>
        <w:tc>
          <w:tcPr>
            <w:tcW w:w="905" w:type="dxa"/>
            <w:vAlign w:val="center"/>
          </w:tcPr>
          <w:p>
            <w:pPr>
              <w:pStyle w:val="8"/>
              <w:bidi w:val="0"/>
              <w:rPr>
                <w:rFonts w:hint="default" w:ascii="Times New Roman" w:hAnsi="Times New Roman" w:cs="Times New Roman"/>
              </w:rPr>
            </w:pPr>
            <w:r>
              <w:rPr>
                <w:rFonts w:hint="default" w:ascii="Times New Roman" w:hAnsi="Times New Roman" w:cs="Times New Roman"/>
              </w:rPr>
              <w:t>未超标</w:t>
            </w:r>
          </w:p>
        </w:tc>
        <w:tc>
          <w:tcPr>
            <w:tcW w:w="890" w:type="dxa"/>
            <w:vAlign w:val="center"/>
          </w:tcPr>
          <w:p>
            <w:pPr>
              <w:pStyle w:val="8"/>
              <w:bidi w:val="0"/>
              <w:rPr>
                <w:rFonts w:hint="default" w:ascii="Times New Roman" w:hAnsi="Times New Roman" w:cs="Times New Roman"/>
              </w:rPr>
            </w:pPr>
            <w:r>
              <w:rPr>
                <w:rFonts w:hint="default" w:ascii="Times New Roman" w:hAnsi="Times New Roman" w:cs="Times New Roma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pPr>
              <w:pStyle w:val="8"/>
              <w:bidi w:val="0"/>
              <w:rPr>
                <w:rFonts w:hint="default" w:ascii="Times New Roman" w:hAnsi="Times New Roman" w:cs="Times New Roman"/>
              </w:rPr>
            </w:pPr>
            <w:r>
              <w:rPr>
                <w:rFonts w:hint="default" w:ascii="Times New Roman" w:hAnsi="Times New Roman" w:cs="Times New Roman"/>
              </w:rPr>
              <w:t>西厂界</w:t>
            </w:r>
          </w:p>
        </w:tc>
        <w:tc>
          <w:tcPr>
            <w:tcW w:w="1089"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45.2</w:t>
            </w:r>
          </w:p>
        </w:tc>
        <w:tc>
          <w:tcPr>
            <w:tcW w:w="7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53.3</w:t>
            </w:r>
          </w:p>
        </w:tc>
        <w:tc>
          <w:tcPr>
            <w:tcW w:w="800" w:type="dxa"/>
            <w:vAlign w:val="center"/>
          </w:tcPr>
          <w:p>
            <w:pPr>
              <w:pStyle w:val="8"/>
              <w:bidi w:val="0"/>
              <w:rPr>
                <w:rFonts w:hint="default"/>
                <w:lang w:val="en-US" w:eastAsia="zh-CN"/>
              </w:rPr>
            </w:pPr>
            <w:r>
              <w:rPr>
                <w:rFonts w:hint="eastAsia" w:cs="Times New Roman" w:eastAsiaTheme="minorEastAsia"/>
                <w:color w:val="auto"/>
                <w:sz w:val="21"/>
                <w:szCs w:val="21"/>
                <w:vertAlign w:val="baseline"/>
                <w:lang w:val="en-US" w:eastAsia="zh-CN" w:bidi="ar-SA"/>
              </w:rPr>
              <w:t>40.8</w:t>
            </w:r>
          </w:p>
        </w:tc>
        <w:tc>
          <w:tcPr>
            <w:tcW w:w="897" w:type="dxa"/>
            <w:vAlign w:val="center"/>
          </w:tcPr>
          <w:p>
            <w:pPr>
              <w:pStyle w:val="8"/>
              <w:bidi w:val="0"/>
              <w:rPr>
                <w:rFonts w:hint="default" w:ascii="Times New Roman" w:hAnsi="Times New Roman" w:cs="Times New Roman"/>
                <w:lang w:val="en-US" w:eastAsia="zh-CN"/>
              </w:rPr>
            </w:pPr>
            <w:r>
              <w:rPr>
                <w:rFonts w:hint="eastAsia" w:cs="Times New Roman"/>
                <w:lang w:val="en-US" w:eastAsia="zh-CN"/>
              </w:rPr>
              <w:t>53.59</w:t>
            </w:r>
          </w:p>
        </w:tc>
        <w:tc>
          <w:tcPr>
            <w:tcW w:w="746" w:type="dxa"/>
            <w:vAlign w:val="center"/>
          </w:tcPr>
          <w:p>
            <w:pPr>
              <w:pStyle w:val="8"/>
              <w:bidi w:val="0"/>
              <w:rPr>
                <w:rFonts w:hint="default" w:ascii="Times New Roman" w:hAnsi="Times New Roman" w:cs="Times New Roman"/>
                <w:lang w:val="en-US" w:eastAsia="zh-CN"/>
              </w:rPr>
            </w:pPr>
            <w:r>
              <w:rPr>
                <w:rFonts w:hint="eastAsia" w:cs="Times New Roman"/>
                <w:lang w:val="en-US" w:eastAsia="zh-CN"/>
              </w:rPr>
              <w:t>43.86</w:t>
            </w:r>
          </w:p>
        </w:tc>
        <w:tc>
          <w:tcPr>
            <w:tcW w:w="857" w:type="dxa"/>
            <w:vAlign w:val="center"/>
          </w:tcPr>
          <w:p>
            <w:pPr>
              <w:pStyle w:val="8"/>
              <w:bidi w:val="0"/>
              <w:ind w:firstLine="0" w:firstLineChars="0"/>
              <w:rPr>
                <w:rFonts w:hint="default" w:ascii="Times New Roman" w:hAnsi="Times New Roman" w:cs="Times New Roman" w:eastAsiaTheme="minorEastAsia"/>
                <w:kern w:val="20"/>
                <w:sz w:val="21"/>
                <w:szCs w:val="20"/>
                <w:lang w:val="en-US" w:eastAsia="zh-CN" w:bidi="ar-SA"/>
              </w:rPr>
            </w:pPr>
            <w:r>
              <w:rPr>
                <w:rFonts w:hint="default" w:ascii="Times New Roman" w:hAnsi="Times New Roman" w:cs="Times New Roman"/>
              </w:rPr>
              <w:t>6</w:t>
            </w:r>
            <w:r>
              <w:rPr>
                <w:rFonts w:hint="eastAsia" w:cs="Times New Roman"/>
                <w:lang w:val="en-US" w:eastAsia="zh-CN"/>
              </w:rPr>
              <w:t>0</w:t>
            </w:r>
          </w:p>
        </w:tc>
        <w:tc>
          <w:tcPr>
            <w:tcW w:w="772" w:type="dxa"/>
            <w:vAlign w:val="center"/>
          </w:tcPr>
          <w:p>
            <w:pPr>
              <w:pStyle w:val="8"/>
              <w:bidi w:val="0"/>
              <w:ind w:firstLine="0" w:firstLineChars="0"/>
              <w:rPr>
                <w:rFonts w:hint="default" w:ascii="Times New Roman" w:hAnsi="Times New Roman" w:cs="Times New Roman" w:eastAsiaTheme="minorEastAsia"/>
                <w:kern w:val="20"/>
                <w:sz w:val="21"/>
                <w:szCs w:val="20"/>
                <w:lang w:val="en-US" w:eastAsia="zh-CN" w:bidi="ar-SA"/>
              </w:rPr>
            </w:pPr>
            <w:r>
              <w:rPr>
                <w:rFonts w:hint="default" w:ascii="Times New Roman" w:hAnsi="Times New Roman" w:cs="Times New Roman"/>
              </w:rPr>
              <w:t>5</w:t>
            </w:r>
            <w:r>
              <w:rPr>
                <w:rFonts w:hint="eastAsia" w:cs="Times New Roman"/>
                <w:lang w:val="en-US" w:eastAsia="zh-CN"/>
              </w:rPr>
              <w:t>0</w:t>
            </w:r>
          </w:p>
        </w:tc>
        <w:tc>
          <w:tcPr>
            <w:tcW w:w="905" w:type="dxa"/>
            <w:vAlign w:val="center"/>
          </w:tcPr>
          <w:p>
            <w:pPr>
              <w:pStyle w:val="8"/>
              <w:bidi w:val="0"/>
              <w:rPr>
                <w:rFonts w:hint="default" w:ascii="Times New Roman" w:hAnsi="Times New Roman" w:cs="Times New Roman"/>
              </w:rPr>
            </w:pPr>
            <w:r>
              <w:rPr>
                <w:rFonts w:hint="default" w:ascii="Times New Roman" w:hAnsi="Times New Roman" w:cs="Times New Roman"/>
              </w:rPr>
              <w:t>未超标</w:t>
            </w:r>
          </w:p>
        </w:tc>
        <w:tc>
          <w:tcPr>
            <w:tcW w:w="890" w:type="dxa"/>
            <w:vAlign w:val="center"/>
          </w:tcPr>
          <w:p>
            <w:pPr>
              <w:pStyle w:val="8"/>
              <w:bidi w:val="0"/>
              <w:rPr>
                <w:rFonts w:hint="default" w:ascii="Times New Roman" w:hAnsi="Times New Roman" w:cs="Times New Roman"/>
              </w:rPr>
            </w:pPr>
            <w:r>
              <w:rPr>
                <w:rFonts w:hint="default" w:ascii="Times New Roman" w:hAnsi="Times New Roman" w:cs="Times New Roman"/>
              </w:rPr>
              <w:t>未超标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pPr>
              <w:pStyle w:val="8"/>
              <w:bidi w:val="0"/>
              <w:rPr>
                <w:rFonts w:hint="default" w:ascii="Times New Roman" w:hAnsi="Times New Roman" w:cs="Times New Roman"/>
              </w:rPr>
            </w:pPr>
            <w:r>
              <w:rPr>
                <w:rFonts w:hint="default" w:ascii="Times New Roman" w:hAnsi="Times New Roman" w:cs="Times New Roman"/>
              </w:rPr>
              <w:t>北厂界</w:t>
            </w:r>
          </w:p>
        </w:tc>
        <w:tc>
          <w:tcPr>
            <w:tcW w:w="1089"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39.8</w:t>
            </w:r>
          </w:p>
        </w:tc>
        <w:tc>
          <w:tcPr>
            <w:tcW w:w="78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sz w:val="21"/>
                <w:szCs w:val="21"/>
                <w:vertAlign w:val="baseline"/>
                <w:lang w:val="en-US" w:eastAsia="zh-CN" w:bidi="ar-SA"/>
              </w:rPr>
              <w:t>51.9</w:t>
            </w:r>
          </w:p>
        </w:tc>
        <w:tc>
          <w:tcPr>
            <w:tcW w:w="800" w:type="dxa"/>
            <w:vAlign w:val="center"/>
          </w:tcPr>
          <w:p>
            <w:pPr>
              <w:pStyle w:val="8"/>
              <w:bidi w:val="0"/>
              <w:rPr>
                <w:rFonts w:hint="default"/>
                <w:lang w:val="en-US" w:eastAsia="zh-CN"/>
              </w:rPr>
            </w:pPr>
            <w:r>
              <w:rPr>
                <w:rFonts w:hint="eastAsia" w:cs="Times New Roman" w:eastAsiaTheme="minorEastAsia"/>
                <w:color w:val="auto"/>
                <w:sz w:val="21"/>
                <w:szCs w:val="21"/>
                <w:vertAlign w:val="baseline"/>
                <w:lang w:val="en-US" w:eastAsia="zh-CN" w:bidi="ar-SA"/>
              </w:rPr>
              <w:t>42.4</w:t>
            </w:r>
          </w:p>
        </w:tc>
        <w:tc>
          <w:tcPr>
            <w:tcW w:w="897" w:type="dxa"/>
            <w:vAlign w:val="center"/>
          </w:tcPr>
          <w:p>
            <w:pPr>
              <w:pStyle w:val="8"/>
              <w:bidi w:val="0"/>
              <w:rPr>
                <w:rFonts w:hint="default" w:ascii="Times New Roman" w:hAnsi="Times New Roman" w:cs="Times New Roman"/>
                <w:lang w:val="en-US" w:eastAsia="zh-CN"/>
              </w:rPr>
            </w:pPr>
            <w:r>
              <w:rPr>
                <w:rFonts w:hint="eastAsia" w:cs="Times New Roman"/>
                <w:lang w:val="en-US" w:eastAsia="zh-CN"/>
              </w:rPr>
              <w:t>52.16</w:t>
            </w:r>
          </w:p>
        </w:tc>
        <w:tc>
          <w:tcPr>
            <w:tcW w:w="746" w:type="dxa"/>
            <w:vAlign w:val="center"/>
          </w:tcPr>
          <w:p>
            <w:pPr>
              <w:pStyle w:val="8"/>
              <w:bidi w:val="0"/>
              <w:rPr>
                <w:rFonts w:hint="default" w:ascii="Times New Roman" w:hAnsi="Times New Roman" w:cs="Times New Roman"/>
                <w:lang w:val="en-US" w:eastAsia="zh-CN"/>
              </w:rPr>
            </w:pPr>
            <w:r>
              <w:rPr>
                <w:rFonts w:hint="eastAsia" w:cs="Times New Roman"/>
                <w:lang w:val="en-US" w:eastAsia="zh-CN"/>
              </w:rPr>
              <w:t>44.3</w:t>
            </w:r>
          </w:p>
        </w:tc>
        <w:tc>
          <w:tcPr>
            <w:tcW w:w="857" w:type="dxa"/>
            <w:vAlign w:val="center"/>
          </w:tcPr>
          <w:p>
            <w:pPr>
              <w:pStyle w:val="8"/>
              <w:bidi w:val="0"/>
              <w:ind w:firstLine="0" w:firstLineChars="0"/>
              <w:rPr>
                <w:rFonts w:hint="default" w:ascii="Times New Roman" w:hAnsi="Times New Roman" w:cs="Times New Roman" w:eastAsiaTheme="minorEastAsia"/>
                <w:kern w:val="20"/>
                <w:sz w:val="21"/>
                <w:szCs w:val="20"/>
                <w:lang w:val="en-US" w:eastAsia="zh-CN" w:bidi="ar-SA"/>
              </w:rPr>
            </w:pPr>
            <w:r>
              <w:rPr>
                <w:rFonts w:hint="default" w:ascii="Times New Roman" w:hAnsi="Times New Roman" w:cs="Times New Roman"/>
              </w:rPr>
              <w:t>6</w:t>
            </w:r>
            <w:r>
              <w:rPr>
                <w:rFonts w:hint="eastAsia" w:cs="Times New Roman"/>
                <w:lang w:val="en-US" w:eastAsia="zh-CN"/>
              </w:rPr>
              <w:t>0</w:t>
            </w:r>
          </w:p>
        </w:tc>
        <w:tc>
          <w:tcPr>
            <w:tcW w:w="772" w:type="dxa"/>
            <w:vAlign w:val="center"/>
          </w:tcPr>
          <w:p>
            <w:pPr>
              <w:pStyle w:val="8"/>
              <w:bidi w:val="0"/>
              <w:ind w:firstLine="0" w:firstLineChars="0"/>
              <w:rPr>
                <w:rFonts w:hint="default" w:ascii="Times New Roman" w:hAnsi="Times New Roman" w:cs="Times New Roman" w:eastAsiaTheme="minorEastAsia"/>
                <w:kern w:val="20"/>
                <w:sz w:val="21"/>
                <w:szCs w:val="20"/>
                <w:lang w:val="en-US" w:eastAsia="zh-CN" w:bidi="ar-SA"/>
              </w:rPr>
            </w:pPr>
            <w:r>
              <w:rPr>
                <w:rFonts w:hint="default" w:ascii="Times New Roman" w:hAnsi="Times New Roman" w:cs="Times New Roman"/>
              </w:rPr>
              <w:t>5</w:t>
            </w:r>
            <w:r>
              <w:rPr>
                <w:rFonts w:hint="eastAsia" w:cs="Times New Roman"/>
                <w:lang w:val="en-US" w:eastAsia="zh-CN"/>
              </w:rPr>
              <w:t>0</w:t>
            </w:r>
          </w:p>
        </w:tc>
        <w:tc>
          <w:tcPr>
            <w:tcW w:w="905" w:type="dxa"/>
            <w:vAlign w:val="center"/>
          </w:tcPr>
          <w:p>
            <w:pPr>
              <w:pStyle w:val="8"/>
              <w:bidi w:val="0"/>
              <w:rPr>
                <w:rFonts w:hint="default" w:ascii="Times New Roman" w:hAnsi="Times New Roman" w:cs="Times New Roman"/>
              </w:rPr>
            </w:pPr>
            <w:r>
              <w:rPr>
                <w:rFonts w:hint="default" w:ascii="Times New Roman" w:hAnsi="Times New Roman" w:cs="Times New Roman"/>
              </w:rPr>
              <w:t>未超标</w:t>
            </w:r>
          </w:p>
        </w:tc>
        <w:tc>
          <w:tcPr>
            <w:tcW w:w="890" w:type="dxa"/>
            <w:vAlign w:val="center"/>
          </w:tcPr>
          <w:p>
            <w:pPr>
              <w:pStyle w:val="8"/>
              <w:bidi w:val="0"/>
              <w:rPr>
                <w:rFonts w:hint="default" w:ascii="Times New Roman" w:hAnsi="Times New Roman" w:cs="Times New Roman"/>
              </w:rPr>
            </w:pPr>
            <w:r>
              <w:rPr>
                <w:rFonts w:hint="default" w:ascii="Times New Roman" w:hAnsi="Times New Roman" w:cs="Times New Roman"/>
              </w:rPr>
              <w:t>未超标</w:t>
            </w:r>
          </w:p>
        </w:tc>
      </w:tr>
    </w:tbl>
    <w:p>
      <w:pPr>
        <w:tabs>
          <w:tab w:val="left" w:pos="1021"/>
          <w:tab w:val="left" w:pos="1320"/>
        </w:tabs>
        <w:spacing w:line="360" w:lineRule="auto"/>
        <w:ind w:firstLine="420"/>
        <w:rPr>
          <w:rFonts w:hint="eastAsia" w:ascii="宋体" w:hAnsi="宋体" w:eastAsia="宋体" w:cs="宋体"/>
          <w:color w:val="auto"/>
          <w:kern w:val="24"/>
          <w:sz w:val="21"/>
          <w:szCs w:val="21"/>
          <w:lang w:val="zh-CN"/>
        </w:rPr>
      </w:pPr>
      <w:r>
        <w:rPr>
          <w:rFonts w:hint="eastAsia" w:ascii="宋体" w:hAnsi="宋体" w:eastAsia="宋体" w:cs="宋体"/>
          <w:color w:val="auto"/>
          <w:kern w:val="24"/>
          <w:sz w:val="21"/>
          <w:szCs w:val="21"/>
          <w:lang w:val="zh-CN"/>
        </w:rPr>
        <w:t>注：厂界现状噪声值取监测均值。</w:t>
      </w:r>
    </w:p>
    <w:p>
      <w:r>
        <w:t>由上表可知，项目厂界噪声均能满足《工业企业厂界环境噪声排放标准》中2 类功能区限值要求，昼间≤60dB(A)、夜间≤50dB(A)。</w:t>
      </w:r>
    </w:p>
    <w:p>
      <w:r>
        <w:rPr>
          <w:rFonts w:hint="eastAsia"/>
          <w:lang w:eastAsia="zh-CN"/>
        </w:rPr>
        <w:t>项目运行后，</w:t>
      </w:r>
      <w:r>
        <w:rPr>
          <w:rFonts w:hint="eastAsia"/>
        </w:rPr>
        <w:t>周边200</w:t>
      </w:r>
      <w:r>
        <w:t xml:space="preserve"> m</w:t>
      </w:r>
      <w:r>
        <w:rPr>
          <w:rFonts w:hint="eastAsia"/>
        </w:rPr>
        <w:t>范围</w:t>
      </w:r>
      <w:r>
        <w:rPr>
          <w:rFonts w:hint="eastAsia"/>
          <w:lang w:eastAsia="zh-CN"/>
        </w:rPr>
        <w:t>无居民居住</w:t>
      </w:r>
      <w:r>
        <w:rPr>
          <w:rFonts w:hint="eastAsia"/>
        </w:rPr>
        <w:t>，养殖区噪声对周边声环境影响较小。</w:t>
      </w:r>
    </w:p>
    <w:p>
      <w:pPr>
        <w:pStyle w:val="5"/>
        <w:bidi w:val="0"/>
      </w:pPr>
      <w:bookmarkStart w:id="408" w:name="_Toc468689207"/>
      <w:r>
        <w:rPr>
          <w:rFonts w:hint="eastAsia"/>
        </w:rPr>
        <w:t>固体废物环境影响分析</w:t>
      </w:r>
      <w:bookmarkEnd w:id="408"/>
    </w:p>
    <w:p>
      <w:r>
        <w:rPr>
          <w:rFonts w:hint="eastAsia"/>
        </w:rPr>
        <w:t>（</w:t>
      </w:r>
      <w:r>
        <w:t>1</w:t>
      </w:r>
      <w:r>
        <w:rPr>
          <w:rFonts w:hint="eastAsia"/>
        </w:rPr>
        <w:t>）</w:t>
      </w:r>
      <w:r>
        <w:t>沼渣</w:t>
      </w:r>
    </w:p>
    <w:p>
      <w:r>
        <w:rPr>
          <w:rFonts w:hint="eastAsia"/>
          <w:lang w:eastAsia="zh-CN"/>
        </w:rPr>
        <w:t>厌氧罐在厌氧发酵过程中会产生一定量的泥。进入厌氧罐的污水含干物质量约为</w:t>
      </w:r>
      <w:r>
        <w:rPr>
          <w:rFonts w:hint="eastAsia"/>
          <w:lang w:val="en-US" w:eastAsia="zh-CN"/>
        </w:rPr>
        <w:t>1%。</w:t>
      </w:r>
      <w:r>
        <w:t>进入</w:t>
      </w:r>
      <w:r>
        <w:rPr>
          <w:rFonts w:hint="eastAsia"/>
          <w:lang w:eastAsia="zh-CN"/>
        </w:rPr>
        <w:t>厌氧罐</w:t>
      </w:r>
      <w:r>
        <w:t>的废水量为</w:t>
      </w:r>
      <w:r>
        <w:rPr>
          <w:rFonts w:hint="eastAsia"/>
          <w:lang w:val="en-US" w:eastAsia="zh-CN"/>
        </w:rPr>
        <w:t>14679.7</w:t>
      </w:r>
      <w:r>
        <w:t>m</w:t>
      </w:r>
      <w:r>
        <w:rPr>
          <w:vertAlign w:val="superscript"/>
        </w:rPr>
        <w:t>3</w:t>
      </w:r>
      <w:r>
        <w:t>/a（</w:t>
      </w:r>
      <w:r>
        <w:rPr>
          <w:rFonts w:hint="eastAsia"/>
          <w:lang w:val="en-US" w:eastAsia="zh-CN"/>
        </w:rPr>
        <w:t>40.22</w:t>
      </w:r>
      <w:r>
        <w:t>m</w:t>
      </w:r>
      <w:r>
        <w:rPr>
          <w:vertAlign w:val="superscript"/>
        </w:rPr>
        <w:t>3</w:t>
      </w:r>
      <w:r>
        <w:t>/d），则进入</w:t>
      </w:r>
      <w:r>
        <w:rPr>
          <w:rFonts w:hint="eastAsia"/>
          <w:lang w:eastAsia="zh-CN"/>
        </w:rPr>
        <w:t>厌氧罐</w:t>
      </w:r>
      <w:r>
        <w:t>的粪污干物质量为</w:t>
      </w:r>
      <w:r>
        <w:rPr>
          <w:rFonts w:hint="eastAsia"/>
          <w:lang w:val="en-US" w:eastAsia="zh-CN"/>
        </w:rPr>
        <w:t>0.4</w:t>
      </w:r>
      <w:r>
        <w:t>t/d（</w:t>
      </w:r>
      <w:r>
        <w:rPr>
          <w:rFonts w:hint="eastAsia"/>
          <w:lang w:val="en-US" w:eastAsia="zh-CN"/>
        </w:rPr>
        <w:t>146</w:t>
      </w:r>
      <w:r>
        <w:t>t/a）。</w:t>
      </w:r>
    </w:p>
    <w:p>
      <w:r>
        <w:t>粪便中干物质在厌氧反应阶段被降解50%，经固液分离后进入沼液约20%，转化为</w:t>
      </w:r>
      <w:r>
        <w:rPr>
          <w:rFonts w:hint="eastAsia"/>
          <w:lang w:eastAsia="zh-CN"/>
        </w:rPr>
        <w:t>泥</w:t>
      </w:r>
      <w:r>
        <w:t>的干物质为总量的30%，新鲜沼渣含水率为65%。</w:t>
      </w:r>
    </w:p>
    <w:p>
      <w:r>
        <w:rPr>
          <w:rFonts w:hint="eastAsia"/>
          <w:lang w:eastAsia="zh-CN"/>
        </w:rPr>
        <w:t>厌氧罐泥</w:t>
      </w:r>
      <w:r>
        <w:t>日产量=（干物质日产量×30%）/（1-65%）=</w:t>
      </w:r>
      <w:r>
        <w:rPr>
          <w:rFonts w:hint="eastAsia"/>
          <w:lang w:val="en-US" w:eastAsia="zh-CN"/>
        </w:rPr>
        <w:t>0.4</w:t>
      </w:r>
      <w:r>
        <w:t>×30%/（1-65%）=</w:t>
      </w:r>
      <w:r>
        <w:rPr>
          <w:rFonts w:hint="eastAsia"/>
          <w:lang w:val="en-US" w:eastAsia="zh-CN"/>
        </w:rPr>
        <w:t>0.34</w:t>
      </w:r>
      <w:r>
        <w:t>t/d ，则项目</w:t>
      </w:r>
      <w:r>
        <w:rPr>
          <w:rFonts w:hint="eastAsia"/>
        </w:rPr>
        <w:t>新鲜</w:t>
      </w:r>
      <w:r>
        <w:rPr>
          <w:rFonts w:hint="eastAsia"/>
          <w:lang w:eastAsia="zh-CN"/>
        </w:rPr>
        <w:t>泥</w:t>
      </w:r>
      <w:r>
        <w:t>产量约</w:t>
      </w:r>
      <w:r>
        <w:rPr>
          <w:rFonts w:hint="eastAsia"/>
          <w:lang w:val="en-US" w:eastAsia="zh-CN"/>
        </w:rPr>
        <w:t>0.34</w:t>
      </w:r>
      <w:r>
        <w:t>t/d，既</w:t>
      </w:r>
      <w:r>
        <w:rPr>
          <w:rFonts w:hint="eastAsia"/>
          <w:lang w:val="en-US" w:eastAsia="zh-CN"/>
        </w:rPr>
        <w:t>124.1</w:t>
      </w:r>
      <w:r>
        <w:t>t/a。</w:t>
      </w:r>
      <w:r>
        <w:rPr>
          <w:rFonts w:hint="eastAsia"/>
        </w:rPr>
        <w:t>项目</w:t>
      </w:r>
      <w:r>
        <w:rPr>
          <w:rFonts w:hint="eastAsia"/>
          <w:lang w:eastAsia="zh-CN"/>
        </w:rPr>
        <w:t>厌氧罐排泥进入堆粪棚堆肥作为有机肥外售</w:t>
      </w:r>
      <w:r>
        <w:t>。</w:t>
      </w:r>
    </w:p>
    <w:p>
      <w:r>
        <w:rPr>
          <w:rFonts w:hint="eastAsia"/>
        </w:rPr>
        <w:t>综上所述，项目产生的猪粪最终作为肥料用于种植基地，可得到合理处置。</w:t>
      </w:r>
    </w:p>
    <w:p>
      <w:pPr>
        <w:rPr>
          <w:rFonts w:hint="eastAsia" w:eastAsiaTheme="minorEastAsia"/>
          <w:lang w:eastAsia="zh-CN"/>
        </w:rPr>
      </w:pPr>
      <w:r>
        <w:rPr>
          <w:rFonts w:hint="eastAsia"/>
        </w:rPr>
        <w:t>（2）猪粪及</w:t>
      </w:r>
      <w:r>
        <w:rPr>
          <w:rFonts w:hint="eastAsia"/>
          <w:lang w:eastAsia="zh-CN"/>
        </w:rPr>
        <w:t>堆粪棚产生的有机肥</w:t>
      </w:r>
    </w:p>
    <w:p>
      <w:r>
        <w:rPr>
          <w:rFonts w:hint="eastAsia"/>
        </w:rPr>
        <w:t>本项目养殖产生的猪粪进入</w:t>
      </w:r>
      <w:r>
        <w:rPr>
          <w:rFonts w:hint="eastAsia"/>
          <w:lang w:eastAsia="zh-CN"/>
        </w:rPr>
        <w:t>堆粪棚</w:t>
      </w:r>
      <w:r>
        <w:rPr>
          <w:rFonts w:hint="eastAsia"/>
        </w:rPr>
        <w:t>中，进行生物发酵处理，</w:t>
      </w:r>
      <w:r>
        <w:rPr>
          <w:rFonts w:hint="eastAsia"/>
          <w:lang w:eastAsia="zh-CN"/>
        </w:rPr>
        <w:t>猪粪进过</w:t>
      </w:r>
      <w:r>
        <w:rPr>
          <w:rFonts w:hint="eastAsia"/>
        </w:rPr>
        <w:t>长时间的生物发酵，无害化程度高，富含各种营养物质，是优质有机肥料，全部用于</w:t>
      </w:r>
      <w:r>
        <w:rPr>
          <w:rFonts w:hint="eastAsia"/>
          <w:lang w:eastAsia="zh-CN"/>
        </w:rPr>
        <w:t>外售有机肥厂</w:t>
      </w:r>
      <w:r>
        <w:rPr>
          <w:rFonts w:hint="eastAsia"/>
        </w:rPr>
        <w:t>，进行综合利用。对环境影响较小。</w:t>
      </w:r>
    </w:p>
    <w:p>
      <w:r>
        <w:rPr>
          <w:rFonts w:hint="eastAsia"/>
        </w:rPr>
        <w:t>（3）病死猪尸体和胎盘等废物</w:t>
      </w:r>
    </w:p>
    <w:p>
      <w:r>
        <w:rPr>
          <w:rFonts w:hint="eastAsia"/>
        </w:rPr>
        <w:t>本项目的病死猪尸体和胎盘等病理性废物通过建设冷冻库进行暂时储存，冷冻库库内温度为低温冷冻温度</w:t>
      </w:r>
      <w:r>
        <w:t>-18℃</w:t>
      </w:r>
      <w:r>
        <w:rPr>
          <w:rFonts w:hint="eastAsia"/>
        </w:rPr>
        <w:t>，采用冷冻或冷藏方式进行暂存，防止无害化处理前病死及病害动物和相关动物产品腐败。本项目拟建设的冷冻库容积为</w:t>
      </w:r>
      <w:r>
        <w:rPr>
          <w:rFonts w:hint="eastAsia"/>
          <w:lang w:val="en-US" w:eastAsia="zh-CN"/>
        </w:rPr>
        <w:t>40</w:t>
      </w:r>
      <w:r>
        <w:t>m</w:t>
      </w:r>
      <w:r>
        <w:rPr>
          <w:vertAlign w:val="superscript"/>
        </w:rPr>
        <w:t>3</w:t>
      </w:r>
      <w:r>
        <w:t>，</w:t>
      </w:r>
      <w:r>
        <w:rPr>
          <w:rFonts w:hint="eastAsia"/>
        </w:rPr>
        <w:t>冷冻库能连续365天24小时运行，</w:t>
      </w:r>
      <w:r>
        <w:t>使用寿命不小15年，</w:t>
      </w:r>
      <w:r>
        <w:rPr>
          <w:rFonts w:hint="eastAsia"/>
        </w:rPr>
        <w:t>能满足本项目定时期内病死猪尸体和胎盘的安全暂存。此外，暂存场所应能防水、防渗、防鼠、防盗，易于清洗和消毒，并定期对暂存场所及周边环境进行清洗消毒。</w:t>
      </w:r>
      <w:r>
        <w:t>暂存场所应设置明显警示标识。原则上不收集不储存外场病死畜禽，防止交叉感染。</w:t>
      </w:r>
      <w:r>
        <w:rPr>
          <w:rFonts w:hint="eastAsia"/>
        </w:rPr>
        <w:t>目前澧县畜牧兽医水产局已在澧县</w:t>
      </w:r>
      <w:r>
        <w:rPr>
          <w:rFonts w:hint="eastAsia"/>
          <w:lang w:eastAsia="zh-CN"/>
        </w:rPr>
        <w:t>澧南镇</w:t>
      </w:r>
      <w:r>
        <w:rPr>
          <w:rFonts w:hint="eastAsia"/>
        </w:rPr>
        <w:t>建成了全县病死畜禽无害化处理收集中心。</w:t>
      </w:r>
      <w:r>
        <w:t>本项目暂存后的</w:t>
      </w:r>
      <w:r>
        <w:rPr>
          <w:rFonts w:hint="eastAsia"/>
        </w:rPr>
        <w:t>病死猪尸体和胎盘等废物再定期运至澧县病死畜禽无害化处理收集中心。再由该中心运至常德市病死畜禽无害化处理中心进行最终处置。常德市病死畜禽无害化处理中心位于常德市桃源县漳江镇金凤村青云桥组，由常德市源成环保科技有限公司建设，项目采用高温干化化制工艺处理全市范围内的病死和病害动物及动物产品，日处理能力为</w:t>
      </w:r>
      <w:r>
        <w:t>20</w:t>
      </w:r>
      <w:r>
        <w:rPr>
          <w:rFonts w:hint="eastAsia"/>
        </w:rPr>
        <w:t>t，年处理能力为7000t，年产有机肥1400t。该项目于2018年6月开始建设，于2019年6月建成并投入运营。</w:t>
      </w:r>
    </w:p>
    <w:p>
      <w:r>
        <w:rPr>
          <w:rFonts w:hint="eastAsia"/>
        </w:rPr>
        <w:t>综上所述，本项目对病死猪尸体和胎盘等病理性废物处理符合《病害动物和病害动物产品生物安全处理规程》（</w:t>
      </w:r>
      <w:r>
        <w:t>GB16548-2006</w:t>
      </w:r>
      <w:r>
        <w:rPr>
          <w:rFonts w:hint="eastAsia"/>
        </w:rPr>
        <w:t>）和《畜禽养殖业污染治理工程技术规范》（</w:t>
      </w:r>
      <w:r>
        <w:t>HJ497-2009</w:t>
      </w:r>
      <w:r>
        <w:rPr>
          <w:rFonts w:hint="eastAsia"/>
        </w:rPr>
        <w:t>）中对病死畜禽进行无害化处置的规定。满足《国务院办公厅关于建立病死畜禽无害化处理机制的意见》（国办发〔</w:t>
      </w:r>
      <w:r>
        <w:t>2014〕47号）、</w:t>
      </w:r>
      <w:r>
        <w:rPr>
          <w:rFonts w:hint="eastAsia"/>
        </w:rPr>
        <w:t>《湖南省人民政府办公厅关于建立病死畜禽无害化处理机制的实施意见》(湘政办发〔</w:t>
      </w:r>
      <w:r>
        <w:t>2015〕103号）</w:t>
      </w:r>
      <w:r>
        <w:rPr>
          <w:rFonts w:hint="eastAsia"/>
        </w:rPr>
        <w:t>等文件的要求。</w:t>
      </w:r>
    </w:p>
    <w:p>
      <w:r>
        <w:rPr>
          <w:rFonts w:hint="eastAsia"/>
        </w:rPr>
        <w:t>（4）生活垃圾</w:t>
      </w:r>
    </w:p>
    <w:p>
      <w:r>
        <w:rPr>
          <w:rFonts w:hint="eastAsia"/>
        </w:rPr>
        <w:t>生活垃圾收集后由当地环卫部门统一清运后定期送城镇垃圾填埋场卫生填埋。</w:t>
      </w:r>
    </w:p>
    <w:p>
      <w:r>
        <w:rPr>
          <w:rFonts w:hint="eastAsia"/>
        </w:rPr>
        <w:t>（5）医疗废物</w:t>
      </w:r>
    </w:p>
    <w:p>
      <w:r>
        <w:rPr>
          <w:rFonts w:hint="eastAsia"/>
        </w:rPr>
        <w:t>医疗固废临时存放在隔离间专用存储容器中，定期交由有资质的单位处置。</w:t>
      </w:r>
    </w:p>
    <w:p>
      <w:pPr>
        <w:numPr>
          <w:ilvl w:val="0"/>
          <w:numId w:val="4"/>
        </w:numPr>
        <w:rPr>
          <w:rFonts w:hint="eastAsia"/>
          <w:sz w:val="24"/>
          <w:szCs w:val="24"/>
          <w:lang w:eastAsia="zh-CN"/>
        </w:rPr>
      </w:pPr>
      <w:r>
        <w:rPr>
          <w:rFonts w:hint="eastAsia"/>
          <w:sz w:val="24"/>
          <w:szCs w:val="24"/>
          <w:lang w:eastAsia="zh-CN"/>
        </w:rPr>
        <w:t>脱硫废渣</w:t>
      </w:r>
    </w:p>
    <w:p>
      <w:pPr>
        <w:bidi w:val="0"/>
        <w:rPr>
          <w:rFonts w:hint="eastAsia"/>
          <w:lang w:eastAsia="zh-CN"/>
        </w:rPr>
      </w:pPr>
      <w:r>
        <w:rPr>
          <w:rFonts w:hint="eastAsia"/>
          <w:sz w:val="24"/>
          <w:szCs w:val="24"/>
          <w:lang w:eastAsia="zh-CN"/>
        </w:rPr>
        <w:t>脱硫废渣</w:t>
      </w:r>
      <w:r>
        <w:t>由厂家回收</w:t>
      </w:r>
      <w:r>
        <w:rPr>
          <w:rFonts w:hint="eastAsia"/>
          <w:lang w:eastAsia="zh-CN"/>
        </w:rPr>
        <w:t>，不会对环境造成影响</w:t>
      </w:r>
    </w:p>
    <w:p>
      <w:pPr>
        <w:bidi w:val="0"/>
        <w:rPr>
          <w:rFonts w:hint="eastAsia"/>
          <w:lang w:eastAsia="zh-CN"/>
        </w:rPr>
      </w:pPr>
      <w:r>
        <w:rPr>
          <w:rFonts w:hint="eastAsia"/>
        </w:rPr>
        <w:t>本项目固体废物处理处置遵循了环境健康风险预防、安全无害以及固体废物</w:t>
      </w:r>
      <w:r>
        <w:t>“</w:t>
      </w:r>
      <w:r>
        <w:rPr>
          <w:rFonts w:hint="eastAsia"/>
        </w:rPr>
        <w:t>减量化、资源化及无害化</w:t>
      </w:r>
      <w:r>
        <w:t>”</w:t>
      </w:r>
      <w:r>
        <w:rPr>
          <w:rFonts w:hint="eastAsia"/>
        </w:rPr>
        <w:t>的原则，将固体废物全部综合利用或安全处置，减少了对周边环境的污染危害，还可以使企业增收节支，实现经济与环境的双赢。本项目固体废物在采取上述措施进行处置后对环境影响不大。</w:t>
      </w:r>
    </w:p>
    <w:p>
      <w:pPr>
        <w:pStyle w:val="5"/>
        <w:bidi w:val="0"/>
      </w:pPr>
      <w:bookmarkStart w:id="409" w:name="_Toc468689212"/>
      <w:bookmarkStart w:id="410" w:name="_Toc468689208"/>
      <w:r>
        <w:t>生态环境影响分析</w:t>
      </w:r>
      <w:bookmarkEnd w:id="409"/>
    </w:p>
    <w:p>
      <w:r>
        <w:t>（1）生态系统组成</w:t>
      </w:r>
      <w:r>
        <w:rPr>
          <w:rFonts w:hint="eastAsia"/>
        </w:rPr>
        <w:t>与功能</w:t>
      </w:r>
      <w:r>
        <w:t>变化</w:t>
      </w:r>
    </w:p>
    <w:p>
      <w:r>
        <w:t>本项目土地建设前用地性质为</w:t>
      </w:r>
      <w:r>
        <w:rPr>
          <w:rFonts w:hint="eastAsia"/>
          <w:lang w:eastAsia="zh-CN"/>
        </w:rPr>
        <w:t>林地</w:t>
      </w:r>
      <w:r>
        <w:t>、荒</w:t>
      </w:r>
      <w:r>
        <w:rPr>
          <w:rFonts w:hint="eastAsia"/>
          <w:lang w:eastAsia="zh-CN"/>
        </w:rPr>
        <w:t>草</w:t>
      </w:r>
      <w:r>
        <w:t>地，不属于保护林类，</w:t>
      </w:r>
      <w:r>
        <w:rPr>
          <w:rFonts w:ascii="Times New Roman" w:hAnsi="Times New Roman" w:cs="Times New Roman"/>
          <w:color w:val="000000"/>
        </w:rPr>
        <w:t>生态系统的现状植被以乔木、灌木、杂草为主</w:t>
      </w:r>
      <w:r>
        <w:t>。</w:t>
      </w:r>
    </w:p>
    <w:p>
      <w:r>
        <w:t>本项目建设后，</w:t>
      </w:r>
      <w:r>
        <w:rPr>
          <w:rFonts w:hint="eastAsia"/>
        </w:rPr>
        <w:t>养殖基地</w:t>
      </w:r>
      <w:r>
        <w:t>内的</w:t>
      </w:r>
      <w:r>
        <w:rPr>
          <w:rFonts w:hint="eastAsia"/>
          <w:lang w:eastAsia="zh-CN"/>
        </w:rPr>
        <w:t>林地</w:t>
      </w:r>
      <w:r>
        <w:t>、荒</w:t>
      </w:r>
      <w:r>
        <w:rPr>
          <w:rFonts w:hint="eastAsia"/>
          <w:lang w:eastAsia="zh-CN"/>
        </w:rPr>
        <w:t>草</w:t>
      </w:r>
      <w:r>
        <w:t>地全数消失，全部转变为</w:t>
      </w:r>
      <w:r>
        <w:rPr>
          <w:rFonts w:hint="eastAsia"/>
          <w:lang w:eastAsia="zh-CN"/>
        </w:rPr>
        <w:t>农用设施用地</w:t>
      </w:r>
      <w:r>
        <w:t>，约</w:t>
      </w:r>
      <w:r>
        <w:rPr>
          <w:rFonts w:hint="eastAsia"/>
          <w:lang w:val="en-US" w:eastAsia="zh-CN"/>
        </w:rPr>
        <w:t>9.62</w:t>
      </w:r>
      <w:r>
        <w:rPr>
          <w:rFonts w:hint="eastAsia"/>
        </w:rPr>
        <w:t>公顷</w:t>
      </w:r>
      <w:r>
        <w:t>，</w:t>
      </w:r>
      <w:r>
        <w:rPr>
          <w:rFonts w:hint="eastAsia"/>
        </w:rPr>
        <w:t>改变了原有土地利用性质</w:t>
      </w:r>
      <w:r>
        <w:rPr>
          <w:rFonts w:hint="eastAsia"/>
          <w:lang w:eastAsia="zh-CN"/>
        </w:rPr>
        <w:t>，项目占地较小，加强对厂区绿化后</w:t>
      </w:r>
      <w:r>
        <w:t>对周边地区整个生态系统的结构影响很小。</w:t>
      </w:r>
    </w:p>
    <w:p>
      <w:r>
        <w:t>本项目</w:t>
      </w:r>
      <w:r>
        <w:rPr>
          <w:rFonts w:hint="eastAsia"/>
        </w:rPr>
        <w:t>建设</w:t>
      </w:r>
      <w:r>
        <w:t>前所在地块为植物生态系统，属自然生态系统，生态系统的物流、能量流处在较低的水平，整个生态系统排放到外环境的污染物较少。目前的植物生态系统有大面积的各类灌木，植物的蒸腾量较大，具有较强的水、热气候调节功能，为当地提供了良好的绿色生态环境。本项目建设后</w:t>
      </w:r>
      <w:r>
        <w:rPr>
          <w:rFonts w:hint="eastAsia"/>
        </w:rPr>
        <w:t>，养殖基地</w:t>
      </w:r>
      <w:r>
        <w:t>地块转变为</w:t>
      </w:r>
      <w:r>
        <w:rPr>
          <w:rFonts w:hint="eastAsia"/>
        </w:rPr>
        <w:t>建设</w:t>
      </w:r>
      <w:r>
        <w:t>用地后，地表将大部分变为人工建筑地面，其主要功能是为生产服务</w:t>
      </w:r>
      <w:r>
        <w:rPr>
          <w:rFonts w:hint="eastAsia"/>
        </w:rPr>
        <w:t>，</w:t>
      </w:r>
      <w:r>
        <w:t>对局部水、热气候调节功能的减弱影响</w:t>
      </w:r>
      <w:r>
        <w:rPr>
          <w:rFonts w:hint="eastAsia"/>
        </w:rPr>
        <w:t>，但</w:t>
      </w:r>
      <w:r>
        <w:t>可由</w:t>
      </w:r>
      <w:r>
        <w:rPr>
          <w:rFonts w:hint="eastAsia"/>
        </w:rPr>
        <w:t>周边的种植基地以及</w:t>
      </w:r>
      <w:r>
        <w:t>附近广阔的山体植被调节功能弥补。</w:t>
      </w:r>
      <w:r>
        <w:rPr>
          <w:rFonts w:hint="eastAsia"/>
        </w:rPr>
        <w:t>本项目的建设不会影响整个生态系统的功能。</w:t>
      </w:r>
    </w:p>
    <w:p>
      <w:r>
        <w:t>（</w:t>
      </w:r>
      <w:r>
        <w:rPr>
          <w:rFonts w:hint="eastAsia"/>
        </w:rPr>
        <w:t>2</w:t>
      </w:r>
      <w:r>
        <w:t>）动植物生态环境影响评价</w:t>
      </w:r>
    </w:p>
    <w:p>
      <w:r>
        <w:t>本项目实施后</w:t>
      </w:r>
      <w:r>
        <w:rPr>
          <w:rFonts w:hint="eastAsia"/>
        </w:rPr>
        <w:t>，</w:t>
      </w:r>
      <w:r>
        <w:rPr>
          <w:rFonts w:hint="eastAsia"/>
          <w:lang w:eastAsia="zh-CN"/>
        </w:rPr>
        <w:t>基本</w:t>
      </w:r>
      <w:r>
        <w:rPr>
          <w:rFonts w:hint="eastAsia"/>
        </w:rPr>
        <w:t>保持了当地生物多样性</w:t>
      </w:r>
      <w:r>
        <w:t>，</w:t>
      </w:r>
      <w:r>
        <w:rPr>
          <w:rFonts w:hint="eastAsia"/>
        </w:rPr>
        <w:t>也</w:t>
      </w:r>
      <w:r>
        <w:t>保持该地区的覆绿面积。本项目实施后对当地植物生态环境</w:t>
      </w:r>
      <w:r>
        <w:rPr>
          <w:rFonts w:hint="eastAsia"/>
        </w:rPr>
        <w:t>不会有明显影响</w:t>
      </w:r>
      <w:r>
        <w:t>。本项目所在地原为</w:t>
      </w:r>
      <w:r>
        <w:rPr>
          <w:rFonts w:hint="eastAsia"/>
        </w:rPr>
        <w:t>林地</w:t>
      </w:r>
      <w:r>
        <w:t>，野生动物较少，本项目建设对当地动物数量影响较小。但</w:t>
      </w:r>
      <w:r>
        <w:rPr>
          <w:rFonts w:hint="eastAsia"/>
        </w:rPr>
        <w:t>牲</w:t>
      </w:r>
      <w:r>
        <w:t>猪发生病疫，如果处理不当，对当地野生和家养动物感染，造成野生和家养动物死亡。本项目建成后，采取了较好的牲猪病疫防疫措施，只要加强管理和遵照执行，牲猪发生病疫对当地野生和家养动物影响较小。</w:t>
      </w:r>
    </w:p>
    <w:p>
      <w:r>
        <w:rPr>
          <w:rFonts w:hint="eastAsia"/>
        </w:rPr>
        <w:t>（3）农业生态环境的影响分析</w:t>
      </w:r>
    </w:p>
    <w:p>
      <w:r>
        <w:rPr>
          <w:rFonts w:hint="eastAsia"/>
        </w:rPr>
        <w:t>项目通过对区域生猪养殖实施集约化管理，并对生猪养殖产生的粪污进行减量化、无害化、资源化综合利用，构建生猪养殖</w:t>
      </w:r>
      <w:r>
        <w:t>→</w:t>
      </w:r>
      <w:r>
        <w:rPr>
          <w:rFonts w:hint="eastAsia"/>
        </w:rPr>
        <w:t>粪污</w:t>
      </w:r>
      <w:r>
        <w:t>→</w:t>
      </w:r>
      <w:r>
        <w:rPr>
          <w:rFonts w:hint="eastAsia"/>
        </w:rPr>
        <w:t>肥料还林</w:t>
      </w:r>
      <w:r>
        <w:t>→</w:t>
      </w:r>
      <w:r>
        <w:rPr>
          <w:rFonts w:hint="eastAsia"/>
        </w:rPr>
        <w:t>树木，对改善项目区域农业生态环境将产生积极作用。</w:t>
      </w:r>
    </w:p>
    <w:p>
      <w:r>
        <w:rPr>
          <w:rFonts w:hint="eastAsia"/>
        </w:rPr>
        <w:t>a猪产生粪尿替代化肥量</w:t>
      </w:r>
    </w:p>
    <w:p>
      <w:r>
        <w:rPr>
          <w:rFonts w:hint="eastAsia"/>
        </w:rPr>
        <w:t>生猪养殖中产生的粪便经过发酵处理后施于土壤中，作为有机肥料替代化肥，减少化肥对土壤带来的污染和氮、磷的流失。增加土壤中有机质的含量，改善土壤结构，有利于农田生态环境和农作物品质的改善。查阅相关资料可知</w:t>
      </w:r>
      <w:r>
        <w:t>1</w:t>
      </w:r>
      <w:r>
        <w:rPr>
          <w:rFonts w:hint="eastAsia"/>
        </w:rPr>
        <w:t>t粪肥相当于硫酸铵</w:t>
      </w:r>
      <w:r>
        <w:t>17</w:t>
      </w:r>
      <w:r>
        <w:rPr>
          <w:rFonts w:hint="eastAsia"/>
        </w:rPr>
        <w:t>kg，过磷酸钙</w:t>
      </w:r>
      <w:r>
        <w:t>10</w:t>
      </w:r>
      <w:r>
        <w:rPr>
          <w:rFonts w:hint="eastAsia"/>
        </w:rPr>
        <w:t>kg，硫酸钾</w:t>
      </w:r>
      <w:r>
        <w:t>8</w:t>
      </w:r>
      <w:r>
        <w:rPr>
          <w:rFonts w:hint="eastAsia"/>
        </w:rPr>
        <w:t>kg，可以减少使用化肥对土壤环境带来的污染。</w:t>
      </w:r>
    </w:p>
    <w:p>
      <w:r>
        <w:rPr>
          <w:rFonts w:hint="eastAsia"/>
        </w:rPr>
        <w:t>b对作物的影响</w:t>
      </w:r>
    </w:p>
    <w:p>
      <w:r>
        <w:rPr>
          <w:rFonts w:hint="eastAsia"/>
        </w:rPr>
        <w:t>项目实施后，尿粪等经发酵处理后用于</w:t>
      </w:r>
      <w:r>
        <w:rPr>
          <w:rFonts w:hint="eastAsia"/>
          <w:lang w:eastAsia="zh-CN"/>
        </w:rPr>
        <w:t>周边常德华诚现代农业开发有限公司的果蔬、柑橘、经济林的</w:t>
      </w:r>
      <w:r>
        <w:rPr>
          <w:rFonts w:hint="eastAsia"/>
        </w:rPr>
        <w:t>肥料使用，施肥中含多种植物易吸收的营养养分，有利于农作物的生长。既节约了水资源，又减少了粪污的排放。不会对</w:t>
      </w:r>
      <w:r>
        <w:rPr>
          <w:rFonts w:hint="eastAsia"/>
          <w:lang w:eastAsia="zh-CN"/>
        </w:rPr>
        <w:t>周边</w:t>
      </w:r>
      <w:r>
        <w:rPr>
          <w:rFonts w:hint="eastAsia"/>
        </w:rPr>
        <w:t>造成不利的生态影响。</w:t>
      </w:r>
    </w:p>
    <w:bookmarkEnd w:id="410"/>
    <w:p>
      <w:pPr>
        <w:pStyle w:val="5"/>
        <w:bidi w:val="0"/>
      </w:pPr>
      <w:r>
        <w:rPr>
          <w:rFonts w:hint="eastAsia"/>
        </w:rPr>
        <w:t>土壤</w:t>
      </w:r>
      <w:r>
        <w:t>环境影响分析</w:t>
      </w:r>
    </w:p>
    <w:p>
      <w:r>
        <w:rPr>
          <w:rFonts w:hint="eastAsia"/>
        </w:rPr>
        <w:t>本项目土壤为三级评价，采用定性描述法进行评价。</w:t>
      </w:r>
    </w:p>
    <w:p>
      <w:r>
        <w:rPr>
          <w:rFonts w:hint="eastAsia"/>
        </w:rPr>
        <w:t xml:space="preserve">土壤污染与大气、水体污染有所不同，它是以食物链方式通过粮食、蔬菜、水果、茶叶及草食性动物（如家禽家畜）乃至肉食性动物等后进入人体而影响人群健康，是一个逐步累积的过程，具有隐蔽性和潜伏性。土壤一旦遭受污染后，不但很难得到清除，而且随着有毒有害污染物的逐年进入而不断在土体中蓄集，有些污染物甚至在土体中可能转化为毒性更大的化合物。 </w:t>
      </w:r>
    </w:p>
    <w:p>
      <w:r>
        <w:rPr>
          <w:rFonts w:hint="eastAsia"/>
        </w:rPr>
        <w:t>土壤污染主要来自废水、废气、固体废物污染，重在预防，污染后的修复成分十分高昂。 本项目产生的污水和粪污渗滤液含有高浓度的有机物及病原微生物，寄生虫卵等，本项目危险废物暂存间、废水收集池以及污水管线若没有适当的防漏措施，其中的有害组分渗出后，很容易经过雨水淋溶、地表径流侵蚀而渗入土壤，杀死土壤中的微生物，破坏微生物与周围环境构成系统的平衡，导致草木不生，对于耕地则造成大面积的减产、影响食品安全，可能会污染周围的土壤，并经渗漏污染地下水。因此为有效防治土壤环境污染，本项目采取以下措施：</w:t>
      </w:r>
    </w:p>
    <w:p>
      <w:r>
        <w:rPr>
          <w:rFonts w:hint="eastAsia"/>
        </w:rPr>
        <w:t>①猪舍的地面、污水池、污水沟等均要求采取防渗措施，地面要求采用水泥地面，利于排水但不透水，便于清扫消毒；墙壁要求离地1.0~1.5m设水泥墙裙，水泥应优先选用硅酸盐水泥。</w:t>
      </w:r>
    </w:p>
    <w:p>
      <w:r>
        <w:rPr>
          <w:rFonts w:hint="eastAsia"/>
        </w:rPr>
        <w:t>猪舍地基至少高出地面10cm，地基结实，门前至少有5%的坡度，防雨淋，防渗漏，采用水泥地面，墙壁要求离地1.0~1.5m设水泥墙裙，水泥应优先选用硅酸盐水泥。</w:t>
      </w:r>
    </w:p>
    <w:p>
      <w:r>
        <w:rPr>
          <w:rFonts w:hint="eastAsia"/>
        </w:rPr>
        <w:t>②场区内污水收集管网及污水排水专管采取混凝土结构，并施行三方不见泥，</w:t>
      </w:r>
      <w:r>
        <w:t>专用排污管道采用混凝土暗管，接口必须密封紧密；</w:t>
      </w:r>
    </w:p>
    <w:p>
      <w:r>
        <w:rPr>
          <w:rFonts w:hint="eastAsia"/>
        </w:rPr>
        <w:t>③</w:t>
      </w:r>
      <w:r>
        <w:t>污水处理设施各构筑物必须根据《畜禽养殖业污染治理工程技术规范》要求采取防渗措施；</w:t>
      </w:r>
    </w:p>
    <w:p>
      <w:r>
        <w:rPr>
          <w:rFonts w:hint="eastAsia"/>
        </w:rPr>
        <w:t>④发酵车间及沼液系统</w:t>
      </w:r>
      <w:r>
        <w:t>根据《畜禽养殖业污染治理工程技术规范》要求采取防渗措施；</w:t>
      </w:r>
    </w:p>
    <w:p>
      <w:r>
        <w:rPr>
          <w:rFonts w:hint="eastAsia"/>
        </w:rPr>
        <w:t>⑤发酵车间及沼液系统根据《畜禽养殖业污染防治技术规范》HJ/T81-2001做好防渗处理；</w:t>
      </w:r>
    </w:p>
    <w:p>
      <w:r>
        <w:rPr>
          <w:rFonts w:hint="eastAsia"/>
        </w:rPr>
        <w:t>⑥</w:t>
      </w:r>
      <w:r>
        <w:rPr>
          <w:rFonts w:hint="eastAsia"/>
          <w:lang w:eastAsia="zh-CN"/>
        </w:rPr>
        <w:t>将本项目地下取水井作为</w:t>
      </w:r>
      <w:r>
        <w:rPr>
          <w:rFonts w:hint="eastAsia"/>
        </w:rPr>
        <w:t>地下水监测井，</w:t>
      </w:r>
      <w:r>
        <w:t>以便发现问题及时采取措施。</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本次</w:t>
      </w:r>
      <w:r>
        <w:t>评价认为，</w:t>
      </w:r>
      <w:r>
        <w:rPr>
          <w:rFonts w:hint="eastAsia"/>
        </w:rPr>
        <w:t>只要规范操作，加强管理，项目污水实现零排放，发生事故的概率极小，</w:t>
      </w:r>
      <w:r>
        <w:t>经采取以上防治措施后，不会对</w:t>
      </w:r>
      <w:r>
        <w:rPr>
          <w:rFonts w:hint="eastAsia"/>
        </w:rPr>
        <w:t>土壤</w:t>
      </w:r>
      <w:r>
        <w:t>造成污染影响</w:t>
      </w:r>
      <w:r>
        <w:rPr>
          <w:rFonts w:hint="eastAsia"/>
        </w:rPr>
        <w:t>，防治措施可行。</w:t>
      </w:r>
    </w:p>
    <w:p>
      <w:pPr>
        <w:pStyle w:val="4"/>
        <w:keepNext w:val="0"/>
        <w:keepLines w:val="0"/>
        <w:pageBreakBefore w:val="0"/>
        <w:widowControl w:val="0"/>
        <w:kinsoku/>
        <w:wordWrap/>
        <w:overflowPunct/>
        <w:topLinePunct w:val="0"/>
        <w:autoSpaceDE/>
        <w:autoSpaceDN/>
        <w:bidi w:val="0"/>
        <w:adjustRightInd/>
        <w:snapToGrid/>
        <w:textAlignment w:val="auto"/>
      </w:pPr>
      <w:r>
        <w:rPr>
          <w:rFonts w:hint="eastAsia"/>
        </w:rPr>
        <w:t xml:space="preserve"> </w:t>
      </w:r>
      <w:bookmarkStart w:id="411" w:name="_Toc1699"/>
      <w:r>
        <w:rPr>
          <w:rFonts w:hint="eastAsia"/>
        </w:rPr>
        <w:t>环境风险评价</w:t>
      </w:r>
      <w:bookmarkEnd w:id="411"/>
    </w:p>
    <w:p>
      <w:pPr>
        <w:pStyle w:val="5"/>
        <w:bidi w:val="0"/>
        <w:rPr>
          <w:u w:val="none"/>
        </w:rPr>
      </w:pPr>
      <w:r>
        <w:rPr>
          <w:rFonts w:hint="eastAsia"/>
          <w:u w:val="none"/>
          <w:lang w:eastAsia="zh-CN"/>
        </w:rPr>
        <w:t>评价依据</w:t>
      </w:r>
    </w:p>
    <w:p>
      <w:pPr>
        <w:bidi w:val="0"/>
        <w:rPr>
          <w:u w:val="none"/>
        </w:rPr>
      </w:pPr>
      <w:r>
        <w:rPr>
          <w:rFonts w:hint="eastAsia"/>
          <w:u w:val="none"/>
          <w:lang w:eastAsia="zh-CN"/>
        </w:rPr>
        <w:t>（</w:t>
      </w:r>
      <w:r>
        <w:rPr>
          <w:rFonts w:hint="eastAsia"/>
          <w:u w:val="none"/>
          <w:lang w:val="en-US" w:eastAsia="zh-CN"/>
        </w:rPr>
        <w:t>1</w:t>
      </w:r>
      <w:r>
        <w:rPr>
          <w:rFonts w:hint="eastAsia"/>
          <w:u w:val="none"/>
          <w:lang w:eastAsia="zh-CN"/>
        </w:rPr>
        <w:t>）</w:t>
      </w:r>
      <w:r>
        <w:rPr>
          <w:rFonts w:hint="eastAsia"/>
          <w:u w:val="none"/>
        </w:rPr>
        <w:t>风险</w:t>
      </w:r>
      <w:r>
        <w:rPr>
          <w:rFonts w:hint="eastAsia"/>
          <w:u w:val="none"/>
          <w:lang w:eastAsia="zh-CN"/>
        </w:rPr>
        <w:t>调查</w:t>
      </w:r>
    </w:p>
    <w:p>
      <w:pPr>
        <w:rPr>
          <w:rFonts w:hint="default"/>
          <w:u w:val="none"/>
        </w:rPr>
      </w:pPr>
      <w:r>
        <w:rPr>
          <w:rFonts w:hint="default"/>
          <w:u w:val="none"/>
          <w:lang w:val="en-US" w:eastAsia="zh-CN"/>
        </w:rPr>
        <w:t>在《建设项目环境风险评价技术导则》（HJ/T169-2018）中，根据有毒有害物质的放散起因，将风险事故分为火灾、爆炸和泄漏三种类型。</w:t>
      </w:r>
      <w:r>
        <w:rPr>
          <w:rFonts w:hint="default" w:ascii="Times New Roman" w:hAnsi="Times New Roman" w:cs="Times New Roman"/>
          <w:sz w:val="24"/>
          <w:szCs w:val="24"/>
          <w:u w:val="none"/>
          <w:lang w:val="en-US" w:eastAsia="zh-CN"/>
        </w:rPr>
        <w:t>项目可能发生的风险事故主要为</w:t>
      </w:r>
      <w:r>
        <w:rPr>
          <w:rFonts w:hint="eastAsia" w:ascii="Times New Roman" w:hAnsi="Times New Roman" w:cs="Times New Roman"/>
          <w:sz w:val="24"/>
          <w:szCs w:val="24"/>
          <w:u w:val="none"/>
          <w:lang w:val="en-US" w:eastAsia="zh-CN"/>
        </w:rPr>
        <w:t>沼气（内含高浓度的甲烷）</w:t>
      </w:r>
      <w:r>
        <w:rPr>
          <w:rFonts w:hint="default" w:ascii="Times New Roman" w:hAnsi="Times New Roman" w:cs="Times New Roman"/>
          <w:sz w:val="24"/>
          <w:szCs w:val="24"/>
          <w:u w:val="none"/>
          <w:lang w:val="en-US" w:eastAsia="zh-CN"/>
        </w:rPr>
        <w:t>的事故性泄漏及发生火灾</w:t>
      </w:r>
      <w:r>
        <w:rPr>
          <w:rFonts w:hint="default"/>
          <w:u w:val="none"/>
        </w:rPr>
        <w:t>。</w:t>
      </w:r>
    </w:p>
    <w:p>
      <w:pPr>
        <w:bidi w:val="0"/>
        <w:rPr>
          <w:rFonts w:hint="eastAsia" w:eastAsiaTheme="minorEastAsia"/>
          <w:u w:val="none"/>
          <w:lang w:eastAsia="zh-CN"/>
        </w:rPr>
      </w:pPr>
      <w:r>
        <w:rPr>
          <w:rFonts w:hint="eastAsia"/>
          <w:u w:val="none"/>
          <w:lang w:eastAsia="zh-CN"/>
        </w:rPr>
        <w:t>（</w:t>
      </w:r>
      <w:r>
        <w:rPr>
          <w:rFonts w:hint="eastAsia"/>
          <w:u w:val="none"/>
          <w:lang w:val="en-US" w:eastAsia="zh-CN"/>
        </w:rPr>
        <w:t>2</w:t>
      </w:r>
      <w:r>
        <w:rPr>
          <w:rFonts w:hint="eastAsia"/>
          <w:u w:val="none"/>
          <w:lang w:eastAsia="zh-CN"/>
        </w:rPr>
        <w:t>）风险潜势初判</w:t>
      </w:r>
    </w:p>
    <w:p>
      <w:pPr>
        <w:rPr>
          <w:u w:val="none"/>
        </w:rPr>
      </w:pPr>
      <w:r>
        <w:rPr>
          <w:u w:val="none"/>
        </w:rPr>
        <w:t>根据《建设项目环境风险评价技术导则》中所规定的物质风险识别范围，本评价从本工程所涉及的主要原辅材料以及生产过程排放的“三废”污染物等进行分析排除，确定有可能产生环境风险的物质。</w:t>
      </w:r>
      <w:r>
        <w:rPr>
          <w:rFonts w:hint="eastAsia"/>
          <w:u w:val="none"/>
        </w:rPr>
        <w:t>根据本项目风险评价等级判定：</w:t>
      </w:r>
    </w:p>
    <w:p>
      <w:pPr>
        <w:pStyle w:val="11"/>
        <w:rPr>
          <w:rFonts w:hint="default" w:eastAsiaTheme="minorEastAsia"/>
          <w:u w:val="none"/>
          <w:lang w:val="en-US" w:eastAsia="zh-CN"/>
        </w:rPr>
      </w:pPr>
      <w:r>
        <w:rPr>
          <w:u w:val="none"/>
        </w:rPr>
        <w:t xml:space="preserve">表4.3- </w:t>
      </w:r>
      <w:r>
        <w:rPr>
          <w:u w:val="none"/>
        </w:rPr>
        <w:fldChar w:fldCharType="begin"/>
      </w:r>
      <w:r>
        <w:rPr>
          <w:u w:val="none"/>
        </w:rPr>
        <w:instrText xml:space="preserve"> SEQ 表4.3- \* ARABIC </w:instrText>
      </w:r>
      <w:r>
        <w:rPr>
          <w:u w:val="none"/>
        </w:rPr>
        <w:fldChar w:fldCharType="separate"/>
      </w:r>
      <w:r>
        <w:rPr>
          <w:u w:val="none"/>
        </w:rPr>
        <w:t>1</w:t>
      </w:r>
      <w:r>
        <w:rPr>
          <w:u w:val="none"/>
        </w:rPr>
        <w:fldChar w:fldCharType="end"/>
      </w:r>
      <w:r>
        <w:rPr>
          <w:rFonts w:hint="eastAsia"/>
          <w:u w:val="none"/>
          <w:lang w:val="en-US" w:eastAsia="zh-CN"/>
        </w:rPr>
        <w:t xml:space="preserve">  </w:t>
      </w:r>
      <w:r>
        <w:rPr>
          <w:u w:val="none"/>
        </w:rPr>
        <w:t>风险评价等级判据表</w:t>
      </w:r>
    </w:p>
    <w:tbl>
      <w:tblPr>
        <w:tblStyle w:val="17"/>
        <w:tblW w:w="8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395"/>
        <w:gridCol w:w="1726"/>
        <w:gridCol w:w="1724"/>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58" w:type="dxa"/>
            <w:vAlign w:val="center"/>
          </w:tcPr>
          <w:p>
            <w:pPr>
              <w:pStyle w:val="8"/>
              <w:bidi w:val="0"/>
              <w:rPr>
                <w:u w:val="none"/>
              </w:rPr>
            </w:pPr>
            <w:r>
              <w:rPr>
                <w:u w:val="none"/>
              </w:rPr>
              <w:t>环境风险潜势</w:t>
            </w:r>
          </w:p>
        </w:tc>
        <w:tc>
          <w:tcPr>
            <w:tcW w:w="1395" w:type="dxa"/>
            <w:vAlign w:val="center"/>
          </w:tcPr>
          <w:p>
            <w:pPr>
              <w:pStyle w:val="8"/>
              <w:bidi w:val="0"/>
              <w:rPr>
                <w:u w:val="none"/>
              </w:rPr>
            </w:pPr>
            <w:r>
              <w:rPr>
                <w:u w:val="none"/>
              </w:rPr>
              <w:t xml:space="preserve">Ⅳ、Ⅳ+ </w:t>
            </w:r>
          </w:p>
        </w:tc>
        <w:tc>
          <w:tcPr>
            <w:tcW w:w="1726" w:type="dxa"/>
            <w:vAlign w:val="center"/>
          </w:tcPr>
          <w:p>
            <w:pPr>
              <w:pStyle w:val="8"/>
              <w:bidi w:val="0"/>
              <w:rPr>
                <w:u w:val="none"/>
              </w:rPr>
            </w:pPr>
            <w:r>
              <w:rPr>
                <w:u w:val="none"/>
              </w:rPr>
              <w:t>Ⅲ</w:t>
            </w:r>
          </w:p>
        </w:tc>
        <w:tc>
          <w:tcPr>
            <w:tcW w:w="1724" w:type="dxa"/>
            <w:vAlign w:val="center"/>
          </w:tcPr>
          <w:p>
            <w:pPr>
              <w:pStyle w:val="8"/>
              <w:bidi w:val="0"/>
              <w:rPr>
                <w:u w:val="none"/>
              </w:rPr>
            </w:pPr>
            <w:r>
              <w:rPr>
                <w:u w:val="none"/>
              </w:rPr>
              <w:t>Ⅱ</w:t>
            </w:r>
          </w:p>
        </w:tc>
        <w:tc>
          <w:tcPr>
            <w:tcW w:w="1754" w:type="dxa"/>
            <w:vAlign w:val="center"/>
          </w:tcPr>
          <w:p>
            <w:pPr>
              <w:pStyle w:val="8"/>
              <w:bidi w:val="0"/>
              <w:rPr>
                <w:u w:val="none"/>
              </w:rPr>
            </w:pPr>
            <w:r>
              <w:rPr>
                <w:u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158" w:type="dxa"/>
            <w:vAlign w:val="center"/>
          </w:tcPr>
          <w:p>
            <w:pPr>
              <w:pStyle w:val="8"/>
              <w:bidi w:val="0"/>
              <w:rPr>
                <w:u w:val="none"/>
              </w:rPr>
            </w:pPr>
            <w:r>
              <w:rPr>
                <w:u w:val="none"/>
              </w:rPr>
              <w:t>评价工作等级</w:t>
            </w:r>
          </w:p>
        </w:tc>
        <w:tc>
          <w:tcPr>
            <w:tcW w:w="1395" w:type="dxa"/>
            <w:vAlign w:val="center"/>
          </w:tcPr>
          <w:p>
            <w:pPr>
              <w:pStyle w:val="8"/>
              <w:bidi w:val="0"/>
              <w:rPr>
                <w:u w:val="none"/>
              </w:rPr>
            </w:pPr>
            <w:r>
              <w:rPr>
                <w:u w:val="none"/>
              </w:rPr>
              <w:t>一</w:t>
            </w:r>
          </w:p>
        </w:tc>
        <w:tc>
          <w:tcPr>
            <w:tcW w:w="1726" w:type="dxa"/>
            <w:vAlign w:val="center"/>
          </w:tcPr>
          <w:p>
            <w:pPr>
              <w:pStyle w:val="8"/>
              <w:bidi w:val="0"/>
              <w:rPr>
                <w:u w:val="none"/>
              </w:rPr>
            </w:pPr>
            <w:r>
              <w:rPr>
                <w:u w:val="none"/>
              </w:rPr>
              <w:t>二</w:t>
            </w:r>
          </w:p>
        </w:tc>
        <w:tc>
          <w:tcPr>
            <w:tcW w:w="1724" w:type="dxa"/>
            <w:vAlign w:val="center"/>
          </w:tcPr>
          <w:p>
            <w:pPr>
              <w:pStyle w:val="8"/>
              <w:bidi w:val="0"/>
              <w:rPr>
                <w:u w:val="none"/>
              </w:rPr>
            </w:pPr>
            <w:r>
              <w:rPr>
                <w:u w:val="none"/>
              </w:rPr>
              <w:t>三</w:t>
            </w:r>
          </w:p>
        </w:tc>
        <w:tc>
          <w:tcPr>
            <w:tcW w:w="1754" w:type="dxa"/>
            <w:vAlign w:val="center"/>
          </w:tcPr>
          <w:p>
            <w:pPr>
              <w:pStyle w:val="8"/>
              <w:bidi w:val="0"/>
              <w:rPr>
                <w:u w:val="none"/>
              </w:rPr>
            </w:pPr>
            <w:r>
              <w:rPr>
                <w:u w:val="none"/>
              </w:rPr>
              <w:t>简单分析a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757" w:type="dxa"/>
            <w:gridSpan w:val="5"/>
            <w:vAlign w:val="center"/>
          </w:tcPr>
          <w:p>
            <w:pPr>
              <w:pStyle w:val="8"/>
              <w:bidi w:val="0"/>
              <w:rPr>
                <w:u w:val="none"/>
              </w:rPr>
            </w:pPr>
            <w:r>
              <w:rPr>
                <w:u w:val="none"/>
              </w:rPr>
              <w:t>a 是相对于详细评价工作内容而言，在描述危险物质、环境影响途径、环境危害后果、风险防范措施等方面给出定性的说明</w:t>
            </w:r>
          </w:p>
        </w:tc>
      </w:tr>
    </w:tbl>
    <w:p>
      <w:pPr>
        <w:spacing w:line="480" w:lineRule="exact"/>
        <w:ind w:firstLine="480" w:firstLineChars="200"/>
        <w:rPr>
          <w:rFonts w:hint="default" w:ascii="Times New Roman" w:hAnsi="Times New Roman" w:cs="Times New Roman"/>
          <w:bCs/>
          <w:sz w:val="24"/>
          <w:u w:val="none"/>
        </w:rPr>
      </w:pPr>
      <w:r>
        <w:rPr>
          <w:u w:val="none"/>
        </w:rPr>
        <w:t>本项目为生态养殖业，本项目生产过程中涉及沼气（主要为甲烷）</w:t>
      </w:r>
      <w:r>
        <w:rPr>
          <w:rFonts w:hint="eastAsia"/>
          <w:u w:val="none"/>
          <w:lang w:eastAsia="zh-CN"/>
        </w:rPr>
        <w:t>和柴油</w:t>
      </w:r>
      <w:r>
        <w:rPr>
          <w:u w:val="none"/>
        </w:rPr>
        <w:t>，</w:t>
      </w:r>
      <w:r>
        <w:rPr>
          <w:rFonts w:hint="default" w:ascii="Times New Roman" w:hAnsi="Times New Roman" w:cs="Times New Roman"/>
          <w:bCs/>
          <w:sz w:val="24"/>
          <w:u w:val="none"/>
        </w:rPr>
        <w:t>根据《建设项目环境风险评价技术导则》（HJ169-2018）附录B重点关注的危险物质及临界量，项目风险物质数量与临界量比值情况如表</w:t>
      </w:r>
      <w:r>
        <w:rPr>
          <w:rFonts w:hint="eastAsia" w:ascii="Times New Roman" w:hAnsi="Times New Roman" w:cs="Times New Roman"/>
          <w:bCs/>
          <w:sz w:val="24"/>
          <w:u w:val="none"/>
          <w:lang w:val="en-US" w:eastAsia="zh-CN"/>
        </w:rPr>
        <w:t>4.3</w:t>
      </w:r>
      <w:r>
        <w:rPr>
          <w:rFonts w:hint="default" w:ascii="Times New Roman" w:hAnsi="Times New Roman" w:cs="Times New Roman"/>
          <w:bCs/>
          <w:sz w:val="24"/>
          <w:u w:val="none"/>
        </w:rPr>
        <w:t>-2 所示。</w:t>
      </w:r>
    </w:p>
    <w:p>
      <w:pPr>
        <w:pStyle w:val="11"/>
        <w:rPr>
          <w:rFonts w:hint="default" w:eastAsiaTheme="minorEastAsia"/>
          <w:u w:val="none"/>
          <w:lang w:val="en-US" w:eastAsia="zh-CN"/>
        </w:rPr>
      </w:pPr>
      <w:r>
        <w:rPr>
          <w:u w:val="none"/>
        </w:rPr>
        <w:t xml:space="preserve">表4.3- </w:t>
      </w:r>
      <w:r>
        <w:rPr>
          <w:u w:val="none"/>
        </w:rPr>
        <w:fldChar w:fldCharType="begin"/>
      </w:r>
      <w:r>
        <w:rPr>
          <w:u w:val="none"/>
        </w:rPr>
        <w:instrText xml:space="preserve"> SEQ 表4.3- \* ARABIC </w:instrText>
      </w:r>
      <w:r>
        <w:rPr>
          <w:u w:val="none"/>
        </w:rPr>
        <w:fldChar w:fldCharType="separate"/>
      </w:r>
      <w:r>
        <w:rPr>
          <w:u w:val="none"/>
        </w:rPr>
        <w:t>2</w:t>
      </w:r>
      <w:r>
        <w:rPr>
          <w:u w:val="none"/>
        </w:rPr>
        <w:fldChar w:fldCharType="end"/>
      </w:r>
      <w:r>
        <w:rPr>
          <w:rFonts w:hint="eastAsia"/>
          <w:u w:val="none"/>
          <w:lang w:val="en-US" w:eastAsia="zh-CN"/>
        </w:rPr>
        <w:t xml:space="preserve">   </w:t>
      </w:r>
      <w:r>
        <w:rPr>
          <w:rFonts w:hint="default" w:ascii="Times New Roman" w:hAnsi="Times New Roman" w:cs="Times New Roman"/>
          <w:b/>
          <w:bCs/>
          <w:sz w:val="21"/>
          <w:szCs w:val="21"/>
          <w:u w:val="none"/>
          <w:lang w:val="zh-CN"/>
        </w:rPr>
        <w:t>本项目环境风险物质数量与临界量比值</w:t>
      </w:r>
    </w:p>
    <w:tbl>
      <w:tblPr>
        <w:tblStyle w:val="17"/>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476"/>
        <w:gridCol w:w="1500"/>
        <w:gridCol w:w="1786"/>
        <w:gridCol w:w="1398"/>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08" w:type="dxa"/>
            <w:noWrap w:val="0"/>
            <w:vAlign w:val="center"/>
          </w:tcPr>
          <w:p>
            <w:pPr>
              <w:pStyle w:val="8"/>
              <w:bidi w:val="0"/>
              <w:rPr>
                <w:rFonts w:hint="default"/>
                <w:u w:val="none"/>
              </w:rPr>
            </w:pPr>
            <w:r>
              <w:rPr>
                <w:rFonts w:hint="default"/>
                <w:u w:val="none"/>
              </w:rPr>
              <w:t>序号</w:t>
            </w:r>
          </w:p>
        </w:tc>
        <w:tc>
          <w:tcPr>
            <w:tcW w:w="2476" w:type="dxa"/>
            <w:noWrap w:val="0"/>
            <w:vAlign w:val="center"/>
          </w:tcPr>
          <w:p>
            <w:pPr>
              <w:pStyle w:val="8"/>
              <w:bidi w:val="0"/>
              <w:rPr>
                <w:rFonts w:hint="default"/>
                <w:u w:val="none"/>
              </w:rPr>
            </w:pPr>
            <w:r>
              <w:rPr>
                <w:rFonts w:hint="default"/>
                <w:u w:val="none"/>
              </w:rPr>
              <w:t>危险物质</w:t>
            </w:r>
          </w:p>
        </w:tc>
        <w:tc>
          <w:tcPr>
            <w:tcW w:w="1500" w:type="dxa"/>
            <w:noWrap w:val="0"/>
            <w:vAlign w:val="center"/>
          </w:tcPr>
          <w:p>
            <w:pPr>
              <w:pStyle w:val="8"/>
              <w:bidi w:val="0"/>
              <w:rPr>
                <w:rFonts w:hint="default"/>
                <w:u w:val="none"/>
              </w:rPr>
            </w:pPr>
            <w:r>
              <w:rPr>
                <w:rFonts w:hint="default"/>
                <w:u w:val="none"/>
              </w:rPr>
              <w:t>CAS号</w:t>
            </w:r>
          </w:p>
        </w:tc>
        <w:tc>
          <w:tcPr>
            <w:tcW w:w="1786" w:type="dxa"/>
            <w:noWrap w:val="0"/>
            <w:vAlign w:val="center"/>
          </w:tcPr>
          <w:p>
            <w:pPr>
              <w:pStyle w:val="8"/>
              <w:bidi w:val="0"/>
              <w:rPr>
                <w:rFonts w:hint="default"/>
                <w:u w:val="none"/>
              </w:rPr>
            </w:pPr>
            <w:r>
              <w:rPr>
                <w:rFonts w:hint="default"/>
                <w:u w:val="none"/>
              </w:rPr>
              <w:t>最大储存/生产现场量（t)</w:t>
            </w:r>
          </w:p>
        </w:tc>
        <w:tc>
          <w:tcPr>
            <w:tcW w:w="1398" w:type="dxa"/>
            <w:noWrap w:val="0"/>
            <w:vAlign w:val="center"/>
          </w:tcPr>
          <w:p>
            <w:pPr>
              <w:pStyle w:val="8"/>
              <w:bidi w:val="0"/>
              <w:rPr>
                <w:rFonts w:hint="default"/>
                <w:u w:val="none"/>
              </w:rPr>
            </w:pPr>
            <w:r>
              <w:rPr>
                <w:rFonts w:hint="default"/>
                <w:u w:val="none"/>
              </w:rPr>
              <w:t>临界量Q(t)</w:t>
            </w:r>
          </w:p>
        </w:tc>
        <w:tc>
          <w:tcPr>
            <w:tcW w:w="1532" w:type="dxa"/>
            <w:noWrap w:val="0"/>
            <w:vAlign w:val="center"/>
          </w:tcPr>
          <w:p>
            <w:pPr>
              <w:pStyle w:val="8"/>
              <w:bidi w:val="0"/>
              <w:rPr>
                <w:rFonts w:hint="default"/>
                <w:u w:val="none"/>
              </w:rPr>
            </w:pPr>
            <w:r>
              <w:rPr>
                <w:rFonts w:hint="default"/>
                <w:u w:val="none"/>
              </w:rPr>
              <w:t>q/Q</w:t>
            </w:r>
          </w:p>
          <w:p>
            <w:pPr>
              <w:pStyle w:val="8"/>
              <w:bidi w:val="0"/>
              <w:rPr>
                <w:rFonts w:hint="default"/>
                <w:u w:val="none"/>
              </w:rPr>
            </w:pPr>
            <w:r>
              <w:rPr>
                <w:rFonts w:hint="default"/>
                <w:u w:val="none"/>
              </w:rPr>
              <w:t>计算值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08" w:type="dxa"/>
            <w:noWrap w:val="0"/>
            <w:vAlign w:val="center"/>
          </w:tcPr>
          <w:p>
            <w:pPr>
              <w:pStyle w:val="8"/>
              <w:bidi w:val="0"/>
              <w:rPr>
                <w:rFonts w:hint="default" w:eastAsiaTheme="minorEastAsia"/>
                <w:u w:val="none"/>
                <w:lang w:val="en-US" w:eastAsia="zh-CN"/>
              </w:rPr>
            </w:pPr>
            <w:r>
              <w:rPr>
                <w:rFonts w:hint="eastAsia"/>
                <w:u w:val="none"/>
                <w:lang w:val="en-US" w:eastAsia="zh-CN"/>
              </w:rPr>
              <w:t>1</w:t>
            </w:r>
          </w:p>
        </w:tc>
        <w:tc>
          <w:tcPr>
            <w:tcW w:w="2476" w:type="dxa"/>
            <w:noWrap w:val="0"/>
            <w:vAlign w:val="center"/>
          </w:tcPr>
          <w:p>
            <w:pPr>
              <w:pStyle w:val="8"/>
              <w:bidi w:val="0"/>
              <w:rPr>
                <w:rFonts w:hint="default"/>
                <w:u w:val="none"/>
                <w:lang w:val="en-US" w:eastAsia="zh-CN"/>
              </w:rPr>
            </w:pPr>
            <w:r>
              <w:rPr>
                <w:rFonts w:hint="default"/>
                <w:u w:val="none"/>
                <w:lang w:eastAsia="zh-CN"/>
              </w:rPr>
              <w:t>甲烷</w:t>
            </w:r>
          </w:p>
        </w:tc>
        <w:tc>
          <w:tcPr>
            <w:tcW w:w="1500" w:type="dxa"/>
            <w:noWrap w:val="0"/>
            <w:vAlign w:val="center"/>
          </w:tcPr>
          <w:p>
            <w:pPr>
              <w:pStyle w:val="8"/>
              <w:bidi w:val="0"/>
              <w:rPr>
                <w:rFonts w:hint="default"/>
                <w:u w:val="none"/>
                <w:lang w:val="en-US" w:eastAsia="zh-CN"/>
              </w:rPr>
            </w:pPr>
            <w:r>
              <w:rPr>
                <w:rFonts w:hint="default"/>
                <w:u w:val="none"/>
                <w:lang w:val="en-US" w:eastAsia="zh-CN"/>
              </w:rPr>
              <w:t>74-82-8</w:t>
            </w:r>
          </w:p>
        </w:tc>
        <w:tc>
          <w:tcPr>
            <w:tcW w:w="1786" w:type="dxa"/>
            <w:noWrap w:val="0"/>
            <w:vAlign w:val="center"/>
          </w:tcPr>
          <w:p>
            <w:pPr>
              <w:pStyle w:val="8"/>
              <w:bidi w:val="0"/>
              <w:rPr>
                <w:rFonts w:hint="default"/>
                <w:u w:val="none"/>
                <w:lang w:val="en-US" w:eastAsia="zh-CN"/>
              </w:rPr>
            </w:pPr>
            <w:r>
              <w:rPr>
                <w:rFonts w:hint="default"/>
                <w:u w:val="none"/>
                <w:lang w:val="en-US" w:eastAsia="zh-CN"/>
              </w:rPr>
              <w:t>0.</w:t>
            </w:r>
            <w:r>
              <w:rPr>
                <w:rFonts w:hint="eastAsia"/>
                <w:u w:val="none"/>
                <w:lang w:val="en-US" w:eastAsia="zh-CN"/>
              </w:rPr>
              <w:t>0717</w:t>
            </w:r>
          </w:p>
        </w:tc>
        <w:tc>
          <w:tcPr>
            <w:tcW w:w="1398" w:type="dxa"/>
            <w:noWrap w:val="0"/>
            <w:vAlign w:val="center"/>
          </w:tcPr>
          <w:p>
            <w:pPr>
              <w:pStyle w:val="8"/>
              <w:bidi w:val="0"/>
              <w:rPr>
                <w:rFonts w:hint="default"/>
                <w:u w:val="none"/>
                <w:lang w:val="en-US" w:eastAsia="zh-CN"/>
              </w:rPr>
            </w:pPr>
            <w:r>
              <w:rPr>
                <w:rFonts w:hint="default"/>
                <w:u w:val="none"/>
                <w:lang w:val="en-US" w:eastAsia="zh-CN"/>
              </w:rPr>
              <w:t>10</w:t>
            </w:r>
          </w:p>
        </w:tc>
        <w:tc>
          <w:tcPr>
            <w:tcW w:w="1532" w:type="dxa"/>
            <w:noWrap w:val="0"/>
            <w:vAlign w:val="center"/>
          </w:tcPr>
          <w:p>
            <w:pPr>
              <w:pStyle w:val="8"/>
              <w:bidi w:val="0"/>
              <w:rPr>
                <w:rFonts w:hint="default"/>
                <w:u w:val="none"/>
                <w:lang w:val="en-US" w:eastAsia="zh-CN"/>
              </w:rPr>
            </w:pPr>
            <w:r>
              <w:rPr>
                <w:rFonts w:hint="default"/>
                <w:u w:val="none"/>
                <w:lang w:val="en-US" w:eastAsia="zh-CN"/>
              </w:rPr>
              <w:t>0.0</w:t>
            </w:r>
            <w:r>
              <w:rPr>
                <w:rFonts w:hint="eastAsia"/>
                <w:u w:val="none"/>
                <w:lang w:val="en-US" w:eastAsia="zh-CN"/>
              </w:rPr>
              <w:t>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trPr>
        <w:tc>
          <w:tcPr>
            <w:tcW w:w="708" w:type="dxa"/>
            <w:noWrap w:val="0"/>
            <w:vAlign w:val="center"/>
          </w:tcPr>
          <w:p>
            <w:pPr>
              <w:pStyle w:val="8"/>
              <w:bidi w:val="0"/>
              <w:rPr>
                <w:rFonts w:hint="default"/>
                <w:u w:val="none"/>
                <w:lang w:val="en-US" w:eastAsia="zh-CN"/>
              </w:rPr>
            </w:pPr>
            <w:r>
              <w:rPr>
                <w:rFonts w:hint="eastAsia"/>
                <w:u w:val="none"/>
                <w:lang w:val="en-US" w:eastAsia="zh-CN"/>
              </w:rPr>
              <w:t>2</w:t>
            </w:r>
          </w:p>
        </w:tc>
        <w:tc>
          <w:tcPr>
            <w:tcW w:w="2476" w:type="dxa"/>
            <w:noWrap w:val="0"/>
            <w:vAlign w:val="center"/>
          </w:tcPr>
          <w:p>
            <w:pPr>
              <w:pStyle w:val="8"/>
              <w:bidi w:val="0"/>
              <w:rPr>
                <w:rFonts w:hint="default"/>
                <w:u w:val="none"/>
                <w:lang w:eastAsia="zh-CN"/>
              </w:rPr>
            </w:pPr>
            <w:r>
              <w:rPr>
                <w:rFonts w:hint="default"/>
                <w:u w:val="none"/>
                <w:lang w:eastAsia="zh-CN"/>
              </w:rPr>
              <w:t>柴油</w:t>
            </w:r>
          </w:p>
        </w:tc>
        <w:tc>
          <w:tcPr>
            <w:tcW w:w="1500" w:type="dxa"/>
            <w:noWrap w:val="0"/>
            <w:vAlign w:val="center"/>
          </w:tcPr>
          <w:p>
            <w:pPr>
              <w:pStyle w:val="8"/>
              <w:bidi w:val="0"/>
              <w:rPr>
                <w:rFonts w:hint="default"/>
                <w:u w:val="none"/>
                <w:lang w:val="en-US" w:eastAsia="zh-CN"/>
              </w:rPr>
            </w:pPr>
            <w:r>
              <w:rPr>
                <w:rFonts w:hint="default"/>
                <w:u w:val="none"/>
                <w:lang w:val="en-US" w:eastAsia="zh-CN"/>
              </w:rPr>
              <w:t>/</w:t>
            </w:r>
          </w:p>
        </w:tc>
        <w:tc>
          <w:tcPr>
            <w:tcW w:w="1786" w:type="dxa"/>
            <w:noWrap w:val="0"/>
            <w:vAlign w:val="center"/>
          </w:tcPr>
          <w:p>
            <w:pPr>
              <w:pStyle w:val="8"/>
              <w:bidi w:val="0"/>
              <w:rPr>
                <w:rFonts w:hint="default"/>
                <w:u w:val="none"/>
                <w:lang w:val="en-US" w:eastAsia="zh-CN"/>
              </w:rPr>
            </w:pPr>
            <w:r>
              <w:rPr>
                <w:rFonts w:hint="default"/>
                <w:u w:val="none"/>
                <w:lang w:val="en-US" w:eastAsia="zh-CN"/>
              </w:rPr>
              <w:t>0.1</w:t>
            </w:r>
          </w:p>
        </w:tc>
        <w:tc>
          <w:tcPr>
            <w:tcW w:w="1398" w:type="dxa"/>
            <w:noWrap w:val="0"/>
            <w:vAlign w:val="center"/>
          </w:tcPr>
          <w:p>
            <w:pPr>
              <w:pStyle w:val="8"/>
              <w:bidi w:val="0"/>
              <w:rPr>
                <w:rFonts w:hint="default"/>
                <w:u w:val="none"/>
                <w:lang w:val="en-US" w:eastAsia="zh-CN"/>
              </w:rPr>
            </w:pPr>
            <w:r>
              <w:rPr>
                <w:rFonts w:hint="default"/>
                <w:u w:val="none"/>
                <w:lang w:val="en-US" w:eastAsia="zh-CN"/>
              </w:rPr>
              <w:t>2500</w:t>
            </w:r>
          </w:p>
        </w:tc>
        <w:tc>
          <w:tcPr>
            <w:tcW w:w="1532" w:type="dxa"/>
            <w:noWrap w:val="0"/>
            <w:vAlign w:val="center"/>
          </w:tcPr>
          <w:p>
            <w:pPr>
              <w:pStyle w:val="8"/>
              <w:bidi w:val="0"/>
              <w:rPr>
                <w:rFonts w:hint="default"/>
                <w:u w:val="none"/>
                <w:lang w:val="en-US" w:eastAsia="zh-CN"/>
              </w:rPr>
            </w:pPr>
            <w:r>
              <w:rPr>
                <w:rFonts w:hint="default"/>
                <w:u w:val="none"/>
                <w:lang w:val="en-US" w:eastAsia="zh-CN"/>
              </w:rPr>
              <w:t>0.00004</w:t>
            </w:r>
          </w:p>
        </w:tc>
      </w:tr>
    </w:tbl>
    <w:p>
      <w:pPr>
        <w:spacing w:line="480" w:lineRule="exact"/>
        <w:ind w:firstLine="480" w:firstLineChars="200"/>
        <w:rPr>
          <w:rFonts w:hint="default" w:ascii="Times New Roman" w:hAnsi="Times New Roman" w:cs="Times New Roman"/>
          <w:bCs/>
          <w:sz w:val="24"/>
          <w:u w:val="none"/>
        </w:rPr>
      </w:pPr>
      <w:r>
        <w:rPr>
          <w:rFonts w:hint="default" w:ascii="Times New Roman" w:hAnsi="Times New Roman" w:cs="Times New Roman"/>
          <w:bCs/>
          <w:sz w:val="24"/>
          <w:u w:val="none"/>
        </w:rPr>
        <w:t>由上表可知，本项目环境风险物质最大存在总量与临界量比值Q=q1/Q1+ q</w:t>
      </w:r>
      <w:r>
        <w:rPr>
          <w:rFonts w:hint="default" w:ascii="Times New Roman" w:hAnsi="Times New Roman" w:cs="Times New Roman"/>
          <w:bCs/>
          <w:sz w:val="24"/>
          <w:u w:val="none"/>
          <w:lang w:val="en-US" w:eastAsia="zh-CN"/>
        </w:rPr>
        <w:t>2</w:t>
      </w:r>
      <w:r>
        <w:rPr>
          <w:rFonts w:hint="default" w:ascii="Times New Roman" w:hAnsi="Times New Roman" w:cs="Times New Roman"/>
          <w:bCs/>
          <w:sz w:val="24"/>
          <w:u w:val="none"/>
        </w:rPr>
        <w:t>/Q</w:t>
      </w:r>
      <w:r>
        <w:rPr>
          <w:rFonts w:hint="default" w:ascii="Times New Roman" w:hAnsi="Times New Roman" w:cs="Times New Roman"/>
          <w:bCs/>
          <w:sz w:val="24"/>
          <w:u w:val="none"/>
          <w:lang w:val="en-US" w:eastAsia="zh-CN"/>
        </w:rPr>
        <w:t>2</w:t>
      </w:r>
      <w:r>
        <w:rPr>
          <w:rFonts w:hint="default" w:ascii="Times New Roman" w:hAnsi="Times New Roman" w:cs="Times New Roman"/>
          <w:bCs/>
          <w:sz w:val="24"/>
          <w:u w:val="none"/>
        </w:rPr>
        <w:t>=0.</w:t>
      </w:r>
      <w:r>
        <w:rPr>
          <w:rFonts w:hint="eastAsia" w:ascii="Times New Roman" w:hAnsi="Times New Roman" w:cs="Times New Roman"/>
          <w:bCs/>
          <w:sz w:val="24"/>
          <w:u w:val="none"/>
          <w:lang w:val="en-US" w:eastAsia="zh-CN"/>
        </w:rPr>
        <w:t>0</w:t>
      </w:r>
      <w:r>
        <w:rPr>
          <w:rFonts w:hint="eastAsia" w:cs="Times New Roman"/>
          <w:bCs/>
          <w:sz w:val="24"/>
          <w:u w:val="none"/>
          <w:lang w:val="en-US" w:eastAsia="zh-CN"/>
        </w:rPr>
        <w:t>0721</w:t>
      </w:r>
      <w:r>
        <w:rPr>
          <w:rFonts w:hint="default" w:ascii="Times New Roman" w:hAnsi="Times New Roman" w:cs="Times New Roman"/>
          <w:bCs/>
          <w:sz w:val="24"/>
          <w:u w:val="none"/>
        </w:rPr>
        <w:t>＜1，则该项目环境风险潜势为Ⅰ。</w:t>
      </w:r>
    </w:p>
    <w:p>
      <w:pPr>
        <w:numPr>
          <w:ilvl w:val="0"/>
          <w:numId w:val="5"/>
        </w:numPr>
        <w:rPr>
          <w:rFonts w:hint="eastAsia"/>
          <w:u w:val="none"/>
          <w:lang w:eastAsia="zh-CN"/>
        </w:rPr>
      </w:pPr>
      <w:r>
        <w:rPr>
          <w:rFonts w:hint="eastAsia"/>
          <w:u w:val="none"/>
          <w:lang w:eastAsia="zh-CN"/>
        </w:rPr>
        <w:t>评价等级</w:t>
      </w:r>
    </w:p>
    <w:p>
      <w:pPr>
        <w:widowControl w:val="0"/>
        <w:spacing w:line="336" w:lineRule="auto"/>
        <w:ind w:firstLine="480" w:firstLineChars="200"/>
        <w:rPr>
          <w:rFonts w:hint="default" w:ascii="Times New Roman" w:hAnsi="Times New Roman" w:cs="Times New Roman"/>
          <w:b/>
          <w:kern w:val="2"/>
          <w:sz w:val="21"/>
          <w:szCs w:val="21"/>
          <w:u w:val="none"/>
        </w:rPr>
      </w:pPr>
      <w:r>
        <w:rPr>
          <w:rFonts w:hint="default" w:ascii="Times New Roman" w:hAnsi="Times New Roman" w:cs="Times New Roman"/>
          <w:kern w:val="2"/>
          <w:sz w:val="24"/>
          <w:szCs w:val="24"/>
          <w:u w:val="none"/>
        </w:rPr>
        <w:t>由于本项目环境风险潜势为Ⅰ，故本项目环境风险可开展简要分析，具体详见表</w:t>
      </w:r>
      <w:r>
        <w:rPr>
          <w:rFonts w:hint="eastAsia" w:cs="Times New Roman"/>
          <w:kern w:val="2"/>
          <w:sz w:val="24"/>
          <w:szCs w:val="24"/>
          <w:u w:val="none"/>
          <w:lang w:val="en-US" w:eastAsia="zh-CN"/>
        </w:rPr>
        <w:t>4.3-2。</w:t>
      </w:r>
    </w:p>
    <w:p>
      <w:pPr>
        <w:pStyle w:val="11"/>
        <w:rPr>
          <w:rFonts w:hint="default" w:eastAsiaTheme="minorEastAsia"/>
          <w:u w:val="none"/>
          <w:lang w:val="en-US" w:eastAsia="zh-CN"/>
        </w:rPr>
      </w:pPr>
      <w:r>
        <w:rPr>
          <w:u w:val="none"/>
        </w:rPr>
        <w:t xml:space="preserve">表4.3- </w:t>
      </w:r>
      <w:r>
        <w:rPr>
          <w:u w:val="none"/>
        </w:rPr>
        <w:fldChar w:fldCharType="begin"/>
      </w:r>
      <w:r>
        <w:rPr>
          <w:u w:val="none"/>
        </w:rPr>
        <w:instrText xml:space="preserve"> SEQ 表4.3- \* ARABIC </w:instrText>
      </w:r>
      <w:r>
        <w:rPr>
          <w:u w:val="none"/>
        </w:rPr>
        <w:fldChar w:fldCharType="separate"/>
      </w:r>
      <w:r>
        <w:rPr>
          <w:u w:val="none"/>
        </w:rPr>
        <w:t>3</w:t>
      </w:r>
      <w:r>
        <w:rPr>
          <w:u w:val="none"/>
        </w:rPr>
        <w:fldChar w:fldCharType="end"/>
      </w:r>
      <w:r>
        <w:rPr>
          <w:rFonts w:hint="eastAsia"/>
          <w:u w:val="none"/>
          <w:lang w:val="en-US" w:eastAsia="zh-CN"/>
        </w:rPr>
        <w:t xml:space="preserve">   </w:t>
      </w:r>
      <w:r>
        <w:rPr>
          <w:rFonts w:hint="default" w:ascii="Times New Roman" w:hAnsi="Times New Roman" w:cs="Times New Roman"/>
          <w:b/>
          <w:kern w:val="2"/>
          <w:sz w:val="21"/>
          <w:szCs w:val="21"/>
          <w:u w:val="none"/>
        </w:rPr>
        <w:t>环境风险评价工作级别划分表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50"/>
        <w:gridCol w:w="1694"/>
        <w:gridCol w:w="1822"/>
        <w:gridCol w:w="1682"/>
        <w:gridCol w:w="16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165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环境风险潜势</w:t>
            </w:r>
          </w:p>
        </w:tc>
        <w:tc>
          <w:tcPr>
            <w:tcW w:w="169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 xml:space="preserve">Ⅳ、Ⅳ+ </w:t>
            </w:r>
          </w:p>
        </w:tc>
        <w:tc>
          <w:tcPr>
            <w:tcW w:w="182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Ⅲ</w:t>
            </w:r>
          </w:p>
        </w:tc>
        <w:tc>
          <w:tcPr>
            <w:tcW w:w="168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Ⅱ</w:t>
            </w:r>
          </w:p>
        </w:tc>
        <w:tc>
          <w:tcPr>
            <w:tcW w:w="16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65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评价工作等级</w:t>
            </w:r>
          </w:p>
        </w:tc>
        <w:tc>
          <w:tcPr>
            <w:tcW w:w="169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一</w:t>
            </w:r>
          </w:p>
        </w:tc>
        <w:tc>
          <w:tcPr>
            <w:tcW w:w="182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二</w:t>
            </w:r>
          </w:p>
        </w:tc>
        <w:tc>
          <w:tcPr>
            <w:tcW w:w="168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三</w:t>
            </w:r>
          </w:p>
        </w:tc>
        <w:tc>
          <w:tcPr>
            <w:tcW w:w="163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snapToGrid w:val="0"/>
                <w:kern w:val="24"/>
                <w:sz w:val="21"/>
                <w:szCs w:val="21"/>
                <w:u w:val="none"/>
              </w:rPr>
            </w:pPr>
            <w:r>
              <w:rPr>
                <w:rFonts w:hint="default" w:ascii="Times New Roman" w:hAnsi="Times New Roman" w:cs="Times New Roman"/>
                <w:snapToGrid w:val="0"/>
                <w:kern w:val="24"/>
                <w:sz w:val="21"/>
                <w:szCs w:val="21"/>
                <w:u w:val="none"/>
              </w:rPr>
              <w:t>简单分析</w:t>
            </w:r>
            <w:r>
              <w:rPr>
                <w:rFonts w:hint="default" w:ascii="Times New Roman" w:hAnsi="Times New Roman" w:cs="Times New Roman"/>
                <w:snapToGrid w:val="0"/>
                <w:kern w:val="24"/>
                <w:sz w:val="21"/>
                <w:szCs w:val="21"/>
                <w:u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848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textAlignment w:val="auto"/>
              <w:rPr>
                <w:rFonts w:hint="default" w:ascii="Times New Roman" w:hAnsi="Times New Roman" w:cs="Times New Roman"/>
                <w:snapToGrid w:val="0"/>
                <w:kern w:val="24"/>
                <w:sz w:val="21"/>
                <w:szCs w:val="21"/>
                <w:highlight w:val="yellow"/>
                <w:u w:val="none"/>
              </w:rPr>
            </w:pPr>
            <w:r>
              <w:rPr>
                <w:rFonts w:hint="default" w:ascii="Times New Roman" w:hAnsi="Times New Roman" w:cs="Times New Roman"/>
                <w:snapToGrid w:val="0"/>
                <w:kern w:val="24"/>
                <w:sz w:val="21"/>
                <w:szCs w:val="21"/>
                <w:u w:val="none"/>
              </w:rPr>
              <w:t>a 是相对于详细评价工作内容而言，在描述危险物质、环境影响途径、环境危害后果、风险防范措施等方面给出定性的说明</w:t>
            </w:r>
          </w:p>
        </w:tc>
      </w:tr>
    </w:tbl>
    <w:p>
      <w:pPr>
        <w:pStyle w:val="5"/>
        <w:bidi w:val="0"/>
        <w:rPr>
          <w:rFonts w:hint="eastAsia"/>
          <w:u w:val="none"/>
          <w:lang w:eastAsia="zh-CN"/>
        </w:rPr>
      </w:pPr>
      <w:r>
        <w:rPr>
          <w:rFonts w:hint="eastAsia"/>
          <w:u w:val="none"/>
          <w:lang w:eastAsia="zh-CN"/>
        </w:rPr>
        <w:t>环境敏感目标概况</w:t>
      </w:r>
    </w:p>
    <w:p>
      <w:pPr>
        <w:rPr>
          <w:rFonts w:hint="eastAsia"/>
          <w:u w:val="none"/>
          <w:lang w:val="en-US" w:eastAsia="zh-CN"/>
        </w:rPr>
      </w:pPr>
      <w:r>
        <w:rPr>
          <w:rFonts w:hint="eastAsia"/>
          <w:u w:val="none"/>
          <w:lang w:eastAsia="zh-CN"/>
        </w:rPr>
        <w:t>本项目位于</w:t>
      </w:r>
      <w:r>
        <w:rPr>
          <w:rFonts w:hint="eastAsia"/>
        </w:rPr>
        <w:t>澧县</w:t>
      </w:r>
      <w:r>
        <w:rPr>
          <w:rFonts w:hint="eastAsia"/>
          <w:lang w:eastAsia="zh-CN"/>
        </w:rPr>
        <w:t>澧南镇天子山社区、</w:t>
      </w:r>
      <w:r>
        <w:rPr>
          <w:rFonts w:hint="eastAsia"/>
          <w:lang w:val="en-US" w:eastAsia="zh-CN"/>
        </w:rPr>
        <w:t>临澧县修梅镇杨板桥社区</w:t>
      </w:r>
      <w:r>
        <w:rPr>
          <w:rFonts w:hint="eastAsia"/>
          <w:u w:val="none"/>
          <w:lang w:eastAsia="zh-CN"/>
        </w:rPr>
        <w:t>，周边居民较少，最近的居民为东北侧</w:t>
      </w:r>
      <w:r>
        <w:rPr>
          <w:rFonts w:hint="eastAsia"/>
          <w:u w:val="none"/>
          <w:lang w:val="en-US" w:eastAsia="zh-CN"/>
        </w:rPr>
        <w:t>天子山社区居民。水环境敏感目标主要为北侧420m处的道水支流、东侧2500m处的道水。</w:t>
      </w:r>
    </w:p>
    <w:p>
      <w:pPr>
        <w:pStyle w:val="5"/>
        <w:bidi w:val="0"/>
        <w:rPr>
          <w:rFonts w:hint="eastAsia"/>
          <w:u w:val="none"/>
          <w:lang w:val="en-US" w:eastAsia="zh-CN"/>
        </w:rPr>
      </w:pPr>
      <w:r>
        <w:rPr>
          <w:rFonts w:hint="eastAsia"/>
          <w:u w:val="none"/>
          <w:lang w:val="en-US" w:eastAsia="zh-CN"/>
        </w:rPr>
        <w:t>环境风险识别</w:t>
      </w:r>
    </w:p>
    <w:p>
      <w:pPr>
        <w:rPr>
          <w:rFonts w:hint="eastAsia"/>
          <w:u w:val="none"/>
          <w:lang w:eastAsia="zh-CN"/>
        </w:rPr>
      </w:pPr>
      <w:r>
        <w:rPr>
          <w:u w:val="none"/>
        </w:rPr>
        <w:t>本项目为生态养殖业，</w:t>
      </w:r>
      <w:r>
        <w:rPr>
          <w:rFonts w:hint="eastAsia"/>
          <w:u w:val="none"/>
          <w:lang w:eastAsia="zh-CN"/>
        </w:rPr>
        <w:t>主要风险物质为</w:t>
      </w:r>
      <w:r>
        <w:rPr>
          <w:u w:val="none"/>
        </w:rPr>
        <w:t>本项目</w:t>
      </w:r>
      <w:r>
        <w:rPr>
          <w:rFonts w:hint="eastAsia"/>
          <w:u w:val="none"/>
          <w:lang w:eastAsia="zh-CN"/>
        </w:rPr>
        <w:t>废水处理过程中</w:t>
      </w:r>
      <w:r>
        <w:rPr>
          <w:u w:val="none"/>
        </w:rPr>
        <w:t>涉及沼气（主要为甲烷）</w:t>
      </w:r>
      <w:r>
        <w:rPr>
          <w:rFonts w:hint="eastAsia"/>
          <w:u w:val="none"/>
          <w:lang w:eastAsia="zh-CN"/>
        </w:rPr>
        <w:t>的产生、柴油发电机使用的柴油。</w:t>
      </w:r>
    </w:p>
    <w:p>
      <w:pPr>
        <w:pStyle w:val="11"/>
        <w:rPr>
          <w:rFonts w:hint="default" w:eastAsiaTheme="minorEastAsia"/>
          <w:u w:val="none"/>
          <w:lang w:val="en-US" w:eastAsia="zh-CN"/>
        </w:rPr>
      </w:pPr>
      <w:r>
        <w:rPr>
          <w:u w:val="none"/>
        </w:rPr>
        <w:t xml:space="preserve">表4.3- </w:t>
      </w:r>
      <w:r>
        <w:rPr>
          <w:u w:val="none"/>
        </w:rPr>
        <w:fldChar w:fldCharType="begin"/>
      </w:r>
      <w:r>
        <w:rPr>
          <w:u w:val="none"/>
        </w:rPr>
        <w:instrText xml:space="preserve"> SEQ 表4.3- \* ARABIC </w:instrText>
      </w:r>
      <w:r>
        <w:rPr>
          <w:u w:val="none"/>
        </w:rPr>
        <w:fldChar w:fldCharType="separate"/>
      </w:r>
      <w:r>
        <w:rPr>
          <w:u w:val="none"/>
        </w:rPr>
        <w:t>4</w:t>
      </w:r>
      <w:r>
        <w:rPr>
          <w:u w:val="none"/>
        </w:rPr>
        <w:fldChar w:fldCharType="end"/>
      </w:r>
      <w:r>
        <w:rPr>
          <w:rFonts w:hint="eastAsia"/>
          <w:u w:val="none"/>
          <w:lang w:val="en-US" w:eastAsia="zh-CN"/>
        </w:rPr>
        <w:t xml:space="preserve">   风险物质主要理化性质表</w:t>
      </w:r>
    </w:p>
    <w:tbl>
      <w:tblPr>
        <w:tblStyle w:val="17"/>
        <w:tblW w:w="9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687"/>
        <w:gridCol w:w="713"/>
        <w:gridCol w:w="700"/>
        <w:gridCol w:w="925"/>
        <w:gridCol w:w="675"/>
        <w:gridCol w:w="637"/>
        <w:gridCol w:w="700"/>
        <w:gridCol w:w="3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noWrap w:val="0"/>
            <w:vAlign w:val="center"/>
          </w:tcPr>
          <w:p>
            <w:pPr>
              <w:pStyle w:val="8"/>
              <w:bidi w:val="0"/>
              <w:rPr>
                <w:rFonts w:hint="default"/>
                <w:u w:val="none"/>
              </w:rPr>
            </w:pPr>
            <w:r>
              <w:rPr>
                <w:rFonts w:hint="default"/>
                <w:u w:val="none"/>
              </w:rPr>
              <w:t>序号</w:t>
            </w:r>
          </w:p>
        </w:tc>
        <w:tc>
          <w:tcPr>
            <w:tcW w:w="687" w:type="dxa"/>
            <w:noWrap w:val="0"/>
            <w:tcMar>
              <w:top w:w="11" w:type="dxa"/>
              <w:left w:w="11" w:type="dxa"/>
              <w:bottom w:w="11" w:type="dxa"/>
              <w:right w:w="11" w:type="dxa"/>
            </w:tcMar>
            <w:vAlign w:val="center"/>
          </w:tcPr>
          <w:p>
            <w:pPr>
              <w:pStyle w:val="8"/>
              <w:bidi w:val="0"/>
              <w:rPr>
                <w:rFonts w:hint="default"/>
                <w:u w:val="none"/>
              </w:rPr>
            </w:pPr>
            <w:r>
              <w:rPr>
                <w:rFonts w:hint="default"/>
                <w:u w:val="none"/>
              </w:rPr>
              <w:t>名称</w:t>
            </w:r>
          </w:p>
        </w:tc>
        <w:tc>
          <w:tcPr>
            <w:tcW w:w="713" w:type="dxa"/>
            <w:noWrap w:val="0"/>
            <w:vAlign w:val="center"/>
          </w:tcPr>
          <w:p>
            <w:pPr>
              <w:pStyle w:val="8"/>
              <w:bidi w:val="0"/>
              <w:rPr>
                <w:rFonts w:hint="default"/>
                <w:u w:val="none"/>
              </w:rPr>
            </w:pPr>
            <w:r>
              <w:rPr>
                <w:rFonts w:hint="default"/>
                <w:u w:val="none"/>
              </w:rPr>
              <w:t>物态</w:t>
            </w:r>
          </w:p>
        </w:tc>
        <w:tc>
          <w:tcPr>
            <w:tcW w:w="700" w:type="dxa"/>
            <w:noWrap w:val="0"/>
            <w:vAlign w:val="center"/>
          </w:tcPr>
          <w:p>
            <w:pPr>
              <w:pStyle w:val="8"/>
              <w:bidi w:val="0"/>
              <w:rPr>
                <w:rFonts w:hint="default"/>
                <w:u w:val="none"/>
              </w:rPr>
            </w:pPr>
            <w:r>
              <w:rPr>
                <w:rFonts w:hint="default"/>
                <w:u w:val="none"/>
              </w:rPr>
              <w:t>储存</w:t>
            </w:r>
          </w:p>
          <w:p>
            <w:pPr>
              <w:pStyle w:val="8"/>
              <w:bidi w:val="0"/>
              <w:rPr>
                <w:rFonts w:hint="default"/>
                <w:u w:val="none"/>
              </w:rPr>
            </w:pPr>
            <w:r>
              <w:rPr>
                <w:rFonts w:hint="default"/>
                <w:u w:val="none"/>
              </w:rPr>
              <w:t>方式</w:t>
            </w:r>
          </w:p>
        </w:tc>
        <w:tc>
          <w:tcPr>
            <w:tcW w:w="925" w:type="dxa"/>
            <w:noWrap w:val="0"/>
            <w:vAlign w:val="center"/>
          </w:tcPr>
          <w:p>
            <w:pPr>
              <w:pStyle w:val="8"/>
              <w:bidi w:val="0"/>
              <w:rPr>
                <w:rFonts w:hint="default"/>
                <w:u w:val="none"/>
              </w:rPr>
            </w:pPr>
            <w:r>
              <w:rPr>
                <w:rFonts w:hint="default"/>
                <w:u w:val="none"/>
              </w:rPr>
              <w:t>CAS</w:t>
            </w:r>
          </w:p>
        </w:tc>
        <w:tc>
          <w:tcPr>
            <w:tcW w:w="675" w:type="dxa"/>
            <w:noWrap w:val="0"/>
            <w:vAlign w:val="center"/>
          </w:tcPr>
          <w:p>
            <w:pPr>
              <w:pStyle w:val="8"/>
              <w:bidi w:val="0"/>
              <w:rPr>
                <w:rFonts w:hint="default"/>
                <w:u w:val="none"/>
              </w:rPr>
            </w:pPr>
            <w:r>
              <w:rPr>
                <w:rFonts w:hint="default"/>
                <w:u w:val="none"/>
              </w:rPr>
              <w:t>可燃性</w:t>
            </w:r>
          </w:p>
        </w:tc>
        <w:tc>
          <w:tcPr>
            <w:tcW w:w="637" w:type="dxa"/>
            <w:noWrap w:val="0"/>
            <w:vAlign w:val="center"/>
          </w:tcPr>
          <w:p>
            <w:pPr>
              <w:pStyle w:val="8"/>
              <w:bidi w:val="0"/>
              <w:rPr>
                <w:rFonts w:hint="default"/>
                <w:u w:val="none"/>
              </w:rPr>
            </w:pPr>
            <w:r>
              <w:rPr>
                <w:rFonts w:hint="default"/>
                <w:u w:val="none"/>
              </w:rPr>
              <w:t>爆炸性</w:t>
            </w:r>
          </w:p>
        </w:tc>
        <w:tc>
          <w:tcPr>
            <w:tcW w:w="700" w:type="dxa"/>
            <w:noWrap w:val="0"/>
            <w:vAlign w:val="center"/>
          </w:tcPr>
          <w:p>
            <w:pPr>
              <w:pStyle w:val="8"/>
              <w:bidi w:val="0"/>
              <w:rPr>
                <w:rFonts w:hint="default"/>
                <w:u w:val="none"/>
              </w:rPr>
            </w:pPr>
            <w:r>
              <w:rPr>
                <w:rFonts w:hint="default"/>
                <w:u w:val="none"/>
              </w:rPr>
              <w:t>腐蚀性</w:t>
            </w:r>
          </w:p>
        </w:tc>
        <w:tc>
          <w:tcPr>
            <w:tcW w:w="3582" w:type="dxa"/>
            <w:noWrap w:val="0"/>
            <w:vAlign w:val="center"/>
          </w:tcPr>
          <w:p>
            <w:pPr>
              <w:pStyle w:val="8"/>
              <w:bidi w:val="0"/>
              <w:rPr>
                <w:rFonts w:hint="default"/>
                <w:u w:val="none"/>
              </w:rPr>
            </w:pPr>
            <w:r>
              <w:rPr>
                <w:rFonts w:hint="default"/>
                <w:u w:val="none"/>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noWrap w:val="0"/>
            <w:vAlign w:val="center"/>
          </w:tcPr>
          <w:p>
            <w:pPr>
              <w:pStyle w:val="8"/>
              <w:bidi w:val="0"/>
              <w:rPr>
                <w:rFonts w:hint="default"/>
                <w:u w:val="none"/>
                <w:lang w:val="en-US" w:eastAsia="zh-CN"/>
              </w:rPr>
            </w:pPr>
            <w:r>
              <w:rPr>
                <w:rFonts w:hint="eastAsia"/>
                <w:u w:val="none"/>
                <w:lang w:val="en-US" w:eastAsia="zh-CN"/>
              </w:rPr>
              <w:t>1</w:t>
            </w:r>
          </w:p>
        </w:tc>
        <w:tc>
          <w:tcPr>
            <w:tcW w:w="687" w:type="dxa"/>
            <w:noWrap w:val="0"/>
            <w:tcMar>
              <w:top w:w="11" w:type="dxa"/>
              <w:left w:w="11" w:type="dxa"/>
              <w:bottom w:w="11" w:type="dxa"/>
              <w:right w:w="11" w:type="dxa"/>
            </w:tcMar>
            <w:vAlign w:val="center"/>
          </w:tcPr>
          <w:p>
            <w:pPr>
              <w:pStyle w:val="8"/>
              <w:bidi w:val="0"/>
              <w:rPr>
                <w:rFonts w:hint="default"/>
                <w:u w:val="none"/>
                <w:lang w:val="en-US" w:eastAsia="zh-CN"/>
              </w:rPr>
            </w:pPr>
            <w:r>
              <w:rPr>
                <w:rFonts w:hint="default"/>
                <w:u w:val="none"/>
                <w:lang w:val="en-US" w:eastAsia="zh-CN"/>
              </w:rPr>
              <w:t>甲烷</w:t>
            </w:r>
          </w:p>
        </w:tc>
        <w:tc>
          <w:tcPr>
            <w:tcW w:w="713" w:type="dxa"/>
            <w:noWrap w:val="0"/>
            <w:vAlign w:val="center"/>
          </w:tcPr>
          <w:p>
            <w:pPr>
              <w:pStyle w:val="8"/>
              <w:bidi w:val="0"/>
              <w:rPr>
                <w:rFonts w:hint="default"/>
                <w:u w:val="none"/>
                <w:lang w:val="en-US" w:eastAsia="zh-CN"/>
              </w:rPr>
            </w:pPr>
            <w:r>
              <w:rPr>
                <w:rFonts w:hint="default"/>
                <w:u w:val="none"/>
                <w:lang w:val="en-US" w:eastAsia="zh-CN"/>
              </w:rPr>
              <w:t>气态</w:t>
            </w:r>
          </w:p>
        </w:tc>
        <w:tc>
          <w:tcPr>
            <w:tcW w:w="700" w:type="dxa"/>
            <w:noWrap w:val="0"/>
            <w:vAlign w:val="center"/>
          </w:tcPr>
          <w:p>
            <w:pPr>
              <w:pStyle w:val="8"/>
              <w:bidi w:val="0"/>
              <w:rPr>
                <w:rFonts w:hint="default"/>
                <w:u w:val="none"/>
                <w:lang w:val="en-US" w:eastAsia="zh-CN"/>
              </w:rPr>
            </w:pPr>
            <w:r>
              <w:rPr>
                <w:rFonts w:hint="eastAsia"/>
                <w:u w:val="none"/>
                <w:lang w:val="en-US" w:eastAsia="zh-CN"/>
              </w:rPr>
              <w:t>储气罐</w:t>
            </w:r>
          </w:p>
        </w:tc>
        <w:tc>
          <w:tcPr>
            <w:tcW w:w="925" w:type="dxa"/>
            <w:noWrap w:val="0"/>
            <w:vAlign w:val="center"/>
          </w:tcPr>
          <w:p>
            <w:pPr>
              <w:pStyle w:val="8"/>
              <w:bidi w:val="0"/>
              <w:rPr>
                <w:rFonts w:hint="default"/>
                <w:u w:val="none"/>
              </w:rPr>
            </w:pPr>
            <w:r>
              <w:rPr>
                <w:rFonts w:hint="default"/>
                <w:u w:val="none"/>
                <w:lang w:val="en-US" w:eastAsia="zh-CN"/>
              </w:rPr>
              <w:t>74-82-8</w:t>
            </w:r>
          </w:p>
        </w:tc>
        <w:tc>
          <w:tcPr>
            <w:tcW w:w="675" w:type="dxa"/>
            <w:noWrap w:val="0"/>
            <w:vAlign w:val="center"/>
          </w:tcPr>
          <w:p>
            <w:pPr>
              <w:pStyle w:val="8"/>
              <w:bidi w:val="0"/>
              <w:rPr>
                <w:rFonts w:hint="default"/>
                <w:u w:val="none"/>
              </w:rPr>
            </w:pPr>
            <w:r>
              <w:rPr>
                <w:rFonts w:hint="default"/>
                <w:u w:val="none"/>
              </w:rPr>
              <w:t>√</w:t>
            </w:r>
          </w:p>
        </w:tc>
        <w:tc>
          <w:tcPr>
            <w:tcW w:w="637" w:type="dxa"/>
            <w:noWrap w:val="0"/>
            <w:vAlign w:val="center"/>
          </w:tcPr>
          <w:p>
            <w:pPr>
              <w:pStyle w:val="8"/>
              <w:bidi w:val="0"/>
              <w:rPr>
                <w:rFonts w:hint="default"/>
                <w:u w:val="none"/>
              </w:rPr>
            </w:pPr>
            <w:r>
              <w:rPr>
                <w:rFonts w:hint="default"/>
                <w:u w:val="none"/>
              </w:rPr>
              <w:t>√</w:t>
            </w:r>
          </w:p>
        </w:tc>
        <w:tc>
          <w:tcPr>
            <w:tcW w:w="700" w:type="dxa"/>
            <w:noWrap w:val="0"/>
            <w:vAlign w:val="center"/>
          </w:tcPr>
          <w:p>
            <w:pPr>
              <w:pStyle w:val="8"/>
              <w:bidi w:val="0"/>
              <w:rPr>
                <w:rFonts w:hint="default"/>
                <w:u w:val="none"/>
                <w:lang w:val="en-US" w:eastAsia="zh-CN"/>
              </w:rPr>
            </w:pPr>
            <w:r>
              <w:rPr>
                <w:rFonts w:hint="eastAsia"/>
                <w:u w:val="none"/>
                <w:lang w:val="en-US" w:eastAsia="zh-CN"/>
              </w:rPr>
              <w:t>/</w:t>
            </w:r>
          </w:p>
        </w:tc>
        <w:tc>
          <w:tcPr>
            <w:tcW w:w="3582" w:type="dxa"/>
            <w:noWrap w:val="0"/>
            <w:vAlign w:val="center"/>
          </w:tcPr>
          <w:p>
            <w:pPr>
              <w:pStyle w:val="8"/>
              <w:bidi w:val="0"/>
              <w:rPr>
                <w:rFonts w:hint="default"/>
                <w:u w:val="none"/>
              </w:rPr>
            </w:pPr>
            <w:r>
              <w:rPr>
                <w:rFonts w:hint="default"/>
                <w:u w:val="none"/>
                <w:lang w:val="en-US" w:eastAsia="zh-CN"/>
              </w:rPr>
              <w:t>无色无味气体</w:t>
            </w:r>
            <w:r>
              <w:rPr>
                <w:rFonts w:hint="default"/>
                <w:u w:val="none"/>
              </w:rPr>
              <w:t>。熔点 -</w:t>
            </w:r>
            <w:r>
              <w:rPr>
                <w:rFonts w:hint="default"/>
                <w:u w:val="none"/>
                <w:lang w:val="en-US" w:eastAsia="zh-CN"/>
              </w:rPr>
              <w:t>182.5</w:t>
            </w:r>
            <w:r>
              <w:rPr>
                <w:rFonts w:hint="default"/>
                <w:u w:val="none"/>
              </w:rPr>
              <w:t>℃，沸点</w:t>
            </w:r>
            <w:r>
              <w:rPr>
                <w:rFonts w:hint="default"/>
                <w:u w:val="none"/>
                <w:lang w:val="en-US" w:eastAsia="zh-CN"/>
              </w:rPr>
              <w:t>-161.5</w:t>
            </w:r>
            <w:r>
              <w:rPr>
                <w:rFonts w:hint="default"/>
                <w:u w:val="none"/>
              </w:rPr>
              <w:t>℃，相对密度 0.</w:t>
            </w:r>
            <w:r>
              <w:rPr>
                <w:rFonts w:hint="default"/>
                <w:u w:val="none"/>
                <w:lang w:val="en-US" w:eastAsia="zh-CN"/>
              </w:rPr>
              <w:t>42</w:t>
            </w:r>
            <w:r>
              <w:rPr>
                <w:rFonts w:hint="default"/>
                <w:u w:val="none"/>
              </w:rPr>
              <w:t>。微溶于水，溶于乙醇</w:t>
            </w:r>
            <w:r>
              <w:rPr>
                <w:rFonts w:hint="default"/>
                <w:u w:val="none"/>
                <w:lang w:eastAsia="zh-CN"/>
              </w:rPr>
              <w:t>、</w:t>
            </w:r>
            <w:r>
              <w:rPr>
                <w:rFonts w:hint="default"/>
                <w:u w:val="none"/>
                <w:lang w:val="en-US" w:eastAsia="zh-CN"/>
              </w:rPr>
              <w:t>乙醚</w:t>
            </w:r>
            <w:r>
              <w:rPr>
                <w:rFonts w:hint="default"/>
                <w:u w:val="none"/>
              </w:rPr>
              <w:t>。</w:t>
            </w:r>
            <w:r>
              <w:rPr>
                <w:rFonts w:hint="default"/>
                <w:u w:val="none"/>
                <w:lang w:val="en-US" w:eastAsia="zh-CN"/>
              </w:rPr>
              <w:t xml:space="preserve">易燃，与空气混合能形成爆炸性混合物，遇热源和明火有燃烧爆炸的危险。与五氧化溴、氯气、次氯酸、三氟化氮、液氧、二氟化氧及其它强氧化剂接触剧烈反应。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noWrap w:val="0"/>
            <w:vAlign w:val="center"/>
          </w:tcPr>
          <w:p>
            <w:pPr>
              <w:pStyle w:val="8"/>
              <w:bidi w:val="0"/>
              <w:rPr>
                <w:rFonts w:hint="default"/>
                <w:u w:val="none"/>
                <w:lang w:val="en-US" w:eastAsia="zh-CN"/>
              </w:rPr>
            </w:pPr>
            <w:r>
              <w:rPr>
                <w:rFonts w:hint="eastAsia"/>
                <w:u w:val="none"/>
                <w:lang w:val="en-US" w:eastAsia="zh-CN"/>
              </w:rPr>
              <w:t>2</w:t>
            </w:r>
          </w:p>
        </w:tc>
        <w:tc>
          <w:tcPr>
            <w:tcW w:w="687" w:type="dxa"/>
            <w:noWrap w:val="0"/>
            <w:tcMar>
              <w:top w:w="11" w:type="dxa"/>
              <w:left w:w="11" w:type="dxa"/>
              <w:bottom w:w="11" w:type="dxa"/>
              <w:right w:w="11" w:type="dxa"/>
            </w:tcMar>
            <w:vAlign w:val="center"/>
          </w:tcPr>
          <w:p>
            <w:pPr>
              <w:pStyle w:val="8"/>
              <w:bidi w:val="0"/>
              <w:rPr>
                <w:rFonts w:hint="default"/>
                <w:u w:val="none"/>
                <w:lang w:val="en-US" w:eastAsia="zh-CN"/>
              </w:rPr>
            </w:pPr>
            <w:r>
              <w:rPr>
                <w:rFonts w:hint="eastAsia"/>
                <w:u w:val="none"/>
                <w:lang w:val="en-US" w:eastAsia="zh-CN"/>
              </w:rPr>
              <w:t>柴油</w:t>
            </w:r>
          </w:p>
        </w:tc>
        <w:tc>
          <w:tcPr>
            <w:tcW w:w="713" w:type="dxa"/>
            <w:noWrap w:val="0"/>
            <w:vAlign w:val="center"/>
          </w:tcPr>
          <w:p>
            <w:pPr>
              <w:pStyle w:val="8"/>
              <w:bidi w:val="0"/>
              <w:rPr>
                <w:rFonts w:hint="default"/>
                <w:u w:val="none"/>
                <w:lang w:val="en-US" w:eastAsia="zh-CN"/>
              </w:rPr>
            </w:pPr>
            <w:r>
              <w:rPr>
                <w:rFonts w:hint="eastAsia"/>
                <w:u w:val="none"/>
                <w:lang w:val="en-US" w:eastAsia="zh-CN"/>
              </w:rPr>
              <w:t>液态</w:t>
            </w:r>
          </w:p>
        </w:tc>
        <w:tc>
          <w:tcPr>
            <w:tcW w:w="700" w:type="dxa"/>
            <w:noWrap w:val="0"/>
            <w:vAlign w:val="center"/>
          </w:tcPr>
          <w:p>
            <w:pPr>
              <w:pStyle w:val="8"/>
              <w:bidi w:val="0"/>
              <w:rPr>
                <w:rFonts w:hint="eastAsia"/>
                <w:u w:val="none"/>
                <w:lang w:val="en-US" w:eastAsia="zh-CN"/>
              </w:rPr>
            </w:pPr>
            <w:r>
              <w:rPr>
                <w:rFonts w:hint="eastAsia"/>
                <w:u w:val="none"/>
                <w:lang w:val="en-US" w:eastAsia="zh-CN"/>
              </w:rPr>
              <w:t>桶装</w:t>
            </w:r>
          </w:p>
        </w:tc>
        <w:tc>
          <w:tcPr>
            <w:tcW w:w="925" w:type="dxa"/>
            <w:noWrap w:val="0"/>
            <w:vAlign w:val="center"/>
          </w:tcPr>
          <w:p>
            <w:pPr>
              <w:pStyle w:val="8"/>
              <w:bidi w:val="0"/>
              <w:rPr>
                <w:rFonts w:hint="default"/>
                <w:u w:val="none"/>
                <w:lang w:val="en-US" w:eastAsia="zh-CN"/>
              </w:rPr>
            </w:pPr>
            <w:r>
              <w:rPr>
                <w:rFonts w:hint="eastAsia"/>
                <w:u w:val="none"/>
                <w:lang w:val="en-US" w:eastAsia="zh-CN"/>
              </w:rPr>
              <w:t>/</w:t>
            </w:r>
          </w:p>
        </w:tc>
        <w:tc>
          <w:tcPr>
            <w:tcW w:w="675" w:type="dxa"/>
            <w:noWrap w:val="0"/>
            <w:vAlign w:val="center"/>
          </w:tcPr>
          <w:p>
            <w:pPr>
              <w:pStyle w:val="8"/>
              <w:bidi w:val="0"/>
              <w:rPr>
                <w:rFonts w:hint="default"/>
                <w:u w:val="none"/>
              </w:rPr>
            </w:pPr>
            <w:r>
              <w:rPr>
                <w:rFonts w:hint="default"/>
                <w:u w:val="none"/>
              </w:rPr>
              <w:t>√</w:t>
            </w:r>
          </w:p>
        </w:tc>
        <w:tc>
          <w:tcPr>
            <w:tcW w:w="637" w:type="dxa"/>
            <w:noWrap w:val="0"/>
            <w:vAlign w:val="center"/>
          </w:tcPr>
          <w:p>
            <w:pPr>
              <w:pStyle w:val="8"/>
              <w:bidi w:val="0"/>
              <w:rPr>
                <w:rFonts w:hint="eastAsia" w:eastAsiaTheme="minorEastAsia"/>
                <w:u w:val="none"/>
                <w:lang w:val="en-US" w:eastAsia="zh-CN"/>
              </w:rPr>
            </w:pPr>
            <w:r>
              <w:rPr>
                <w:rFonts w:hint="eastAsia"/>
                <w:u w:val="none"/>
                <w:lang w:val="en-US" w:eastAsia="zh-CN"/>
              </w:rPr>
              <w:t>/</w:t>
            </w:r>
          </w:p>
        </w:tc>
        <w:tc>
          <w:tcPr>
            <w:tcW w:w="700" w:type="dxa"/>
            <w:noWrap w:val="0"/>
            <w:vAlign w:val="center"/>
          </w:tcPr>
          <w:p>
            <w:pPr>
              <w:pStyle w:val="8"/>
              <w:bidi w:val="0"/>
              <w:rPr>
                <w:rFonts w:hint="default"/>
                <w:u w:val="none"/>
                <w:lang w:val="en-US" w:eastAsia="zh-CN"/>
              </w:rPr>
            </w:pPr>
            <w:r>
              <w:rPr>
                <w:rFonts w:hint="eastAsia"/>
                <w:u w:val="none"/>
                <w:lang w:val="en-US" w:eastAsia="zh-CN"/>
              </w:rPr>
              <w:t>/</w:t>
            </w:r>
          </w:p>
        </w:tc>
        <w:tc>
          <w:tcPr>
            <w:tcW w:w="3582" w:type="dxa"/>
            <w:noWrap w:val="0"/>
            <w:vAlign w:val="center"/>
          </w:tcPr>
          <w:p>
            <w:pPr>
              <w:pStyle w:val="8"/>
              <w:bidi w:val="0"/>
              <w:rPr>
                <w:rFonts w:hint="default"/>
                <w:u w:val="none"/>
                <w:lang w:val="en-US" w:eastAsia="zh-CN"/>
              </w:rPr>
            </w:pPr>
            <w:r>
              <w:rPr>
                <w:rFonts w:hint="default" w:ascii="Times New Roman" w:hAnsi="Times New Roman" w:cs="Times New Roman"/>
                <w:bCs/>
                <w:szCs w:val="21"/>
                <w:u w:val="none"/>
              </w:rPr>
              <w:t>有色透明液体</w:t>
            </w:r>
            <w:r>
              <w:rPr>
                <w:rFonts w:hint="default" w:ascii="Times New Roman" w:hAnsi="Times New Roman" w:cs="Times New Roman"/>
                <w:bCs/>
                <w:szCs w:val="21"/>
                <w:u w:val="none"/>
                <w:lang w:eastAsia="zh-CN"/>
              </w:rPr>
              <w:t>，难溶于水，易溶于醇和其他有机溶剂。</w:t>
            </w:r>
            <w:r>
              <w:rPr>
                <w:rFonts w:hint="default" w:ascii="Times New Roman" w:hAnsi="Times New Roman" w:cs="Times New Roman"/>
                <w:bCs/>
                <w:szCs w:val="21"/>
                <w:u w:val="none"/>
              </w:rPr>
              <w:t xml:space="preserve">沸点 </w:t>
            </w:r>
            <w:r>
              <w:rPr>
                <w:rFonts w:hint="default" w:ascii="Times New Roman" w:hAnsi="Times New Roman" w:cs="Times New Roman"/>
                <w:bCs/>
                <w:szCs w:val="21"/>
                <w:u w:val="none"/>
                <w:lang w:val="en-US" w:eastAsia="zh-CN"/>
              </w:rPr>
              <w:t>170~390</w:t>
            </w:r>
            <w:r>
              <w:rPr>
                <w:rFonts w:hint="default" w:ascii="Times New Roman" w:hAnsi="Times New Roman" w:cs="Times New Roman"/>
                <w:bCs/>
                <w:szCs w:val="21"/>
                <w:u w:val="none"/>
              </w:rPr>
              <w:t>℃，相对密度0.</w:t>
            </w:r>
            <w:r>
              <w:rPr>
                <w:rFonts w:hint="default" w:ascii="Times New Roman" w:hAnsi="Times New Roman" w:cs="Times New Roman"/>
                <w:bCs/>
                <w:szCs w:val="21"/>
                <w:u w:val="none"/>
                <w:lang w:val="en-US" w:eastAsia="zh-CN"/>
              </w:rPr>
              <w:t>82~0.846</w:t>
            </w:r>
            <w:r>
              <w:rPr>
                <w:rFonts w:hint="default" w:ascii="Times New Roman" w:hAnsi="Times New Roman" w:cs="Times New Roman"/>
                <w:bCs/>
                <w:szCs w:val="21"/>
                <w:u w:val="none"/>
              </w:rPr>
              <w:t xml:space="preserve">，闪点 </w:t>
            </w:r>
            <w:r>
              <w:rPr>
                <w:rFonts w:hint="default" w:ascii="Times New Roman" w:hAnsi="Times New Roman" w:cs="Times New Roman"/>
                <w:bCs/>
                <w:szCs w:val="21"/>
                <w:u w:val="none"/>
                <w:lang w:val="en-US" w:eastAsia="zh-CN"/>
              </w:rPr>
              <w:t>38</w:t>
            </w:r>
            <w:r>
              <w:rPr>
                <w:rFonts w:hint="default" w:ascii="Times New Roman" w:hAnsi="Times New Roman" w:cs="Times New Roman"/>
                <w:bCs/>
                <w:szCs w:val="21"/>
                <w:u w:val="none"/>
              </w:rPr>
              <w:t>℃。柴油属于易燃物，其蒸气在60℃时遇明火会燃烧，燃烧放出大量热。柴油</w:t>
            </w:r>
            <w:r>
              <w:rPr>
                <w:rFonts w:hint="default" w:ascii="Times New Roman" w:hAnsi="Times New Roman" w:cs="Times New Roman"/>
                <w:bCs/>
                <w:szCs w:val="21"/>
                <w:u w:val="none"/>
                <w:lang w:eastAsia="zh-CN"/>
              </w:rPr>
              <w:t>燃烧</w:t>
            </w:r>
            <w:r>
              <w:rPr>
                <w:rFonts w:hint="default" w:ascii="Times New Roman" w:hAnsi="Times New Roman" w:cs="Times New Roman"/>
                <w:bCs/>
                <w:szCs w:val="21"/>
                <w:u w:val="none"/>
              </w:rPr>
              <w:t>所产生的废气含有氮氧化物、一氧化碳、二氧化碳、醛类和不完全燃烧时的大量黑烟。黑烟中有未经燃烧的油雾、碳粒，一些高沸点的杂环和芳烃物质，并有些致癌物如3.4-苯并芘，可造成污染。</w:t>
            </w:r>
          </w:p>
        </w:tc>
      </w:tr>
    </w:tbl>
    <w:p>
      <w:pPr>
        <w:pStyle w:val="5"/>
        <w:bidi w:val="0"/>
        <w:rPr>
          <w:u w:val="none"/>
        </w:rPr>
      </w:pPr>
      <w:r>
        <w:rPr>
          <w:rFonts w:hint="eastAsia"/>
          <w:u w:val="none"/>
        </w:rPr>
        <w:t>环境风险分析</w:t>
      </w:r>
    </w:p>
    <w:p>
      <w:pPr>
        <w:bidi w:val="0"/>
        <w:rPr>
          <w:rFonts w:hint="eastAsia"/>
          <w:u w:val="none"/>
          <w:lang w:val="en-US" w:eastAsia="zh-CN"/>
        </w:rPr>
      </w:pPr>
      <w:r>
        <w:rPr>
          <w:rFonts w:hint="eastAsia"/>
          <w:u w:val="none"/>
          <w:lang w:val="en-US" w:eastAsia="zh-CN"/>
        </w:rPr>
        <w:t>4.3.4.1沼气事故排放影响分析</w:t>
      </w:r>
    </w:p>
    <w:p>
      <w:pPr>
        <w:spacing w:line="480" w:lineRule="exact"/>
        <w:ind w:firstLine="480" w:firstLineChars="200"/>
        <w:jc w:val="both"/>
        <w:rPr>
          <w:rFonts w:hint="default" w:ascii="Times New Roman" w:hAnsi="Times New Roman" w:cs="Times New Roman"/>
          <w:color w:val="000000"/>
          <w:sz w:val="24"/>
          <w:szCs w:val="24"/>
          <w:u w:val="none"/>
          <w:lang w:val="en-US" w:eastAsia="zh-CN"/>
        </w:rPr>
      </w:pPr>
      <w:r>
        <w:rPr>
          <w:rFonts w:hint="eastAsia" w:ascii="Times New Roman" w:hAnsi="Times New Roman" w:cs="Times New Roman"/>
          <w:color w:val="000000"/>
          <w:sz w:val="24"/>
          <w:szCs w:val="24"/>
          <w:u w:val="none"/>
          <w:lang w:val="en-US" w:eastAsia="zh-CN"/>
        </w:rPr>
        <w:t>沼气事故排放</w:t>
      </w:r>
      <w:r>
        <w:rPr>
          <w:rFonts w:hint="default" w:ascii="Times New Roman" w:hAnsi="Times New Roman" w:cs="Times New Roman"/>
          <w:color w:val="000000"/>
          <w:sz w:val="24"/>
          <w:szCs w:val="24"/>
          <w:u w:val="none"/>
          <w:lang w:val="en-US" w:eastAsia="zh-CN"/>
        </w:rPr>
        <w:t>主要环境风险影响是</w:t>
      </w:r>
      <w:r>
        <w:rPr>
          <w:rFonts w:hint="eastAsia" w:ascii="Times New Roman" w:hAnsi="Times New Roman" w:cs="Times New Roman"/>
          <w:color w:val="000000"/>
          <w:sz w:val="24"/>
          <w:szCs w:val="24"/>
          <w:u w:val="none"/>
          <w:lang w:val="en-US" w:eastAsia="zh-CN"/>
        </w:rPr>
        <w:t>甲烷</w:t>
      </w:r>
      <w:r>
        <w:rPr>
          <w:rFonts w:hint="default" w:ascii="Times New Roman" w:hAnsi="Times New Roman" w:cs="Times New Roman"/>
          <w:color w:val="000000"/>
          <w:sz w:val="24"/>
          <w:szCs w:val="24"/>
          <w:u w:val="none"/>
          <w:lang w:val="en-US" w:eastAsia="zh-CN"/>
        </w:rPr>
        <w:t>泄露的</w:t>
      </w:r>
      <w:r>
        <w:rPr>
          <w:rFonts w:hint="eastAsia" w:ascii="Times New Roman" w:hAnsi="Times New Roman" w:cs="Times New Roman"/>
          <w:color w:val="000000"/>
          <w:sz w:val="24"/>
          <w:szCs w:val="24"/>
          <w:u w:val="none"/>
          <w:lang w:val="en-US" w:eastAsia="zh-CN"/>
        </w:rPr>
        <w:t>对大气</w:t>
      </w:r>
      <w:r>
        <w:rPr>
          <w:rFonts w:hint="default" w:ascii="Times New Roman" w:hAnsi="Times New Roman" w:cs="Times New Roman"/>
          <w:color w:val="000000"/>
          <w:sz w:val="24"/>
          <w:szCs w:val="24"/>
          <w:u w:val="none"/>
          <w:lang w:val="en-US" w:eastAsia="zh-CN"/>
        </w:rPr>
        <w:t>环境影响</w:t>
      </w:r>
      <w:r>
        <w:rPr>
          <w:rFonts w:hint="eastAsia" w:ascii="Times New Roman" w:hAnsi="Times New Roman" w:cs="Times New Roman"/>
          <w:color w:val="000000"/>
          <w:sz w:val="24"/>
          <w:szCs w:val="24"/>
          <w:u w:val="none"/>
          <w:lang w:val="en-US" w:eastAsia="zh-CN"/>
        </w:rPr>
        <w:t>。沼气</w:t>
      </w:r>
      <w:r>
        <w:rPr>
          <w:rFonts w:hint="default" w:ascii="Times New Roman" w:hAnsi="Times New Roman" w:cs="Times New Roman"/>
          <w:color w:val="000000"/>
          <w:sz w:val="24"/>
          <w:szCs w:val="24"/>
          <w:u w:val="none"/>
          <w:lang w:val="en-US" w:eastAsia="zh-CN"/>
        </w:rPr>
        <w:t>储罐</w:t>
      </w:r>
      <w:r>
        <w:rPr>
          <w:rFonts w:hint="eastAsia" w:ascii="Times New Roman" w:hAnsi="Times New Roman" w:cs="Times New Roman"/>
          <w:color w:val="000000"/>
          <w:sz w:val="24"/>
          <w:szCs w:val="24"/>
          <w:u w:val="none"/>
          <w:lang w:val="en-US" w:eastAsia="zh-CN"/>
        </w:rPr>
        <w:t>应</w:t>
      </w:r>
      <w:r>
        <w:rPr>
          <w:rFonts w:hint="default" w:ascii="Times New Roman" w:hAnsi="Times New Roman" w:cs="Times New Roman"/>
          <w:color w:val="000000"/>
          <w:sz w:val="24"/>
          <w:szCs w:val="24"/>
          <w:u w:val="none"/>
          <w:lang w:val="en-US" w:eastAsia="zh-CN"/>
        </w:rPr>
        <w:t>设置警报系统，一旦储罐发生泄露，立即采取措施防止泄露，因此</w:t>
      </w:r>
      <w:r>
        <w:rPr>
          <w:rFonts w:hint="eastAsia" w:ascii="Times New Roman" w:hAnsi="Times New Roman" w:cs="Times New Roman"/>
          <w:color w:val="000000"/>
          <w:sz w:val="24"/>
          <w:szCs w:val="24"/>
          <w:u w:val="none"/>
          <w:lang w:val="en-US" w:eastAsia="zh-CN"/>
        </w:rPr>
        <w:t>沼气</w:t>
      </w:r>
      <w:r>
        <w:rPr>
          <w:rFonts w:hint="default" w:ascii="Times New Roman" w:hAnsi="Times New Roman" w:cs="Times New Roman"/>
          <w:color w:val="000000"/>
          <w:sz w:val="24"/>
          <w:szCs w:val="24"/>
          <w:u w:val="none"/>
          <w:lang w:val="en-US" w:eastAsia="zh-CN"/>
        </w:rPr>
        <w:t>泄漏量较少，不会对远距离的环境空气质量造成较大的环境风险，主要影响在厂区内。</w:t>
      </w:r>
    </w:p>
    <w:p>
      <w:pPr>
        <w:spacing w:line="480" w:lineRule="exact"/>
        <w:ind w:firstLine="480" w:firstLineChars="200"/>
        <w:jc w:val="both"/>
        <w:rPr>
          <w:rFonts w:hint="default" w:ascii="Times New Roman" w:hAnsi="Times New Roman" w:cs="Times New Roman"/>
          <w:color w:val="000000"/>
          <w:sz w:val="24"/>
          <w:szCs w:val="24"/>
          <w:u w:val="none"/>
          <w:lang w:val="en-US" w:eastAsia="zh-CN"/>
        </w:rPr>
      </w:pPr>
      <w:r>
        <w:rPr>
          <w:rFonts w:hint="eastAsia" w:ascii="Times New Roman" w:hAnsi="Times New Roman" w:cs="Times New Roman"/>
          <w:color w:val="000000"/>
          <w:sz w:val="24"/>
          <w:szCs w:val="24"/>
          <w:u w:val="none"/>
          <w:lang w:val="en-US" w:eastAsia="zh-CN"/>
        </w:rPr>
        <w:t>沼气中</w:t>
      </w:r>
      <w:r>
        <w:rPr>
          <w:rFonts w:hint="default" w:ascii="Times New Roman" w:hAnsi="Times New Roman" w:cs="Times New Roman"/>
          <w:color w:val="000000"/>
          <w:sz w:val="24"/>
          <w:szCs w:val="24"/>
          <w:u w:val="none"/>
          <w:lang w:val="en-US" w:eastAsia="zh-CN"/>
        </w:rPr>
        <w:t xml:space="preserve">含有挥发性有机物，具有易燃易爆的特点，如发生火灾在高温条件， </w:t>
      </w:r>
      <w:r>
        <w:rPr>
          <w:rFonts w:hint="eastAsia" w:ascii="Times New Roman" w:hAnsi="Times New Roman" w:cs="Times New Roman"/>
          <w:color w:val="000000"/>
          <w:sz w:val="24"/>
          <w:szCs w:val="24"/>
          <w:u w:val="none"/>
          <w:lang w:val="en-US" w:eastAsia="zh-CN"/>
        </w:rPr>
        <w:t>沼气在</w:t>
      </w:r>
      <w:r>
        <w:rPr>
          <w:rFonts w:hint="default" w:ascii="Times New Roman" w:hAnsi="Times New Roman" w:cs="Times New Roman"/>
          <w:color w:val="000000"/>
          <w:sz w:val="24"/>
          <w:szCs w:val="24"/>
          <w:u w:val="none"/>
          <w:lang w:val="en-US" w:eastAsia="zh-CN"/>
        </w:rPr>
        <w:t>来不及燃烧的条件下挥发，会污染周围环境空气质量，尤其是对生产车间周围的环境空气质量影响较大，因此，应配备完善的消防设备，一旦发生火灾等事故可及时解决。</w:t>
      </w:r>
    </w:p>
    <w:p>
      <w:pPr>
        <w:spacing w:line="480" w:lineRule="exact"/>
        <w:ind w:firstLine="480" w:firstLineChars="200"/>
        <w:jc w:val="both"/>
        <w:rPr>
          <w:rFonts w:hint="default" w:ascii="Times New Roman" w:hAnsi="Times New Roman" w:cs="Times New Roman"/>
          <w:color w:val="000000"/>
          <w:sz w:val="24"/>
          <w:szCs w:val="24"/>
          <w:u w:val="none"/>
          <w:lang w:val="en-US" w:eastAsia="zh-CN"/>
        </w:rPr>
      </w:pPr>
      <w:r>
        <w:rPr>
          <w:rFonts w:hint="default" w:ascii="Times New Roman" w:hAnsi="Times New Roman" w:cs="Times New Roman"/>
          <w:color w:val="000000"/>
          <w:sz w:val="24"/>
          <w:szCs w:val="24"/>
          <w:u w:val="none"/>
          <w:lang w:val="en-US" w:eastAsia="zh-CN"/>
        </w:rPr>
        <w:t>5.3.2事故次生/伴生污染影响分析</w:t>
      </w:r>
    </w:p>
    <w:p>
      <w:pPr>
        <w:spacing w:line="480" w:lineRule="exact"/>
        <w:ind w:firstLine="480" w:firstLineChars="200"/>
        <w:jc w:val="both"/>
        <w:rPr>
          <w:rFonts w:hint="default" w:ascii="Times New Roman" w:hAnsi="Times New Roman" w:cs="Times New Roman"/>
          <w:color w:val="000000"/>
          <w:sz w:val="24"/>
          <w:szCs w:val="24"/>
          <w:u w:val="none"/>
          <w:lang w:val="en-US" w:eastAsia="zh-CN"/>
        </w:rPr>
      </w:pPr>
      <w:r>
        <w:rPr>
          <w:rFonts w:hint="default" w:ascii="Times New Roman" w:hAnsi="Times New Roman" w:cs="Times New Roman"/>
          <w:color w:val="000000"/>
          <w:sz w:val="24"/>
          <w:szCs w:val="24"/>
          <w:u w:val="none"/>
          <w:lang w:val="en-US" w:eastAsia="zh-CN"/>
        </w:rPr>
        <w:t>本项目涉及的</w:t>
      </w:r>
      <w:r>
        <w:rPr>
          <w:rFonts w:hint="eastAsia" w:ascii="Times New Roman" w:hAnsi="Times New Roman" w:cs="Times New Roman"/>
          <w:color w:val="000000"/>
          <w:sz w:val="24"/>
          <w:szCs w:val="24"/>
          <w:u w:val="none"/>
          <w:lang w:val="en-US" w:eastAsia="zh-CN"/>
        </w:rPr>
        <w:t>物质</w:t>
      </w:r>
      <w:r>
        <w:rPr>
          <w:rFonts w:hint="default" w:ascii="Times New Roman" w:hAnsi="Times New Roman" w:cs="Times New Roman"/>
          <w:color w:val="000000"/>
          <w:sz w:val="24"/>
          <w:szCs w:val="24"/>
          <w:u w:val="none"/>
          <w:lang w:val="en-US" w:eastAsia="zh-CN"/>
        </w:rPr>
        <w:t>主要含有</w:t>
      </w:r>
      <w:r>
        <w:rPr>
          <w:rFonts w:hint="eastAsia" w:cs="Times New Roman"/>
          <w:color w:val="000000"/>
          <w:sz w:val="24"/>
          <w:szCs w:val="24"/>
          <w:u w:val="none"/>
          <w:lang w:val="en-US" w:eastAsia="zh-CN"/>
        </w:rPr>
        <w:t>挥发性有机物</w:t>
      </w:r>
      <w:r>
        <w:rPr>
          <w:rFonts w:hint="default" w:ascii="Times New Roman" w:hAnsi="Times New Roman" w:cs="Times New Roman"/>
          <w:color w:val="000000"/>
          <w:sz w:val="24"/>
          <w:szCs w:val="24"/>
          <w:u w:val="none"/>
          <w:lang w:val="en-US" w:eastAsia="zh-CN"/>
        </w:rPr>
        <w:t>等，在一定条件下可能发生燃烧，燃烧过程中生成一氧化碳、二氧化碳、氮氧化物等废气将会向大气扩散，对周围人群及大气环境产生影响。</w:t>
      </w:r>
    </w:p>
    <w:p>
      <w:pPr>
        <w:spacing w:line="480" w:lineRule="exact"/>
        <w:ind w:firstLine="480" w:firstLineChars="200"/>
        <w:jc w:val="both"/>
        <w:rPr>
          <w:rFonts w:hint="default" w:ascii="Times New Roman" w:hAnsi="Times New Roman" w:cs="Times New Roman"/>
          <w:color w:val="000000"/>
          <w:sz w:val="24"/>
          <w:szCs w:val="24"/>
          <w:u w:val="none"/>
          <w:lang w:val="en-US" w:eastAsia="zh-CN"/>
        </w:rPr>
      </w:pPr>
      <w:r>
        <w:rPr>
          <w:rFonts w:hint="default" w:ascii="Times New Roman" w:hAnsi="Times New Roman" w:cs="Times New Roman"/>
          <w:color w:val="000000"/>
          <w:sz w:val="24"/>
          <w:szCs w:val="24"/>
          <w:u w:val="none"/>
          <w:lang w:val="en-US" w:eastAsia="zh-CN"/>
        </w:rPr>
        <w:t>现场处置人员应根据不同类型环境事件的特点，配备相应的专业防护装备， 采取安全防护措施，防止池火的危害。同时根据事发时当地的气象条件，告知群众应采取的安全防护措施，必要时疏散群众。从而减少火灾产生的大气污染物对人体的危害。</w:t>
      </w:r>
    </w:p>
    <w:p>
      <w:pPr>
        <w:bidi w:val="0"/>
        <w:rPr>
          <w:u w:val="none"/>
        </w:rPr>
      </w:pPr>
      <w:r>
        <w:rPr>
          <w:rFonts w:hint="eastAsia"/>
          <w:u w:val="none"/>
          <w:lang w:val="en-US" w:eastAsia="zh-CN"/>
        </w:rPr>
        <w:t>4.3.4.2</w:t>
      </w:r>
      <w:r>
        <w:rPr>
          <w:rFonts w:hint="eastAsia"/>
          <w:u w:val="none"/>
        </w:rPr>
        <w:t>污水事故排放影响分析</w:t>
      </w:r>
    </w:p>
    <w:p>
      <w:pPr>
        <w:rPr>
          <w:rFonts w:hint="eastAsia"/>
          <w:u w:val="none"/>
          <w:lang w:eastAsia="zh-CN"/>
        </w:rPr>
      </w:pPr>
      <w:r>
        <w:rPr>
          <w:rFonts w:hint="eastAsia"/>
          <w:u w:val="none"/>
        </w:rPr>
        <w:t>沼</w:t>
      </w:r>
      <w:r>
        <w:rPr>
          <w:rFonts w:hint="eastAsia"/>
          <w:u w:val="none"/>
          <w:lang w:eastAsia="zh-CN"/>
        </w:rPr>
        <w:t>液和沼渣</w:t>
      </w:r>
      <w:r>
        <w:rPr>
          <w:rFonts w:hint="eastAsia"/>
          <w:u w:val="none"/>
        </w:rPr>
        <w:t>中N、P、K以及有机质等营养物质含量丰富。施用沼肥后土壤中全氮、全磷、全钾以及有机质含量明显高于未施用土壤, 长期施用后可以提高土壤养分含量。</w:t>
      </w:r>
      <w:r>
        <w:rPr>
          <w:rFonts w:hint="eastAsia"/>
          <w:u w:val="none"/>
          <w:lang w:eastAsia="zh-CN"/>
        </w:rPr>
        <w:t>但</w:t>
      </w:r>
      <w:r>
        <w:rPr>
          <w:rFonts w:hint="eastAsia"/>
          <w:u w:val="none"/>
        </w:rPr>
        <w:t>沼液中的COD含量达到6600 ~ 8600 mg</w:t>
      </w:r>
      <w:r>
        <w:rPr>
          <w:rFonts w:hint="eastAsia"/>
          <w:u w:val="none"/>
          <w:lang w:val="en-US" w:eastAsia="zh-CN"/>
        </w:rPr>
        <w:t>/L（数据来源石先罗等发表论文《沼液沼渣农用生态环境风险研究进展》），</w:t>
      </w:r>
      <w:r>
        <w:rPr>
          <w:rFonts w:hint="eastAsia"/>
          <w:u w:val="none"/>
        </w:rPr>
        <w:t>因此沼液沼渣的长期使用将会导致土壤和水体中的TN、TP等有机污染物含量超标。沼液沼渣未经过无害化处理就直接施入土壤, 其中的蛋白质、脂肪和糖类及部分有机污染物在土壤中可以较快地被分解而得到净化。如果污染物排放量超过了土壤的自净能力, 便会出现降解不完全或厌氧腐解, 产生恶臭物质和亚硝酸盐等有害物质。这些有害物质会引起土壤的组成和性质发生改的组成和性质发生改变, 破坏其原来的基本功能</w:t>
      </w:r>
      <w:r>
        <w:rPr>
          <w:rFonts w:hint="eastAsia"/>
          <w:u w:val="none"/>
          <w:lang w:eastAsia="zh-CN"/>
        </w:rPr>
        <w:t>。目前我国对于沼液沼渣的农用风险主要集中在其N、P等营养物质及重金属等对作物品质、土壤结构及附近水体的危害等方面的研究。发达国家并没有对沼液进行深度处理, 都是经过长期贮存后作为肥料在大田消纳我国的沼气工程很少有足够的土地用来消纳沼液。但是如果沼液得不到充分合理的处置, 其高含量的有机物、N、P以及病源性微生物进入环境, 将会造成二次污染, 从而成为制约大中型沼气工程正常运行和发展的一个重要因素。</w:t>
      </w:r>
    </w:p>
    <w:p>
      <w:pPr>
        <w:rPr>
          <w:u w:val="none"/>
        </w:rPr>
      </w:pPr>
      <w:r>
        <w:rPr>
          <w:rFonts w:hint="eastAsia"/>
          <w:u w:val="none"/>
        </w:rPr>
        <w:t>本项目污水事故排放是指粪污水</w:t>
      </w:r>
      <w:r>
        <w:rPr>
          <w:rFonts w:hint="eastAsia"/>
          <w:u w:val="none"/>
          <w:lang w:eastAsia="zh-CN"/>
        </w:rPr>
        <w:t>及沼液</w:t>
      </w:r>
      <w:r>
        <w:rPr>
          <w:rFonts w:hint="eastAsia"/>
          <w:u w:val="none"/>
        </w:rPr>
        <w:t>未经处理，直接排放的情况。废水直接外排会对地表水、地下水、土壤、大气环境等产生不利影响。</w:t>
      </w:r>
    </w:p>
    <w:p>
      <w:pPr>
        <w:rPr>
          <w:u w:val="none"/>
        </w:rPr>
      </w:pPr>
      <w:r>
        <w:rPr>
          <w:rFonts w:hint="eastAsia"/>
          <w:u w:val="none"/>
        </w:rPr>
        <w:t>（1）土壤</w:t>
      </w:r>
    </w:p>
    <w:p>
      <w:pPr>
        <w:rPr>
          <w:u w:val="none"/>
        </w:rPr>
      </w:pPr>
      <w:r>
        <w:rPr>
          <w:rFonts w:hint="eastAsia"/>
          <w:u w:val="none"/>
        </w:rPr>
        <w:t>废水中高浓度的有机物和氨氮会使土壤环境质量恶化。当粪污水直接外排量超过了土壤的自净能力，便会出现降解不完成和厌氧腐化，产生恶臭物质和亚硝酸盐等有害物质，引起土壤的组成和性状发生改变，破坏其原有的基本功能，作物徒长、倒伏、晚熟或不熟，造成减产，甚至毒害作物，大面积地腐坏。此外，土壤对病原微生物的自净能力下降，不仅增加了净化难度，而且容易造成生物污染和疫病传播。</w:t>
      </w:r>
    </w:p>
    <w:p>
      <w:pPr>
        <w:rPr>
          <w:u w:val="none"/>
        </w:rPr>
      </w:pPr>
      <w:r>
        <w:rPr>
          <w:rFonts w:hint="eastAsia"/>
          <w:u w:val="none"/>
        </w:rPr>
        <w:t>（2）大气</w:t>
      </w:r>
    </w:p>
    <w:p>
      <w:pPr>
        <w:rPr>
          <w:u w:val="none"/>
        </w:rPr>
      </w:pPr>
      <w:r>
        <w:rPr>
          <w:rFonts w:hint="eastAsia"/>
          <w:u w:val="none"/>
        </w:rPr>
        <w:t>废水会散发出高浓度的恶臭气体，造成空气中含氧量下降，污浊度上升，轻则降低空气质量，产生异味妨碍人畜健康生长，重则引起呼吸系统疾病，造成人畜死亡。未经任何处理的猪场废水含有大量的微生物，在风的作用下，极易扩散在空气中，可能引起口蹄疫和大肠埃希菌、炭疽、布氏杆菌、真菌孢子等引起的疫病传播，危害人畜健康。</w:t>
      </w:r>
    </w:p>
    <w:p>
      <w:pPr>
        <w:rPr>
          <w:u w:val="none"/>
        </w:rPr>
      </w:pPr>
      <w:r>
        <w:rPr>
          <w:rFonts w:hint="eastAsia"/>
          <w:u w:val="none"/>
        </w:rPr>
        <w:t>(3)地表水</w:t>
      </w:r>
    </w:p>
    <w:p>
      <w:pPr>
        <w:rPr>
          <w:u w:val="none"/>
        </w:rPr>
      </w:pPr>
      <w:r>
        <w:rPr>
          <w:rFonts w:hint="eastAsia"/>
          <w:u w:val="none"/>
        </w:rPr>
        <w:t>猪场高浓度污水进入自然水体后，使水中有机物、固体悬浮物和微生物等含量增高，改变水体的物理、化学和生物组成群落，使水质变差。粪污中含有大量的病原微生物将通过水体或水生动植物进行扩散传播，危害人畜健康。此外，粪污中大量的有机物生物降解和水生生物的大量繁殖，消耗水体中的溶解氧，使水体变黑发臭，最终造成水生生物大量死亡，产生水体富营养化，失去水体原有功能</w:t>
      </w:r>
      <w:r>
        <w:rPr>
          <w:rFonts w:hint="eastAsia"/>
          <w:u w:val="none"/>
          <w:lang w:eastAsia="zh-CN"/>
        </w:rPr>
        <w:t>，项目周边水体及下游汇入河流松滋河</w:t>
      </w:r>
      <w:r>
        <w:rPr>
          <w:rFonts w:hint="eastAsia"/>
          <w:u w:val="none"/>
          <w:lang w:val="en-US" w:eastAsia="zh-CN"/>
        </w:rPr>
        <w:t>COD、氨氮将出现严重超标现象，对下游饮用水源保护区及国控监测断面产生影响</w:t>
      </w:r>
      <w:r>
        <w:rPr>
          <w:rFonts w:hint="eastAsia"/>
          <w:u w:val="none"/>
        </w:rPr>
        <w:t>。</w:t>
      </w:r>
    </w:p>
    <w:p>
      <w:pPr>
        <w:rPr>
          <w:u w:val="none"/>
        </w:rPr>
      </w:pPr>
      <w:r>
        <w:rPr>
          <w:rFonts w:hint="eastAsia"/>
          <w:u w:val="none"/>
        </w:rPr>
        <w:t>(4)地下水</w:t>
      </w:r>
    </w:p>
    <w:p>
      <w:pPr>
        <w:rPr>
          <w:rFonts w:hint="eastAsia"/>
          <w:u w:val="none"/>
        </w:rPr>
      </w:pPr>
      <w:r>
        <w:rPr>
          <w:rFonts w:hint="eastAsia"/>
          <w:u w:val="none"/>
        </w:rPr>
        <w:t>猪场高浓度污水直接排入土壤，废水中的氮、磷以及其他有毒有害成分渗入地下污染地下水，导致地下水水质下降，严重时，造成地下水发黑发臭，推动功能，一旦造成地下水污染，极难治理恢复，从面造成持久性污染。</w:t>
      </w:r>
    </w:p>
    <w:p>
      <w:pPr>
        <w:rPr>
          <w:u w:val="none"/>
        </w:rPr>
      </w:pPr>
      <w:r>
        <w:rPr>
          <w:rFonts w:hint="eastAsia"/>
          <w:u w:val="none"/>
          <w:lang w:eastAsia="zh-CN"/>
        </w:rPr>
        <w:t>因此，</w:t>
      </w:r>
      <w:r>
        <w:rPr>
          <w:rFonts w:hint="eastAsia"/>
          <w:u w:val="none"/>
        </w:rPr>
        <w:t>项目</w:t>
      </w:r>
      <w:r>
        <w:rPr>
          <w:u w:val="none"/>
        </w:rPr>
        <w:t>在</w:t>
      </w:r>
      <w:r>
        <w:rPr>
          <w:rFonts w:hint="eastAsia"/>
          <w:u w:val="none"/>
        </w:rPr>
        <w:t>发酵池边</w:t>
      </w:r>
      <w:r>
        <w:rPr>
          <w:u w:val="none"/>
        </w:rPr>
        <w:t>设置</w:t>
      </w:r>
      <w:r>
        <w:rPr>
          <w:rFonts w:hint="eastAsia"/>
          <w:u w:val="none"/>
          <w:lang w:val="en-US" w:eastAsia="zh-CN"/>
        </w:rPr>
        <w:t>12000</w:t>
      </w:r>
      <w:r>
        <w:rPr>
          <w:rFonts w:hint="eastAsia"/>
          <w:u w:val="none"/>
        </w:rPr>
        <w:t>m</w:t>
      </w:r>
      <w:r>
        <w:rPr>
          <w:rFonts w:hint="eastAsia"/>
          <w:u w:val="none"/>
          <w:vertAlign w:val="superscript"/>
        </w:rPr>
        <w:t>3</w:t>
      </w:r>
      <w:r>
        <w:rPr>
          <w:rFonts w:hint="eastAsia"/>
          <w:u w:val="none"/>
        </w:rPr>
        <w:t>沼液贮存池</w:t>
      </w:r>
      <w:r>
        <w:rPr>
          <w:u w:val="none"/>
        </w:rPr>
        <w:t>，</w:t>
      </w:r>
      <w:r>
        <w:rPr>
          <w:rFonts w:hint="eastAsia"/>
          <w:u w:val="none"/>
        </w:rPr>
        <w:t>加上</w:t>
      </w:r>
      <w:r>
        <w:rPr>
          <w:rFonts w:hint="eastAsia"/>
          <w:u w:val="none"/>
          <w:lang w:eastAsia="zh-CN"/>
        </w:rPr>
        <w:t>堆肥</w:t>
      </w:r>
      <w:r>
        <w:rPr>
          <w:rFonts w:hint="eastAsia"/>
          <w:u w:val="none"/>
        </w:rPr>
        <w:t>同时进行处理，可存储</w:t>
      </w:r>
      <w:r>
        <w:rPr>
          <w:u w:val="none"/>
        </w:rPr>
        <w:t>正常生产时</w:t>
      </w:r>
      <w:r>
        <w:rPr>
          <w:rFonts w:hint="eastAsia"/>
          <w:u w:val="none"/>
        </w:rPr>
        <w:t>90天产生的沼液量</w:t>
      </w:r>
      <w:r>
        <w:rPr>
          <w:u w:val="none"/>
        </w:rPr>
        <w:t>，</w:t>
      </w:r>
      <w:r>
        <w:rPr>
          <w:rFonts w:hint="eastAsia"/>
          <w:u w:val="none"/>
        </w:rPr>
        <w:t>当出现极端天气不能施肥时，可有效存储沼液</w:t>
      </w:r>
      <w:r>
        <w:rPr>
          <w:u w:val="none"/>
        </w:rPr>
        <w:t>。</w:t>
      </w:r>
    </w:p>
    <w:p>
      <w:pPr>
        <w:pStyle w:val="5"/>
        <w:bidi w:val="0"/>
        <w:rPr>
          <w:u w:val="none"/>
        </w:rPr>
      </w:pPr>
      <w:r>
        <w:rPr>
          <w:u w:val="none"/>
        </w:rPr>
        <w:t>环境风险</w:t>
      </w:r>
      <w:r>
        <w:rPr>
          <w:rFonts w:hint="eastAsia"/>
          <w:u w:val="none"/>
          <w:lang w:eastAsia="zh-CN"/>
        </w:rPr>
        <w:t>防范措施</w:t>
      </w:r>
      <w:r>
        <w:rPr>
          <w:u w:val="none"/>
        </w:rPr>
        <w:t>措施</w:t>
      </w:r>
      <w:r>
        <w:rPr>
          <w:rFonts w:hint="eastAsia"/>
          <w:u w:val="none"/>
          <w:lang w:eastAsia="zh-CN"/>
        </w:rPr>
        <w:t>及应急要求</w:t>
      </w:r>
    </w:p>
    <w:p>
      <w:pPr>
        <w:bidi w:val="0"/>
        <w:rPr>
          <w:u w:val="none"/>
        </w:rPr>
      </w:pPr>
      <w:bookmarkStart w:id="412" w:name="_Toc468689268"/>
      <w:r>
        <w:rPr>
          <w:rFonts w:hint="eastAsia"/>
          <w:u w:val="none"/>
          <w:lang w:val="en-US" w:eastAsia="zh-CN"/>
        </w:rPr>
        <w:t>4.3.5.1</w:t>
      </w:r>
      <w:r>
        <w:rPr>
          <w:rFonts w:hint="eastAsia"/>
          <w:u w:val="none"/>
        </w:rPr>
        <w:t>沼气泄漏事故防范措施</w:t>
      </w:r>
    </w:p>
    <w:p>
      <w:pPr>
        <w:rPr>
          <w:u w:val="none"/>
        </w:rPr>
      </w:pPr>
      <w:r>
        <w:rPr>
          <w:u w:val="none"/>
        </w:rPr>
        <w:t>（1）沼气工程的设计应严格执行《规模化畜禽养殖场沼气工程设计规范》，生产的沼气经净化系统后方可以进入贮气柜，净化系统处理后的沼气质量指标，应符合下列要求：甲烷含量55%以上；硫化氢含量小于20mg/m</w:t>
      </w:r>
      <w:r>
        <w:rPr>
          <w:u w:val="none"/>
          <w:vertAlign w:val="superscript"/>
        </w:rPr>
        <w:t>3</w:t>
      </w:r>
      <w:r>
        <w:rPr>
          <w:u w:val="none"/>
        </w:rPr>
        <w:t>。</w:t>
      </w:r>
    </w:p>
    <w:p>
      <w:pPr>
        <w:rPr>
          <w:u w:val="none"/>
        </w:rPr>
      </w:pPr>
      <w:r>
        <w:rPr>
          <w:u w:val="none"/>
        </w:rPr>
        <w:t>（2）厂房内设置布置严格执行国家有关防火防爆的规范、规定，设备之间保证有足够的安全间距，并按要求设置消防通道；</w:t>
      </w:r>
    </w:p>
    <w:p>
      <w:pPr>
        <w:rPr>
          <w:u w:val="none"/>
        </w:rPr>
      </w:pPr>
      <w:r>
        <w:rPr>
          <w:u w:val="none"/>
        </w:rPr>
        <w:t>（3）尽量采用技术先进和安全可靠的设备，并按国家有关规定在车间内设置必要的安全卫生设施；</w:t>
      </w:r>
    </w:p>
    <w:p>
      <w:pPr>
        <w:rPr>
          <w:u w:val="none"/>
        </w:rPr>
      </w:pPr>
      <w:r>
        <w:rPr>
          <w:u w:val="none"/>
        </w:rPr>
        <w:t>（4）设备、管道、管件等均采用可靠的密封技术，使沼气池、贮气罐和输送过程都在密闭的情况下进行，防止沼气泄漏；</w:t>
      </w:r>
    </w:p>
    <w:p>
      <w:pPr>
        <w:rPr>
          <w:u w:val="none"/>
        </w:rPr>
      </w:pPr>
      <w:r>
        <w:rPr>
          <w:u w:val="none"/>
        </w:rPr>
        <w:t>（5）贮气柜严格按照《压力容器安全技术监察规程》的有关规定进行设计，并按规定装设安全阀，防治超压后的危害；</w:t>
      </w:r>
    </w:p>
    <w:p>
      <w:pPr>
        <w:rPr>
          <w:u w:val="none"/>
        </w:rPr>
      </w:pPr>
      <w:r>
        <w:rPr>
          <w:u w:val="none"/>
        </w:rPr>
        <w:t>（6）对爆炸、火灾危害场所内可能产生静电危害的物体采取工业静电防范措施；</w:t>
      </w:r>
    </w:p>
    <w:p>
      <w:pPr>
        <w:rPr>
          <w:u w:val="none"/>
        </w:rPr>
      </w:pPr>
      <w:r>
        <w:rPr>
          <w:u w:val="none"/>
        </w:rPr>
        <w:t>（7）在中央控制室和消防值班室设有火警专线电话，以确保紧急情况下通讯畅通；</w:t>
      </w:r>
    </w:p>
    <w:p>
      <w:pPr>
        <w:rPr>
          <w:rFonts w:hint="eastAsia" w:eastAsiaTheme="minorEastAsia"/>
          <w:u w:val="none"/>
          <w:lang w:eastAsia="zh-CN"/>
        </w:rPr>
      </w:pPr>
      <w:r>
        <w:rPr>
          <w:u w:val="none"/>
        </w:rPr>
        <w:t>（8）在</w:t>
      </w:r>
      <w:r>
        <w:rPr>
          <w:rFonts w:hint="eastAsia"/>
          <w:u w:val="none"/>
        </w:rPr>
        <w:t>沼气罐</w:t>
      </w:r>
      <w:r>
        <w:rPr>
          <w:u w:val="none"/>
        </w:rPr>
        <w:t>附近应设置事故柜和急救器材、救生器、防护面罩、衣、护目镜、胶皮手套、耳塞等防护、急救用具、用品</w:t>
      </w:r>
      <w:r>
        <w:rPr>
          <w:rFonts w:hint="eastAsia"/>
          <w:u w:val="none"/>
          <w:lang w:eastAsia="zh-CN"/>
        </w:rPr>
        <w:t>；</w:t>
      </w:r>
    </w:p>
    <w:p>
      <w:pPr>
        <w:rPr>
          <w:u w:val="none"/>
        </w:rPr>
      </w:pPr>
      <w:r>
        <w:rPr>
          <w:u w:val="none"/>
        </w:rPr>
        <w:t>（9）提高安全意识，制定各项环保安全制度。</w:t>
      </w:r>
    </w:p>
    <w:p>
      <w:pPr>
        <w:rPr>
          <w:u w:val="none"/>
        </w:rPr>
      </w:pPr>
      <w:r>
        <w:rPr>
          <w:u w:val="none"/>
        </w:rPr>
        <w:t>此外沼气站的日常运行管理应按如下安全准则进行：</w:t>
      </w:r>
    </w:p>
    <w:p>
      <w:pPr>
        <w:rPr>
          <w:u w:val="none"/>
        </w:rPr>
      </w:pPr>
      <w:r>
        <w:rPr>
          <w:u w:val="none"/>
        </w:rPr>
        <w:t>（1）沼气池的进、出料口要加盖，避免造成人、畜伤亡。</w:t>
      </w:r>
    </w:p>
    <w:p>
      <w:pPr>
        <w:rPr>
          <w:u w:val="none"/>
        </w:rPr>
      </w:pPr>
      <w:r>
        <w:rPr>
          <w:u w:val="none"/>
        </w:rPr>
        <w:t>（2）人进入沼气池前，须先用小动物做实验，确信安全人员后方可入池。</w:t>
      </w:r>
    </w:p>
    <w:p>
      <w:pPr>
        <w:rPr>
          <w:u w:val="none"/>
        </w:rPr>
      </w:pPr>
      <w:r>
        <w:rPr>
          <w:u w:val="none"/>
        </w:rPr>
        <w:t>（3）如果池内发生中毒事件，应立即提起安全带将人救出。或者立即向池内鼓风、尽快排出沼气，然后入池抢救，千万不可盲目下池，以免发生连续中毒事件。</w:t>
      </w:r>
    </w:p>
    <w:p>
      <w:pPr>
        <w:rPr>
          <w:u w:val="none"/>
        </w:rPr>
      </w:pPr>
      <w:r>
        <w:rPr>
          <w:u w:val="none"/>
        </w:rPr>
        <w:t>（4）应在设计单位指导下制定火警、易燃气体泄漏、爆炸、自然灾害等意外事件的紧急应变计划；配备消火栓、火器等消防器材和保护安全器。</w:t>
      </w:r>
    </w:p>
    <w:p>
      <w:pPr>
        <w:rPr>
          <w:u w:val="none"/>
        </w:rPr>
      </w:pPr>
      <w:r>
        <w:rPr>
          <w:u w:val="none"/>
        </w:rPr>
        <w:t xml:space="preserve">（5）沼气池并非垃圾坑，严禁向池内投放各种农药及重金属化合物、盐类等有机废弃物，以免沼气池中毒。 </w:t>
      </w:r>
    </w:p>
    <w:bookmarkEnd w:id="412"/>
    <w:p>
      <w:pPr>
        <w:bidi w:val="0"/>
        <w:rPr>
          <w:u w:val="none"/>
        </w:rPr>
      </w:pPr>
      <w:r>
        <w:rPr>
          <w:rFonts w:hint="eastAsia"/>
          <w:u w:val="none"/>
          <w:lang w:val="en-US" w:eastAsia="zh-CN"/>
        </w:rPr>
        <w:t>4.3.5.2</w:t>
      </w:r>
      <w:r>
        <w:rPr>
          <w:rFonts w:hint="eastAsia"/>
          <w:u w:val="none"/>
          <w:lang w:eastAsia="zh-CN"/>
        </w:rPr>
        <w:t>养殖区</w:t>
      </w:r>
      <w:r>
        <w:rPr>
          <w:rFonts w:hint="eastAsia"/>
          <w:u w:val="none"/>
        </w:rPr>
        <w:t>事故防范措施</w:t>
      </w:r>
    </w:p>
    <w:p>
      <w:pPr>
        <w:rPr>
          <w:u w:val="none"/>
        </w:rPr>
      </w:pPr>
      <w:r>
        <w:rPr>
          <w:u w:val="none"/>
        </w:rPr>
        <w:t>①</w:t>
      </w:r>
      <w:r>
        <w:rPr>
          <w:rFonts w:hint="eastAsia"/>
          <w:u w:val="none"/>
        </w:rPr>
        <w:t>猪舍</w:t>
      </w:r>
      <w:r>
        <w:rPr>
          <w:u w:val="none"/>
        </w:rPr>
        <w:t>按照《畜禽养殖业污染防治技术规范》（HJ/T81-2001）的规定要求搞好防渗措施，采用水泥地面，防止渗滤液泄漏污染地下水；</w:t>
      </w:r>
    </w:p>
    <w:p>
      <w:pPr>
        <w:rPr>
          <w:u w:val="none"/>
        </w:rPr>
      </w:pPr>
      <w:r>
        <w:rPr>
          <w:u w:val="none"/>
        </w:rPr>
        <w:t>②养殖场的排水系统应实行雨水和污水收集输送系统分离，避免雨水进入</w:t>
      </w:r>
      <w:r>
        <w:rPr>
          <w:rFonts w:hint="eastAsia"/>
          <w:u w:val="none"/>
        </w:rPr>
        <w:t>废水发酵设施中</w:t>
      </w:r>
      <w:r>
        <w:rPr>
          <w:u w:val="none"/>
        </w:rPr>
        <w:t>；</w:t>
      </w:r>
    </w:p>
    <w:p>
      <w:pPr>
        <w:rPr>
          <w:u w:val="none"/>
        </w:rPr>
      </w:pPr>
      <w:r>
        <w:rPr>
          <w:u w:val="none"/>
        </w:rPr>
        <w:t>③</w:t>
      </w:r>
      <w:r>
        <w:rPr>
          <w:rFonts w:hint="eastAsia"/>
          <w:u w:val="none"/>
        </w:rPr>
        <w:t>猪舍、发酵床等构筑物</w:t>
      </w:r>
      <w:r>
        <w:rPr>
          <w:u w:val="none"/>
        </w:rPr>
        <w:t>周围设置截水沟，防止雨水进入造成溢流污染地下水；</w:t>
      </w:r>
    </w:p>
    <w:p>
      <w:pPr>
        <w:bidi w:val="0"/>
        <w:rPr>
          <w:u w:val="none"/>
        </w:rPr>
      </w:pPr>
      <w:r>
        <w:rPr>
          <w:rFonts w:hint="eastAsia"/>
          <w:u w:val="none"/>
          <w:lang w:val="en-US" w:eastAsia="zh-CN"/>
        </w:rPr>
        <w:t>4.3.5.3</w:t>
      </w:r>
      <w:r>
        <w:rPr>
          <w:rFonts w:hint="eastAsia"/>
          <w:u w:val="none"/>
          <w:lang w:eastAsia="zh-CN"/>
        </w:rPr>
        <w:t>废水排放</w:t>
      </w:r>
      <w:r>
        <w:rPr>
          <w:rFonts w:hint="eastAsia"/>
          <w:u w:val="none"/>
        </w:rPr>
        <w:t>事故防范措施</w:t>
      </w:r>
    </w:p>
    <w:p>
      <w:pPr>
        <w:rPr>
          <w:u w:val="none"/>
        </w:rPr>
      </w:pPr>
      <w:r>
        <w:rPr>
          <w:u w:val="none"/>
        </w:rPr>
        <w:t>①废水收集、贮存设施和管道应做好防渗防漏措施，并经常检查。</w:t>
      </w:r>
    </w:p>
    <w:p>
      <w:pPr>
        <w:rPr>
          <w:u w:val="none"/>
        </w:rPr>
      </w:pPr>
      <w:r>
        <w:rPr>
          <w:u w:val="none"/>
        </w:rPr>
        <w:t>②</w:t>
      </w:r>
      <w:r>
        <w:rPr>
          <w:rFonts w:hint="eastAsia"/>
          <w:u w:val="none"/>
        </w:rPr>
        <w:t>加强事故监控。企业内部</w:t>
      </w:r>
      <w:r>
        <w:rPr>
          <w:u w:val="none"/>
        </w:rPr>
        <w:t>人员应定期巡检，对于管道、污水处理装备要定期进行维护。及时发现各种可能引起养殖废水事故排放的异常情形，并在相关人员的配合下消除事故隐患。</w:t>
      </w:r>
    </w:p>
    <w:p>
      <w:pPr>
        <w:pStyle w:val="5"/>
        <w:bidi w:val="0"/>
        <w:rPr>
          <w:u w:val="none"/>
        </w:rPr>
      </w:pPr>
      <w:bookmarkStart w:id="413" w:name="_Toc476323455"/>
      <w:bookmarkStart w:id="414" w:name="_Toc363150037"/>
      <w:r>
        <w:rPr>
          <w:u w:val="none"/>
        </w:rPr>
        <w:t>风险评价结论</w:t>
      </w:r>
      <w:bookmarkEnd w:id="413"/>
      <w:bookmarkEnd w:id="414"/>
    </w:p>
    <w:p>
      <w:pPr>
        <w:rPr>
          <w:u w:val="none"/>
        </w:rPr>
      </w:pPr>
      <w:r>
        <w:rPr>
          <w:u w:val="none"/>
        </w:rPr>
        <w:t>综合分析，该项目风险评价结论如下：</w:t>
      </w:r>
    </w:p>
    <w:p>
      <w:pPr>
        <w:rPr>
          <w:rFonts w:hint="eastAsia" w:eastAsiaTheme="minorEastAsia"/>
          <w:u w:val="none"/>
          <w:lang w:eastAsia="zh-CN"/>
        </w:rPr>
        <w:sectPr>
          <w:pgSz w:w="11850" w:h="16783"/>
          <w:pgMar w:top="1440" w:right="1800" w:bottom="1440" w:left="1800" w:header="851" w:footer="1134" w:gutter="0"/>
          <w:pgNumType w:fmt="decimal"/>
          <w:cols w:space="720" w:num="1"/>
          <w:docGrid w:type="lines" w:linePitch="312" w:charSpace="0"/>
        </w:sectPr>
      </w:pPr>
      <w:r>
        <w:rPr>
          <w:u w:val="none"/>
        </w:rPr>
        <w:t>评价认为，该项目废水</w:t>
      </w:r>
      <w:r>
        <w:rPr>
          <w:rFonts w:hint="eastAsia"/>
          <w:u w:val="none"/>
          <w:lang w:eastAsia="zh-CN"/>
        </w:rPr>
        <w:t>、废气</w:t>
      </w:r>
      <w:r>
        <w:rPr>
          <w:u w:val="none"/>
        </w:rPr>
        <w:t>事故性排放的可能性不大。企业采取相应的废水</w:t>
      </w:r>
      <w:r>
        <w:rPr>
          <w:rFonts w:hint="eastAsia"/>
          <w:u w:val="none"/>
          <w:lang w:eastAsia="zh-CN"/>
        </w:rPr>
        <w:t>、废气等</w:t>
      </w:r>
      <w:r>
        <w:rPr>
          <w:u w:val="none"/>
        </w:rPr>
        <w:t>风险防范措施以及加强管理后，该风险是可</w:t>
      </w:r>
      <w:r>
        <w:rPr>
          <w:rFonts w:hint="eastAsia"/>
          <w:u w:val="none"/>
          <w:lang w:eastAsia="zh-CN"/>
        </w:rPr>
        <w:t>防控</w:t>
      </w:r>
      <w:r>
        <w:rPr>
          <w:u w:val="none"/>
        </w:rPr>
        <w:t>的</w:t>
      </w:r>
      <w:r>
        <w:rPr>
          <w:rFonts w:hint="eastAsia"/>
          <w:u w:val="none"/>
          <w:lang w:eastAsia="zh-CN"/>
        </w:rPr>
        <w:t>。</w:t>
      </w:r>
    </w:p>
    <w:p>
      <w:pPr>
        <w:pStyle w:val="2"/>
        <w:bidi w:val="0"/>
      </w:pPr>
      <w:bookmarkStart w:id="415" w:name="_Toc468689227"/>
      <w:bookmarkStart w:id="416" w:name="_Toc289344583"/>
      <w:bookmarkStart w:id="417" w:name="_Toc30880"/>
      <w:r>
        <w:t>环境保护措施</w:t>
      </w:r>
      <w:bookmarkEnd w:id="415"/>
      <w:bookmarkEnd w:id="416"/>
      <w:r>
        <w:t>及经济技术论证</w:t>
      </w:r>
      <w:bookmarkEnd w:id="417"/>
    </w:p>
    <w:p>
      <w:pPr>
        <w:pStyle w:val="4"/>
        <w:bidi w:val="0"/>
      </w:pPr>
      <w:bookmarkStart w:id="418" w:name="_Toc16793"/>
      <w:bookmarkStart w:id="419" w:name="_Toc289344585"/>
      <w:bookmarkStart w:id="420" w:name="_Toc468689236"/>
      <w:r>
        <w:t>施工期污染防治措施及可行性论证</w:t>
      </w:r>
      <w:bookmarkEnd w:id="418"/>
    </w:p>
    <w:p>
      <w:r>
        <w:rPr>
          <w:rFonts w:hint="eastAsia"/>
        </w:rPr>
        <w:t>建设方应在施工合同中明确施工方的有关环境保护条款的内容，明确双方的义务和职责，加强施工队伍的环保意识，做好施工规划，明确施工范围和安排。</w:t>
      </w:r>
      <w:r>
        <w:t>施工单位应根据《建设工程施工现场管理规定》规定设置施工标志牌、现场平面布置图和安全生产、消防保卫、环境保护、文明施工制度板</w:t>
      </w:r>
      <w:r>
        <w:rPr>
          <w:rFonts w:hint="eastAsia"/>
        </w:rPr>
        <w:t>，</w:t>
      </w:r>
      <w:r>
        <w:t>并根据气象、季节合理安排施工时间，风力大于4级时，停止有扬尘产生的各种施工。</w:t>
      </w:r>
      <w:r>
        <w:rPr>
          <w:rFonts w:hint="eastAsia"/>
        </w:rPr>
        <w:t>施工期建设方应设专人对施工期的环境影响进行管理和监督，并和交通部门及有关部门一起做好交通和有关的管理，及时处理有关问题。</w:t>
      </w:r>
    </w:p>
    <w:p>
      <w:pPr>
        <w:pStyle w:val="5"/>
        <w:bidi w:val="0"/>
      </w:pPr>
      <w:r>
        <w:t>施工期大气污染防治措施</w:t>
      </w:r>
    </w:p>
    <w:p>
      <w:r>
        <w:rPr>
          <w:lang w:val="zh-CN"/>
        </w:rPr>
        <w:t>为使拟建项目在施工期扬尘对周围环境空气的影响减少到尽可能小的限度，严格落实</w:t>
      </w:r>
      <w:r>
        <w:t>《常德市建筑施工扬尘防治管理规定》（常建通〔2017〕50号）</w:t>
      </w:r>
      <w:r>
        <w:rPr>
          <w:lang w:val="zh-CN"/>
        </w:rPr>
        <w:t>相关规定，建议采取以下防护措施：</w:t>
      </w:r>
    </w:p>
    <w:p>
      <w:r>
        <w:rPr>
          <w:rFonts w:hint="eastAsia"/>
          <w:lang w:val="zh-CN"/>
        </w:rPr>
        <w:t>（</w:t>
      </w:r>
      <w:r>
        <w:rPr>
          <w:lang w:val="zh-CN"/>
        </w:rPr>
        <w:t>1</w:t>
      </w:r>
      <w:r>
        <w:rPr>
          <w:rFonts w:hint="eastAsia"/>
          <w:lang w:val="zh-CN"/>
        </w:rPr>
        <w:t>）</w:t>
      </w:r>
      <w:r>
        <w:rPr>
          <w:lang w:val="zh-CN"/>
        </w:rPr>
        <w:t>对施工作业面、临时土堆、施工道路勤洒水，使其保持一定的湿度，减小起尘量。根据一般情况下的洒水实验效果，每天洒水4-5次，可有效地控制施工扬尘，可使扬尘减少70%左右，可将TSP的污染距离缩小到20-50m范围内，可见洒水后扬尘对环境的影响很小。</w:t>
      </w:r>
    </w:p>
    <w:p>
      <w:r>
        <w:rPr>
          <w:rFonts w:hint="eastAsia"/>
          <w:lang w:val="zh-CN"/>
        </w:rPr>
        <w:t>（</w:t>
      </w:r>
      <w:r>
        <w:rPr>
          <w:lang w:val="zh-CN"/>
        </w:rPr>
        <w:t>2</w:t>
      </w:r>
      <w:r>
        <w:rPr>
          <w:rFonts w:hint="eastAsia"/>
          <w:lang w:val="zh-CN"/>
        </w:rPr>
        <w:t>）</w:t>
      </w:r>
      <w:r>
        <w:rPr>
          <w:lang w:val="zh-CN"/>
        </w:rPr>
        <w:t>对细砂、水泥、临时土堆等易扬尘材料堆场加盖帆布之类围布进行遮蔽，防止扬尘的扩散；对施工场地内的建筑垃圾以及弃土应及时处理、清运、以减少占地，防止扬尘污染，改善施工场地的环境。土石方及地下工程施工过程中，未开挖部分应当用防尘网覆盖；做到随挖随外运，减少开挖过程中土方裸露时间；施工现场土方开挖后应尽快回填，回填后的地面和不能及时回填的裸露场地，应采取混凝土硬化或防尘网覆盖的防尘措施。</w:t>
      </w:r>
    </w:p>
    <w:p>
      <w:r>
        <w:rPr>
          <w:rFonts w:hint="eastAsia"/>
          <w:lang w:val="zh-CN"/>
        </w:rPr>
        <w:t>（</w:t>
      </w:r>
      <w:r>
        <w:rPr>
          <w:lang w:val="zh-CN"/>
        </w:rPr>
        <w:t>3</w:t>
      </w:r>
      <w:r>
        <w:rPr>
          <w:rFonts w:hint="eastAsia"/>
          <w:lang w:val="zh-CN"/>
        </w:rPr>
        <w:t>）</w:t>
      </w:r>
      <w:r>
        <w:rPr>
          <w:lang w:val="zh-CN"/>
        </w:rPr>
        <w:t>砌筑、抹灰时的落地灰应及时清扫，不得在未实施洒水等抑尘措施情况下进行直接清扫。</w:t>
      </w:r>
    </w:p>
    <w:p>
      <w:r>
        <w:rPr>
          <w:rFonts w:hint="eastAsia"/>
          <w:lang w:val="zh-CN"/>
        </w:rPr>
        <w:t>（</w:t>
      </w:r>
      <w:r>
        <w:rPr>
          <w:lang w:val="zh-CN"/>
        </w:rPr>
        <w:t>4</w:t>
      </w:r>
      <w:r>
        <w:rPr>
          <w:rFonts w:hint="eastAsia"/>
          <w:lang w:val="zh-CN"/>
        </w:rPr>
        <w:t>）</w:t>
      </w:r>
      <w:r>
        <w:rPr>
          <w:lang w:val="zh-CN"/>
        </w:rPr>
        <w:t>施工现场严禁大量堆码砂石、水泥、石灰等散体材料，必须使用预拌混凝土和预拌砂浆，严禁现场批量搅拌。对于少量的搅拌、粉碎、筛分、切割等作业活动，应在封闭条件下进行，并采取降尘防尘措施。零星水泥、石灰、砂石、粉煤灰、聚苯颗粒、陶粒、白灰、腻子粉、石膏粉等易产生扬尘的物料应当分类密闭存放，不能密闭的应当在其周围砌筑高度不小于0.5米的围挡，物料上方采取有效覆盖措施防止扬尘，并悬挂标识牌。</w:t>
      </w:r>
    </w:p>
    <w:p>
      <w:r>
        <w:rPr>
          <w:rFonts w:hint="eastAsia"/>
          <w:lang w:val="zh-CN"/>
        </w:rPr>
        <w:t>（</w:t>
      </w:r>
      <w:r>
        <w:rPr>
          <w:lang w:val="zh-CN"/>
        </w:rPr>
        <w:t>5</w:t>
      </w:r>
      <w:r>
        <w:rPr>
          <w:rFonts w:hint="eastAsia"/>
          <w:lang w:val="zh-CN"/>
        </w:rPr>
        <w:t>）</w:t>
      </w:r>
      <w:r>
        <w:rPr>
          <w:lang w:val="zh-CN"/>
        </w:rPr>
        <w:t>施工场地周围修建围墙围护，施工现场围墙范围内所有闲置场地应进行硬化或绿化，闲置场地裸露地面的裸露时间不得超过7天。闲置时间在2个月以内的可采用满铺防尘网覆盖，闲置时间在2个月及以上的必须硬化或绿化。减少施工场地扬尘散发距离。</w:t>
      </w:r>
    </w:p>
    <w:p>
      <w:r>
        <w:rPr>
          <w:rFonts w:hint="eastAsia"/>
          <w:lang w:val="zh-CN"/>
        </w:rPr>
        <w:t>（</w:t>
      </w:r>
      <w:r>
        <w:rPr>
          <w:lang w:val="zh-CN"/>
        </w:rPr>
        <w:t>6</w:t>
      </w:r>
      <w:r>
        <w:rPr>
          <w:rFonts w:hint="eastAsia"/>
          <w:lang w:val="zh-CN"/>
        </w:rPr>
        <w:t>）</w:t>
      </w:r>
      <w:r>
        <w:rPr>
          <w:lang w:val="zh-CN"/>
        </w:rPr>
        <w:t>施工现场的围挡上方必须沿围挡加装喷雾系统，每隔2米设置1个高压雾化喷头，施工区域要能形成大量水雾，吸附工地上扬起的粉尘颗粒物；施工期间除雨天外每小时开动喷雾系统不少于30分钟，时间间隔为10分钟。</w:t>
      </w:r>
    </w:p>
    <w:p>
      <w:r>
        <w:rPr>
          <w:rFonts w:hint="eastAsia"/>
          <w:lang w:val="zh-CN"/>
        </w:rPr>
        <w:t>（</w:t>
      </w:r>
      <w:r>
        <w:rPr>
          <w:lang w:val="zh-CN"/>
        </w:rPr>
        <w:t>7</w:t>
      </w:r>
      <w:r>
        <w:rPr>
          <w:rFonts w:hint="eastAsia"/>
          <w:lang w:val="zh-CN"/>
        </w:rPr>
        <w:t>）</w:t>
      </w:r>
      <w:r>
        <w:rPr>
          <w:lang w:val="zh-CN"/>
        </w:rPr>
        <w:t>施工现场所有车辆出口应按规定设置专用</w:t>
      </w:r>
      <w:r>
        <w:t>输车辆轮胎清洗设</w:t>
      </w:r>
      <w:r>
        <w:rPr>
          <w:lang w:val="zh-CN"/>
        </w:rPr>
        <w:t>施，包括冲洗平台、自动洗车机、过水槽、冲洗软管、冲洗枪、排水沟、</w:t>
      </w:r>
      <w:r>
        <w:t>泥浆沉淀设施、</w:t>
      </w:r>
      <w:r>
        <w:rPr>
          <w:lang w:val="zh-CN"/>
        </w:rPr>
        <w:t>循环用水装置等，必须收集洗车过程中产生的废水和泥浆，确保车辆不带泥上路、净车出场。</w:t>
      </w:r>
    </w:p>
    <w:p>
      <w:r>
        <w:rPr>
          <w:rFonts w:hint="eastAsia"/>
        </w:rPr>
        <w:t>（</w:t>
      </w:r>
      <w:r>
        <w:t>8</w:t>
      </w:r>
      <w:r>
        <w:rPr>
          <w:rFonts w:hint="eastAsia"/>
          <w:lang w:val="zh-CN"/>
        </w:rPr>
        <w:t>）</w:t>
      </w:r>
      <w:r>
        <w:rPr>
          <w:lang w:val="zh-CN"/>
        </w:rPr>
        <w:t>施工材料运输车辆运输水泥、砂石、</w:t>
      </w:r>
      <w:r>
        <w:t>垃圾和工程渣土</w:t>
      </w:r>
      <w:r>
        <w:rPr>
          <w:lang w:val="zh-CN"/>
        </w:rPr>
        <w:t>等</w:t>
      </w:r>
      <w:r>
        <w:t>建筑散体物料</w:t>
      </w:r>
      <w:r>
        <w:rPr>
          <w:lang w:val="zh-CN"/>
        </w:rPr>
        <w:t>，不宜装载过满，</w:t>
      </w:r>
      <w:r>
        <w:t>装载的垃圾渣土高度不得超过车辆槽帮上沿，</w:t>
      </w:r>
      <w:r>
        <w:rPr>
          <w:lang w:val="zh-CN"/>
        </w:rPr>
        <w:t>同时要采取相应的遮盖、封闭措施，避免土石方和水泥等洒落形成粉尘，对不慎洒落的沙土和建筑材料，应及时清理。</w:t>
      </w:r>
      <w:r>
        <w:t>零星建筑废土逐步推行袋装转运。</w:t>
      </w:r>
    </w:p>
    <w:p>
      <w:r>
        <w:rPr>
          <w:rFonts w:hint="eastAsia"/>
          <w:lang w:val="zh-CN"/>
        </w:rPr>
        <w:t>（</w:t>
      </w:r>
      <w:r>
        <w:rPr>
          <w:lang w:val="zh-CN"/>
        </w:rPr>
        <w:t>9</w:t>
      </w:r>
      <w:r>
        <w:rPr>
          <w:rFonts w:hint="eastAsia"/>
          <w:lang w:val="zh-CN"/>
        </w:rPr>
        <w:t>）</w:t>
      </w:r>
      <w:r>
        <w:t>主要交通道路经常洒水抑尘，减少运输过程中扬尘的产生。</w:t>
      </w:r>
    </w:p>
    <w:p>
      <w:r>
        <w:rPr>
          <w:rFonts w:hint="eastAsia"/>
        </w:rPr>
        <w:t>（</w:t>
      </w:r>
      <w:r>
        <w:t>10</w:t>
      </w:r>
      <w:r>
        <w:rPr>
          <w:rFonts w:hint="eastAsia"/>
        </w:rPr>
        <w:t>）</w:t>
      </w:r>
      <w:r>
        <w:t>建筑工地扫尾阶段，房内清扫出的垃圾必须装袋清运；外架拆除必须先用水喷洒后拆除，避免粉尘飞扬。</w:t>
      </w:r>
    </w:p>
    <w:p>
      <w:r>
        <w:t>综上所述，只要加强管理、切实落实好上述相应措施，施工场地扬尘对周围大气环境的影响将会大大降低，同时其对环境的影响也将随施工的结束而消失。</w:t>
      </w:r>
    </w:p>
    <w:p>
      <w:r>
        <w:t>此外，施工期的废气还有施工机械尾气，其为移动源分散排放，对周围环境空气影响较小。因此，本项目施工期的大气污染防治措施是可行的。</w:t>
      </w:r>
    </w:p>
    <w:p>
      <w:pPr>
        <w:pStyle w:val="5"/>
        <w:bidi w:val="0"/>
      </w:pPr>
      <w:bookmarkStart w:id="421" w:name="_Toc359485689"/>
      <w:r>
        <w:t>施工期废水污染防治措施</w:t>
      </w:r>
      <w:bookmarkEnd w:id="421"/>
    </w:p>
    <w:p>
      <w:r>
        <w:t>通过对施工期排水的合理组织设计、文明施工、加强工地管理、并采取有效的处理措施，可降低施工期废水对环境的影响。主要措施有：</w:t>
      </w:r>
    </w:p>
    <w:p>
      <w:r>
        <w:t>（1）施工期间，施工单位应严格执行《建设工程施工场地文明施工及环境管理暂行规定》，施工产生的泥浆水不得随意排放，在施工场地四周设置临时排水沟、临时沉沙池，将施工泥浆水和地表径流收集，并采用混凝沉淀法进行处理，上清液回用于场地洒水抑尘，沉渣委托其他单位定期清运填埋。</w:t>
      </w:r>
    </w:p>
    <w:p>
      <w:bookmarkStart w:id="422" w:name="_Toc359485690"/>
      <w:r>
        <w:t>（2）使用性能良好的汽车和施工机械，及时保养和维修，防止漏油；加强工地化学品管理，不得随便丢弃涂料等化学品容器，避免含油污水和化学品流入地表水体造成污染。施工机械、运输车辆的清洗废水应集中采取设置隔油沉淀池处理，将设备、车辆洗涤水简单处理后循环使用，禁止此类废水直接外排，经处理后全部回用于洒水抑尘和清洗。</w:t>
      </w:r>
    </w:p>
    <w:p>
      <w:r>
        <w:t>（3）施工形成的疏松土层要及时压实，视工程进展情况用木桩、沙包和塑料膜等对松土进行覆盖和压实，减少地表水的携沙量和污染物含量。</w:t>
      </w:r>
    </w:p>
    <w:p>
      <w:r>
        <w:t>（4）</w:t>
      </w:r>
      <w:r>
        <w:rPr>
          <w:rFonts w:hint="eastAsia"/>
        </w:rPr>
        <w:t>建设临时厕所、化粪池等临时生活设施对生活污水进行收集处理，生活污水经处理后可回用于场地洒水或附近林地灌溉。</w:t>
      </w:r>
    </w:p>
    <w:p>
      <w:r>
        <w:t>（5）在施工场地建设临时蓄水池，将开挖基础产生的地下排水收集储存，并回用于施工场地洒水抑尘。</w:t>
      </w:r>
    </w:p>
    <w:p>
      <w:r>
        <w:t>（6）在施工场地设置循环水池，将设备冷却水降温后循环使用，以节约用水。</w:t>
      </w:r>
    </w:p>
    <w:p>
      <w:r>
        <w:t>（7）车辆、设备冲洗水循环使用。</w:t>
      </w:r>
    </w:p>
    <w:p>
      <w:r>
        <w:t>（8）建设导流沟。施工单位应严格执行建设工程施工场地文明施工及环境管理有关规定，在施工场地建设临时导流沟，将暴雨径流引至雨水管网排放，避免雨水横流现象。对施工污水的排放进行组织设计，严禁乱排、乱流污染施工场。</w:t>
      </w:r>
    </w:p>
    <w:p>
      <w:r>
        <w:t>（9）工程结束后，拆除临时设施，及时绿化植草。</w:t>
      </w:r>
    </w:p>
    <w:p>
      <w:r>
        <w:rPr>
          <w:rFonts w:hint="eastAsia"/>
        </w:rPr>
        <w:t>采取上述措施，经济合理，技术可行，处理效果明显，有效减少了施工期废水对水环境的影响，</w:t>
      </w:r>
      <w:r>
        <w:t>因此，项目施工期的水污染防治措施是可行的。</w:t>
      </w:r>
    </w:p>
    <w:p>
      <w:pPr>
        <w:pStyle w:val="5"/>
        <w:bidi w:val="0"/>
      </w:pPr>
      <w:r>
        <w:rPr>
          <w:rFonts w:hint="eastAsia"/>
        </w:rPr>
        <w:t>噪声污染防治措施</w:t>
      </w:r>
    </w:p>
    <w:p>
      <w:r>
        <w:t>施工噪声的影响集中于施工时期、施工场界附近地域。因此，施工过程中必须严格遵守《建筑施工场界环境噪声排放标准》（GB12523－2011）标准的要求，严守操作规程，为减少噪声对</w:t>
      </w:r>
      <w:r>
        <w:rPr>
          <w:rFonts w:hint="eastAsia"/>
        </w:rPr>
        <w:t>周边</w:t>
      </w:r>
      <w:r>
        <w:t>声环境的影响，建议采取以下措施：</w:t>
      </w:r>
    </w:p>
    <w:p>
      <w:r>
        <w:t>（1）从声源上控制：</w:t>
      </w:r>
      <w:r>
        <w:rPr>
          <w:rFonts w:hint="eastAsia"/>
        </w:rPr>
        <w:t>合理选择施工机械，应选用低噪、高效的施工设备，施工过程中对施工设备进行维修保养，避免由于设备性能减退使噪声增大。</w:t>
      </w:r>
    </w:p>
    <w:p>
      <w:r>
        <w:t>（2）合理安排施工时间，避免在22：00-06：00之间进行高噪作业；因生产工艺上要求或者特殊需要必须连续作业的，必须有县级以上人民政府或者其有关主管部门的证明，必须公告附近居民。</w:t>
      </w:r>
    </w:p>
    <w:p>
      <w:r>
        <w:t>（3）物料运输应尽量安排在昼间进行，</w:t>
      </w:r>
      <w:r>
        <w:rPr>
          <w:rFonts w:hint="eastAsia"/>
        </w:rPr>
        <w:t>合理选择物料运输路线，物料运输过程中应尽量选择敏感目标相对较少的线路，从沿线敏感目标附近经过和出入现场时应低速行驶，禁鸣喇叭。</w:t>
      </w:r>
    </w:p>
    <w:p>
      <w:r>
        <w:t>（4）合理布置施工机械和施工强度，作好施工组织，并将高噪声设备安放在临时设备间内作业，以减缓噪声影响。</w:t>
      </w:r>
    </w:p>
    <w:p>
      <w:r>
        <w:t>（5）在不影响施工情况下将噪声设备尽量不集中安排，同时，对固定的机械设备尽量入棚操作；</w:t>
      </w:r>
    </w:p>
    <w:p>
      <w:r>
        <w:t>（</w:t>
      </w:r>
      <w:r>
        <w:rPr>
          <w:rFonts w:hint="eastAsia"/>
        </w:rPr>
        <w:t>6</w:t>
      </w:r>
      <w:r>
        <w:t>）施工现场不建混凝土搅拌站，所有混凝土均选用商品混凝土，避免混凝土搅拌机过程噪声对周围的影响；</w:t>
      </w:r>
    </w:p>
    <w:p>
      <w:r>
        <w:t>（</w:t>
      </w:r>
      <w:r>
        <w:rPr>
          <w:rFonts w:hint="eastAsia"/>
        </w:rPr>
        <w:t>7</w:t>
      </w:r>
      <w:r>
        <w:t>）施工时采用低振动的设备，对高振动设备采取减振措施，如在声源周围设置掩蔽物、加隔振垫等；</w:t>
      </w:r>
    </w:p>
    <w:p>
      <w:r>
        <w:t>（</w:t>
      </w:r>
      <w:r>
        <w:rPr>
          <w:rFonts w:hint="eastAsia"/>
        </w:rPr>
        <w:t>8</w:t>
      </w:r>
      <w:r>
        <w:t>）加强对施工场地的噪声管理，施工企业对施工噪声进行自律，文明施工，做到建筑材料的轻拿轻放，减少强烈碰撞产生的高噪声。</w:t>
      </w:r>
    </w:p>
    <w:p>
      <w:r>
        <w:rPr>
          <w:rFonts w:hint="eastAsia"/>
        </w:rPr>
        <w:t>采取上述措施之后，尽管施工噪声对环境产生一定的不利影响，但其影响具有阶段性、临时性和不固定性，一旦施工活动结束，施工噪声和振动也就随之结束，因而措施可行。</w:t>
      </w:r>
    </w:p>
    <w:p>
      <w:pPr>
        <w:pStyle w:val="5"/>
        <w:bidi w:val="0"/>
      </w:pPr>
      <w:r>
        <w:t>固体废物防治措施</w:t>
      </w:r>
      <w:bookmarkEnd w:id="422"/>
    </w:p>
    <w:p>
      <w:r>
        <w:rPr>
          <w:rFonts w:hint="eastAsia"/>
        </w:rPr>
        <w:t>施工期间固体废物主要来自工程建设过程产生的施工建筑垃圾、施工人员的生活垃圾等。</w:t>
      </w:r>
      <w:r>
        <w:t>根据《城市建筑垃圾管理规定》（建设部令第139号）有关规定，建设单位和施工单位要重视和加强建筑垃圾的管理，采取积极措施防止其对环境的污染。环评建议采取如下措施：</w:t>
      </w:r>
    </w:p>
    <w:p>
      <w:r>
        <w:rPr>
          <w:rFonts w:hint="eastAsia"/>
        </w:rPr>
        <w:t>（1）工程建设过程中产生的</w:t>
      </w:r>
      <w:r>
        <w:t>建筑垃圾进行分类收集、分类暂存，能够回收利用的尽量回收综合利用，以节约宝贵的资源。</w:t>
      </w:r>
      <w:r>
        <w:rPr>
          <w:rFonts w:hint="eastAsia"/>
        </w:rPr>
        <w:t>如多余土方通过平整场地利用和填筑道路等措施，进行土石方平衡，避免固废进入环境，从根本上减少固体废物的处理量和固废运输对环境的影响。</w:t>
      </w:r>
    </w:p>
    <w:p>
      <w:r>
        <w:t>（</w:t>
      </w:r>
      <w:r>
        <w:rPr>
          <w:rFonts w:hint="eastAsia"/>
        </w:rPr>
        <w:t>2</w:t>
      </w:r>
      <w:r>
        <w:t>）要做好建筑垃圾暂存点的防护工作，避免风吹、雨淋散失或流失。</w:t>
      </w:r>
    </w:p>
    <w:p>
      <w:r>
        <w:rPr>
          <w:rFonts w:hint="eastAsia"/>
        </w:rPr>
        <w:t>（3）施工人员的生活垃圾及时收集到指定的垃圾箱（桶）内，由当地环卫部门统一及时清运处理。</w:t>
      </w:r>
    </w:p>
    <w:p>
      <w:r>
        <w:rPr>
          <w:rFonts w:hint="eastAsia"/>
        </w:rPr>
        <w:t>（4）车辆运输散体物和废弃物时，必须密封、覆盖，不得沿途撒漏；运载土方和建筑垃圾的车辆必须在规定的时间内，按指定路段行驶，禁止在处置场地以外倾倒工程渣土和垃圾，禁止在处置场地将工程渣土与其他城市生活垃圾混合倾倒。</w:t>
      </w:r>
    </w:p>
    <w:p>
      <w:r>
        <w:rPr>
          <w:rFonts w:hint="eastAsia"/>
        </w:rPr>
        <w:t>（5）施工结束后，及时清理施工现场，废弃的建筑材料送到指定地点处置。</w:t>
      </w:r>
    </w:p>
    <w:p>
      <w:r>
        <w:rPr>
          <w:rFonts w:hint="eastAsia"/>
        </w:rPr>
        <w:t>采取上述措施后，施工固体废物均可得到有效处理处置，措施可行。</w:t>
      </w:r>
      <w:bookmarkStart w:id="423" w:name="_Toc359485691"/>
    </w:p>
    <w:bookmarkEnd w:id="423"/>
    <w:p>
      <w:pPr>
        <w:pStyle w:val="5"/>
        <w:bidi w:val="0"/>
      </w:pPr>
      <w:r>
        <w:t>施工生态影响缓解措施</w:t>
      </w:r>
    </w:p>
    <w:p>
      <w:r>
        <w:rPr>
          <w:rFonts w:hint="eastAsia"/>
        </w:rPr>
        <w:t>为防止水土流失和恢复绿化，施工中应进一步采取如下措施：</w:t>
      </w:r>
    </w:p>
    <w:p>
      <w:r>
        <w:rPr>
          <w:rFonts w:hint="eastAsia"/>
        </w:rPr>
        <w:t>（</w:t>
      </w:r>
      <w:r>
        <w:t>1</w:t>
      </w:r>
      <w:r>
        <w:rPr>
          <w:rFonts w:hint="eastAsia"/>
        </w:rPr>
        <w:t>）项目应在场地周围设置截水沟、场地内设置排水沟等排水设施，场地内的雨水可确保顺利外排，废水处理达标后能及时外排。</w:t>
      </w:r>
    </w:p>
    <w:p>
      <w:r>
        <w:rPr>
          <w:rFonts w:hint="eastAsia"/>
        </w:rPr>
        <w:t>（</w:t>
      </w:r>
      <w:r>
        <w:t>2</w:t>
      </w:r>
      <w:r>
        <w:rPr>
          <w:rFonts w:hint="eastAsia"/>
        </w:rPr>
        <w:t>）开挖面等裸露地应尽快恢复土层和植被。在选择开采面时不要靠近路边，减少水土流失，并选择在较隐蔽的地方，有利于保持景观。</w:t>
      </w:r>
    </w:p>
    <w:p>
      <w:r>
        <w:rPr>
          <w:rFonts w:hint="eastAsia"/>
        </w:rPr>
        <w:t>雨季施工期易造成水土流失，要注意施工场地建筑材料堆放及施工过程弃土的雨水冲刷问题。建筑材料不能露天堆放在路边，弃土合理利用，及时回填于低洼地带。</w:t>
      </w:r>
    </w:p>
    <w:p>
      <w:r>
        <w:rPr>
          <w:rFonts w:hint="eastAsia"/>
        </w:rPr>
        <w:t>避开暴雨期施工。</w:t>
      </w:r>
    </w:p>
    <w:p>
      <w:r>
        <w:rPr>
          <w:rFonts w:hint="eastAsia"/>
        </w:rPr>
        <w:t>在项目建设的同时应及时搞好场址内的植树、绿化及地面硬化，工程建成后，场地内应无裸露地面，使区域水土保持功能得到加强。</w:t>
      </w:r>
    </w:p>
    <w:p>
      <w:r>
        <w:rPr>
          <w:rFonts w:hint="eastAsia"/>
        </w:rPr>
        <w:t>采取上述措施后，可减轻本项目施工过程中对植被的破坏，最大程度降低水土流失，措施合理。</w:t>
      </w:r>
    </w:p>
    <w:p>
      <w:pPr>
        <w:pStyle w:val="4"/>
        <w:bidi w:val="0"/>
      </w:pPr>
      <w:bookmarkStart w:id="424" w:name="_Toc27600"/>
      <w:r>
        <w:t>营运期污染防治措施</w:t>
      </w:r>
      <w:bookmarkEnd w:id="419"/>
      <w:bookmarkEnd w:id="420"/>
      <w:r>
        <w:rPr>
          <w:rFonts w:hint="eastAsia"/>
        </w:rPr>
        <w:t>及可行性论证</w:t>
      </w:r>
      <w:bookmarkEnd w:id="424"/>
    </w:p>
    <w:p>
      <w:pPr>
        <w:pStyle w:val="5"/>
        <w:bidi w:val="0"/>
      </w:pPr>
      <w:bookmarkStart w:id="425" w:name="_Toc468689239"/>
      <w:r>
        <w:rPr>
          <w:rFonts w:hint="eastAsia"/>
          <w:lang w:eastAsia="zh-CN"/>
        </w:rPr>
        <w:t>营运期</w:t>
      </w:r>
      <w:r>
        <w:rPr>
          <w:rFonts w:hint="eastAsia"/>
        </w:rPr>
        <w:t>废水污染防治措施</w:t>
      </w:r>
    </w:p>
    <w:p>
      <w:r>
        <w:rPr>
          <w:rFonts w:hint="eastAsia"/>
        </w:rPr>
        <w:t>（</w:t>
      </w:r>
      <w:r>
        <w:t>1</w:t>
      </w:r>
      <w:r>
        <w:rPr>
          <w:rFonts w:hint="eastAsia"/>
        </w:rPr>
        <w:t>）废水处理技术路线</w:t>
      </w:r>
    </w:p>
    <w:p>
      <w:r>
        <w:rPr>
          <w:rFonts w:hint="eastAsia"/>
        </w:rPr>
        <w:t>根据《畜禽养殖业污染治理工程技术规范》（</w:t>
      </w:r>
      <w:r>
        <w:t>HJ497-2009</w:t>
      </w:r>
      <w:r>
        <w:rPr>
          <w:rFonts w:hint="eastAsia"/>
        </w:rPr>
        <w:t>），结合我省目前的养殖，养殖废水处理分两大类：一是将尿液污水等厌氧发酵后进行好氧生化处理，达到排放标准后外排；另一种是实施污水的综合利用，将尿液污水等发酵处理后，还田还林实现种养平衡。目前，规模化养殖场以配套建设污水处理系统的模式为主，将高浓度有机废水处理后达标排放。这种处理模式最大的弊端就是污水处理设施一次性投资费用高、运行成本高，据统计，每出栏一头猪在废水处理方面的成本在</w:t>
      </w:r>
      <w:r>
        <w:t>50</w:t>
      </w:r>
      <w:r>
        <w:rPr>
          <w:rFonts w:hint="eastAsia"/>
        </w:rPr>
        <w:t>元以上。</w:t>
      </w:r>
    </w:p>
    <w:p>
      <w:r>
        <w:rPr>
          <w:rFonts w:hint="eastAsia"/>
        </w:rPr>
        <w:t>相关部门大力推行畜禽养殖废弃物的资源化利用，</w:t>
      </w:r>
      <w:r>
        <w:t>2017</w:t>
      </w:r>
      <w:r>
        <w:rPr>
          <w:rFonts w:hint="eastAsia"/>
        </w:rPr>
        <w:t>年</w:t>
      </w:r>
      <w:r>
        <w:t>5</w:t>
      </w:r>
      <w:r>
        <w:rPr>
          <w:rFonts w:hint="eastAsia"/>
        </w:rPr>
        <w:t>月</w:t>
      </w:r>
      <w:r>
        <w:t>31</w:t>
      </w:r>
      <w:r>
        <w:rPr>
          <w:rFonts w:hint="eastAsia"/>
        </w:rPr>
        <w:t>日国务院办公厅发布了《关于加快推进畜禽养殖废弃物资源化利用的意见》（国办发〔</w:t>
      </w:r>
      <w:r>
        <w:t>2017</w:t>
      </w:r>
      <w:r>
        <w:rPr>
          <w:rFonts w:hint="eastAsia"/>
        </w:rPr>
        <w:t>〕</w:t>
      </w:r>
      <w:r>
        <w:t>48</w:t>
      </w:r>
      <w:r>
        <w:rPr>
          <w:rFonts w:hint="eastAsia"/>
        </w:rPr>
        <w:t>号），要求对畜禽规模养殖相关规划依法依规开展环境影响评价，新建或改扩建畜禽规模养殖场，应突出养分综合利用，配套与养殖规模和处理工艺相适应的粪污消纳用地，配备必要的粪污收集、贮存、处理、利用设施，依法进行环境影响评价。要实行以地定畜，促进种养业在布局上相协调，精准规划引导畜牧业发展。推动建立畜禽粪污等农业有机废弃物收集、转化、利用网络体系，鼓励在养殖密集区域建立粪污集中处理中心，探索规模化、专业化、社会化运营机制。通过支持在田间地头配套建设管网和储粪（液）池等方式，解决粪肥还田“最后一公里”问题。鼓励沼液和经无害化处理的畜禽养殖废水作为肥料科学还田利用。加强粪肥还田技术指导，确保科学合理施用。</w:t>
      </w:r>
    </w:p>
    <w:p>
      <w:r>
        <w:t>2017</w:t>
      </w:r>
      <w:r>
        <w:rPr>
          <w:rFonts w:hint="eastAsia"/>
        </w:rPr>
        <w:t>年</w:t>
      </w:r>
      <w:r>
        <w:t>6</w:t>
      </w:r>
      <w:r>
        <w:rPr>
          <w:rFonts w:hint="eastAsia"/>
        </w:rPr>
        <w:t>月</w:t>
      </w:r>
      <w:r>
        <w:t>27</w:t>
      </w:r>
      <w:r>
        <w:rPr>
          <w:rFonts w:hint="eastAsia"/>
        </w:rPr>
        <w:t>日，全国畜禽养殖废弃物资源化利用会议在</w:t>
      </w:r>
      <w:r>
        <w:fldChar w:fldCharType="begin"/>
      </w:r>
      <w:r>
        <w:instrText xml:space="preserve"> HYPERLINK "http://hn.tdzyw.com/" \t "_blank" </w:instrText>
      </w:r>
      <w:r>
        <w:fldChar w:fldCharType="separate"/>
      </w:r>
      <w:r>
        <w:rPr>
          <w:rFonts w:hint="eastAsia"/>
        </w:rPr>
        <w:t>湖南</w:t>
      </w:r>
      <w:r>
        <w:rPr>
          <w:rFonts w:hint="eastAsia"/>
        </w:rPr>
        <w:fldChar w:fldCharType="end"/>
      </w:r>
      <w:r>
        <w:rPr>
          <w:rFonts w:hint="eastAsia"/>
        </w:rPr>
        <w:t>省</w:t>
      </w:r>
      <w:r>
        <w:fldChar w:fldCharType="begin"/>
      </w:r>
      <w:r>
        <w:instrText xml:space="preserve"> HYPERLINK "http://cs.tdzyw.com/" \t "_blank" </w:instrText>
      </w:r>
      <w:r>
        <w:fldChar w:fldCharType="separate"/>
      </w:r>
      <w:r>
        <w:rPr>
          <w:rFonts w:hint="eastAsia"/>
        </w:rPr>
        <w:t>长沙</w:t>
      </w:r>
      <w:r>
        <w:rPr>
          <w:rFonts w:hint="eastAsia"/>
        </w:rPr>
        <w:fldChar w:fldCharType="end"/>
      </w:r>
      <w:r>
        <w:rPr>
          <w:rFonts w:hint="eastAsia"/>
        </w:rPr>
        <w:t>市召开，国务院副总理汪洋出席会议并讲话。他强调，抓好畜禽养殖废弃物资源化利用，是事关畜产品有效供给和农村居民生产生活环境改善的重大民生工程。要认真贯彻落实新发展理念，坚持保供给与保环境并重，坚持政府支持、企业主体、市场化运作，全面推进畜禽养殖废弃物资源化利用，改善农业</w:t>
      </w:r>
      <w:r>
        <w:fldChar w:fldCharType="begin"/>
      </w:r>
      <w:r>
        <w:instrText xml:space="preserve"> HYPERLINK "http://www.tdzyw.com/2014/0627/36392.html" \t "_blank" </w:instrText>
      </w:r>
      <w:r>
        <w:fldChar w:fldCharType="separate"/>
      </w:r>
      <w:r>
        <w:rPr>
          <w:rFonts w:hint="eastAsia"/>
        </w:rPr>
        <w:t>生态</w:t>
      </w:r>
      <w:r>
        <w:rPr>
          <w:rFonts w:hint="eastAsia"/>
        </w:rPr>
        <w:fldChar w:fldCharType="end"/>
      </w:r>
      <w:r>
        <w:rPr>
          <w:rFonts w:hint="eastAsia"/>
        </w:rPr>
        <w:t>环境，构建种养结合、农牧循环的可持续发展新格局。要根据资源环境承载能力和废弃物处理能力，科学确定养殖品种和规模，优化畜牧业区域布局。积极推广清洁养殖工艺和技术，大力发展标准化、规范化规模养殖。围绕就地就近用于农村能源和农用有机肥，加快发展农村沼气和生物天然气，畅通还田渠道，促进种养结合、农牧循环的绿色发展，多形式推进养殖废弃物资源化利用。</w:t>
      </w:r>
    </w:p>
    <w:p>
      <w:r>
        <w:rPr>
          <w:rFonts w:hint="eastAsia"/>
        </w:rPr>
        <w:t>（</w:t>
      </w:r>
      <w:r>
        <w:t>2</w:t>
      </w:r>
      <w:r>
        <w:rPr>
          <w:rFonts w:hint="eastAsia"/>
        </w:rPr>
        <w:t>）废水处理工艺原理及流程</w:t>
      </w:r>
    </w:p>
    <w:p>
      <w:r>
        <w:rPr>
          <w:rFonts w:hint="eastAsia"/>
        </w:rPr>
        <w:t>根据《畜禽养殖业污染治理工程技术规范》（</w:t>
      </w:r>
      <w:r>
        <w:t>HJ497-2009</w:t>
      </w:r>
      <w:r>
        <w:rPr>
          <w:rFonts w:hint="eastAsia"/>
        </w:rPr>
        <w:t>），在选用粪污水处理工艺时，应根据养殖场的养殖种类、养殖规模、粪污收集方式、当地的自然地理环境条件及排水去向等因素确定工艺路线及处理目标，并应充分考虑畜禽养殖废水的特殊性，在实现综合利用或达标排放的情况下，优先选择低运行成本的处理工艺。</w:t>
      </w:r>
    </w:p>
    <w:p>
      <w:pPr>
        <w:rPr>
          <w:rFonts w:hint="eastAsia"/>
          <w:lang w:eastAsia="zh-CN"/>
        </w:rPr>
      </w:pPr>
      <w:r>
        <w:rPr>
          <w:rFonts w:hint="eastAsia"/>
        </w:rPr>
        <w:t>本项目采用</w:t>
      </w:r>
      <w:r>
        <w:rPr>
          <w:rFonts w:hint="eastAsia"/>
          <w:lang w:eastAsia="zh-CN"/>
        </w:rPr>
        <w:t>厌氧发酵</w:t>
      </w:r>
      <w:r>
        <w:rPr>
          <w:rFonts w:hint="eastAsia"/>
          <w:lang w:val="en-US" w:eastAsia="zh-CN"/>
        </w:rPr>
        <w:t>+AO组合池废水处理</w:t>
      </w:r>
      <w:r>
        <w:rPr>
          <w:rFonts w:hint="eastAsia"/>
          <w:lang w:eastAsia="zh-CN"/>
        </w:rPr>
        <w:t>系统</w:t>
      </w:r>
      <w:r>
        <w:rPr>
          <w:rFonts w:hint="eastAsia"/>
          <w:lang w:val="en-US" w:eastAsia="zh-CN"/>
        </w:rPr>
        <w:t>废水</w:t>
      </w:r>
      <w:r>
        <w:rPr>
          <w:rFonts w:hint="eastAsia"/>
          <w:lang w:eastAsia="zh-CN"/>
        </w:rPr>
        <w:t>处理工艺。</w:t>
      </w:r>
    </w:p>
    <w:p>
      <w:pPr>
        <w:bidi w:val="0"/>
      </w:pPr>
      <w:r>
        <w:rPr>
          <w:rFonts w:hint="eastAsia"/>
          <w:lang w:eastAsia="zh-CN"/>
        </w:rPr>
        <w:t>厌氧发酵</w:t>
      </w:r>
      <w:r>
        <w:rPr>
          <w:rFonts w:hint="eastAsia"/>
          <w:lang w:val="en-US" w:eastAsia="zh-CN"/>
        </w:rPr>
        <w:t>+AO组合池废水处理</w:t>
      </w:r>
      <w:r>
        <w:rPr>
          <w:rFonts w:hint="eastAsia"/>
          <w:lang w:eastAsia="zh-CN"/>
        </w:rPr>
        <w:t>系统：猪</w:t>
      </w:r>
      <w:r>
        <w:rPr>
          <w:rFonts w:hint="eastAsia"/>
        </w:rPr>
        <w:t>尿污水的</w:t>
      </w:r>
      <w:r>
        <w:rPr>
          <w:rFonts w:hint="eastAsia"/>
          <w:lang w:val="en-US" w:eastAsia="zh-CN"/>
        </w:rPr>
        <w:t>将自流进入均质池，充分混合后泵入厌氧罐发酵，厌氧发酵产生沼气，沼气脱硫后燃烧外排</w:t>
      </w:r>
      <w:r>
        <w:rPr>
          <w:rFonts w:hint="eastAsia"/>
        </w:rPr>
        <w:t>。</w:t>
      </w:r>
      <w:r>
        <w:rPr>
          <w:rFonts w:hint="eastAsia"/>
          <w:lang w:val="en-US" w:eastAsia="zh-CN"/>
        </w:rPr>
        <w:t>经过厌氧发酵的废水进入AO 组合池，经多层回流脱氮、去除有机物，硝化沉淀后排入沼液储存池</w:t>
      </w:r>
      <w:r>
        <w:t>。厌氧反应主要是利用厌氧微生物以粪料中的糖和氨基酸为养料生长繁殖，实现沼气发酵。粪料含水量较低(60％～70％)的以乳酸发酵为主，粪料含水量高(&gt;80％)的则以沼气发酵为主。其优点是无需通气和翻堆，能耗省，费用低，厌氧生物处理可大量除去可溶性有机物，去除率可达70％～90％，而且可杀死传染性病菌，有利于防疫。</w:t>
      </w:r>
      <w:r>
        <w:rPr>
          <w:rFonts w:hint="eastAsia"/>
        </w:rPr>
        <w:t>同时在厌氧发酵过程中，将污水中的C转化为甲烷气体，而N、P等营养成分仍留在沼液沼渣中，</w:t>
      </w:r>
      <w:r>
        <w:t>利用厌氧发酵技术，能够减少臭味和降解有机污染物，同时回收储存在有机物中的能量</w:t>
      </w:r>
      <w:r>
        <w:rPr>
          <w:rFonts w:hint="eastAsia"/>
        </w:rPr>
        <w:t>碳</w:t>
      </w:r>
      <w:r>
        <w:t>作为能源</w:t>
      </w:r>
      <w:r>
        <w:rPr>
          <w:rFonts w:hint="eastAsia"/>
          <w:lang w:eastAsia="zh-CN"/>
        </w:rPr>
        <w:t>。</w:t>
      </w:r>
      <w:r>
        <w:t>由于发酵产生出来的沼气中含有水分和H</w:t>
      </w:r>
      <w:r>
        <w:rPr>
          <w:vertAlign w:val="subscript"/>
        </w:rPr>
        <w:t>2</w:t>
      </w:r>
      <w:r>
        <w:t>S，所以必须经过处理。经过净化系统处理后的沼气质量指标，能够满足甲烷含量在</w:t>
      </w:r>
      <w:r>
        <w:rPr>
          <w:rFonts w:hint="eastAsia"/>
        </w:rPr>
        <w:t>70</w:t>
      </w:r>
      <w:r>
        <w:t>%以上，且硫化氢含量小于20mg/m</w:t>
      </w:r>
      <w:r>
        <w:rPr>
          <w:vertAlign w:val="superscript"/>
        </w:rPr>
        <w:t>3</w:t>
      </w:r>
      <w:r>
        <w:t>。沼气脱水处理采用重力法气水分离器，脱硫用干式脱硫。</w:t>
      </w:r>
      <w:bookmarkStart w:id="426" w:name="OLE_LINK13"/>
      <w:bookmarkStart w:id="427" w:name="OLE_LINK12"/>
      <w:r>
        <w:t>脱硫工艺采用的是常温Fe</w:t>
      </w:r>
      <w:r>
        <w:rPr>
          <w:vertAlign w:val="subscript"/>
        </w:rPr>
        <w:t>2</w:t>
      </w:r>
      <w:r>
        <w:t>O</w:t>
      </w:r>
      <w:r>
        <w:rPr>
          <w:vertAlign w:val="subscript"/>
        </w:rPr>
        <w:t>3</w:t>
      </w:r>
      <w:r>
        <w:t>干式脱硫法，它是将Fe</w:t>
      </w:r>
      <w:r>
        <w:rPr>
          <w:vertAlign w:val="subscript"/>
        </w:rPr>
        <w:t>2</w:t>
      </w:r>
      <w:r>
        <w:t>O</w:t>
      </w:r>
      <w:r>
        <w:rPr>
          <w:vertAlign w:val="subscript"/>
        </w:rPr>
        <w:t>3</w:t>
      </w:r>
      <w:r>
        <w:t>屑(或粉)和木屑混合制成脱硫剂，以湿态(含水40%左右)填充于脱硫装置内。Fe</w:t>
      </w:r>
      <w:r>
        <w:rPr>
          <w:vertAlign w:val="subscript"/>
        </w:rPr>
        <w:t>2</w:t>
      </w:r>
      <w:r>
        <w:t>O</w:t>
      </w:r>
      <w:r>
        <w:rPr>
          <w:vertAlign w:val="subscript"/>
        </w:rPr>
        <w:t>3</w:t>
      </w:r>
      <w:r>
        <w:t>脱硫剂为条状多孔结构固体，对H</w:t>
      </w:r>
      <w:r>
        <w:rPr>
          <w:vertAlign w:val="subscript"/>
        </w:rPr>
        <w:t>2</w:t>
      </w:r>
      <w:r>
        <w:t>S能进行快速的不可逆化学吸附，数秒内可将H</w:t>
      </w:r>
      <w:r>
        <w:rPr>
          <w:vertAlign w:val="subscript"/>
        </w:rPr>
        <w:t>2</w:t>
      </w:r>
      <w:r>
        <w:t>S脱除到1×10</w:t>
      </w:r>
      <w:r>
        <w:rPr>
          <w:vertAlign w:val="superscript"/>
        </w:rPr>
        <w:t>-6</w:t>
      </w:r>
      <w:r>
        <w:t>以下。脱硫剂每年需更换2次，废脱硫剂由厂家回收。</w:t>
      </w:r>
      <w:bookmarkEnd w:id="426"/>
      <w:bookmarkEnd w:id="427"/>
      <w:r>
        <w:rPr>
          <w:rFonts w:hint="eastAsia"/>
        </w:rPr>
        <w:t>脱硫净化后的沼气送发电系统发电回收能源，沼液和沼渣贮存后定期外运</w:t>
      </w:r>
      <w:r>
        <w:rPr>
          <w:rFonts w:hint="eastAsia"/>
          <w:lang w:eastAsia="zh-CN"/>
        </w:rPr>
        <w:t>常德华诚现代农业开发有限公司的果蔬地、柑橘地、经济林</w:t>
      </w:r>
      <w:r>
        <w:rPr>
          <w:rFonts w:hint="eastAsia"/>
        </w:rPr>
        <w:t>作有机肥料使用，不外排。</w:t>
      </w:r>
    </w:p>
    <w:p>
      <w:r>
        <w:rPr>
          <w:rFonts w:hint="eastAsia"/>
        </w:rPr>
        <w:t xml:space="preserve"> ①养殖废水处理工艺流程</w:t>
      </w:r>
    </w:p>
    <w:p>
      <w:r>
        <w:rPr>
          <w:rFonts w:hint="eastAsia"/>
        </w:rPr>
        <w:t>本项目</w:t>
      </w:r>
      <w:r>
        <w:rPr>
          <w:rFonts w:hint="eastAsia"/>
          <w:lang w:eastAsia="zh-CN"/>
        </w:rPr>
        <w:t>废水</w:t>
      </w:r>
      <w:r>
        <w:rPr>
          <w:rFonts w:hint="eastAsia"/>
        </w:rPr>
        <w:t>采用</w:t>
      </w:r>
      <w:r>
        <w:rPr>
          <w:rFonts w:hint="eastAsia"/>
          <w:lang w:eastAsia="zh-CN"/>
        </w:rPr>
        <w:t>厌氧发酵</w:t>
      </w:r>
      <w:r>
        <w:rPr>
          <w:rFonts w:hint="eastAsia"/>
          <w:lang w:val="en-US" w:eastAsia="zh-CN"/>
        </w:rPr>
        <w:t>+AO法</w:t>
      </w:r>
      <w:r>
        <w:rPr>
          <w:rFonts w:hint="eastAsia"/>
          <w:lang w:eastAsia="zh-CN"/>
        </w:rPr>
        <w:t>处理模式</w:t>
      </w:r>
      <w:r>
        <w:rPr>
          <w:rFonts w:hint="eastAsia"/>
        </w:rPr>
        <w:t>，处理工艺流程见下图：</w:t>
      </w:r>
    </w:p>
    <w:p>
      <w:pPr>
        <w:keepNext w:val="0"/>
        <w:keepLines w:val="0"/>
        <w:pageBreakBefore w:val="0"/>
        <w:widowControl w:val="0"/>
        <w:kinsoku/>
        <w:wordWrap/>
        <w:overflowPunct/>
        <w:topLinePunct w:val="0"/>
        <w:autoSpaceDE/>
        <w:autoSpaceDN/>
        <w:bidi w:val="0"/>
        <w:adjustRightInd/>
        <w:snapToGrid/>
        <w:ind w:firstLine="0" w:firstLineChars="0"/>
        <w:textAlignment w:val="auto"/>
      </w:pPr>
      <w:r>
        <w:object>
          <v:shape id="_x0000_i1031" o:spt="75" type="#_x0000_t75" style="height:195.6pt;width:461.9pt;" o:ole="t" filled="f" o:preferrelative="t" stroked="f" coordsize="21600,21600">
            <v:path/>
            <v:fill on="f" focussize="0,0"/>
            <v:stroke on="f"/>
            <v:imagedata r:id="rId46" o:title=""/>
            <o:lock v:ext="edit" aspectratio="f"/>
            <w10:wrap type="none"/>
            <w10:anchorlock/>
          </v:shape>
          <o:OLEObject Type="Embed" ProgID="Visio.Drawing.15" ShapeID="_x0000_i1031" DrawAspect="Content" ObjectID="_1468075733" r:id="rId45">
            <o:LockedField>false</o:LockedField>
          </o:OLEObject>
        </w:object>
      </w:r>
    </w:p>
    <w:p>
      <w:pPr>
        <w:pStyle w:val="11"/>
        <w:bidi w:val="0"/>
      </w:pPr>
      <w:r>
        <w:rPr>
          <w:rFonts w:hint="eastAsia"/>
        </w:rPr>
        <w:t>图</w:t>
      </w:r>
      <w:r>
        <w:rPr>
          <w:rFonts w:hint="eastAsia"/>
          <w:lang w:val="en-US" w:eastAsia="zh-CN"/>
        </w:rPr>
        <w:t>5.2</w:t>
      </w:r>
      <w:r>
        <w:t>-</w:t>
      </w:r>
      <w:r>
        <w:rPr>
          <w:rFonts w:hint="eastAsia"/>
          <w:lang w:val="en-US" w:eastAsia="zh-CN"/>
        </w:rPr>
        <w:t>1</w:t>
      </w:r>
      <w:r>
        <w:rPr>
          <w:rFonts w:hint="eastAsia"/>
        </w:rPr>
        <w:t>本项目粪尿治理工艺流程图</w:t>
      </w:r>
    </w:p>
    <w:p>
      <w:r>
        <w:rPr>
          <w:rFonts w:hint="eastAsia"/>
        </w:rPr>
        <w:t>②养殖废水处理工艺流程简介：</w:t>
      </w:r>
    </w:p>
    <w:p>
      <w:pPr>
        <w:rPr>
          <w:rFonts w:hint="eastAsia"/>
        </w:rPr>
      </w:pPr>
      <w:r>
        <w:rPr>
          <w:rFonts w:hint="eastAsia"/>
        </w:rPr>
        <w:t>每栋猪舍地下部分均建设刮粪池，猪舍地面为水泥漏缝地面，猪只产生的猪粪、猪尿通过漏缝直落入刮粪池中，少部分未落入的粪便采用人工干清的方式，不采用水冲粪方式。</w:t>
      </w:r>
      <w:r>
        <w:rPr>
          <w:rFonts w:hint="eastAsia"/>
          <w:lang w:eastAsia="zh-CN"/>
        </w:rPr>
        <w:t>将集污池内的粪尿经干湿分离后</w:t>
      </w:r>
      <w:r>
        <w:rPr>
          <w:rFonts w:hint="eastAsia"/>
        </w:rPr>
        <w:t>再通过潜污泵用管道将粪污定期输送到</w:t>
      </w:r>
      <w:r>
        <w:rPr>
          <w:rFonts w:hint="eastAsia"/>
          <w:lang w:eastAsia="zh-CN"/>
        </w:rPr>
        <w:t>堆粪</w:t>
      </w:r>
      <w:r>
        <w:rPr>
          <w:rFonts w:hint="eastAsia"/>
        </w:rPr>
        <w:t>车间，通过微生物的分解发酵，使粪污中的有机物得到充分的分解和转化，同时微生物分解发酵产生大量的热量，促使垫料中的水分挥发至空气中，从而实现废水的“零”排放。</w:t>
      </w:r>
    </w:p>
    <w:p>
      <w:pPr>
        <w:rPr>
          <w:rFonts w:hint="eastAsia" w:eastAsiaTheme="minorEastAsia"/>
          <w:lang w:eastAsia="zh-CN"/>
        </w:rPr>
      </w:pPr>
      <w:r>
        <w:rPr>
          <w:rFonts w:hint="eastAsia"/>
          <w:lang w:eastAsia="zh-CN"/>
        </w:rPr>
        <w:t>同时猪</w:t>
      </w:r>
      <w:r>
        <w:rPr>
          <w:rFonts w:hint="eastAsia"/>
        </w:rPr>
        <w:t>尿污水的</w:t>
      </w:r>
      <w:r>
        <w:rPr>
          <w:rFonts w:hint="eastAsia"/>
          <w:lang w:val="en-US" w:eastAsia="zh-CN"/>
        </w:rPr>
        <w:t>将自流进入均质池，充分混合后泵入厌氧罐发酵，厌氧发酵产生沼气，沼气脱硫后燃烧外排</w:t>
      </w:r>
      <w:r>
        <w:rPr>
          <w:rFonts w:hint="eastAsia"/>
        </w:rPr>
        <w:t>。</w:t>
      </w:r>
      <w:r>
        <w:rPr>
          <w:rFonts w:hint="eastAsia"/>
          <w:lang w:val="en-US" w:eastAsia="zh-CN"/>
        </w:rPr>
        <w:t>经过厌氧发酵的废水进入AO 组合池，经多层回流脱氮、去除有机物，硝化沉淀后排入沼液储存池。</w:t>
      </w:r>
      <w:r>
        <w:t>沼气脱水处理采用重力法气水分离器，脱硫用干式脱硫。脱硫工艺采用的是常温Fe</w:t>
      </w:r>
      <w:r>
        <w:rPr>
          <w:vertAlign w:val="subscript"/>
        </w:rPr>
        <w:t>2</w:t>
      </w:r>
      <w:r>
        <w:t>O</w:t>
      </w:r>
      <w:r>
        <w:rPr>
          <w:vertAlign w:val="subscript"/>
        </w:rPr>
        <w:t>3</w:t>
      </w:r>
      <w:r>
        <w:t>干式脱硫法</w:t>
      </w:r>
      <w:r>
        <w:rPr>
          <w:rFonts w:hint="eastAsia"/>
          <w:lang w:eastAsia="zh-CN"/>
        </w:rPr>
        <w:t>。</w:t>
      </w:r>
    </w:p>
    <w:p>
      <w:r>
        <w:rPr>
          <w:rFonts w:hint="eastAsia"/>
        </w:rPr>
        <w:t>③粪污处理能力的可行性分析</w:t>
      </w:r>
    </w:p>
    <w:p>
      <w:pPr>
        <w:rPr>
          <w:rFonts w:hint="default" w:eastAsia="宋体"/>
          <w:lang w:val="en-US" w:eastAsia="zh-CN"/>
        </w:rPr>
      </w:pPr>
      <w:r>
        <w:rPr>
          <w:rFonts w:hint="eastAsia"/>
        </w:rPr>
        <w:t>根据《畜禽规模养殖场粪污资源化利用设施建设规范（试行）》：液体或全量粪污采用</w:t>
      </w:r>
      <w:r>
        <w:rPr>
          <w:rFonts w:hint="eastAsia"/>
          <w:lang w:eastAsia="zh-CN"/>
        </w:rPr>
        <w:t>氧化塘、沉淀池等进行无害化</w:t>
      </w:r>
      <w:r>
        <w:rPr>
          <w:rFonts w:hint="eastAsia"/>
        </w:rPr>
        <w:t>处理的，氧化塘、贮存池容积不小于单位畜禽日粪污产生量（</w:t>
      </w:r>
      <w:r>
        <w:rPr>
          <w:rFonts w:hint="eastAsia"/>
          <w:lang w:val="en-US"/>
        </w:rPr>
        <w:t>m</w:t>
      </w:r>
      <w:r>
        <w:rPr>
          <w:rFonts w:hint="eastAsia"/>
          <w:vertAlign w:val="superscript"/>
          <w:lang w:val="en-US"/>
        </w:rPr>
        <w:t>3</w:t>
      </w:r>
      <w:r>
        <w:rPr>
          <w:rFonts w:hint="eastAsia"/>
        </w:rPr>
        <w:t>）</w:t>
      </w:r>
      <w:r>
        <w:rPr>
          <w:rFonts w:hint="eastAsia"/>
          <w:lang w:val="en-US"/>
        </w:rPr>
        <w:t>×</w:t>
      </w:r>
      <w:r>
        <w:rPr>
          <w:rFonts w:hint="eastAsia"/>
        </w:rPr>
        <w:t>贮存周期</w:t>
      </w:r>
      <w:r>
        <w:rPr>
          <w:rFonts w:hint="eastAsia"/>
          <w:lang w:val="en-US"/>
        </w:rPr>
        <w:t>(</w:t>
      </w:r>
      <w:r>
        <w:rPr>
          <w:rFonts w:hint="eastAsia"/>
        </w:rPr>
        <w:t>天</w:t>
      </w:r>
      <w:r>
        <w:rPr>
          <w:rFonts w:hint="eastAsia"/>
          <w:lang w:val="en-US"/>
        </w:rPr>
        <w:t>)×</w:t>
      </w:r>
      <w:r>
        <w:rPr>
          <w:rFonts w:hint="eastAsia"/>
        </w:rPr>
        <w:t>设计存栏量</w:t>
      </w:r>
      <w:r>
        <w:rPr>
          <w:rFonts w:hint="eastAsia"/>
          <w:lang w:val="en-US"/>
        </w:rPr>
        <w:t>(</w:t>
      </w:r>
      <w:r>
        <w:rPr>
          <w:rFonts w:hint="eastAsia"/>
        </w:rPr>
        <w:t>头</w:t>
      </w:r>
      <w:r>
        <w:rPr>
          <w:rFonts w:hint="eastAsia"/>
          <w:lang w:val="en-US"/>
        </w:rPr>
        <w:t>)</w:t>
      </w:r>
      <w:r>
        <w:rPr>
          <w:rFonts w:hint="eastAsia"/>
        </w:rPr>
        <w:t>。</w:t>
      </w:r>
      <w:r>
        <w:t>由前面的工程分析，项目</w:t>
      </w:r>
      <w:r>
        <w:rPr>
          <w:rFonts w:hint="eastAsia"/>
          <w:lang w:val="en-US" w:eastAsia="zh-CN"/>
        </w:rPr>
        <w:t>进入厌氧发酵设施的废水量为14679.7</w:t>
      </w:r>
      <w:r>
        <w:t>m</w:t>
      </w:r>
      <w:r>
        <w:rPr>
          <w:vertAlign w:val="superscript"/>
        </w:rPr>
        <w:t>3</w:t>
      </w:r>
      <w:r>
        <w:t>/a</w:t>
      </w:r>
      <w:r>
        <w:rPr>
          <w:rFonts w:hint="eastAsia"/>
          <w:lang w:eastAsia="zh-CN"/>
        </w:rPr>
        <w:t>，</w:t>
      </w:r>
      <w:r>
        <w:rPr>
          <w:rFonts w:hint="eastAsia"/>
          <w:lang w:val="en-US" w:eastAsia="zh-CN"/>
        </w:rPr>
        <w:t>40.22</w:t>
      </w:r>
      <w:r>
        <w:t>m</w:t>
      </w:r>
      <w:r>
        <w:rPr>
          <w:vertAlign w:val="superscript"/>
        </w:rPr>
        <w:t>3</w:t>
      </w:r>
      <w:r>
        <w:t>/d</w:t>
      </w:r>
      <w:r>
        <w:rPr>
          <w:rFonts w:hint="eastAsia"/>
        </w:rPr>
        <w:t>。</w:t>
      </w:r>
      <w:r>
        <w:rPr>
          <w:rFonts w:hint="eastAsia"/>
          <w:lang w:eastAsia="zh-CN"/>
        </w:rPr>
        <w:t>本项目厌氧罐的有效容积为</w:t>
      </w:r>
      <w:r>
        <w:rPr>
          <w:rFonts w:hint="eastAsia"/>
          <w:lang w:val="en-US" w:eastAsia="zh-CN"/>
        </w:rPr>
        <w:t>400</w:t>
      </w:r>
      <w:r>
        <w:t>m</w:t>
      </w:r>
      <w:r>
        <w:rPr>
          <w:vertAlign w:val="superscript"/>
        </w:rPr>
        <w:t>3</w:t>
      </w:r>
      <w:r>
        <w:rPr>
          <w:rFonts w:hint="eastAsia"/>
          <w:lang w:val="en-US" w:eastAsia="zh-CN"/>
        </w:rPr>
        <w:t>、</w:t>
      </w:r>
      <w:r>
        <w:rPr>
          <w:rFonts w:hint="eastAsia"/>
        </w:rPr>
        <w:t>沼液储存</w:t>
      </w:r>
      <w:r>
        <w:rPr>
          <w:rFonts w:hint="eastAsia"/>
          <w:lang w:eastAsia="zh-CN"/>
        </w:rPr>
        <w:t>池有效容积为</w:t>
      </w:r>
      <w:r>
        <w:rPr>
          <w:rFonts w:hint="eastAsia"/>
          <w:lang w:val="en-US" w:eastAsia="zh-CN"/>
        </w:rPr>
        <w:t>12000</w:t>
      </w:r>
      <w:r>
        <w:t>m</w:t>
      </w:r>
      <w:r>
        <w:rPr>
          <w:vertAlign w:val="superscript"/>
        </w:rPr>
        <w:t>3</w:t>
      </w:r>
      <w:r>
        <w:rPr>
          <w:rFonts w:hint="eastAsia"/>
          <w:vertAlign w:val="baseline"/>
          <w:lang w:eastAsia="zh-CN"/>
        </w:rPr>
        <w:t>。</w:t>
      </w:r>
      <w:r>
        <w:rPr>
          <w:rFonts w:hint="eastAsia"/>
          <w:vertAlign w:val="baseline"/>
          <w:lang w:val="en-US" w:eastAsia="zh-CN"/>
        </w:rPr>
        <w:t>沼液池容积</w:t>
      </w:r>
      <w:r>
        <w:rPr>
          <w:rFonts w:hint="eastAsia"/>
          <w:vertAlign w:val="baseline"/>
          <w:lang w:eastAsia="zh-CN"/>
        </w:rPr>
        <w:t>满足</w:t>
      </w:r>
      <w:r>
        <w:rPr>
          <w:rFonts w:hint="eastAsia"/>
          <w:vertAlign w:val="baseline"/>
          <w:lang w:val="en-US" w:eastAsia="zh-CN"/>
        </w:rPr>
        <w:t>因雨季或天气原因不能对沼液实施综合利用的情况下，</w:t>
      </w:r>
      <w:r>
        <w:rPr>
          <w:rFonts w:hint="eastAsia"/>
          <w:vertAlign w:val="baseline"/>
          <w:lang w:eastAsia="zh-CN"/>
        </w:rPr>
        <w:t>储存</w:t>
      </w:r>
      <w:r>
        <w:rPr>
          <w:rFonts w:hint="eastAsia"/>
          <w:vertAlign w:val="baseline"/>
          <w:lang w:val="en-US" w:eastAsia="zh-CN"/>
        </w:rPr>
        <w:t>3个月废水的量。根据《</w:t>
      </w:r>
      <w:r>
        <w:rPr>
          <w:rFonts w:hint="eastAsia"/>
          <w:vertAlign w:val="baseline"/>
          <w:lang w:val="en-US" w:eastAsia="zh-CN"/>
        </w:rPr>
        <w:fldChar w:fldCharType="begin"/>
      </w:r>
      <w:r>
        <w:rPr>
          <w:rFonts w:hint="eastAsia"/>
          <w:vertAlign w:val="baseline"/>
          <w:lang w:val="en-US" w:eastAsia="zh-CN"/>
        </w:rPr>
        <w:instrText xml:space="preserve"> HYPERLINK "http://www.mee.gov.cn/ywgz/fgbz/bz/bzwb/other/hjbhgc/200910/W020111114548449997495.pdf" </w:instrText>
      </w:r>
      <w:r>
        <w:rPr>
          <w:rFonts w:hint="eastAsia"/>
          <w:vertAlign w:val="baseline"/>
          <w:lang w:val="en-US" w:eastAsia="zh-CN"/>
        </w:rPr>
        <w:fldChar w:fldCharType="separate"/>
      </w:r>
      <w:r>
        <w:rPr>
          <w:rFonts w:hint="eastAsia"/>
          <w:vertAlign w:val="baseline"/>
          <w:lang w:val="en-US" w:eastAsia="zh-CN"/>
        </w:rPr>
        <w:t>畜禽养殖业污染治理工程技术规范</w:t>
      </w:r>
      <w:r>
        <w:rPr>
          <w:rFonts w:hint="eastAsia"/>
          <w:vertAlign w:val="baseline"/>
          <w:lang w:val="en-US" w:eastAsia="zh-CN"/>
        </w:rPr>
        <w:fldChar w:fldCharType="end"/>
      </w:r>
      <w:r>
        <w:rPr>
          <w:rFonts w:hint="eastAsia"/>
          <w:vertAlign w:val="baseline"/>
          <w:lang w:val="en-US" w:eastAsia="zh-CN"/>
        </w:rPr>
        <w:t>》（HJ 497－2009），</w:t>
      </w:r>
      <w:r>
        <w:rPr>
          <w:rFonts w:ascii="宋体" w:hAnsi="宋体" w:eastAsia="宋体" w:cs="宋体"/>
          <w:sz w:val="24"/>
          <w:szCs w:val="24"/>
        </w:rPr>
        <w:t>种养结合的养殖场，贮存池的贮存期不得低于当地 农作物生产用肥的最大间隔时间和冬季封冻期或雨季最长降雨期，一般不得小于</w:t>
      </w:r>
      <w:r>
        <w:rPr>
          <w:rFonts w:hint="default" w:ascii="Times New Roman" w:hAnsi="Times New Roman" w:eastAsia="宋体" w:cs="Times New Roman"/>
          <w:sz w:val="24"/>
          <w:szCs w:val="24"/>
        </w:rPr>
        <w:t xml:space="preserve"> 30 d </w:t>
      </w:r>
      <w:r>
        <w:rPr>
          <w:rFonts w:ascii="宋体" w:hAnsi="宋体" w:eastAsia="宋体" w:cs="宋体"/>
          <w:sz w:val="24"/>
          <w:szCs w:val="24"/>
        </w:rPr>
        <w:t>的排放总量。</w:t>
      </w:r>
      <w:r>
        <w:rPr>
          <w:rFonts w:hint="eastAsia" w:ascii="宋体" w:hAnsi="宋体" w:eastAsia="宋体" w:cs="宋体"/>
          <w:sz w:val="24"/>
          <w:szCs w:val="24"/>
          <w:lang w:val="en-US" w:eastAsia="zh-CN"/>
        </w:rPr>
        <w:t>本项目废水储存设施满足要求。</w:t>
      </w:r>
    </w:p>
    <w:p>
      <w:pPr>
        <w:rPr>
          <w:rFonts w:hint="eastAsia" w:eastAsiaTheme="minorEastAsia"/>
          <w:lang w:val="en-US" w:eastAsia="zh-CN"/>
        </w:rPr>
      </w:pPr>
      <w:r>
        <w:rPr>
          <w:rFonts w:hint="eastAsia"/>
        </w:rPr>
        <w:t>根据《畜禽规模养殖场粪污资源化利用设施建设规范（试行）》：规模养殖场干清粪或固液分离后的固体粪便可采用堆肥、沤肥、生产垫料等方式进行处理利用。固体粪便堆肥</w:t>
      </w:r>
      <w:r>
        <w:rPr>
          <w:rFonts w:hint="eastAsia"/>
          <w:lang w:val="en-US"/>
        </w:rPr>
        <w:t>(</w:t>
      </w:r>
      <w:r>
        <w:rPr>
          <w:rFonts w:hint="eastAsia"/>
        </w:rPr>
        <w:t>生产垫料</w:t>
      </w:r>
      <w:r>
        <w:rPr>
          <w:rFonts w:hint="eastAsia"/>
          <w:lang w:val="en-US"/>
        </w:rPr>
        <w:t>)</w:t>
      </w:r>
      <w:r>
        <w:rPr>
          <w:rFonts w:hint="eastAsia"/>
        </w:rPr>
        <w:t>宜采用条垛式、槽式、发酵仓、强制通风静态垛等好氧工艺，或其他适用技术，同时配套必要的混合、输送、搅拌、供氧等设施设备。猪场堆肥设施发酵容积不小于</w:t>
      </w:r>
      <w:r>
        <w:rPr>
          <w:rFonts w:hint="eastAsia"/>
          <w:lang w:val="en-US"/>
        </w:rPr>
        <w:t>0.002 m</w:t>
      </w:r>
      <w:r>
        <w:rPr>
          <w:rFonts w:hint="eastAsia"/>
          <w:vertAlign w:val="superscript"/>
          <w:lang w:val="en-US"/>
        </w:rPr>
        <w:t>3</w:t>
      </w:r>
      <w:r>
        <w:rPr>
          <w:rFonts w:hint="eastAsia"/>
          <w:lang w:val="en-US"/>
        </w:rPr>
        <w:t>×</w:t>
      </w:r>
      <w:r>
        <w:rPr>
          <w:rFonts w:hint="eastAsia"/>
        </w:rPr>
        <w:t>发酵周期</w:t>
      </w:r>
      <w:r>
        <w:rPr>
          <w:rFonts w:hint="eastAsia"/>
          <w:lang w:val="en-US"/>
        </w:rPr>
        <w:t>(</w:t>
      </w:r>
      <w:r>
        <w:rPr>
          <w:rFonts w:hint="eastAsia"/>
        </w:rPr>
        <w:t>天</w:t>
      </w:r>
      <w:r>
        <w:rPr>
          <w:rFonts w:hint="eastAsia"/>
          <w:lang w:val="en-US"/>
        </w:rPr>
        <w:t>)×</w:t>
      </w:r>
      <w:r>
        <w:rPr>
          <w:rFonts w:hint="eastAsia"/>
        </w:rPr>
        <w:t>设计存栏量</w:t>
      </w:r>
      <w:r>
        <w:rPr>
          <w:rFonts w:hint="eastAsia"/>
          <w:lang w:val="en-US"/>
        </w:rPr>
        <w:t>(</w:t>
      </w:r>
      <w:r>
        <w:rPr>
          <w:rFonts w:hint="eastAsia"/>
        </w:rPr>
        <w:t>头</w:t>
      </w:r>
      <w:r>
        <w:rPr>
          <w:rFonts w:hint="eastAsia"/>
          <w:lang w:val="en-US"/>
        </w:rPr>
        <w:t>)</w:t>
      </w:r>
      <w:r>
        <w:rPr>
          <w:rFonts w:hint="eastAsia"/>
        </w:rPr>
        <w:t>，其它畜禽按</w:t>
      </w:r>
      <w:r>
        <w:rPr>
          <w:rFonts w:hint="eastAsia"/>
          <w:lang w:val="en-US"/>
        </w:rPr>
        <w:t>GB18596 </w:t>
      </w:r>
      <w:r>
        <w:rPr>
          <w:rFonts w:hint="eastAsia"/>
        </w:rPr>
        <w:t>折算成猪的存栏量计算。</w:t>
      </w:r>
      <w:r>
        <w:rPr>
          <w:rFonts w:hint="eastAsia"/>
          <w:lang w:eastAsia="zh-CN"/>
        </w:rPr>
        <w:t>本项目发酵周期按照</w:t>
      </w:r>
      <w:r>
        <w:rPr>
          <w:rFonts w:hint="eastAsia"/>
          <w:lang w:val="en-US" w:eastAsia="zh-CN"/>
        </w:rPr>
        <w:t>30天计算，存栏量则算为6929头，则堆肥设施发酵容积不小于416</w:t>
      </w:r>
      <w:r>
        <w:rPr>
          <w:rFonts w:hint="eastAsia"/>
          <w:lang w:val="en-US"/>
        </w:rPr>
        <w:t>m</w:t>
      </w:r>
      <w:r>
        <w:rPr>
          <w:rFonts w:hint="eastAsia"/>
          <w:vertAlign w:val="superscript"/>
          <w:lang w:val="en-US"/>
        </w:rPr>
        <w:t>3</w:t>
      </w:r>
      <w:r>
        <w:rPr>
          <w:rFonts w:hint="eastAsia"/>
          <w:lang w:val="en-US" w:eastAsia="zh-CN"/>
        </w:rPr>
        <w:t>。本项目堆粪棚占地426</w:t>
      </w:r>
      <w:r>
        <w:rPr>
          <w:rFonts w:hint="eastAsia"/>
          <w:lang w:val="en-US"/>
        </w:rPr>
        <w:t>m</w:t>
      </w:r>
      <w:r>
        <w:rPr>
          <w:rFonts w:hint="eastAsia"/>
          <w:vertAlign w:val="superscript"/>
          <w:lang w:val="en-US" w:eastAsia="zh-CN"/>
        </w:rPr>
        <w:t>2</w:t>
      </w:r>
      <w:r>
        <w:rPr>
          <w:rFonts w:hint="eastAsia"/>
          <w:lang w:val="en-US" w:eastAsia="zh-CN"/>
        </w:rPr>
        <w:t>，有效容积约650</w:t>
      </w:r>
      <w:r>
        <w:rPr>
          <w:rFonts w:hint="eastAsia"/>
          <w:lang w:val="en-US"/>
        </w:rPr>
        <w:t>m</w:t>
      </w:r>
      <w:r>
        <w:rPr>
          <w:rFonts w:hint="eastAsia"/>
          <w:vertAlign w:val="superscript"/>
          <w:lang w:val="en-US"/>
        </w:rPr>
        <w:t>3</w:t>
      </w:r>
      <w:r>
        <w:rPr>
          <w:rFonts w:hint="eastAsia"/>
          <w:vertAlign w:val="baseline"/>
          <w:lang w:val="en-US" w:eastAsia="zh-CN"/>
        </w:rPr>
        <w:t>，</w:t>
      </w:r>
      <w:r>
        <w:rPr>
          <w:rFonts w:hint="eastAsia"/>
        </w:rPr>
        <w:t>设计符合《畜禽规模养殖场粪污资源化利用设施建设规范（试行）》要求。</w:t>
      </w:r>
    </w:p>
    <w:p>
      <w:pPr>
        <w:pStyle w:val="11"/>
        <w:rPr>
          <w:rFonts w:hint="default" w:eastAsiaTheme="minorEastAsia"/>
          <w:lang w:val="en-US" w:eastAsia="zh-CN"/>
        </w:rPr>
      </w:pPr>
      <w:r>
        <w:t xml:space="preserve">表5.2- </w:t>
      </w:r>
      <w:r>
        <w:fldChar w:fldCharType="begin"/>
      </w:r>
      <w:r>
        <w:instrText xml:space="preserve"> SEQ 表5.2- \* ARABIC </w:instrText>
      </w:r>
      <w:r>
        <w:fldChar w:fldCharType="separate"/>
      </w:r>
      <w:r>
        <w:t>1</w:t>
      </w:r>
      <w:r>
        <w:fldChar w:fldCharType="end"/>
      </w:r>
      <w:r>
        <w:rPr>
          <w:rFonts w:hint="eastAsia"/>
          <w:lang w:val="en-US" w:eastAsia="zh-CN"/>
        </w:rPr>
        <w:t xml:space="preserve">  </w:t>
      </w:r>
      <w:r>
        <w:t>粪便收集、贮存</w:t>
      </w:r>
      <w:r>
        <w:rPr>
          <w:rFonts w:hint="eastAsia"/>
        </w:rPr>
        <w:t>设施</w:t>
      </w:r>
      <w:r>
        <w:rPr>
          <w:rFonts w:hint="eastAsia"/>
          <w:lang w:eastAsia="zh-CN"/>
        </w:rPr>
        <w:t>及土地利用设施</w:t>
      </w:r>
      <w:r>
        <w:t>表</w:t>
      </w:r>
    </w:p>
    <w:tbl>
      <w:tblPr>
        <w:tblStyle w:val="18"/>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529"/>
        <w:gridCol w:w="1810"/>
        <w:gridCol w:w="1856"/>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pPr>
              <w:pStyle w:val="8"/>
              <w:bidi w:val="0"/>
            </w:pPr>
            <w:r>
              <w:rPr>
                <w:rFonts w:hint="eastAsia"/>
              </w:rPr>
              <w:t>编号</w:t>
            </w:r>
          </w:p>
        </w:tc>
        <w:tc>
          <w:tcPr>
            <w:tcW w:w="1529" w:type="dxa"/>
            <w:vAlign w:val="center"/>
          </w:tcPr>
          <w:p>
            <w:pPr>
              <w:pStyle w:val="8"/>
              <w:bidi w:val="0"/>
            </w:pPr>
            <w:r>
              <w:t>粪便收集</w:t>
            </w:r>
          </w:p>
        </w:tc>
        <w:tc>
          <w:tcPr>
            <w:tcW w:w="1810" w:type="dxa"/>
            <w:vAlign w:val="center"/>
          </w:tcPr>
          <w:p>
            <w:pPr>
              <w:pStyle w:val="8"/>
              <w:bidi w:val="0"/>
            </w:pPr>
            <w:r>
              <w:t>贮存</w:t>
            </w:r>
            <w:r>
              <w:rPr>
                <w:rFonts w:hint="eastAsia"/>
              </w:rPr>
              <w:t>设施规模</w:t>
            </w:r>
          </w:p>
        </w:tc>
        <w:tc>
          <w:tcPr>
            <w:tcW w:w="1856" w:type="dxa"/>
            <w:vAlign w:val="center"/>
          </w:tcPr>
          <w:p>
            <w:pPr>
              <w:pStyle w:val="8"/>
              <w:bidi w:val="0"/>
            </w:pPr>
            <w:r>
              <w:rPr>
                <w:rFonts w:hint="eastAsia"/>
              </w:rPr>
              <w:t>位置</w:t>
            </w:r>
          </w:p>
        </w:tc>
        <w:tc>
          <w:tcPr>
            <w:tcW w:w="1474" w:type="dxa"/>
            <w:vAlign w:val="center"/>
          </w:tcPr>
          <w:p>
            <w:pPr>
              <w:pStyle w:val="8"/>
              <w:bidi w:val="0"/>
            </w:pPr>
            <w:r>
              <w:rPr>
                <w:rFonts w:hint="eastAsia"/>
              </w:rPr>
              <w:t>是否</w:t>
            </w:r>
          </w:p>
          <w:p>
            <w:pPr>
              <w:pStyle w:val="8"/>
              <w:bidi w:val="0"/>
            </w:pPr>
            <w:r>
              <w:rPr>
                <w:rFonts w:hint="eastAsia"/>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pPr>
              <w:pStyle w:val="8"/>
              <w:bidi w:val="0"/>
            </w:pPr>
            <w:r>
              <w:rPr>
                <w:rFonts w:hint="eastAsia"/>
              </w:rPr>
              <w:t>1</w:t>
            </w:r>
          </w:p>
        </w:tc>
        <w:tc>
          <w:tcPr>
            <w:tcW w:w="1529" w:type="dxa"/>
            <w:vAlign w:val="center"/>
          </w:tcPr>
          <w:p>
            <w:pPr>
              <w:pStyle w:val="8"/>
              <w:bidi w:val="0"/>
            </w:pPr>
            <w:r>
              <w:rPr>
                <w:rFonts w:hint="eastAsia"/>
                <w:lang w:eastAsia="zh-CN"/>
              </w:rPr>
              <w:t>格栅</w:t>
            </w:r>
            <w:r>
              <w:rPr>
                <w:rFonts w:hint="eastAsia"/>
              </w:rPr>
              <w:t>集污池</w:t>
            </w:r>
          </w:p>
        </w:tc>
        <w:tc>
          <w:tcPr>
            <w:tcW w:w="1810" w:type="dxa"/>
            <w:vAlign w:val="center"/>
          </w:tcPr>
          <w:p>
            <w:pPr>
              <w:pStyle w:val="8"/>
              <w:bidi w:val="0"/>
              <w:rPr>
                <w:rFonts w:hint="default" w:eastAsiaTheme="minorEastAsia"/>
                <w:lang w:val="en-US" w:eastAsia="zh-CN"/>
              </w:rPr>
            </w:pPr>
            <w:r>
              <w:rPr>
                <w:rFonts w:hint="eastAsia"/>
                <w:lang w:val="en-US" w:eastAsia="zh-CN"/>
              </w:rPr>
              <w:t>235.5</w:t>
            </w:r>
            <w:r>
              <w:t>m</w:t>
            </w:r>
            <w:r>
              <w:rPr>
                <w:vertAlign w:val="superscript"/>
              </w:rPr>
              <w:t>3</w:t>
            </w:r>
          </w:p>
        </w:tc>
        <w:tc>
          <w:tcPr>
            <w:tcW w:w="1856" w:type="dxa"/>
            <w:vAlign w:val="center"/>
          </w:tcPr>
          <w:p>
            <w:pPr>
              <w:pStyle w:val="8"/>
              <w:bidi w:val="0"/>
              <w:rPr>
                <w:rFonts w:hint="eastAsia" w:eastAsiaTheme="minorEastAsia"/>
                <w:lang w:eastAsia="zh-CN"/>
              </w:rPr>
            </w:pPr>
            <w:r>
              <w:rPr>
                <w:rFonts w:hint="eastAsia"/>
                <w:lang w:eastAsia="zh-CN"/>
              </w:rPr>
              <w:t>养殖区西南侧</w:t>
            </w:r>
          </w:p>
        </w:tc>
        <w:tc>
          <w:tcPr>
            <w:tcW w:w="1474" w:type="dxa"/>
            <w:vAlign w:val="center"/>
          </w:tcPr>
          <w:p>
            <w:pPr>
              <w:pStyle w:val="8"/>
              <w:bidi w:val="0"/>
            </w:pPr>
            <w:r>
              <w:rPr>
                <w:rFonts w:hint="eastAsia"/>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529" w:type="dxa"/>
            <w:vAlign w:val="center"/>
          </w:tcPr>
          <w:p>
            <w:pPr>
              <w:pStyle w:val="8"/>
              <w:bidi w:val="0"/>
              <w:rPr>
                <w:rFonts w:hint="default"/>
                <w:lang w:val="en-US" w:eastAsia="zh-CN"/>
              </w:rPr>
            </w:pPr>
            <w:r>
              <w:rPr>
                <w:rFonts w:hint="eastAsia"/>
                <w:lang w:val="en-US" w:eastAsia="zh-CN"/>
              </w:rPr>
              <w:t>2</w:t>
            </w:r>
          </w:p>
        </w:tc>
        <w:tc>
          <w:tcPr>
            <w:tcW w:w="1529" w:type="dxa"/>
            <w:vAlign w:val="center"/>
          </w:tcPr>
          <w:p>
            <w:pPr>
              <w:pStyle w:val="8"/>
              <w:bidi w:val="0"/>
              <w:rPr>
                <w:rFonts w:hint="eastAsia"/>
                <w:lang w:eastAsia="zh-CN"/>
              </w:rPr>
            </w:pPr>
            <w:r>
              <w:rPr>
                <w:rFonts w:hint="eastAsia"/>
                <w:lang w:val="en-US" w:eastAsia="zh-CN"/>
              </w:rPr>
              <w:t>堆粪棚</w:t>
            </w:r>
            <w:r>
              <w:rPr>
                <w:rFonts w:hint="eastAsia"/>
                <w:lang w:eastAsia="zh-CN"/>
              </w:rPr>
              <w:t>规模</w:t>
            </w:r>
          </w:p>
        </w:tc>
        <w:tc>
          <w:tcPr>
            <w:tcW w:w="1810" w:type="dxa"/>
            <w:vAlign w:val="center"/>
          </w:tcPr>
          <w:p>
            <w:pPr>
              <w:pStyle w:val="8"/>
              <w:bidi w:val="0"/>
              <w:rPr>
                <w:rFonts w:hint="default"/>
                <w:lang w:val="en-US" w:eastAsia="zh-CN"/>
              </w:rPr>
            </w:pPr>
            <w:r>
              <w:rPr>
                <w:rFonts w:hint="eastAsia"/>
                <w:lang w:val="en-US" w:eastAsia="zh-CN"/>
              </w:rPr>
              <w:t>426m</w:t>
            </w:r>
            <w:r>
              <w:rPr>
                <w:rFonts w:hint="eastAsia"/>
                <w:vertAlign w:val="superscript"/>
                <w:lang w:val="en-US" w:eastAsia="zh-CN"/>
              </w:rPr>
              <w:t>2</w:t>
            </w:r>
            <w:r>
              <w:rPr>
                <w:rFonts w:hint="eastAsia"/>
                <w:lang w:val="en-US" w:eastAsia="zh-CN"/>
              </w:rPr>
              <w:t>，有效容积约650</w:t>
            </w:r>
            <w:r>
              <w:rPr>
                <w:rFonts w:hint="eastAsia"/>
                <w:lang w:val="en-US"/>
              </w:rPr>
              <w:t>m</w:t>
            </w:r>
            <w:r>
              <w:rPr>
                <w:rFonts w:hint="eastAsia"/>
                <w:vertAlign w:val="superscript"/>
                <w:lang w:val="en-US"/>
              </w:rPr>
              <w:t>3</w:t>
            </w:r>
          </w:p>
        </w:tc>
        <w:tc>
          <w:tcPr>
            <w:tcW w:w="1856" w:type="dxa"/>
            <w:vAlign w:val="center"/>
          </w:tcPr>
          <w:p>
            <w:pPr>
              <w:pStyle w:val="8"/>
              <w:bidi w:val="0"/>
              <w:rPr>
                <w:rFonts w:hint="eastAsia"/>
                <w:lang w:val="en-US" w:eastAsia="zh-CN"/>
              </w:rPr>
            </w:pPr>
            <w:r>
              <w:rPr>
                <w:rFonts w:hint="eastAsia"/>
                <w:lang w:eastAsia="zh-CN"/>
              </w:rPr>
              <w:t>养殖区西南侧</w:t>
            </w:r>
          </w:p>
        </w:tc>
        <w:tc>
          <w:tcPr>
            <w:tcW w:w="1474" w:type="dxa"/>
            <w:vAlign w:val="center"/>
          </w:tcPr>
          <w:p>
            <w:pPr>
              <w:pStyle w:val="8"/>
              <w:bidi w:val="0"/>
              <w:rPr>
                <w:rFonts w:hint="eastAsia"/>
                <w:lang w:val="en-US" w:eastAsia="zh-CN"/>
              </w:rPr>
            </w:pPr>
            <w:r>
              <w:rPr>
                <w:rFonts w:hint="eastAsia"/>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529"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rPr>
              <w:t>3</w:t>
            </w:r>
          </w:p>
        </w:tc>
        <w:tc>
          <w:tcPr>
            <w:tcW w:w="1529" w:type="dxa"/>
            <w:vAlign w:val="center"/>
          </w:tcPr>
          <w:p>
            <w:pPr>
              <w:pStyle w:val="8"/>
              <w:bidi w:val="0"/>
              <w:rPr>
                <w:rFonts w:hint="eastAsia"/>
                <w:lang w:val="en-US" w:eastAsia="zh-CN"/>
              </w:rPr>
            </w:pPr>
            <w:r>
              <w:rPr>
                <w:rFonts w:hint="eastAsia"/>
                <w:lang w:val="en-US" w:eastAsia="zh-CN"/>
              </w:rPr>
              <w:t>厌氧罐</w:t>
            </w:r>
          </w:p>
        </w:tc>
        <w:tc>
          <w:tcPr>
            <w:tcW w:w="1810" w:type="dxa"/>
            <w:vAlign w:val="center"/>
          </w:tcPr>
          <w:p>
            <w:pPr>
              <w:pStyle w:val="8"/>
              <w:bidi w:val="0"/>
              <w:rPr>
                <w:rFonts w:hint="default"/>
                <w:lang w:val="en-US" w:eastAsia="zh-CN"/>
              </w:rPr>
            </w:pPr>
            <w:r>
              <w:rPr>
                <w:rFonts w:hint="eastAsia"/>
                <w:lang w:val="en-US" w:eastAsia="zh-CN"/>
              </w:rPr>
              <w:t>400</w:t>
            </w:r>
            <w:r>
              <w:t>m</w:t>
            </w:r>
            <w:r>
              <w:rPr>
                <w:vertAlign w:val="superscript"/>
              </w:rPr>
              <w:t>3</w:t>
            </w:r>
          </w:p>
        </w:tc>
        <w:tc>
          <w:tcPr>
            <w:tcW w:w="1856" w:type="dxa"/>
            <w:vAlign w:val="center"/>
          </w:tcPr>
          <w:p>
            <w:pPr>
              <w:pStyle w:val="8"/>
              <w:bidi w:val="0"/>
              <w:rPr>
                <w:rFonts w:hint="eastAsia"/>
                <w:lang w:val="en-US" w:eastAsia="zh-CN"/>
              </w:rPr>
            </w:pPr>
            <w:r>
              <w:rPr>
                <w:rFonts w:hint="eastAsia"/>
                <w:lang w:eastAsia="zh-CN"/>
              </w:rPr>
              <w:t>养殖区西南侧</w:t>
            </w:r>
          </w:p>
        </w:tc>
        <w:tc>
          <w:tcPr>
            <w:tcW w:w="1474" w:type="dxa"/>
            <w:vAlign w:val="center"/>
          </w:tcPr>
          <w:p>
            <w:pPr>
              <w:pStyle w:val="8"/>
              <w:bidi w:val="0"/>
              <w:rPr>
                <w:rFonts w:hint="eastAsia"/>
                <w:lang w:val="en-US" w:eastAsia="zh-CN"/>
              </w:rPr>
            </w:pPr>
            <w:r>
              <w:rPr>
                <w:rFonts w:hint="eastAsia"/>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pPr>
              <w:pStyle w:val="8"/>
              <w:bidi w:val="0"/>
              <w:ind w:firstLine="0" w:firstLineChars="0"/>
              <w:rPr>
                <w:rFonts w:hint="default" w:ascii="Times New Roman" w:hAnsi="Times New Roman" w:eastAsiaTheme="minorEastAsia" w:cstheme="minorBidi"/>
                <w:kern w:val="20"/>
                <w:sz w:val="21"/>
                <w:szCs w:val="20"/>
                <w:lang w:val="en-US" w:eastAsia="zh-CN" w:bidi="ar-SA"/>
              </w:rPr>
            </w:pPr>
            <w:r>
              <w:rPr>
                <w:rFonts w:hint="eastAsia"/>
                <w:lang w:val="en-US" w:eastAsia="zh-CN"/>
              </w:rPr>
              <w:t>4</w:t>
            </w:r>
          </w:p>
        </w:tc>
        <w:tc>
          <w:tcPr>
            <w:tcW w:w="1529" w:type="dxa"/>
            <w:vAlign w:val="center"/>
          </w:tcPr>
          <w:p>
            <w:pPr>
              <w:pStyle w:val="8"/>
              <w:bidi w:val="0"/>
            </w:pPr>
            <w:r>
              <w:rPr>
                <w:rFonts w:hint="eastAsia"/>
              </w:rPr>
              <w:t>沼液暂存池</w:t>
            </w:r>
          </w:p>
        </w:tc>
        <w:tc>
          <w:tcPr>
            <w:tcW w:w="1810" w:type="dxa"/>
            <w:vAlign w:val="center"/>
          </w:tcPr>
          <w:p>
            <w:pPr>
              <w:pStyle w:val="8"/>
              <w:bidi w:val="0"/>
            </w:pPr>
            <w:r>
              <w:rPr>
                <w:rFonts w:hint="eastAsia"/>
                <w:lang w:val="en-US" w:eastAsia="zh-CN"/>
              </w:rPr>
              <w:t>12000</w:t>
            </w:r>
            <w:r>
              <w:t>m</w:t>
            </w:r>
            <w:r>
              <w:rPr>
                <w:vertAlign w:val="superscript"/>
              </w:rPr>
              <w:t>3</w:t>
            </w:r>
          </w:p>
        </w:tc>
        <w:tc>
          <w:tcPr>
            <w:tcW w:w="1856" w:type="dxa"/>
            <w:vAlign w:val="center"/>
          </w:tcPr>
          <w:p>
            <w:pPr>
              <w:pStyle w:val="8"/>
              <w:bidi w:val="0"/>
              <w:rPr>
                <w:rFonts w:hint="eastAsia"/>
                <w:lang w:eastAsia="zh-CN"/>
              </w:rPr>
            </w:pPr>
            <w:r>
              <w:rPr>
                <w:rFonts w:hint="eastAsia"/>
                <w:lang w:eastAsia="zh-CN"/>
              </w:rPr>
              <w:t>养殖区西南侧</w:t>
            </w:r>
          </w:p>
        </w:tc>
        <w:tc>
          <w:tcPr>
            <w:tcW w:w="1474" w:type="dxa"/>
            <w:vAlign w:val="center"/>
          </w:tcPr>
          <w:p>
            <w:pPr>
              <w:pStyle w:val="8"/>
              <w:bidi w:val="0"/>
            </w:pPr>
            <w:r>
              <w:rPr>
                <w:rFonts w:hint="eastAsia"/>
              </w:rPr>
              <w:t>是</w:t>
            </w:r>
          </w:p>
        </w:tc>
      </w:tr>
    </w:tbl>
    <w:p>
      <w:r>
        <w:rPr>
          <w:rFonts w:hint="eastAsia"/>
        </w:rPr>
        <w:t>因此，本项目粪污资源利用化处理设施设计及工艺可行。</w:t>
      </w:r>
    </w:p>
    <w:p>
      <w:r>
        <w:rPr>
          <w:rFonts w:hint="eastAsia"/>
        </w:rPr>
        <w:t>总体而言，本项目无废水外排，项目采取的污粪处理工艺切合当地实际情况，运行成本低，工艺技术成熟，在技术经济上是可行的。</w:t>
      </w:r>
    </w:p>
    <w:p>
      <w:r>
        <w:rPr>
          <w:rFonts w:hint="eastAsia"/>
        </w:rPr>
        <w:t>（3）土地消纳能力分析</w:t>
      </w:r>
    </w:p>
    <w:p>
      <w:r>
        <w:rPr>
          <w:rFonts w:hint="eastAsia"/>
        </w:rPr>
        <w:t>①</w:t>
      </w:r>
      <w:r>
        <w:rPr>
          <w:rFonts w:hint="eastAsia"/>
          <w:lang w:eastAsia="zh-CN"/>
        </w:rPr>
        <w:t>周边农作地</w:t>
      </w:r>
      <w:r>
        <w:rPr>
          <w:rFonts w:hint="eastAsia"/>
        </w:rPr>
        <w:t>基本情况</w:t>
      </w:r>
    </w:p>
    <w:p>
      <w:pPr>
        <w:rPr>
          <w:rFonts w:hint="eastAsia" w:eastAsiaTheme="minorEastAsia"/>
          <w:highlight w:val="none"/>
          <w:lang w:eastAsia="zh-CN"/>
        </w:rPr>
      </w:pPr>
      <w:r>
        <w:rPr>
          <w:rFonts w:hint="eastAsia"/>
          <w:lang w:eastAsia="zh-CN"/>
        </w:rPr>
        <w:t>常德华诚现代农业开发有限公司</w:t>
      </w:r>
      <w:r>
        <w:rPr>
          <w:rFonts w:hint="eastAsia"/>
          <w:highlight w:val="none"/>
        </w:rPr>
        <w:t>，</w:t>
      </w:r>
      <w:r>
        <w:rPr>
          <w:rFonts w:hint="eastAsia"/>
          <w:highlight w:val="none"/>
          <w:lang w:eastAsia="zh-CN"/>
        </w:rPr>
        <w:t>主要种植果蔬、柑橘、其他经济林等，种植面积大于</w:t>
      </w:r>
      <w:r>
        <w:rPr>
          <w:rFonts w:hint="eastAsia"/>
          <w:highlight w:val="none"/>
          <w:lang w:val="en-US" w:eastAsia="zh-CN"/>
        </w:rPr>
        <w:t>5000亩。</w:t>
      </w:r>
    </w:p>
    <w:p>
      <w:r>
        <w:rPr>
          <w:rFonts w:hint="eastAsia"/>
        </w:rPr>
        <w:t>②项目粪污消纳能力分析</w:t>
      </w:r>
    </w:p>
    <w:p>
      <w:r>
        <w:rPr>
          <w:rFonts w:hint="eastAsia"/>
        </w:rPr>
        <w:t>我国针对养殖行业的土地消纳能力开展了大量的调查和研究，主要成果有：</w:t>
      </w:r>
    </w:p>
    <w:p>
      <w:r>
        <w:rPr>
          <w:rFonts w:hint="eastAsia"/>
        </w:rPr>
        <w:t xml:space="preserve">a </w:t>
      </w:r>
      <w:r>
        <w:t>根据《广东省规模化畜禽养殖场（小区）主要污染物减排技术指南》（粤农[2012]140号）中的“6.1.3 要求匹配的农业土地面积”对灌溉用地的匹配要求——“原则上只建有储存设施，无污水排放口，粪便、污水完全农业利用，每出栏5头肉猪需配套1亩土地；建有治污设施，无污水排放口，所生产的废弃物完全农业综合利用，每出栏10头肉猪需配套1亩土地。”参照</w:t>
      </w:r>
      <w:r>
        <w:rPr>
          <w:rFonts w:hint="eastAsia"/>
        </w:rPr>
        <w:t>此</w:t>
      </w:r>
      <w:r>
        <w:t>标准，</w:t>
      </w:r>
      <w:r>
        <w:rPr>
          <w:rFonts w:hint="eastAsia"/>
        </w:rPr>
        <w:t>本项目属于有治污设施的情况，</w:t>
      </w:r>
      <w:r>
        <w:t>项目</w:t>
      </w:r>
      <w:r>
        <w:rPr>
          <w:rFonts w:hint="eastAsia"/>
        </w:rPr>
        <w:t>常年存栏折算为</w:t>
      </w:r>
      <w:r>
        <w:rPr>
          <w:rFonts w:hint="eastAsia"/>
          <w:lang w:val="en-US" w:eastAsia="zh-CN"/>
        </w:rPr>
        <w:t>6929</w:t>
      </w:r>
      <w:r>
        <w:rPr>
          <w:rFonts w:hint="eastAsia"/>
        </w:rPr>
        <w:t>头成年猪，年出栏</w:t>
      </w:r>
      <w:r>
        <w:rPr>
          <w:rFonts w:hint="eastAsia"/>
          <w:lang w:eastAsia="zh-CN"/>
        </w:rPr>
        <w:t>仔</w:t>
      </w:r>
      <w:r>
        <w:rPr>
          <w:rFonts w:hint="eastAsia"/>
        </w:rPr>
        <w:t>猪</w:t>
      </w:r>
      <w:r>
        <w:rPr>
          <w:rFonts w:hint="eastAsia"/>
          <w:lang w:val="en-US" w:eastAsia="zh-CN"/>
        </w:rPr>
        <w:t>115000</w:t>
      </w:r>
      <w:r>
        <w:rPr>
          <w:rFonts w:hint="eastAsia"/>
        </w:rPr>
        <w:t>头</w:t>
      </w:r>
      <w:r>
        <w:t>，需配套</w:t>
      </w:r>
      <w:r>
        <w:rPr>
          <w:rFonts w:hint="eastAsia"/>
          <w:lang w:val="en-US" w:eastAsia="zh-CN"/>
        </w:rPr>
        <w:t>1732</w:t>
      </w:r>
      <w:r>
        <w:t>亩</w:t>
      </w:r>
      <w:r>
        <w:rPr>
          <w:rFonts w:hint="eastAsia"/>
        </w:rPr>
        <w:t>以上</w:t>
      </w:r>
      <w:r>
        <w:t>的土地进行种植，</w:t>
      </w:r>
      <w:r>
        <w:rPr>
          <w:highlight w:val="none"/>
        </w:rPr>
        <w:t>项目</w:t>
      </w:r>
      <w:r>
        <w:rPr>
          <w:rFonts w:hint="eastAsia"/>
          <w:highlight w:val="none"/>
          <w:lang w:eastAsia="zh-CN"/>
        </w:rPr>
        <w:t>周边</w:t>
      </w:r>
      <w:r>
        <w:rPr>
          <w:rFonts w:hint="eastAsia"/>
          <w:highlight w:val="none"/>
        </w:rPr>
        <w:t>共</w:t>
      </w:r>
      <w:r>
        <w:rPr>
          <w:highlight w:val="none"/>
        </w:rPr>
        <w:t>有</w:t>
      </w:r>
      <w:r>
        <w:rPr>
          <w:rFonts w:hint="eastAsia"/>
          <w:highlight w:val="none"/>
          <w:lang w:val="en-US" w:eastAsia="zh-CN"/>
        </w:rPr>
        <w:t>5000</w:t>
      </w:r>
      <w:r>
        <w:rPr>
          <w:highlight w:val="none"/>
        </w:rPr>
        <w:t>亩以上的</w:t>
      </w:r>
      <w:r>
        <w:rPr>
          <w:rFonts w:hint="eastAsia"/>
          <w:highlight w:val="none"/>
          <w:lang w:val="en-US" w:eastAsia="zh-CN"/>
        </w:rPr>
        <w:t>消纳土地</w:t>
      </w:r>
      <w:r>
        <w:rPr>
          <w:highlight w:val="none"/>
        </w:rPr>
        <w:t>，能</w:t>
      </w:r>
      <w:r>
        <w:rPr>
          <w:rFonts w:hint="eastAsia"/>
          <w:highlight w:val="none"/>
        </w:rPr>
        <w:t>完全消纳</w:t>
      </w:r>
      <w:r>
        <w:rPr>
          <w:highlight w:val="none"/>
        </w:rPr>
        <w:t>。</w:t>
      </w:r>
    </w:p>
    <w:p>
      <w:pPr>
        <w:rPr>
          <w:highlight w:val="none"/>
        </w:rPr>
      </w:pPr>
      <w:r>
        <w:rPr>
          <w:rFonts w:hint="eastAsia"/>
        </w:rPr>
        <w:t xml:space="preserve">b </w:t>
      </w:r>
      <w:r>
        <w:t>根据《农业环境影响评价技术手册》（程波、张从主编，化学工业出版社，2007.1）的介绍，养成1000头猪出栏，大概要拥有50~100亩地才能消纳猪场的污粪肥，照此折算，本项目</w:t>
      </w:r>
      <w:r>
        <w:rPr>
          <w:rFonts w:hint="eastAsia"/>
        </w:rPr>
        <w:t>年存栏折算的成年猪为</w:t>
      </w:r>
      <w:r>
        <w:rPr>
          <w:rFonts w:hint="eastAsia"/>
          <w:lang w:val="en-US" w:eastAsia="zh-CN"/>
        </w:rPr>
        <w:t>6929</w:t>
      </w:r>
      <w:r>
        <w:rPr>
          <w:rFonts w:hint="eastAsia"/>
        </w:rPr>
        <w:t>头，按出栏量按2.5倍折算，为</w:t>
      </w:r>
      <w:r>
        <w:rPr>
          <w:rFonts w:hint="eastAsia"/>
          <w:lang w:val="en-US" w:eastAsia="zh-CN"/>
        </w:rPr>
        <w:t>17323</w:t>
      </w:r>
      <w:r>
        <w:rPr>
          <w:rFonts w:hint="eastAsia"/>
        </w:rPr>
        <w:t>头需</w:t>
      </w:r>
      <w:r>
        <w:t>配套</w:t>
      </w:r>
      <w:r>
        <w:rPr>
          <w:rFonts w:hint="eastAsia"/>
          <w:lang w:val="en-US" w:eastAsia="zh-CN"/>
        </w:rPr>
        <w:t>866</w:t>
      </w:r>
      <w:r>
        <w:t>~</w:t>
      </w:r>
      <w:r>
        <w:rPr>
          <w:rFonts w:hint="eastAsia"/>
          <w:lang w:val="en-US" w:eastAsia="zh-CN"/>
        </w:rPr>
        <w:t>1732.3</w:t>
      </w:r>
      <w:r>
        <w:t>亩土地可实现种养平衡</w:t>
      </w:r>
      <w:r>
        <w:rPr>
          <w:highlight w:val="none"/>
        </w:rPr>
        <w:t>，本项目</w:t>
      </w:r>
      <w:r>
        <w:rPr>
          <w:rFonts w:hint="eastAsia"/>
          <w:highlight w:val="none"/>
        </w:rPr>
        <w:t>共</w:t>
      </w:r>
      <w:r>
        <w:rPr>
          <w:highlight w:val="none"/>
        </w:rPr>
        <w:t>有</w:t>
      </w:r>
      <w:r>
        <w:rPr>
          <w:rFonts w:hint="eastAsia"/>
          <w:highlight w:val="none"/>
          <w:lang w:val="en-US" w:eastAsia="zh-CN"/>
        </w:rPr>
        <w:t>5000</w:t>
      </w:r>
      <w:r>
        <w:rPr>
          <w:highlight w:val="none"/>
        </w:rPr>
        <w:t>亩以上</w:t>
      </w:r>
      <w:r>
        <w:rPr>
          <w:rFonts w:hint="eastAsia"/>
          <w:highlight w:val="none"/>
          <w:lang w:val="en-US" w:eastAsia="zh-CN"/>
        </w:rPr>
        <w:t>消纳土地</w:t>
      </w:r>
      <w:r>
        <w:rPr>
          <w:highlight w:val="none"/>
        </w:rPr>
        <w:t>，能</w:t>
      </w:r>
      <w:r>
        <w:rPr>
          <w:rFonts w:hint="eastAsia"/>
          <w:highlight w:val="none"/>
        </w:rPr>
        <w:t>完全消纳</w:t>
      </w:r>
      <w:r>
        <w:rPr>
          <w:highlight w:val="none"/>
        </w:rPr>
        <w:t>。</w:t>
      </w:r>
    </w:p>
    <w:p>
      <w:pPr>
        <w:rPr>
          <w:rFonts w:hint="eastAsia"/>
          <w:highlight w:val="none"/>
        </w:rPr>
      </w:pPr>
      <w:r>
        <w:rPr>
          <w:rFonts w:hint="eastAsia"/>
          <w:highlight w:val="none"/>
          <w:lang w:val="en-US" w:eastAsia="zh-CN"/>
        </w:rPr>
        <w:t xml:space="preserve">c </w:t>
      </w:r>
      <w:r>
        <w:rPr>
          <w:highlight w:val="none"/>
        </w:rPr>
        <w:t>据湖南本地的经验数据表明，养猪场每存栏5~6头猪配备1亩土地可基本实现粪尿的种养平衡，本项目年存栏</w:t>
      </w:r>
      <w:r>
        <w:rPr>
          <w:rFonts w:hint="eastAsia"/>
          <w:highlight w:val="none"/>
          <w:lang w:val="en-US" w:eastAsia="zh-CN"/>
        </w:rPr>
        <w:t>6929</w:t>
      </w:r>
      <w:r>
        <w:rPr>
          <w:highlight w:val="none"/>
        </w:rPr>
        <w:t>头，则需配套</w:t>
      </w:r>
      <w:r>
        <w:rPr>
          <w:rFonts w:hint="eastAsia"/>
          <w:highlight w:val="none"/>
          <w:lang w:val="en-US" w:eastAsia="zh-CN"/>
        </w:rPr>
        <w:t>1154.8</w:t>
      </w:r>
      <w:r>
        <w:rPr>
          <w:highlight w:val="none"/>
        </w:rPr>
        <w:t>~</w:t>
      </w:r>
      <w:r>
        <w:rPr>
          <w:rFonts w:hint="eastAsia"/>
          <w:highlight w:val="none"/>
          <w:lang w:val="en-US" w:eastAsia="zh-CN"/>
        </w:rPr>
        <w:t>1358.8</w:t>
      </w:r>
      <w:r>
        <w:rPr>
          <w:highlight w:val="none"/>
        </w:rPr>
        <w:t>亩土地，本项目</w:t>
      </w:r>
      <w:r>
        <w:rPr>
          <w:rFonts w:hint="eastAsia"/>
          <w:highlight w:val="none"/>
        </w:rPr>
        <w:t>共</w:t>
      </w:r>
      <w:r>
        <w:rPr>
          <w:highlight w:val="none"/>
        </w:rPr>
        <w:t>有</w:t>
      </w:r>
      <w:r>
        <w:rPr>
          <w:rFonts w:hint="eastAsia"/>
          <w:highlight w:val="none"/>
          <w:lang w:val="en-US" w:eastAsia="zh-CN"/>
        </w:rPr>
        <w:t>5000</w:t>
      </w:r>
      <w:r>
        <w:rPr>
          <w:highlight w:val="none"/>
        </w:rPr>
        <w:t>亩以上</w:t>
      </w:r>
      <w:r>
        <w:rPr>
          <w:rFonts w:hint="eastAsia"/>
          <w:highlight w:val="none"/>
          <w:lang w:val="en-US" w:eastAsia="zh-CN"/>
        </w:rPr>
        <w:t>消纳土地</w:t>
      </w:r>
      <w:r>
        <w:rPr>
          <w:highlight w:val="none"/>
        </w:rPr>
        <w:t>，能</w:t>
      </w:r>
      <w:r>
        <w:rPr>
          <w:rFonts w:hint="eastAsia"/>
          <w:highlight w:val="none"/>
        </w:rPr>
        <w:t>完全消纳</w:t>
      </w:r>
      <w:r>
        <w:rPr>
          <w:highlight w:val="none"/>
        </w:rPr>
        <w:t>。</w:t>
      </w:r>
    </w:p>
    <w:p>
      <w:r>
        <w:rPr>
          <w:rFonts w:hint="eastAsia"/>
        </w:rPr>
        <w:t>因此，根据经验值测算，项目周边有足够的农业用地可以消纳本项目产生的有机肥料。</w:t>
      </w:r>
    </w:p>
    <w:p>
      <w:r>
        <w:t>③ 周边种植基地基于</w:t>
      </w:r>
      <w:r>
        <w:rPr>
          <w:rFonts w:hint="eastAsia"/>
        </w:rPr>
        <w:t>N、P元素的土地承载力分析</w:t>
      </w:r>
    </w:p>
    <w:p>
      <w:r>
        <w:rPr>
          <w:rFonts w:hint="eastAsia"/>
        </w:rPr>
        <w:t>根据</w:t>
      </w:r>
      <w:r>
        <w:t>农业部办公厅于</w:t>
      </w:r>
      <w:r>
        <w:rPr>
          <w:rFonts w:hint="eastAsia"/>
        </w:rPr>
        <w:t>2018年1月1日发布实施的《畜禽粪污土地承载力测算技术指南》</w:t>
      </w:r>
      <w:r>
        <w:t>(农办牧[2018]1号</w:t>
      </w:r>
      <w:r>
        <w:rPr>
          <w:rFonts w:hint="eastAsia"/>
        </w:rPr>
        <w:t>)中的相关规定，计算本项目配套的种植区域畜禽粪污土地承载力。</w:t>
      </w:r>
    </w:p>
    <w:p>
      <w:r>
        <w:rPr>
          <w:rFonts w:hint="eastAsia"/>
        </w:rPr>
        <w:t>a、猪当量：指用于衡量畜禽氮（磷）排泄量的度量单位，</w:t>
      </w:r>
      <w:r>
        <w:t>1头猪为1个猪当量。1个猪当量的氮排泄量为11kg，磷排泄量为1.65kg。生猪</w:t>
      </w:r>
      <w:r>
        <w:rPr>
          <w:rFonts w:hint="eastAsia"/>
        </w:rPr>
        <w:t>固体粪便中氮素占氮排泄总量的</w:t>
      </w:r>
      <w:r>
        <w:t>50%，磷素占80%</w:t>
      </w:r>
      <w:r>
        <w:rPr>
          <w:rFonts w:hint="eastAsia"/>
        </w:rPr>
        <w:t>。</w:t>
      </w:r>
    </w:p>
    <w:p>
      <w:r>
        <w:rPr>
          <w:rFonts w:hint="eastAsia"/>
        </w:rPr>
        <w:t>b、测算原则</w:t>
      </w:r>
    </w:p>
    <w:p>
      <w:r>
        <w:t xml:space="preserve"> 畜禽粪污土地承载力及规模养殖场配套土地面积测算以粪肥氮养分供给和植物氮养分需求为基础进行核算。</w:t>
      </w:r>
      <w:r>
        <w:rPr>
          <w:rFonts w:hint="eastAsia"/>
        </w:rPr>
        <w:t>对于以蔬菜等作物为主或土壤本底值磷含量较高的特殊区域或农用地，可选择以磷为基础进行测算。本项目种植基地以果树</w:t>
      </w:r>
      <w:r>
        <w:rPr>
          <w:rFonts w:hint="eastAsia"/>
          <w:lang w:eastAsia="zh-CN"/>
        </w:rPr>
        <w:t>、经济林</w:t>
      </w:r>
      <w:r>
        <w:rPr>
          <w:rFonts w:hint="eastAsia"/>
        </w:rPr>
        <w:t>为主，因此以氮</w:t>
      </w:r>
      <w:r>
        <w:t>养分需求为基础进行</w:t>
      </w:r>
      <w:r>
        <w:rPr>
          <w:rFonts w:hint="eastAsia"/>
        </w:rPr>
        <w:t>畜禽粪污</w:t>
      </w:r>
      <w:r>
        <w:t>土地承载力核算。</w:t>
      </w:r>
    </w:p>
    <w:p>
      <w:r>
        <w:rPr>
          <w:rFonts w:hint="eastAsia"/>
        </w:rPr>
        <w:t>c、区域畜禽粪污土地承载力测算</w:t>
      </w:r>
    </w:p>
    <w:p>
      <w:r>
        <w:rPr>
          <w:rFonts w:hint="eastAsia"/>
        </w:rPr>
        <w:t>区域畜禽粪污土地承载力=区域植物粪肥养分需求量÷单位猪当量粪肥养分供给量（以猪当量计）。</w:t>
      </w:r>
    </w:p>
    <w:p>
      <w:r>
        <w:rPr>
          <w:rFonts w:hint="eastAsia"/>
        </w:rPr>
        <w:t>植物养分需求量=植物的产量×单位产量养分的需求量。</w:t>
      </w:r>
    </w:p>
    <w:p>
      <w:r>
        <w:rPr>
          <w:rFonts w:hint="eastAsia"/>
          <w:lang w:eastAsia="zh-CN"/>
        </w:rPr>
        <w:t>常德华诚现代农业开发有限公司共有</w:t>
      </w:r>
      <w:r>
        <w:rPr>
          <w:rFonts w:hint="eastAsia"/>
          <w:lang w:val="en-US" w:eastAsia="zh-CN"/>
        </w:rPr>
        <w:t>5000</w:t>
      </w:r>
      <w:r>
        <w:rPr>
          <w:rFonts w:hint="eastAsia"/>
        </w:rPr>
        <w:t>亩</w:t>
      </w:r>
      <w:r>
        <w:rPr>
          <w:rFonts w:hint="eastAsia"/>
          <w:lang w:eastAsia="zh-CN"/>
        </w:rPr>
        <w:t>果蔬、柑橘、经济林地等，本项目免费提供沼液给常德华诚现代农业开发有限公司使用</w:t>
      </w:r>
      <w:r>
        <w:rPr>
          <w:rFonts w:hint="eastAsia"/>
        </w:rPr>
        <w:t>。</w:t>
      </w:r>
    </w:p>
    <w:p>
      <w:pPr>
        <w:rPr>
          <w:rFonts w:hint="eastAsia" w:eastAsiaTheme="minorEastAsia"/>
          <w:lang w:val="en-US" w:eastAsia="zh-CN"/>
        </w:rPr>
      </w:pPr>
      <w:r>
        <w:rPr>
          <w:rFonts w:hint="eastAsia"/>
        </w:rPr>
        <w:t>根据本《指南》附表3，</w:t>
      </w:r>
      <w:r>
        <w:rPr>
          <w:rFonts w:hint="eastAsia"/>
          <w:lang w:eastAsia="zh-CN"/>
        </w:rPr>
        <w:t>柑橘</w:t>
      </w:r>
      <w:r>
        <w:rPr>
          <w:rFonts w:hint="eastAsia"/>
        </w:rPr>
        <w:t>产量系数</w:t>
      </w:r>
      <w:r>
        <w:rPr>
          <w:rFonts w:hint="eastAsia"/>
          <w:lang w:val="en-US" w:eastAsia="zh-CN"/>
        </w:rPr>
        <w:t>25</w:t>
      </w:r>
      <w:r>
        <w:t>t/hm</w:t>
      </w:r>
      <w:r>
        <w:rPr>
          <w:vertAlign w:val="superscript"/>
        </w:rPr>
        <w:t>2</w:t>
      </w:r>
      <w:r>
        <w:t>，</w:t>
      </w:r>
      <w:r>
        <w:rPr>
          <w:rFonts w:hint="eastAsia"/>
          <w:lang w:eastAsia="zh-CN"/>
        </w:rPr>
        <w:t>经济林按照桉树的产量</w:t>
      </w:r>
      <w:r>
        <w:rPr>
          <w:rFonts w:hint="eastAsia"/>
          <w:lang w:val="en-US" w:eastAsia="zh-CN"/>
        </w:rPr>
        <w:t>30m</w:t>
      </w:r>
      <w:r>
        <w:rPr>
          <w:rFonts w:hint="eastAsia"/>
          <w:vertAlign w:val="superscript"/>
          <w:lang w:val="en-US" w:eastAsia="zh-CN"/>
        </w:rPr>
        <w:t>3</w:t>
      </w:r>
      <w:r>
        <w:rPr>
          <w:rFonts w:hint="eastAsia"/>
          <w:lang w:val="en-US" w:eastAsia="zh-CN"/>
        </w:rPr>
        <w:t>/</w:t>
      </w:r>
      <w:r>
        <w:t>hm</w:t>
      </w:r>
      <w:r>
        <w:rPr>
          <w:vertAlign w:val="superscript"/>
        </w:rPr>
        <w:t>2</w:t>
      </w:r>
      <w:r>
        <w:rPr>
          <w:rFonts w:hint="eastAsia"/>
          <w:lang w:eastAsia="zh-CN"/>
        </w:rPr>
        <w:t>。根据附表</w:t>
      </w:r>
      <w:r>
        <w:rPr>
          <w:rFonts w:hint="eastAsia"/>
          <w:lang w:val="en-US" w:eastAsia="zh-CN"/>
        </w:rPr>
        <w:t>3-1不同植物土地承载能力推荐值（土壤氮养分水平II, 粪肥比例50%，当季利用率25%，以氮为基础），本项目属于堆肥外供+肥水就地利用的模式。根据附表3-1，柑橘的土地承载力为2.3猪当量/亩/当季、蔬菜（以白菜计）的土地承载力为2.3猪当量/亩/当季、经济林（以桉树计）的土地承载力为1.7猪当量/亩/当季。</w:t>
      </w:r>
      <w:r>
        <w:rPr>
          <w:rFonts w:hint="eastAsia"/>
          <w:lang w:eastAsia="zh-CN"/>
        </w:rPr>
        <w:t>常德华诚现代农业开发有限公司的种植类型主要以果蔬、经济林为主，本项目按照柑橘种植面积</w:t>
      </w:r>
      <w:r>
        <w:rPr>
          <w:rFonts w:hint="eastAsia"/>
          <w:lang w:val="en-US" w:eastAsia="zh-CN"/>
        </w:rPr>
        <w:t>2000亩，蔬菜（以白菜计）1000亩，经济林2000亩（以桉树计）来计算土地承载力。则</w:t>
      </w:r>
      <w:r>
        <w:rPr>
          <w:rFonts w:hint="eastAsia"/>
          <w:lang w:eastAsia="zh-CN"/>
        </w:rPr>
        <w:t>常德华诚现代农业开发有限公司可承载</w:t>
      </w:r>
      <w:r>
        <w:rPr>
          <w:rFonts w:hint="eastAsia"/>
          <w:lang w:val="en-US" w:eastAsia="zh-CN"/>
        </w:rPr>
        <w:t>10300猪当量的粪污，本项目存在猪当量为6929头，</w:t>
      </w:r>
      <w:r>
        <w:rPr>
          <w:rFonts w:hint="eastAsia"/>
        </w:rPr>
        <w:t>小于</w:t>
      </w:r>
      <w:r>
        <w:rPr>
          <w:rFonts w:hint="eastAsia"/>
          <w:lang w:eastAsia="zh-CN"/>
        </w:rPr>
        <w:t>可消纳粪污</w:t>
      </w:r>
      <w:r>
        <w:rPr>
          <w:rFonts w:hint="eastAsia"/>
        </w:rPr>
        <w:t>土地承载能力</w:t>
      </w:r>
      <w:r>
        <w:rPr>
          <w:rFonts w:hint="eastAsia"/>
          <w:lang w:val="en-US" w:eastAsia="zh-CN"/>
        </w:rPr>
        <w:t>10300</w:t>
      </w:r>
      <w:r>
        <w:rPr>
          <w:rFonts w:hint="eastAsia"/>
        </w:rPr>
        <w:t>头猪当量，在其土地的承载力之内</w:t>
      </w:r>
      <w:r>
        <w:rPr>
          <w:rFonts w:hint="eastAsia"/>
          <w:lang w:eastAsia="zh-CN"/>
        </w:rPr>
        <w:t>。</w:t>
      </w:r>
    </w:p>
    <w:p>
      <w:r>
        <w:rPr>
          <w:rFonts w:hint="eastAsia"/>
        </w:rPr>
        <w:t xml:space="preserve"> 综上所述，本项目养殖场将粪污进行微生物发酵处理后还林施肥是可行的，符合《关于加快推进畜禽养殖废弃物资源化利用的意见》以及《畜禽养殖业污染防治技术规范》的相关要求，能够实现粪污完全消纳。</w:t>
      </w:r>
    </w:p>
    <w:p>
      <w:pPr>
        <w:pStyle w:val="5"/>
        <w:bidi w:val="0"/>
      </w:pPr>
      <w:r>
        <w:t>营运期废气污染防治措施</w:t>
      </w:r>
      <w:bookmarkEnd w:id="425"/>
    </w:p>
    <w:p>
      <w:r>
        <w:rPr>
          <w:rFonts w:hint="eastAsia"/>
        </w:rPr>
        <w:t>本项目废气主要是猪舍、</w:t>
      </w:r>
      <w:r>
        <w:rPr>
          <w:rFonts w:hint="eastAsia"/>
          <w:lang w:eastAsia="zh-CN"/>
        </w:rPr>
        <w:t>堆肥</w:t>
      </w:r>
      <w:r>
        <w:rPr>
          <w:rFonts w:hint="eastAsia"/>
        </w:rPr>
        <w:t>车间等无组织排放的恶臭气体（氨、硫化氢等），职工食堂营运后产生的油烟，备用柴油机产生的烟气等等。</w:t>
      </w:r>
    </w:p>
    <w:p>
      <w:bookmarkStart w:id="428" w:name="_Toc468689240"/>
      <w:r>
        <w:rPr>
          <w:rFonts w:hint="eastAsia"/>
        </w:rPr>
        <w:t>（</w:t>
      </w:r>
      <w:r>
        <w:t>1</w:t>
      </w:r>
      <w:r>
        <w:rPr>
          <w:rFonts w:hint="eastAsia"/>
        </w:rPr>
        <w:t>）恶臭气体的污染防治措施</w:t>
      </w:r>
      <w:bookmarkEnd w:id="428"/>
    </w:p>
    <w:p>
      <w:r>
        <w:fldChar w:fldCharType="begin"/>
      </w:r>
      <w:r>
        <w:instrText xml:space="preserve"> = 1 \* GB3 </w:instrText>
      </w:r>
      <w:r>
        <w:fldChar w:fldCharType="separate"/>
      </w:r>
      <w:r>
        <w:t>①</w:t>
      </w:r>
      <w:r>
        <w:fldChar w:fldCharType="end"/>
      </w:r>
      <w:r>
        <w:rPr>
          <w:rFonts w:hint="eastAsia"/>
        </w:rPr>
        <w:t>猪舍设计与除臭</w:t>
      </w:r>
    </w:p>
    <w:p>
      <w:r>
        <w:fldChar w:fldCharType="begin"/>
      </w:r>
      <w:r>
        <w:instrText xml:space="preserve"> = 1 \* alphabetic </w:instrText>
      </w:r>
      <w:r>
        <w:fldChar w:fldCharType="separate"/>
      </w:r>
      <w:r>
        <w:t>a</w:t>
      </w:r>
      <w:r>
        <w:fldChar w:fldCharType="end"/>
      </w:r>
      <w:r>
        <w:rPr>
          <w:rFonts w:hint="eastAsia"/>
        </w:rPr>
        <w:t>、企业选择分区饲养，各猪舍加强通风，且在风机口安装降温除臭水帘。</w:t>
      </w:r>
    </w:p>
    <w:p>
      <w:r>
        <w:rPr>
          <w:rFonts w:hint="eastAsia"/>
        </w:rPr>
        <w:t>降温水帘除臭原理：</w:t>
      </w:r>
    </w:p>
    <w:p>
      <w:r>
        <w:rPr>
          <w:rFonts w:hint="eastAsia"/>
        </w:rPr>
        <w:t>安装方式：一般是在厂房的单侧窗台上安装所需的负压风机，然后在对侧的窗台上安装降温除臭水帘（水帘一般按照窗户的尺寸订做配备），然后在水帘一侧安装水帘所需的水循环系统，使水帘保持湿润。</w:t>
      </w:r>
    </w:p>
    <w:p>
      <w:r>
        <w:rPr>
          <w:rFonts w:hint="eastAsia"/>
        </w:rPr>
        <w:t>降温、除臭原理：当启动风机水帘系统时，负压风机将厂房内部所产生的热气、异味、废气抽到室外，此时厂房内形成负压，所以外界的空气会通过风机对侧的降温除臭水帘进入室内。降温除臭水帘蜂窝状的形状扩大了与空气接触的面积，当空气快速通过水帘时，水帘上的液态水会发生强烈的蒸发作用，带走了空气中的热量，从而使进来的空气都是凉风。同时在水帘循环用水中添加除臭剂，即可将猪舍中产生的恶臭进行吸附吸收，可有效减少猪场恶臭排放。</w:t>
      </w:r>
    </w:p>
    <w:p>
      <w:r>
        <w:fldChar w:fldCharType="begin"/>
      </w:r>
      <w:r>
        <w:instrText xml:space="preserve"> = 2 \* alphabetic </w:instrText>
      </w:r>
      <w:r>
        <w:fldChar w:fldCharType="separate"/>
      </w:r>
      <w:r>
        <w:t>b</w:t>
      </w:r>
      <w:r>
        <w:fldChar w:fldCharType="end"/>
      </w:r>
      <w:r>
        <w:rPr>
          <w:rFonts w:hint="eastAsia"/>
        </w:rPr>
        <w:t>、猪舍及养殖区定期喷洒除臭剂。</w:t>
      </w:r>
    </w:p>
    <w:p>
      <w:r>
        <w:fldChar w:fldCharType="begin"/>
      </w:r>
      <w:r>
        <w:instrText xml:space="preserve"> = 3 \* alphabetic </w:instrText>
      </w:r>
      <w:r>
        <w:fldChar w:fldCharType="separate"/>
      </w:r>
      <w:r>
        <w:t>c</w:t>
      </w:r>
      <w:r>
        <w:fldChar w:fldCharType="end"/>
      </w:r>
      <w:r>
        <w:rPr>
          <w:rFonts w:hint="eastAsia"/>
        </w:rPr>
        <w:t>、保持舍内干燥，减少舍内粉尘、微生物。</w:t>
      </w:r>
    </w:p>
    <w:p>
      <w:r>
        <w:fldChar w:fldCharType="begin"/>
      </w:r>
      <w:r>
        <w:instrText xml:space="preserve"> = 4 \* alphabetic </w:instrText>
      </w:r>
      <w:r>
        <w:fldChar w:fldCharType="separate"/>
      </w:r>
      <w:r>
        <w:t>d</w:t>
      </w:r>
      <w:r>
        <w:fldChar w:fldCharType="end"/>
      </w:r>
      <w:r>
        <w:rPr>
          <w:rFonts w:hint="eastAsia"/>
        </w:rPr>
        <w:t>、病死猪只要及时进行无害化处理。</w:t>
      </w:r>
    </w:p>
    <w:p>
      <w:r>
        <w:fldChar w:fldCharType="begin"/>
      </w:r>
      <w:r>
        <w:instrText xml:space="preserve"> = 5 \* alphabetic </w:instrText>
      </w:r>
      <w:r>
        <w:fldChar w:fldCharType="separate"/>
      </w:r>
      <w:r>
        <w:t>e</w:t>
      </w:r>
      <w:r>
        <w:fldChar w:fldCharType="end"/>
      </w:r>
      <w:r>
        <w:rPr>
          <w:rFonts w:hint="eastAsia"/>
        </w:rPr>
        <w:t>、强化猪舍消毒，如猪舍配备地面消毒设备车库，车棚内应设有车辆清洗消毒设施，病畜隔离间必须设车轮、鞋靴消毒池。</w:t>
      </w:r>
    </w:p>
    <w:p>
      <w:r>
        <w:fldChar w:fldCharType="begin"/>
      </w:r>
      <w:r>
        <w:instrText xml:space="preserve"> = 2 \* GB3 </w:instrText>
      </w:r>
      <w:r>
        <w:fldChar w:fldCharType="separate"/>
      </w:r>
      <w:r>
        <w:t>②</w:t>
      </w:r>
      <w:r>
        <w:fldChar w:fldCharType="end"/>
      </w:r>
      <w:r>
        <w:rPr>
          <w:rFonts w:hint="eastAsia"/>
        </w:rPr>
        <w:t>科学的设计日粮与饲料添加剂的选用</w:t>
      </w:r>
    </w:p>
    <w:p>
      <w:bookmarkStart w:id="429" w:name="_Hlk486194332"/>
      <w:r>
        <w:rPr>
          <w:rFonts w:hint="eastAsia"/>
        </w:rPr>
        <w:t>猪采饲料后，饲料在食道的消化过程中，因微生物腐败分解而产生臭气，同时，没有消化的部分在体外被微生物降解，因此，提高日粮的消化率，减少干物质（特别是蛋白质）排出量，既可减少肠道臭气的产生量，又可减少粪便排出后臭气的产生量，这是减少恶臭来源的有效措施之一。</w:t>
      </w:r>
    </w:p>
    <w:p>
      <w:r>
        <w:rPr>
          <w:rFonts w:hint="eastAsia"/>
        </w:rPr>
        <w:t>选用氨基酸平衡的低蛋白的饲料和合理使用饲料添加剂</w:t>
      </w:r>
      <w:bookmarkEnd w:id="429"/>
      <w:r>
        <w:rPr>
          <w:rFonts w:hint="eastAsia"/>
        </w:rPr>
        <w:t>，如添加赛迪草，使用</w:t>
      </w:r>
      <w:r>
        <w:t>EM</w:t>
      </w:r>
      <w:r>
        <w:rPr>
          <w:rFonts w:hint="eastAsia"/>
        </w:rPr>
        <w:t>菌液等以减少氮和磷的排放。</w:t>
      </w:r>
    </w:p>
    <w:p>
      <w:r>
        <w:rPr>
          <w:rFonts w:hint="eastAsia"/>
        </w:rPr>
        <w:t>合理选用饲料，利用生物方法，可将猪体内的</w:t>
      </w:r>
      <w:r>
        <w:t>NH</w:t>
      </w:r>
      <w:r>
        <w:rPr>
          <w:vertAlign w:val="subscript"/>
        </w:rPr>
        <w:t>3</w:t>
      </w:r>
      <w:r>
        <w:rPr>
          <w:rFonts w:hint="eastAsia"/>
        </w:rPr>
        <w:t>、硫化氢（</w:t>
      </w:r>
      <w:r>
        <w:t>H</w:t>
      </w:r>
      <w:r>
        <w:rPr>
          <w:vertAlign w:val="subscript"/>
        </w:rPr>
        <w:t>2</w:t>
      </w:r>
      <w:r>
        <w:t>S</w:t>
      </w:r>
      <w:r>
        <w:rPr>
          <w:rFonts w:hint="eastAsia"/>
        </w:rPr>
        <w:t>）、甲烷（</w:t>
      </w:r>
      <w:r>
        <w:t>CH</w:t>
      </w:r>
      <w:r>
        <w:rPr>
          <w:vertAlign w:val="subscript"/>
        </w:rPr>
        <w:t>4</w:t>
      </w:r>
      <w:r>
        <w:rPr>
          <w:rFonts w:hint="eastAsia"/>
        </w:rPr>
        <w:t>）等转化为可供畜体吸收的化合态氮和其他物质，可使排泄物中的营养成分和有害成分都明显降低，从而提高饲料消化利用率，并减少臭气的产生。但值得注意的是：使用添加剂时，应选择微生物、低聚糖等无公害饲料添加剂，以保证畜产品安全和无公害。另外，分阶段饲喂，即用不同养分组成的饲料来饲喂不同生长发育阶段的猪只，使饲料养分更接近猪只的生长需要，可避免养分的浪费和对环境的污染。</w:t>
      </w:r>
    </w:p>
    <w:p>
      <w:bookmarkStart w:id="430" w:name="_Toc468689241"/>
      <w:r>
        <w:fldChar w:fldCharType="begin"/>
      </w:r>
      <w:r>
        <w:instrText xml:space="preserve"> = 3 \* GB3 </w:instrText>
      </w:r>
      <w:r>
        <w:fldChar w:fldCharType="separate"/>
      </w:r>
      <w:r>
        <w:t>③</w:t>
      </w:r>
      <w:r>
        <w:fldChar w:fldCharType="end"/>
      </w:r>
      <w:r>
        <w:rPr>
          <w:rFonts w:hint="eastAsia"/>
        </w:rPr>
        <w:t xml:space="preserve"> 加强</w:t>
      </w:r>
      <w:r>
        <w:rPr>
          <w:rFonts w:hint="eastAsia"/>
          <w:lang w:eastAsia="zh-CN"/>
        </w:rPr>
        <w:t>堆粪棚</w:t>
      </w:r>
      <w:r>
        <w:rPr>
          <w:rFonts w:hint="eastAsia"/>
        </w:rPr>
        <w:t>的操作管理</w:t>
      </w:r>
    </w:p>
    <w:bookmarkEnd w:id="430"/>
    <w:p>
      <w:r>
        <w:rPr>
          <w:rFonts w:hint="eastAsia"/>
        </w:rPr>
        <w:t>要做好猪场</w:t>
      </w:r>
      <w:r>
        <w:rPr>
          <w:rFonts w:hint="eastAsia"/>
          <w:lang w:eastAsia="zh-CN"/>
        </w:rPr>
        <w:t>堆粪棚</w:t>
      </w:r>
      <w:r>
        <w:rPr>
          <w:rFonts w:hint="eastAsia"/>
        </w:rPr>
        <w:t>管理工作，定时检测生物发酵的温度与湿度，维持生物发酵所需的温度与湿度条件，适时补充微生物菌种，保持微生物活性，严格控制粪污的喷洒量和喷洒频率，使养殖粪污的能充分地分解与转化，加强通风换气，可使用复合菌抑制臭气的产生。</w:t>
      </w:r>
    </w:p>
    <w:p>
      <w:r>
        <w:fldChar w:fldCharType="begin"/>
      </w:r>
      <w:r>
        <w:instrText xml:space="preserve"> = 4 \* GB3 </w:instrText>
      </w:r>
      <w:r>
        <w:fldChar w:fldCharType="separate"/>
      </w:r>
      <w:r>
        <w:t>④</w:t>
      </w:r>
      <w:r>
        <w:fldChar w:fldCharType="end"/>
      </w:r>
      <w:r>
        <w:t>控制猪舍的饲养密度</w:t>
      </w:r>
    </w:p>
    <w:p>
      <w:r>
        <w:t>按照猪舍设计面积控制</w:t>
      </w:r>
      <w:r>
        <w:rPr>
          <w:rFonts w:hint="eastAsia"/>
        </w:rPr>
        <w:t>饲养密度，减少过密养殖造成粪尿大量积累，引起恶臭气体深度增加。</w:t>
      </w:r>
    </w:p>
    <w:p>
      <w:r>
        <w:fldChar w:fldCharType="begin"/>
      </w:r>
      <w:r>
        <w:instrText xml:space="preserve"> = 5 \* GB3 </w:instrText>
      </w:r>
      <w:r>
        <w:fldChar w:fldCharType="separate"/>
      </w:r>
      <w:r>
        <w:t>⑤</w:t>
      </w:r>
      <w:r>
        <w:fldChar w:fldCharType="end"/>
      </w:r>
      <w:r>
        <w:rPr>
          <w:rFonts w:hint="eastAsia"/>
        </w:rPr>
        <w:t>加强绿化</w:t>
      </w:r>
    </w:p>
    <w:p>
      <w:r>
        <w:rPr>
          <w:rFonts w:hint="eastAsia"/>
        </w:rPr>
        <w:t>本项目养殖区均选址在山体中央，在其四周将种植高大</w:t>
      </w:r>
      <w:r>
        <w:rPr>
          <w:rFonts w:hint="eastAsia"/>
          <w:lang w:eastAsia="zh-CN"/>
        </w:rPr>
        <w:t>树木</w:t>
      </w:r>
      <w:r>
        <w:rPr>
          <w:rFonts w:hint="eastAsia"/>
        </w:rPr>
        <w:t>，在场区道路两边种可形成多层防护林带，可以有效防止气味扩散、减少气味、灰尘和细菌含量。栽植合理的防护林可减少灰尘和污染物沉降</w:t>
      </w:r>
      <w:r>
        <w:t>27%</w:t>
      </w:r>
      <w:r>
        <w:rPr>
          <w:rFonts w:hint="eastAsia"/>
        </w:rPr>
        <w:t>～</w:t>
      </w:r>
      <w:r>
        <w:t>30%</w:t>
      </w:r>
      <w:r>
        <w:rPr>
          <w:rFonts w:hint="eastAsia"/>
        </w:rPr>
        <w:t>。可以降低风速，防止气味传播到更远的距离，减少臭气污染的范围；还可降低环境温度，减少气味的产生与挥发。树叶可直接吸收、过滤含有气味的气体和尘粒，从而减轻空气中的气味。树木通过光合作用吸收空气中的</w:t>
      </w:r>
      <w:r>
        <w:t>CO</w:t>
      </w:r>
      <w:r>
        <w:rPr>
          <w:vertAlign w:val="subscript"/>
        </w:rPr>
        <w:t>2</w:t>
      </w:r>
      <w:r>
        <w:rPr>
          <w:rFonts w:hint="eastAsia"/>
        </w:rPr>
        <w:t>，释放出</w:t>
      </w:r>
      <w:r>
        <w:t>O</w:t>
      </w:r>
      <w:r>
        <w:rPr>
          <w:vertAlign w:val="subscript"/>
        </w:rPr>
        <w:t>2</w:t>
      </w:r>
      <w:r>
        <w:rPr>
          <w:rFonts w:hint="eastAsia"/>
        </w:rPr>
        <w:t>，可明显降低空气中</w:t>
      </w:r>
      <w:r>
        <w:t>CO</w:t>
      </w:r>
      <w:r>
        <w:rPr>
          <w:vertAlign w:val="subscript"/>
        </w:rPr>
        <w:t>2</w:t>
      </w:r>
      <w:r>
        <w:rPr>
          <w:rFonts w:hint="eastAsia"/>
        </w:rPr>
        <w:t>浓度，改善空气质量。</w:t>
      </w:r>
    </w:p>
    <w:p>
      <w:r>
        <w:rPr>
          <w:rFonts w:hint="eastAsia"/>
        </w:rPr>
        <w:t>⑥设置卫生防护距离</w:t>
      </w:r>
    </w:p>
    <w:p>
      <w:r>
        <w:rPr>
          <w:rFonts w:hint="eastAsia"/>
          <w:lang w:eastAsia="zh-CN"/>
        </w:rPr>
        <w:t>项目</w:t>
      </w:r>
      <w:r>
        <w:rPr>
          <w:rFonts w:hint="eastAsia"/>
        </w:rPr>
        <w:t>养殖区设置</w:t>
      </w:r>
      <w:r>
        <w:t>200m</w:t>
      </w:r>
      <w:r>
        <w:rPr>
          <w:rFonts w:hint="eastAsia"/>
        </w:rPr>
        <w:t>卫生防护距离，减少臭气对周围环境空气敏感目标的影响。</w:t>
      </w:r>
    </w:p>
    <w:p>
      <w:r>
        <w:rPr>
          <w:rFonts w:hint="eastAsia"/>
        </w:rPr>
        <w:t>综上，通过采取猪舍加强通风，控制饲养密度，选用氨基酸平衡的低蛋白的饲料和合理使用饲料添加剂，定期</w:t>
      </w:r>
      <w:bookmarkStart w:id="431" w:name="_Hlk486194480"/>
      <w:r>
        <w:rPr>
          <w:rFonts w:hint="eastAsia"/>
        </w:rPr>
        <w:t>喷洒除臭剂</w:t>
      </w:r>
      <w:bookmarkEnd w:id="431"/>
      <w:r>
        <w:rPr>
          <w:rFonts w:hint="eastAsia"/>
        </w:rPr>
        <w:t>，加强生物发酵床的操作管理等措施 ，可降低猪场这些有害气体挥发量。根据中国养猪行业网上</w:t>
      </w:r>
      <w:r>
        <w:t>2015</w:t>
      </w:r>
      <w:r>
        <w:rPr>
          <w:rFonts w:hint="eastAsia"/>
        </w:rPr>
        <w:t>年发布的《养猪场中恶臭控制及其处理技术》，</w:t>
      </w:r>
      <w:r>
        <w:t>EM</w:t>
      </w:r>
      <w:r>
        <w:rPr>
          <w:rFonts w:hint="eastAsia"/>
        </w:rPr>
        <w:t>制剂是一种新型的复合微生物制剂，其可增加猪消化道内有益微生物的数量，调节体内的微生物生态平衡､防治仔猪下痢，促进生长发育，提高猪的饲料转化率，减少肠道内氨､吲哚等恶臭物质的产生｡据北京市环境保护监测中心对</w:t>
      </w:r>
      <w:r>
        <w:t>EM</w:t>
      </w:r>
      <w:r>
        <w:rPr>
          <w:rFonts w:hint="eastAsia"/>
        </w:rPr>
        <w:t>除臭效果进行测试的结果表明使用</w:t>
      </w:r>
      <w:r>
        <w:t>EM</w:t>
      </w:r>
      <w:r>
        <w:rPr>
          <w:rFonts w:hint="eastAsia"/>
        </w:rPr>
        <w:t>一个月后，恶臭浓度下降了</w:t>
      </w:r>
      <w:r>
        <w:t>97.7%</w:t>
      </w:r>
      <w:r>
        <w:rPr>
          <w:rFonts w:hint="eastAsia"/>
        </w:rPr>
        <w:t>。</w:t>
      </w:r>
    </w:p>
    <w:p>
      <w:bookmarkStart w:id="432" w:name="_Toc468689243"/>
      <w:r>
        <w:rPr>
          <w:rFonts w:hint="eastAsia"/>
        </w:rPr>
        <w:t>（</w:t>
      </w:r>
      <w:r>
        <w:rPr>
          <w:rFonts w:hint="eastAsia"/>
          <w:lang w:val="en-US" w:eastAsia="zh-CN"/>
        </w:rPr>
        <w:t>2</w:t>
      </w:r>
      <w:r>
        <w:rPr>
          <w:rFonts w:hint="eastAsia"/>
        </w:rPr>
        <w:t>）食堂油烟治理措施</w:t>
      </w:r>
      <w:bookmarkEnd w:id="432"/>
    </w:p>
    <w:p>
      <w:r>
        <w:rPr>
          <w:rFonts w:hint="eastAsia"/>
        </w:rPr>
        <w:t>本项目设员工食堂，食堂运营产生油烟废气，配备油烟净化器，设计除烟效率</w:t>
      </w:r>
      <w:r>
        <w:t>8</w:t>
      </w:r>
      <w:r>
        <w:rPr>
          <w:rFonts w:hint="eastAsia"/>
          <w:lang w:val="en-US" w:eastAsia="zh-CN"/>
        </w:rPr>
        <w:t>0</w:t>
      </w:r>
      <w:r>
        <w:t>%</w:t>
      </w:r>
      <w:r>
        <w:rPr>
          <w:rFonts w:hint="eastAsia"/>
        </w:rPr>
        <w:t>，经其处理后，项目油烟的排放浓度为</w:t>
      </w:r>
      <w:r>
        <w:rPr>
          <w:rFonts w:hint="eastAsia"/>
          <w:lang w:val="en-US" w:eastAsia="zh-CN"/>
        </w:rPr>
        <w:t>0.98</w:t>
      </w:r>
      <w:r>
        <w:t>mg/m</w:t>
      </w:r>
      <w:r>
        <w:rPr>
          <w:vertAlign w:val="superscript"/>
        </w:rPr>
        <w:t>3</w:t>
      </w:r>
      <w:r>
        <w:rPr>
          <w:rFonts w:hint="eastAsia"/>
        </w:rPr>
        <w:t>，满足《饮食业油烟排放标准》（</w:t>
      </w:r>
      <w:r>
        <w:t>GB18438-2001</w:t>
      </w:r>
      <w:r>
        <w:rPr>
          <w:rFonts w:hint="eastAsia"/>
        </w:rPr>
        <w:t>）中的最高允许排放浓度</w:t>
      </w:r>
      <w:r>
        <w:t>2mg/m</w:t>
      </w:r>
      <w:r>
        <w:rPr>
          <w:vertAlign w:val="superscript"/>
        </w:rPr>
        <w:t>3</w:t>
      </w:r>
      <w:r>
        <w:rPr>
          <w:rFonts w:hint="eastAsia"/>
        </w:rPr>
        <w:t>限值和油烟净化率</w:t>
      </w:r>
      <w:r>
        <w:t>≥60%</w:t>
      </w:r>
      <w:r>
        <w:rPr>
          <w:rFonts w:hint="eastAsia"/>
        </w:rPr>
        <w:t>的要求，油烟废气经油烟净化器处理后引至屋顶高于主体建筑排气筒排放。</w:t>
      </w:r>
    </w:p>
    <w:p>
      <w:r>
        <w:t>（</w:t>
      </w:r>
      <w:r>
        <w:rPr>
          <w:rFonts w:hint="eastAsia"/>
          <w:lang w:val="en-US" w:eastAsia="zh-CN"/>
        </w:rPr>
        <w:t>3</w:t>
      </w:r>
      <w:r>
        <w:t>）备用柴油发电机烟气</w:t>
      </w:r>
      <w:r>
        <w:rPr>
          <w:rFonts w:hint="eastAsia"/>
        </w:rPr>
        <w:t>防治措施</w:t>
      </w:r>
    </w:p>
    <w:p>
      <w:r>
        <w:rPr>
          <w:rFonts w:hint="eastAsia"/>
        </w:rPr>
        <w:t>项目设有</w:t>
      </w:r>
      <w:r>
        <w:rPr>
          <w:rFonts w:hint="eastAsia"/>
          <w:lang w:val="en-US" w:eastAsia="zh-CN"/>
        </w:rPr>
        <w:t>2</w:t>
      </w:r>
      <w:r>
        <w:rPr>
          <w:rFonts w:hint="eastAsia"/>
        </w:rPr>
        <w:t>台备用柴油发电机，以备停电时供应生产用电。燃油发电机设置在柴油发电机房内。</w:t>
      </w:r>
      <w:r>
        <w:t>备用柴油发电机烟气中主要污染物为SO</w:t>
      </w:r>
      <w:r>
        <w:rPr>
          <w:vertAlign w:val="subscript"/>
        </w:rPr>
        <w:t>2</w:t>
      </w:r>
      <w:r>
        <w:t>、NO</w:t>
      </w:r>
      <w:r>
        <w:rPr>
          <w:vertAlign w:val="subscript"/>
        </w:rPr>
        <w:t>X</w:t>
      </w:r>
      <w:r>
        <w:t>、烟尘，</w:t>
      </w:r>
      <w:r>
        <w:rPr>
          <w:rFonts w:hint="eastAsia"/>
        </w:rPr>
        <w:t>项目发电机使用时间不定，无法进行定量计算。环评要求本项目使用</w:t>
      </w:r>
      <w:r>
        <w:t>0＃柴油，0＃柴</w:t>
      </w:r>
      <w:r>
        <w:rPr>
          <w:rFonts w:hint="eastAsia"/>
        </w:rPr>
        <w:t>油属清洁能源，其燃烧产生的废气污染物较少，</w:t>
      </w:r>
      <w:r>
        <w:t>且发电机作为备用电源，使用</w:t>
      </w:r>
      <w:r>
        <w:rPr>
          <w:rFonts w:hint="eastAsia"/>
        </w:rPr>
        <w:t>次</w:t>
      </w:r>
      <w:r>
        <w:t>数不多，建设单位将烟气引至发电机房楼顶排放不会对大气环境产生较大影响。</w:t>
      </w:r>
    </w:p>
    <w:p>
      <w:pPr>
        <w:pStyle w:val="5"/>
        <w:bidi w:val="0"/>
      </w:pPr>
      <w:bookmarkStart w:id="433" w:name="_Toc468689244"/>
      <w:bookmarkStart w:id="434" w:name="_Toc489916117"/>
      <w:r>
        <w:t>营运期地下水污染防治措施</w:t>
      </w:r>
      <w:bookmarkEnd w:id="433"/>
      <w:bookmarkEnd w:id="434"/>
    </w:p>
    <w:p>
      <w:r>
        <w:rPr>
          <w:rFonts w:hint="eastAsia"/>
        </w:rPr>
        <w:t>（一）地下水的分区防治</w:t>
      </w:r>
    </w:p>
    <w:p>
      <w:r>
        <w:rPr>
          <w:rFonts w:hint="eastAsia"/>
        </w:rPr>
        <w:t>项目评价区域年大气降水和上游洈水是区域地下水的主要补给来源，地下水自西北向东南径流。</w:t>
      </w:r>
    </w:p>
    <w:p>
      <w:r>
        <w:rPr>
          <w:rFonts w:hint="eastAsia"/>
        </w:rPr>
        <w:t>按照《环境影响评价技术导则地下水环境》（</w:t>
      </w:r>
      <w:r>
        <w:t>HJ610-2016</w:t>
      </w:r>
      <w:r>
        <w:rPr>
          <w:rFonts w:hint="eastAsia"/>
        </w:rPr>
        <w:t>）的要求，根据天然包气带防污性能、污染控制难易程度，各类污染物类型等，将污染区进一步分为重点防渗区、一般防渗区、非污染区。</w:t>
      </w:r>
    </w:p>
    <w:p>
      <w:pPr>
        <w:rPr>
          <w:rFonts w:hint="eastAsia"/>
        </w:rPr>
      </w:pPr>
      <w:r>
        <w:rPr>
          <w:rFonts w:hint="eastAsia"/>
        </w:rPr>
        <w:t>拟建项目不含重金属和持久性有机物污染物</w:t>
      </w:r>
      <w:r>
        <w:rPr>
          <w:rFonts w:hint="eastAsia"/>
          <w:lang w:eastAsia="zh-CN"/>
        </w:rPr>
        <w:t>，不涉及</w:t>
      </w:r>
      <w:r>
        <w:rPr>
          <w:rFonts w:hint="eastAsia"/>
        </w:rPr>
        <w:t>重点防渗区</w:t>
      </w:r>
      <w:r>
        <w:rPr>
          <w:rFonts w:hint="eastAsia"/>
          <w:lang w:eastAsia="zh-CN"/>
        </w:rPr>
        <w:t>。</w:t>
      </w:r>
      <w:r>
        <w:rPr>
          <w:rFonts w:hint="eastAsia"/>
        </w:rPr>
        <w:t>所在区域天然包气带防污性能为中等，污水处理设施、污水管道等这些区域比较隐蔽，污染物泄漏后，不容易被人发现，也不能及时得到处理，因此，将污染控制难度较大的化粪池、污水管道以及危险固废临时贮存区域划分为</w:t>
      </w:r>
      <w:r>
        <w:rPr>
          <w:rFonts w:hint="eastAsia"/>
          <w:lang w:eastAsia="zh-CN"/>
        </w:rPr>
        <w:t>一般防渗区</w:t>
      </w:r>
      <w:r>
        <w:rPr>
          <w:rFonts w:hint="eastAsia"/>
        </w:rPr>
        <w:t>，猪场内的消毒水池及其他固体废物临时贮存区域划分为</w:t>
      </w:r>
      <w:r>
        <w:rPr>
          <w:rFonts w:hint="eastAsia"/>
          <w:lang w:eastAsia="zh-CN"/>
        </w:rPr>
        <w:t>简单防渗区</w:t>
      </w:r>
      <w:r>
        <w:rPr>
          <w:rFonts w:hint="eastAsia"/>
        </w:rPr>
        <w:t>。</w:t>
      </w:r>
    </w:p>
    <w:p>
      <w:pPr>
        <w:rPr>
          <w:rFonts w:hint="eastAsia"/>
          <w:lang w:eastAsia="zh-CN"/>
        </w:rPr>
      </w:pPr>
      <w:r>
        <w:rPr>
          <w:rFonts w:hint="eastAsia"/>
        </w:rPr>
        <w:t>①</w:t>
      </w:r>
      <w:r>
        <w:rPr>
          <w:rFonts w:hint="eastAsia"/>
          <w:lang w:eastAsia="zh-CN"/>
        </w:rPr>
        <w:t>简单防护区</w:t>
      </w:r>
    </w:p>
    <w:p>
      <w:pPr>
        <w:rPr>
          <w:rFonts w:hint="eastAsia"/>
        </w:rPr>
      </w:pPr>
      <w:r>
        <w:rPr>
          <w:rFonts w:hint="eastAsia"/>
        </w:rPr>
        <w:t>对于非污染区，地面进行水泥硬化可以满足该区域防渗的要求。</w:t>
      </w:r>
    </w:p>
    <w:p>
      <w:pPr>
        <w:rPr>
          <w:rFonts w:hint="eastAsia"/>
        </w:rPr>
      </w:pPr>
      <w:r>
        <w:rPr>
          <w:rFonts w:hint="eastAsia"/>
        </w:rPr>
        <w:t>②一般防护区</w:t>
      </w:r>
    </w:p>
    <w:p>
      <w:pPr>
        <w:rPr>
          <w:rFonts w:hint="eastAsia"/>
        </w:rPr>
      </w:pPr>
      <w:r>
        <w:rPr>
          <w:rFonts w:hint="eastAsia"/>
        </w:rPr>
        <w:t>一般防护区参照《生活垃圾填埋场污染控制标准》(GB16889-2008)有关要求进行设计，采取的防渗措施如下：地基处理时表层50cm以上的夯实粘性土层（要求压实后渗透系数为10-7cm/s至10-5cm/s），上部铺设15cm厚的防渗钢纤维混凝土现浇垫层（渗透系数不大于10-7cm/s）。</w:t>
      </w:r>
    </w:p>
    <w:p>
      <w:pPr>
        <w:pStyle w:val="11"/>
        <w:bidi w:val="0"/>
        <w:rPr>
          <w:rFonts w:hint="eastAsia"/>
          <w:lang w:val="en-US" w:eastAsia="zh-CN"/>
        </w:rPr>
      </w:pPr>
      <w:r>
        <w:rPr>
          <w:rFonts w:hint="eastAsia"/>
        </w:rPr>
        <w:t xml:space="preserve">表5.2- </w:t>
      </w:r>
      <w:r>
        <w:rPr>
          <w:rFonts w:hint="eastAsia"/>
        </w:rPr>
        <w:fldChar w:fldCharType="begin"/>
      </w:r>
      <w:r>
        <w:rPr>
          <w:rFonts w:hint="eastAsia"/>
        </w:rPr>
        <w:instrText xml:space="preserve"> SEQ 表5.2- \* ARABIC </w:instrText>
      </w:r>
      <w:r>
        <w:rPr>
          <w:rFonts w:hint="eastAsia"/>
        </w:rPr>
        <w:fldChar w:fldCharType="separate"/>
      </w:r>
      <w:r>
        <w:rPr>
          <w:rFonts w:hint="eastAsia"/>
        </w:rPr>
        <w:t>2</w:t>
      </w:r>
      <w:r>
        <w:rPr>
          <w:rFonts w:hint="eastAsia"/>
        </w:rPr>
        <w:fldChar w:fldCharType="end"/>
      </w:r>
      <w:r>
        <w:rPr>
          <w:rFonts w:hint="eastAsia"/>
          <w:lang w:val="en-US" w:eastAsia="zh-CN"/>
        </w:rPr>
        <w:t xml:space="preserve">  厂区防渗分区一览表</w:t>
      </w:r>
    </w:p>
    <w:tbl>
      <w:tblPr>
        <w:tblStyle w:val="18"/>
        <w:tblW w:w="0" w:type="auto"/>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4"/>
        <w:gridCol w:w="3059"/>
        <w:gridCol w:w="2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454" w:type="dxa"/>
            <w:vAlign w:val="center"/>
          </w:tcPr>
          <w:p>
            <w:pPr>
              <w:pStyle w:val="8"/>
              <w:bidi w:val="0"/>
              <w:rPr>
                <w:rFonts w:hint="eastAsia"/>
                <w:lang w:eastAsia="zh-CN"/>
              </w:rPr>
            </w:pPr>
            <w:r>
              <w:rPr>
                <w:rFonts w:hint="eastAsia"/>
                <w:lang w:eastAsia="zh-CN"/>
              </w:rPr>
              <w:t>厂区装置</w:t>
            </w:r>
          </w:p>
        </w:tc>
        <w:tc>
          <w:tcPr>
            <w:tcW w:w="3059" w:type="dxa"/>
            <w:vAlign w:val="center"/>
          </w:tcPr>
          <w:p>
            <w:pPr>
              <w:pStyle w:val="8"/>
              <w:bidi w:val="0"/>
              <w:rPr>
                <w:rFonts w:hint="eastAsia"/>
                <w:lang w:eastAsia="zh-CN"/>
              </w:rPr>
            </w:pPr>
            <w:r>
              <w:rPr>
                <w:rFonts w:hint="eastAsia"/>
                <w:lang w:eastAsia="zh-CN"/>
              </w:rPr>
              <w:t>防渗分区</w:t>
            </w:r>
          </w:p>
        </w:tc>
        <w:tc>
          <w:tcPr>
            <w:tcW w:w="2587" w:type="dxa"/>
            <w:vAlign w:val="center"/>
          </w:tcPr>
          <w:p>
            <w:pPr>
              <w:pStyle w:val="8"/>
              <w:bidi w:val="0"/>
              <w:rPr>
                <w:rFonts w:hint="eastAsia"/>
                <w:lang w:eastAsia="zh-CN"/>
              </w:rPr>
            </w:pPr>
            <w:r>
              <w:rPr>
                <w:rFonts w:hint="eastAsia"/>
                <w:lang w:eastAsia="zh-CN"/>
              </w:rPr>
              <w:t>防渗性能技术要求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固废库</w:t>
            </w:r>
          </w:p>
        </w:tc>
        <w:tc>
          <w:tcPr>
            <w:tcW w:w="3059" w:type="dxa"/>
            <w:vMerge w:val="restart"/>
            <w:vAlign w:val="center"/>
          </w:tcPr>
          <w:p>
            <w:pPr>
              <w:pStyle w:val="8"/>
              <w:bidi w:val="0"/>
              <w:rPr>
                <w:rFonts w:hint="eastAsia"/>
                <w:lang w:eastAsia="zh-CN"/>
              </w:rPr>
            </w:pPr>
            <w:r>
              <w:rPr>
                <w:rFonts w:hint="eastAsia"/>
                <w:lang w:eastAsia="zh-CN"/>
              </w:rPr>
              <w:t>一般防渗区</w:t>
            </w:r>
          </w:p>
        </w:tc>
        <w:tc>
          <w:tcPr>
            <w:tcW w:w="2587" w:type="dxa"/>
            <w:vMerge w:val="restart"/>
            <w:vAlign w:val="center"/>
          </w:tcPr>
          <w:p>
            <w:pPr>
              <w:pStyle w:val="8"/>
              <w:bidi w:val="0"/>
              <w:rPr>
                <w:rFonts w:hint="eastAsia"/>
              </w:rPr>
            </w:pPr>
            <w:r>
              <w:rPr>
                <w:rFonts w:hint="eastAsia"/>
              </w:rPr>
              <w:t>等效黏土防渗层Mb≥1.5m，K≤ 1×10</w:t>
            </w:r>
            <w:r>
              <w:rPr>
                <w:rFonts w:hint="eastAsia"/>
                <w:vertAlign w:val="superscript"/>
              </w:rPr>
              <w:t>-7</w:t>
            </w:r>
            <w:r>
              <w:rPr>
                <w:rFonts w:hint="eastAsia"/>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危废库</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冷冻库</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沼液池</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厌氧发酵</w:t>
            </w:r>
            <w:r>
              <w:rPr>
                <w:rFonts w:hint="eastAsia"/>
                <w:lang w:val="en-US" w:eastAsia="zh-CN"/>
              </w:rPr>
              <w:t>罐</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干湿分离池</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集污池</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堆粪棚</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猪舍</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办公楼</w:t>
            </w:r>
          </w:p>
        </w:tc>
        <w:tc>
          <w:tcPr>
            <w:tcW w:w="3059" w:type="dxa"/>
            <w:vMerge w:val="restart"/>
            <w:vAlign w:val="center"/>
          </w:tcPr>
          <w:p>
            <w:pPr>
              <w:pStyle w:val="8"/>
              <w:bidi w:val="0"/>
              <w:rPr>
                <w:rFonts w:hint="eastAsia"/>
                <w:lang w:eastAsia="zh-CN"/>
              </w:rPr>
            </w:pPr>
            <w:r>
              <w:rPr>
                <w:rFonts w:hint="eastAsia"/>
                <w:lang w:eastAsia="zh-CN"/>
              </w:rPr>
              <w:t>简单防渗区</w:t>
            </w:r>
          </w:p>
        </w:tc>
        <w:tc>
          <w:tcPr>
            <w:tcW w:w="2587" w:type="dxa"/>
            <w:vMerge w:val="restart"/>
            <w:vAlign w:val="center"/>
          </w:tcPr>
          <w:p>
            <w:pPr>
              <w:pStyle w:val="8"/>
              <w:bidi w:val="0"/>
              <w:rPr>
                <w:rFonts w:hint="eastAsia"/>
                <w:lang w:eastAsia="zh-CN"/>
              </w:rPr>
            </w:pPr>
            <w:r>
              <w:rPr>
                <w:rFonts w:hint="eastAsia"/>
                <w:lang w:eastAsia="zh-CN"/>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仓库</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454" w:type="dxa"/>
            <w:vAlign w:val="center"/>
          </w:tcPr>
          <w:p>
            <w:pPr>
              <w:pStyle w:val="8"/>
              <w:bidi w:val="0"/>
              <w:rPr>
                <w:rFonts w:hint="eastAsia"/>
                <w:lang w:eastAsia="zh-CN"/>
              </w:rPr>
            </w:pPr>
            <w:r>
              <w:rPr>
                <w:rFonts w:hint="eastAsia"/>
                <w:lang w:eastAsia="zh-CN"/>
              </w:rPr>
              <w:t>公厕</w:t>
            </w:r>
          </w:p>
        </w:tc>
        <w:tc>
          <w:tcPr>
            <w:tcW w:w="3059" w:type="dxa"/>
            <w:vMerge w:val="continue"/>
            <w:vAlign w:val="center"/>
          </w:tcPr>
          <w:p>
            <w:pPr>
              <w:pStyle w:val="8"/>
              <w:bidi w:val="0"/>
              <w:rPr>
                <w:rFonts w:hint="eastAsia"/>
                <w:lang w:eastAsia="zh-CN"/>
              </w:rPr>
            </w:pPr>
          </w:p>
        </w:tc>
        <w:tc>
          <w:tcPr>
            <w:tcW w:w="2587" w:type="dxa"/>
            <w:vMerge w:val="continue"/>
            <w:vAlign w:val="center"/>
          </w:tcPr>
          <w:p>
            <w:pPr>
              <w:pStyle w:val="8"/>
              <w:bidi w:val="0"/>
              <w:rPr>
                <w:rFonts w:hint="eastAsia"/>
                <w:lang w:eastAsia="zh-CN"/>
              </w:rPr>
            </w:pPr>
          </w:p>
        </w:tc>
      </w:tr>
    </w:tbl>
    <w:p>
      <w:pPr>
        <w:rPr>
          <w:rFonts w:hint="eastAsia"/>
        </w:rPr>
      </w:pPr>
      <w:r>
        <w:rPr>
          <w:rFonts w:hint="eastAsia"/>
        </w:rPr>
        <w:t>（二）地下水污染防治措施</w:t>
      </w:r>
    </w:p>
    <w:p>
      <w:pPr>
        <w:rPr>
          <w:rFonts w:hint="eastAsia"/>
        </w:rPr>
      </w:pPr>
      <w:r>
        <w:rPr>
          <w:rFonts w:hint="eastAsia"/>
        </w:rPr>
        <w:t>针对本项目地下水的污染途径，本评价提出以下污染防治措施：</w:t>
      </w:r>
    </w:p>
    <w:p>
      <w:pPr>
        <w:rPr>
          <w:rFonts w:hint="eastAsia"/>
        </w:rPr>
      </w:pPr>
      <w:r>
        <w:rPr>
          <w:rFonts w:hint="eastAsia"/>
        </w:rPr>
        <w:t>①场区粪污储存池均采取混凝土结构，并满足重点防渗要求；粪污收集渠道采取混凝土结构，渠道内再铺设专用PVC塑料管道运输粪污，接口必须密封紧密，粪污收集运输管道要经常检查，防止粪污水泄漏；</w:t>
      </w:r>
    </w:p>
    <w:p>
      <w:pPr>
        <w:rPr>
          <w:rFonts w:hint="eastAsia"/>
        </w:rPr>
      </w:pPr>
      <w:r>
        <w:rPr>
          <w:rFonts w:hint="eastAsia"/>
        </w:rPr>
        <w:t>②养殖场的排水系统应实行雨水和污水收集输送系统分离，避免雨水进入污水系统装置。</w:t>
      </w:r>
    </w:p>
    <w:p>
      <w:pPr>
        <w:rPr>
          <w:rFonts w:hint="eastAsia"/>
        </w:rPr>
      </w:pPr>
      <w:r>
        <w:rPr>
          <w:rFonts w:hint="eastAsia"/>
        </w:rPr>
        <w:t>③危废暂存间按照要求采取防渗漏措施。</w:t>
      </w:r>
    </w:p>
    <w:p>
      <w:pPr>
        <w:rPr>
          <w:rFonts w:hint="eastAsia"/>
        </w:rPr>
      </w:pPr>
      <w:r>
        <w:rPr>
          <w:rFonts w:hint="eastAsia"/>
        </w:rPr>
        <w:t>④冷冻库基底按《畜禽养殖业污染治理工程技术规范》要求采取防渗措施。</w:t>
      </w:r>
    </w:p>
    <w:p>
      <w:pPr>
        <w:rPr>
          <w:rFonts w:hint="eastAsia"/>
        </w:rPr>
      </w:pPr>
      <w:r>
        <w:rPr>
          <w:rFonts w:hint="eastAsia"/>
        </w:rPr>
        <w:t>⑤</w:t>
      </w:r>
      <w:r>
        <w:rPr>
          <w:rFonts w:hint="eastAsia"/>
          <w:lang w:eastAsia="zh-CN"/>
        </w:rPr>
        <w:t>将厂区的地下水井设置为</w:t>
      </w:r>
      <w:r>
        <w:rPr>
          <w:rFonts w:hint="eastAsia"/>
        </w:rPr>
        <w:t>地下水监测点位，并定期进行监测，以便发现问题及时采取措施，并将监测结果公开。</w:t>
      </w:r>
    </w:p>
    <w:p>
      <w:r>
        <w:t>（三）地下水环境监测与管理</w:t>
      </w:r>
    </w:p>
    <w:p>
      <w:r>
        <w:t>建立地下水环境监测管理体系，包括制定地下水环境影响跟踪监测计划、建立地下水环境影响跟踪监测制度、配备先进的监测仪器和设备，以便及时发现问题，采取措施。</w:t>
      </w:r>
    </w:p>
    <w:p>
      <w:r>
        <w:t>跟踪监测计划应根据环境水文地质条件和建设项目特点设置跟踪监测点，跟踪监测点应明确与建设项目的位置关系，给出点位、坐标、井深、井结构、监测层位、监测因子及监测频率等相关参数。</w:t>
      </w:r>
    </w:p>
    <w:p>
      <w:r>
        <w:fldChar w:fldCharType="begin"/>
      </w:r>
      <w:r>
        <w:instrText xml:space="preserve"> = 1 \* GB3 \* MERGEFORMAT </w:instrText>
      </w:r>
      <w:r>
        <w:fldChar w:fldCharType="separate"/>
      </w:r>
      <w:r>
        <w:t>①</w:t>
      </w:r>
      <w:r>
        <w:fldChar w:fldCharType="end"/>
      </w:r>
      <w:r>
        <w:t>跟踪监测点数量要求</w:t>
      </w:r>
    </w:p>
    <w:p>
      <w:r>
        <w:t>A一、二级评价的建设项目，一般不少于3个，应至少在建设项目场地，上、下游各布设1个。一级评价的建设项目，应在建设项目总图布置基础上，结合预测评价结果和应急响应时间要求，在重点污染风险源处增设监测点。</w:t>
      </w:r>
    </w:p>
    <w:p>
      <w:r>
        <w:t>B三级评价的建设项目，一般不少于1个，应至少在建设项目场地下游布设1个。</w:t>
      </w:r>
    </w:p>
    <w:p>
      <w:r>
        <w:fldChar w:fldCharType="begin"/>
      </w:r>
      <w:r>
        <w:instrText xml:space="preserve"> = 2 \* GB3 \* MERGEFORMAT </w:instrText>
      </w:r>
      <w:r>
        <w:fldChar w:fldCharType="separate"/>
      </w:r>
      <w:r>
        <w:t>②</w:t>
      </w:r>
      <w:r>
        <w:fldChar w:fldCharType="end"/>
      </w:r>
      <w:r>
        <w:t>明确跟踪监测点的基本功能，如背景值监测点、地下水环境影响跟踪监测点、污染扩散监测点等，必要时，明确跟踪监测点兼具的污染控制功能。</w:t>
      </w:r>
    </w:p>
    <w:p>
      <w:r>
        <w:fldChar w:fldCharType="begin"/>
      </w:r>
      <w:r>
        <w:instrText xml:space="preserve"> = 3 \* GB3 \* MERGEFORMAT </w:instrText>
      </w:r>
      <w:r>
        <w:fldChar w:fldCharType="separate"/>
      </w:r>
      <w:r>
        <w:t>③</w:t>
      </w:r>
      <w:r>
        <w:fldChar w:fldCharType="end"/>
      </w:r>
      <w:r>
        <w:t>根据环境管理对监测工作的需要，提出有关监测机构、人员及装备的建议。</w:t>
      </w:r>
    </w:p>
    <w:p>
      <w:r>
        <w:t>制定地下水环境跟踪监测与信息公开计划</w:t>
      </w:r>
    </w:p>
    <w:p>
      <w:r>
        <w:fldChar w:fldCharType="begin"/>
      </w:r>
      <w:r>
        <w:instrText xml:space="preserve"> = 1 \* GB3 \* MERGEFORMAT </w:instrText>
      </w:r>
      <w:r>
        <w:fldChar w:fldCharType="separate"/>
      </w:r>
      <w:r>
        <w:t>①</w:t>
      </w:r>
      <w:r>
        <w:fldChar w:fldCharType="end"/>
      </w:r>
      <w:r>
        <w:t>落实跟踪监测报告编制的责任主体，明确地下水环境跟踪监测报告的内容，一般应包括：</w:t>
      </w:r>
    </w:p>
    <w:p>
      <w:r>
        <w:t>A建设项目所在场地及其影响区地下水跟踪监测数据，排放污染物的种类、数量、浓度。</w:t>
      </w:r>
    </w:p>
    <w:p>
      <w:r>
        <w:t>B生产设备、管廊或管线、贮存与运输装置、污染物贮存与处理装置、事故应急装置等设施的运行状况、跑冒漏滴记录、维护记录。</w:t>
      </w:r>
    </w:p>
    <w:p>
      <w:r>
        <w:fldChar w:fldCharType="begin"/>
      </w:r>
      <w:r>
        <w:instrText xml:space="preserve"> = 2 \* GB3 \* MERGEFORMAT </w:instrText>
      </w:r>
      <w:r>
        <w:fldChar w:fldCharType="separate"/>
      </w:r>
      <w:r>
        <w:t>②</w:t>
      </w:r>
      <w:r>
        <w:fldChar w:fldCharType="end"/>
      </w:r>
      <w:r>
        <w:t>信息公开计划应至少包括建设项目特征因子的地下水环境监测值。</w:t>
      </w:r>
    </w:p>
    <w:p>
      <w:r>
        <w:rPr>
          <w:rFonts w:hint="eastAsia"/>
        </w:rPr>
        <w:t>（四）</w:t>
      </w:r>
      <w:r>
        <w:t>应急响应</w:t>
      </w:r>
    </w:p>
    <w:p>
      <w:r>
        <w:t>制定地下水污染应急响应预案，明确污染状况下应采取的控制污染源、切断污染途径等措施。</w:t>
      </w:r>
    </w:p>
    <w:p>
      <w:r>
        <w:rPr>
          <w:rFonts w:hint="eastAsia"/>
        </w:rPr>
        <w:t>综上，本次评价认为，只要规范操作，加强管理，发生事故的概率极小，经采取以上防治措施后，不会对地下水造成污染影响，防治措施可行。</w:t>
      </w:r>
    </w:p>
    <w:p>
      <w:pPr>
        <w:pStyle w:val="5"/>
        <w:bidi w:val="0"/>
      </w:pPr>
      <w:r>
        <w:t>营运期噪声控制措施</w:t>
      </w:r>
    </w:p>
    <w:p>
      <w:r>
        <w:t>本项目运营期噪声主要来自猪群叫声、风机噪声等，拟采取如下措施对其进行治理。</w:t>
      </w:r>
    </w:p>
    <w:p>
      <w:r>
        <w:t>（1）项目在平面布置上优化设计。采用“闹静分开”和合理布局的设施原则，尽量将养殖场布设在地块中央，远离了外噪声敏感区域。</w:t>
      </w:r>
    </w:p>
    <w:p>
      <w:r>
        <w:t>（2）为了减少猪叫声对操作工人及周围环境的影响，尽可能满足猪只饮食需要，避免因饥饿或口渴而发出叫声；同时应减少外界噪声及突发性噪声等对猪舍的干扰，避免因惊吓而产生不安，使猪只保持安定平和的气氛。并通过合理的平面布局，以降低噪声对周边环境不良影响。</w:t>
      </w:r>
    </w:p>
    <w:p>
      <w:r>
        <w:t>（3）对于高噪声设备，注意设备选型及安装。在安装时，高噪声设备须采取减震、隔震措施，可降低噪声源强还可减少噪声的传播。设置专门的设备用房放置生产工艺使用的机器并进行隔音处理。对机器进行定期检查，防止由于机器不正常运转时产生的噪声。选用低噪声排气扇，在订购时应提出相应的控制指标。</w:t>
      </w:r>
    </w:p>
    <w:p>
      <w:r>
        <w:t>（4）猪舍四周加强绿化，种植楠树等高大苗木作为绿化隔声带，加强对噪声的隔阻效果。</w:t>
      </w:r>
    </w:p>
    <w:p>
      <w:r>
        <w:t>在采取以上措施后，厂界的噪声值能满足《工业企业厂界环境噪声排放标准》（GB12348-2008）2类标准的要求。由同项目类比可知，本建设工程所采用的各种噪声治理措施，均是成熟可靠的措施，只要严格管理，勤于维护，均可达到预期的治理效果，措施可行。</w:t>
      </w:r>
    </w:p>
    <w:p>
      <w:pPr>
        <w:pStyle w:val="5"/>
        <w:bidi w:val="0"/>
      </w:pPr>
      <w:bookmarkStart w:id="435" w:name="_Toc489916118"/>
      <w:bookmarkStart w:id="436" w:name="_Toc468689245"/>
      <w:r>
        <w:t>营运期固体废物处置措施</w:t>
      </w:r>
      <w:bookmarkEnd w:id="435"/>
      <w:bookmarkEnd w:id="436"/>
    </w:p>
    <w:p>
      <w:r>
        <w:rPr>
          <w:rFonts w:hint="eastAsia"/>
        </w:rPr>
        <w:t>本项目产生的固废物主要是猪粪、医疗废物、生活垃圾、病死猪尸体及母猪妊娠等。</w:t>
      </w:r>
    </w:p>
    <w:p>
      <w:r>
        <w:t>1、粪便</w:t>
      </w:r>
      <w:r>
        <w:rPr>
          <w:rFonts w:hint="eastAsia"/>
        </w:rPr>
        <w:t>和沼渣</w:t>
      </w:r>
      <w:r>
        <w:t>处置措施</w:t>
      </w:r>
    </w:p>
    <w:p>
      <w:r>
        <w:t>由前述分析可知，项目产生的猪粪进入</w:t>
      </w:r>
      <w:r>
        <w:rPr>
          <w:rFonts w:hint="eastAsia"/>
          <w:lang w:eastAsia="zh-CN"/>
        </w:rPr>
        <w:t>堆粪车间进行</w:t>
      </w:r>
      <w:r>
        <w:t>生物发酵处理，粪污中的污染物质被分解与转化，经过充分的发酵与分解，稳定与无害化程度高，富含营养元素，是优质的有机肥，可以直接</w:t>
      </w:r>
      <w:r>
        <w:rPr>
          <w:rFonts w:hint="eastAsia"/>
          <w:lang w:eastAsia="zh-CN"/>
        </w:rPr>
        <w:t>外售</w:t>
      </w:r>
      <w:r>
        <w:t>。</w:t>
      </w:r>
    </w:p>
    <w:p>
      <w:r>
        <w:t>《畜禽养殖业污染防治技术规范》提出了原则性规定：畜禽养殖厂的建设应坚持“农牧结合、种养平衡”的原则</w:t>
      </w:r>
      <w:r>
        <w:rPr>
          <w:highlight w:val="none"/>
        </w:rPr>
        <w:t>。本项目</w:t>
      </w:r>
      <w:r>
        <w:rPr>
          <w:rFonts w:hint="eastAsia"/>
          <w:highlight w:val="none"/>
          <w:lang w:eastAsia="zh-CN"/>
        </w:rPr>
        <w:t>与</w:t>
      </w:r>
      <w:r>
        <w:rPr>
          <w:rFonts w:hint="eastAsia"/>
          <w:lang w:eastAsia="zh-CN"/>
        </w:rPr>
        <w:t>常德华诚现代农业开发有限公司签订沼液消纳协议，常德华诚现代农业开发有限公司</w:t>
      </w:r>
      <w:r>
        <w:rPr>
          <w:rFonts w:hint="eastAsia"/>
          <w:highlight w:val="none"/>
          <w:lang w:eastAsia="zh-CN"/>
        </w:rPr>
        <w:t>有</w:t>
      </w:r>
      <w:r>
        <w:rPr>
          <w:rFonts w:hint="eastAsia"/>
          <w:highlight w:val="none"/>
          <w:lang w:val="en-US" w:eastAsia="zh-CN"/>
        </w:rPr>
        <w:t>5000亩果蔬地、经济林地</w:t>
      </w:r>
      <w:r>
        <w:rPr>
          <w:highlight w:val="none"/>
        </w:rPr>
        <w:t>，</w:t>
      </w:r>
      <w:r>
        <w:t>由前述分析可知，能完全消纳养殖区产生粪肥，达到资源的综合利用的目的。即产生一定的经济效益，又不会给周边生态环境带来污染影响，实现经济发展与环境保护的双赢。</w:t>
      </w:r>
    </w:p>
    <w:p>
      <w:r>
        <w:t>2、生活垃圾处置措施</w:t>
      </w:r>
    </w:p>
    <w:p>
      <w:r>
        <w:t>建设单位运行期间产生的生活垃圾分类收集，定期清运，交由当地生活垃圾处理部门进行集中处理。</w:t>
      </w:r>
    </w:p>
    <w:p>
      <w:r>
        <w:t>3、病死猪尸体及妊娠废物处置措施</w:t>
      </w:r>
    </w:p>
    <w:p>
      <w:r>
        <w:t>根据《病害动物和病害动物产品生物安全处理规程》（GB16548-2006）、农业部《病死动物无害化处理技术规范》（农医发〔2013〕34号）以及《畜禽养殖业污染防治技术规范》（HJ/T81-2001）等文件的相关规定，对病害动物尸体宜采用无害化处理。无害化处理是通常采用焚毁、化制、掩埋或其它物理、化学、生物学方法将病害动物尸体或者病害动物产品或附属物进行处理，以彻底消除其所携带的病原体，以达到消除病害因素，保障人畜健康安全的目的。</w:t>
      </w:r>
    </w:p>
    <w:p>
      <w:r>
        <w:t>根据《国务院办公厅关于建立病死畜禽无害化处理机制的意见》（国办发〔2014〕47号）、《湖南省人民政府办公厅关于建立病死畜禽无害化处理机制的实施意见》(湘政办发〔2015〕103号）、《湖南省畜牧水产局湖南省财政厅关于印发〈湖南省病死畜禽无害化处理机制建设实施方案〉的通知》（湘牧渔联〔2016〕14号）和《常德市人民政府办公室关于印发〈常德市病死畜禽无害化处理体系建设实施方案〉的通知》(常政办发〔2017〕19号)等文件要求。我市于2017年12月底前开工建设病死畜禽无害化处理中心、收集中心；2018年12月底建成覆盖全市所有养殖县、处理工艺科学环保、运行机制完善的病死畜禽无害化收集处理体系，实现病死畜禽无害化处理及资源化利用，推动养殖业转型升级与资源环境相协调，保障养殖业生产安全、动物产品质量安全和生态环境安全。</w:t>
      </w:r>
    </w:p>
    <w:p>
      <w:r>
        <w:t>建立常德市病死畜禽无害化收集处理体系。 1.建设2个病死畜禽无害化处理中心。即在桃源县、汉寿县分别建设1个年处理病死畜禽（生猪）10万头、2万头以上的病死畜禽无害化处理中心。 2.建设5个病死畜禽无害化处理收集中心。根据畜禽饲养数量和道路交通情况，在鼎城区、澧县、临澧县、石门县、津市市各建设1个病死畜禽无害化处理收集中心。 3.建设300个病死畜禽固定收集点。各地根据养殖业布局、交通运输以及无害化处理收集中心位置情况，按照科学规划、合理选址的要求，在较大规模养殖场、屠宰场及交易市场建设相应规模的病死畜禽固定收集点，共建设300个病死畜禽固定收集点，负责收集本场内的病死畜禽。</w:t>
      </w:r>
    </w:p>
    <w:p>
      <w:r>
        <w:t>为响应以上要求，充分依托市\县二级病死畜禽无害化集中处理设施，本项目拟在养殖场建设冷冻库，采用低温冷藏方式暂存项目病死猪尸体及妊娠废物，定期送澧县病死畜禽无害化处理收集中心，最终送入常德市病死畜禽无害化集中处理中心进行高温化制处理。</w:t>
      </w:r>
    </w:p>
    <w:p>
      <w:pPr>
        <w:rPr>
          <w:rFonts w:hint="eastAsia"/>
          <w:lang w:val="en-US" w:eastAsia="zh-CN"/>
        </w:rPr>
      </w:pPr>
      <w:r>
        <w:t>本项目暂存冻库库内容积为</w:t>
      </w:r>
      <w:r>
        <w:rPr>
          <w:rFonts w:hint="eastAsia"/>
          <w:lang w:val="en-US" w:eastAsia="zh-CN"/>
        </w:rPr>
        <w:t>40</w:t>
      </w:r>
      <w:r>
        <w:t>m</w:t>
      </w:r>
      <w:r>
        <w:rPr>
          <w:rFonts w:hint="eastAsia"/>
          <w:vertAlign w:val="superscript"/>
          <w:lang w:val="en-US" w:eastAsia="zh-CN"/>
        </w:rPr>
        <w:t>3</w:t>
      </w:r>
      <w:r>
        <w:t>，</w:t>
      </w:r>
      <w:r>
        <w:rPr>
          <w:rFonts w:hint="eastAsia"/>
          <w:lang w:val="en-US" w:eastAsia="zh-CN"/>
        </w:rPr>
        <w:t>冷库制冷剂为R410A。R410A首要用于代替R22和R502，具有清洁、低毒、不燃、制冷效果好等特色，工作压力为一般R22空调的1.6倍左右，制冷（暖）效率高。R410A冷媒由两种准共沸的混合物R32和R125各50%组成，首要有氢，氟和碳元素组成。R410A是目前为止世界公认的用来代替R22较合适的冷媒，并在欧美，日本等国家得到普及。</w:t>
      </w:r>
    </w:p>
    <w:p>
      <w:r>
        <w:t>其他技术指标如下：</w:t>
      </w:r>
    </w:p>
    <w:p>
      <w:r>
        <w:t>（1）系统的设计寿命≥15年，并且能够以每年365天、每天24小时的工作循环连续运行。</w:t>
      </w:r>
    </w:p>
    <w:p>
      <w:r>
        <w:t>（2）库内温度为低温冷冻温度-18℃。</w:t>
      </w:r>
    </w:p>
    <w:p>
      <w:r>
        <w:t>（3）库体隔热板的传热系数不大于传热系数0.404[W/(m²·k)。</w:t>
      </w:r>
    </w:p>
    <w:p>
      <w:r>
        <w:t>（4）暂存场所应能防水、防渗、防鼠、防盗，易于清洗和消毒。</w:t>
      </w:r>
    </w:p>
    <w:p>
      <w:r>
        <w:t>本环评要求建设单位严格按《畜禽养殖业污染防治技术规范》和《病害动物和病害动物产品生物安全处理规程》（GB16548-2006）中的相关规定进行操作和管理，确保病死猪尸体做到安全无害化处理。冷库安全操作规程 如下：</w:t>
      </w:r>
    </w:p>
    <w:p>
      <w:r>
        <w:t>（1）冷库必须要有专人负责管理，管理人员一定要了解冷库的工作原理及操作方法。  </w:t>
      </w:r>
    </w:p>
    <w:p>
      <w:r>
        <w:t>（2）启动冷库时先打开电源开关，查看水循环泵指示灯与冷库正常运行指示灯是否亮起，然后再设定冷库温度（一般设定在-14℃至-18℃）。  </w:t>
      </w:r>
    </w:p>
    <w:p>
      <w:r>
        <w:t>（3）冷库运行过程中，正常工作日需指定人员每４小时对冷库所显示温度作一次记录，查看冷库显示温度是否在设定范围内，当故障显示器发出警报时应记下故障显示代码，再联系冷库维修人员来公司维修。  </w:t>
      </w:r>
    </w:p>
    <w:p>
      <w:r>
        <w:t>（4）日常进出冷库搬运物料，根据工作时间长短，凡工作5分钟以上，搬运人员需穿防寒服，防止因低温引起感冒或其它冻伤事故发生。  </w:t>
      </w:r>
    </w:p>
    <w:p>
      <w:r>
        <w:t>（5）冷库内禁止关门作业，如发现冷库门没有锁好或处于半开状态，其他人员一定要确认库内没人的情况下方可关闭冷库门，并告之冷库管理人员。  </w:t>
      </w:r>
    </w:p>
    <w:p>
      <w:r>
        <w:t>（6）冷库进出病死畜禽勿撞击库板，运输车更是要小心。 </w:t>
      </w:r>
    </w:p>
    <w:p>
      <w:r>
        <w:t> （7）冷库管理人员定期要对冷库内、外卫生进行打扫，并且要按时通知冷库保养人员来养殖场保养制冷设备。</w:t>
      </w:r>
    </w:p>
    <w:p>
      <w:r>
        <w:rPr>
          <w:rFonts w:hint="eastAsia"/>
          <w:lang w:eastAsia="zh-CN"/>
        </w:rPr>
        <w:t>（</w:t>
      </w:r>
      <w:r>
        <w:rPr>
          <w:rFonts w:hint="eastAsia"/>
          <w:lang w:val="en-US" w:eastAsia="zh-CN"/>
        </w:rPr>
        <w:t>8</w:t>
      </w:r>
      <w:r>
        <w:rPr>
          <w:rFonts w:hint="eastAsia"/>
          <w:lang w:eastAsia="zh-CN"/>
        </w:rPr>
        <w:t>）</w:t>
      </w:r>
      <w:r>
        <w:t xml:space="preserve"> 消毒过程注意事项：空除库房后，关闭冷冻机，并关上库房总电源。关上门等待库温接近室外气温或相差2－5度时，开门融化库内积冰，不要敲击库内冰块。融化冰块后，清扫库内垃圾，用清水清理墙面，地面，</w:t>
      </w:r>
      <w:r>
        <w:rPr>
          <w:rFonts w:hint="eastAsia"/>
          <w:lang w:eastAsia="zh-CN"/>
        </w:rPr>
        <w:t>少量的</w:t>
      </w:r>
      <w:r>
        <w:t>冲洗水经地漏进入消毒池</w:t>
      </w:r>
      <w:r>
        <w:rPr>
          <w:rFonts w:hint="eastAsia"/>
          <w:lang w:eastAsia="zh-CN"/>
        </w:rPr>
        <w:t>消毒</w:t>
      </w:r>
      <w:r>
        <w:t>处理</w:t>
      </w:r>
      <w:r>
        <w:rPr>
          <w:rFonts w:hint="eastAsia"/>
          <w:lang w:eastAsia="zh-CN"/>
        </w:rPr>
        <w:t>后可以作为消毒用水循环使用，不外排</w:t>
      </w:r>
      <w:r>
        <w:t>。用抹布沾水擦拭墙面和顶面，垃圾倒入消毒池。抹布沾水擦拭内冷风机，罩上内冷风机，雾状喷洒消毒液，保证消毒液使用的时间。用清水清洗消毒液喷洒过的地方，风干。有积水的地方有拖布拖干。拆除内冷风机罩布，关上门，等待下一次库房工作。检查库门缝胶，有脱、裂者的要及时补胶。</w:t>
      </w:r>
    </w:p>
    <w:p>
      <w:pPr>
        <w:bidi w:val="0"/>
      </w:pPr>
      <w:r>
        <w:t>（9）病死及病害动物和相关动物产品的收集、暂存、转运、无害化处理等环节应建有台账和记录。运出台账和记录应包括运输人员、联系方式、转运时间、车牌号、病死及病害动物和相关动物产品种类、数量、动物标识号、消毒方法、转运目的地以及经办人员等。</w:t>
      </w:r>
    </w:p>
    <w:p>
      <w:r>
        <w:rPr>
          <w:rFonts w:hint="eastAsia"/>
        </w:rPr>
        <w:t>4、</w:t>
      </w:r>
      <w:r>
        <w:t>医疗垃圾处置措施</w:t>
      </w:r>
    </w:p>
    <w:p>
      <w:pPr>
        <w:rPr>
          <w:rFonts w:hint="eastAsia"/>
        </w:rPr>
      </w:pPr>
      <w:r>
        <w:rPr>
          <w:rFonts w:hint="eastAsia"/>
        </w:rPr>
        <w:t>猪在养殖过程中需要注射一些疫苗，因此会产生畜禽医疗废物。经查《国家危险废物名录》（2016.8.1实施），该部分固废属于危险废物，危险废物类别为HW01，要求建设方委托有资质单位进行处理。</w:t>
      </w:r>
    </w:p>
    <w:p>
      <w:pPr>
        <w:numPr>
          <w:ilvl w:val="0"/>
          <w:numId w:val="6"/>
        </w:numPr>
        <w:rPr>
          <w:rFonts w:hint="eastAsia"/>
          <w:lang w:val="en-US" w:eastAsia="zh-CN"/>
        </w:rPr>
      </w:pPr>
      <w:r>
        <w:rPr>
          <w:rFonts w:hint="eastAsia"/>
          <w:lang w:val="en-US" w:eastAsia="zh-CN"/>
        </w:rPr>
        <w:t>脱硫废站处置措施</w:t>
      </w:r>
    </w:p>
    <w:p>
      <w:pPr>
        <w:bidi w:val="0"/>
        <w:rPr>
          <w:rFonts w:hint="eastAsia"/>
          <w:lang w:val="en-US" w:eastAsia="zh-CN"/>
        </w:rPr>
      </w:pPr>
      <w:r>
        <w:rPr>
          <w:rFonts w:hint="eastAsia"/>
          <w:lang w:val="en-US" w:eastAsia="zh-CN"/>
        </w:rPr>
        <w:t>脱硫废渣厂家回收，不会对环境造成影响。</w:t>
      </w:r>
    </w:p>
    <w:p>
      <w:r>
        <w:rPr>
          <w:rFonts w:hint="eastAsia"/>
        </w:rPr>
        <w:t>本项目运营中产生危险固废，建设方必须按照《中华人民共和国固体废物污染环境防治法》对危险废物污染防治的特别规定，向当地固体废物管理中心申报登记该项目产生的上述危险废物，并按照该中心的要求对上述危险废物进行全过程严格管理和安全处置。严格按危险废物转移联单管理办法的有关规定办理该项目危险废物的运输转移。同时建设单位及承接单位均需满足以下要求：</w:t>
      </w:r>
    </w:p>
    <w:p>
      <w:r>
        <w:rPr>
          <w:rFonts w:hint="eastAsia"/>
        </w:rPr>
        <w:t>（1）本项目提出的危废暂存间设计时应按照《危险废物贮存污染控标准》（GB18597-2001）具体要求实施。设有符合要求的专用标志；贮存场所内禁止混放不相容危险废物；贮存场所要有集排水和防渗设施；贮存场所符合消防要求；废物的贮存容器必须有明显标志，具有耐腐蚀、耐压、密封和不与所贮存的废物发生反应等特性。</w:t>
      </w:r>
    </w:p>
    <w:p>
      <w:r>
        <w:rPr>
          <w:rFonts w:hint="eastAsia"/>
        </w:rPr>
        <w:t>（2）本项目危废需外运委托处理时，在运输中应按危险废物做到以下几点：</w:t>
      </w:r>
    </w:p>
    <w:p>
      <w:r>
        <w:rPr>
          <w:rFonts w:hint="eastAsia"/>
        </w:rPr>
        <w:t>①危险废物处置全过程的管理制度；转移联单管理制度；职业健康、安全、环保管理体系（HSE）；处置厂（场）的管理人员应参加环保管理部门的岗位培训，合格后上岗；档案管理制度。</w:t>
      </w:r>
    </w:p>
    <w:p>
      <w:r>
        <w:rPr>
          <w:rFonts w:hint="eastAsia"/>
        </w:rPr>
        <w:t>②危险废物的运输车辆须经主管单位检查，并持有有关单位签发的许可证，负责运输的司机应通过培训，持有证明文件。</w:t>
      </w:r>
    </w:p>
    <w:p>
      <w:r>
        <w:rPr>
          <w:rFonts w:hint="eastAsia"/>
        </w:rPr>
        <w:t>③承载危险废物的车辆须有明显的标志或适当的危险符号，以引起注意。</w:t>
      </w:r>
    </w:p>
    <w:p>
      <w:r>
        <w:rPr>
          <w:rFonts w:hint="eastAsia"/>
        </w:rPr>
        <w:t>④载有危险废物的车辆在公路上行驶时，需持有运输许可证，其上应注明废物来源、性质和运往地点，必要时须有专门单位人员负责押运。</w:t>
      </w:r>
    </w:p>
    <w:p>
      <w:r>
        <w:rPr>
          <w:rFonts w:hint="eastAsia"/>
        </w:rPr>
        <w:t>⑤组织危险废物的运输单位，在事先需作出周密的运输计划和行驶路线，其中包括废物泄露情况下的有效应急措施。</w:t>
      </w:r>
    </w:p>
    <w:p>
      <w:r>
        <w:rPr>
          <w:rFonts w:hint="eastAsia"/>
        </w:rPr>
        <w:t>综上所述，本项目采取上述处理措施后，固体废物均可做到妥善处理，不会造成二次污染。</w:t>
      </w:r>
    </w:p>
    <w:p>
      <w:pPr>
        <w:pStyle w:val="4"/>
        <w:bidi w:val="0"/>
      </w:pPr>
      <w:r>
        <w:t xml:space="preserve"> </w:t>
      </w:r>
      <w:bookmarkStart w:id="437" w:name="_Toc30711"/>
      <w:r>
        <w:t>污染防治措施汇总</w:t>
      </w:r>
      <w:bookmarkEnd w:id="437"/>
    </w:p>
    <w:p>
      <w:r>
        <w:rPr>
          <w:rFonts w:hint="eastAsia"/>
        </w:rPr>
        <w:t>项目主要污染源及采取的环保措施情况汇总见表</w:t>
      </w:r>
      <w:r>
        <w:rPr>
          <w:rFonts w:hint="eastAsia"/>
          <w:lang w:val="en-US" w:eastAsia="zh-CN"/>
        </w:rPr>
        <w:t>5.3-1</w:t>
      </w:r>
      <w:r>
        <w:rPr>
          <w:rFonts w:hint="eastAsia"/>
        </w:rPr>
        <w:t>。</w:t>
      </w:r>
    </w:p>
    <w:p>
      <w:pPr>
        <w:pStyle w:val="11"/>
        <w:rPr>
          <w:rFonts w:hint="default" w:eastAsiaTheme="minorEastAsia"/>
          <w:lang w:val="en-US" w:eastAsia="zh-CN"/>
        </w:rPr>
      </w:pPr>
      <w:r>
        <w:t xml:space="preserve">表5.3- </w:t>
      </w:r>
      <w:r>
        <w:fldChar w:fldCharType="begin"/>
      </w:r>
      <w:r>
        <w:instrText xml:space="preserve"> SEQ 表5.3- \* ARABIC </w:instrText>
      </w:r>
      <w:r>
        <w:fldChar w:fldCharType="separate"/>
      </w:r>
      <w:r>
        <w:t>1</w:t>
      </w:r>
      <w:r>
        <w:fldChar w:fldCharType="end"/>
      </w:r>
      <w:r>
        <w:rPr>
          <w:rFonts w:hint="eastAsia"/>
          <w:lang w:val="en-US" w:eastAsia="zh-CN"/>
        </w:rPr>
        <w:t xml:space="preserve">  </w:t>
      </w:r>
      <w:r>
        <w:rPr>
          <w:rFonts w:hint="eastAsia"/>
        </w:rPr>
        <w:t>项目污染防治措施汇总表</w:t>
      </w:r>
    </w:p>
    <w:tbl>
      <w:tblPr>
        <w:tblStyle w:val="17"/>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084"/>
        <w:gridCol w:w="1237"/>
        <w:gridCol w:w="3063"/>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pStyle w:val="8"/>
              <w:bidi w:val="0"/>
            </w:pPr>
            <w:r>
              <w:rPr>
                <w:rFonts w:hint="eastAsia"/>
              </w:rPr>
              <w:t>类型</w:t>
            </w:r>
          </w:p>
        </w:tc>
        <w:tc>
          <w:tcPr>
            <w:tcW w:w="1084" w:type="dxa"/>
            <w:vAlign w:val="center"/>
          </w:tcPr>
          <w:p>
            <w:pPr>
              <w:pStyle w:val="8"/>
              <w:bidi w:val="0"/>
            </w:pPr>
            <w:r>
              <w:rPr>
                <w:rFonts w:hint="eastAsia"/>
              </w:rPr>
              <w:t>污染源名称</w:t>
            </w:r>
          </w:p>
        </w:tc>
        <w:tc>
          <w:tcPr>
            <w:tcW w:w="1237" w:type="dxa"/>
            <w:vAlign w:val="center"/>
          </w:tcPr>
          <w:p>
            <w:pPr>
              <w:pStyle w:val="8"/>
              <w:bidi w:val="0"/>
            </w:pPr>
            <w:r>
              <w:rPr>
                <w:rFonts w:hint="eastAsia"/>
              </w:rPr>
              <w:t>污染因子</w:t>
            </w:r>
          </w:p>
        </w:tc>
        <w:tc>
          <w:tcPr>
            <w:tcW w:w="3063" w:type="dxa"/>
            <w:vAlign w:val="center"/>
          </w:tcPr>
          <w:p>
            <w:pPr>
              <w:pStyle w:val="8"/>
              <w:bidi w:val="0"/>
            </w:pPr>
            <w:r>
              <w:rPr>
                <w:rFonts w:hint="eastAsia"/>
              </w:rPr>
              <w:t>拟采取的污染防治措施</w:t>
            </w:r>
          </w:p>
        </w:tc>
        <w:tc>
          <w:tcPr>
            <w:tcW w:w="2459" w:type="dxa"/>
            <w:vAlign w:val="center"/>
          </w:tcPr>
          <w:p>
            <w:pPr>
              <w:pStyle w:val="8"/>
              <w:bidi w:val="0"/>
            </w:pPr>
            <w:r>
              <w:rPr>
                <w:rFonts w:hint="eastAsia"/>
              </w:rPr>
              <w:t>拟达到污染防治效果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89" w:type="dxa"/>
            <w:vMerge w:val="restart"/>
            <w:vAlign w:val="center"/>
          </w:tcPr>
          <w:p>
            <w:pPr>
              <w:pStyle w:val="8"/>
              <w:bidi w:val="0"/>
            </w:pPr>
            <w:r>
              <w:rPr>
                <w:rFonts w:hint="eastAsia"/>
              </w:rPr>
              <w:t>废水</w:t>
            </w:r>
          </w:p>
          <w:p>
            <w:pPr>
              <w:pStyle w:val="8"/>
              <w:bidi w:val="0"/>
            </w:pPr>
          </w:p>
        </w:tc>
        <w:tc>
          <w:tcPr>
            <w:tcW w:w="1084" w:type="dxa"/>
            <w:vAlign w:val="center"/>
          </w:tcPr>
          <w:p>
            <w:pPr>
              <w:pStyle w:val="8"/>
              <w:bidi w:val="0"/>
            </w:pPr>
            <w:r>
              <w:rPr>
                <w:rFonts w:hint="eastAsia"/>
              </w:rPr>
              <w:t>养殖废水</w:t>
            </w:r>
          </w:p>
        </w:tc>
        <w:tc>
          <w:tcPr>
            <w:tcW w:w="1237" w:type="dxa"/>
            <w:vMerge w:val="restart"/>
            <w:vAlign w:val="center"/>
          </w:tcPr>
          <w:p>
            <w:pPr>
              <w:pStyle w:val="8"/>
              <w:bidi w:val="0"/>
            </w:pPr>
            <w:r>
              <w:t>COD</w:t>
            </w:r>
            <w:r>
              <w:rPr>
                <w:rFonts w:hint="eastAsia"/>
              </w:rPr>
              <w:t>、</w:t>
            </w:r>
            <w:r>
              <w:t>BOD</w:t>
            </w:r>
            <w:r>
              <w:rPr>
                <w:vertAlign w:val="subscript"/>
              </w:rPr>
              <w:t>5</w:t>
            </w:r>
            <w:r>
              <w:rPr>
                <w:rFonts w:hint="eastAsia"/>
              </w:rPr>
              <w:t>、</w:t>
            </w:r>
            <w:r>
              <w:t>NH</w:t>
            </w:r>
            <w:r>
              <w:rPr>
                <w:vertAlign w:val="subscript"/>
              </w:rPr>
              <w:t>3</w:t>
            </w:r>
            <w:r>
              <w:t>-N</w:t>
            </w:r>
            <w:r>
              <w:rPr>
                <w:rFonts w:hint="eastAsia"/>
              </w:rPr>
              <w:t>、TN、TP</w:t>
            </w:r>
          </w:p>
        </w:tc>
        <w:tc>
          <w:tcPr>
            <w:tcW w:w="3063" w:type="dxa"/>
            <w:vMerge w:val="restart"/>
            <w:vAlign w:val="center"/>
          </w:tcPr>
          <w:p>
            <w:pPr>
              <w:pStyle w:val="8"/>
              <w:bidi w:val="0"/>
              <w:rPr>
                <w:rFonts w:hint="eastAsia"/>
                <w:lang w:eastAsia="zh-CN"/>
              </w:rPr>
            </w:pPr>
            <w:r>
              <w:rPr>
                <w:rFonts w:hint="eastAsia"/>
              </w:rPr>
              <w:t>项目采取雨水污分流制，厂内配套雨污管网，雨水排入周边山林，废水处理采用</w:t>
            </w:r>
            <w:r>
              <w:rPr>
                <w:rFonts w:hint="eastAsia"/>
                <w:lang w:eastAsia="zh-CN"/>
              </w:rPr>
              <w:t>厌氧发酵，</w:t>
            </w:r>
            <w:r>
              <w:rPr>
                <w:rFonts w:hint="eastAsia"/>
              </w:rPr>
              <w:t>猪尿</w:t>
            </w:r>
            <w:r>
              <w:rPr>
                <w:rFonts w:hint="eastAsia"/>
                <w:lang w:eastAsia="zh-CN"/>
              </w:rPr>
              <w:t>等废水</w:t>
            </w:r>
            <w:r>
              <w:rPr>
                <w:rFonts w:hint="eastAsia"/>
                <w:lang w:val="en-US" w:eastAsia="zh-CN"/>
              </w:rPr>
              <w:t>经</w:t>
            </w:r>
            <w:r>
              <w:rPr>
                <w:rFonts w:hint="eastAsia"/>
              </w:rPr>
              <w:t>厌氧发酵</w:t>
            </w:r>
            <w:r>
              <w:rPr>
                <w:rFonts w:hint="eastAsia"/>
                <w:lang w:val="en-US" w:eastAsia="zh-CN"/>
              </w:rPr>
              <w:t>罐+AO组合池处理后</w:t>
            </w:r>
            <w:r>
              <w:rPr>
                <w:rFonts w:hint="eastAsia"/>
              </w:rPr>
              <w:t>，进入容量</w:t>
            </w:r>
            <w:r>
              <w:rPr>
                <w:rFonts w:hint="eastAsia"/>
                <w:lang w:val="en-US" w:eastAsia="zh-CN"/>
              </w:rPr>
              <w:t>12000</w:t>
            </w:r>
            <w:r>
              <w:rPr>
                <w:rFonts w:hint="eastAsia"/>
              </w:rPr>
              <w:t>m</w:t>
            </w:r>
            <w:r>
              <w:rPr>
                <w:rFonts w:hint="eastAsia"/>
                <w:vertAlign w:val="superscript"/>
              </w:rPr>
              <w:t>3</w:t>
            </w:r>
            <w:r>
              <w:rPr>
                <w:rFonts w:hint="eastAsia"/>
              </w:rPr>
              <w:t>的沼液储存池</w:t>
            </w:r>
            <w:r>
              <w:rPr>
                <w:rFonts w:hint="eastAsia"/>
                <w:lang w:eastAsia="zh-CN"/>
              </w:rPr>
              <w:t>，</w:t>
            </w:r>
            <w:r>
              <w:rPr>
                <w:rFonts w:hint="eastAsia"/>
              </w:rPr>
              <w:t>通过罐车运输沼液</w:t>
            </w:r>
          </w:p>
        </w:tc>
        <w:tc>
          <w:tcPr>
            <w:tcW w:w="2459" w:type="dxa"/>
            <w:vMerge w:val="restart"/>
            <w:vAlign w:val="center"/>
          </w:tcPr>
          <w:p>
            <w:pPr>
              <w:pStyle w:val="8"/>
              <w:bidi w:val="0"/>
            </w:pPr>
            <w:r>
              <w:rPr>
                <w:rFonts w:hint="eastAsia"/>
              </w:rPr>
              <w:t>全部综合利用不外排。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89" w:type="dxa"/>
            <w:vMerge w:val="continue"/>
            <w:vAlign w:val="center"/>
          </w:tcPr>
          <w:p>
            <w:pPr>
              <w:pStyle w:val="8"/>
              <w:bidi w:val="0"/>
            </w:pPr>
          </w:p>
        </w:tc>
        <w:tc>
          <w:tcPr>
            <w:tcW w:w="1084" w:type="dxa"/>
            <w:vAlign w:val="center"/>
          </w:tcPr>
          <w:p>
            <w:pPr>
              <w:pStyle w:val="8"/>
              <w:bidi w:val="0"/>
            </w:pPr>
            <w:r>
              <w:rPr>
                <w:rFonts w:hint="eastAsia"/>
              </w:rPr>
              <w:t>生活废水</w:t>
            </w:r>
          </w:p>
        </w:tc>
        <w:tc>
          <w:tcPr>
            <w:tcW w:w="1237" w:type="dxa"/>
            <w:vMerge w:val="continue"/>
            <w:vAlign w:val="center"/>
          </w:tcPr>
          <w:p>
            <w:pPr>
              <w:pStyle w:val="8"/>
              <w:bidi w:val="0"/>
            </w:pPr>
          </w:p>
        </w:tc>
        <w:tc>
          <w:tcPr>
            <w:tcW w:w="3063" w:type="dxa"/>
            <w:vMerge w:val="continue"/>
            <w:vAlign w:val="center"/>
          </w:tcPr>
          <w:p>
            <w:pPr>
              <w:pStyle w:val="8"/>
              <w:bidi w:val="0"/>
            </w:pPr>
          </w:p>
        </w:tc>
        <w:tc>
          <w:tcPr>
            <w:tcW w:w="2459"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restart"/>
            <w:vAlign w:val="center"/>
          </w:tcPr>
          <w:p>
            <w:pPr>
              <w:pStyle w:val="8"/>
              <w:bidi w:val="0"/>
            </w:pPr>
            <w:r>
              <w:rPr>
                <w:rFonts w:hint="eastAsia"/>
              </w:rPr>
              <w:t>废气</w:t>
            </w:r>
          </w:p>
        </w:tc>
        <w:tc>
          <w:tcPr>
            <w:tcW w:w="1084" w:type="dxa"/>
            <w:vAlign w:val="center"/>
          </w:tcPr>
          <w:p>
            <w:pPr>
              <w:pStyle w:val="8"/>
              <w:bidi w:val="0"/>
            </w:pPr>
            <w:r>
              <w:rPr>
                <w:rFonts w:hint="eastAsia"/>
              </w:rPr>
              <w:t>养殖区、微生物发酵床</w:t>
            </w:r>
          </w:p>
        </w:tc>
        <w:tc>
          <w:tcPr>
            <w:tcW w:w="1237" w:type="dxa"/>
            <w:vAlign w:val="center"/>
          </w:tcPr>
          <w:p>
            <w:pPr>
              <w:pStyle w:val="8"/>
              <w:bidi w:val="0"/>
            </w:pPr>
            <w:r>
              <w:rPr>
                <w:rFonts w:hint="eastAsia"/>
              </w:rPr>
              <w:t>NH</w:t>
            </w:r>
            <w:r>
              <w:rPr>
                <w:rFonts w:hint="eastAsia"/>
                <w:vertAlign w:val="subscript"/>
              </w:rPr>
              <w:t>3</w:t>
            </w:r>
            <w:r>
              <w:rPr>
                <w:rFonts w:hint="eastAsia"/>
              </w:rPr>
              <w:t>、H</w:t>
            </w:r>
            <w:r>
              <w:rPr>
                <w:rFonts w:hint="eastAsia"/>
                <w:vertAlign w:val="subscript"/>
              </w:rPr>
              <w:t>2</w:t>
            </w:r>
            <w:r>
              <w:rPr>
                <w:rFonts w:hint="eastAsia"/>
              </w:rPr>
              <w:t>S、臭气浓度</w:t>
            </w:r>
          </w:p>
        </w:tc>
        <w:tc>
          <w:tcPr>
            <w:tcW w:w="3063" w:type="dxa"/>
            <w:vAlign w:val="center"/>
          </w:tcPr>
          <w:p>
            <w:pPr>
              <w:pStyle w:val="8"/>
              <w:bidi w:val="0"/>
            </w:pPr>
            <w:r>
              <w:rPr>
                <w:rFonts w:hint="eastAsia"/>
              </w:rPr>
              <w:t>风机</w:t>
            </w:r>
            <w:r>
              <w:t>+</w:t>
            </w:r>
            <w:r>
              <w:rPr>
                <w:rFonts w:hint="eastAsia"/>
              </w:rPr>
              <w:t>水帘</w:t>
            </w:r>
            <w:r>
              <w:t>+</w:t>
            </w:r>
            <w:r>
              <w:rPr>
                <w:rFonts w:hint="eastAsia"/>
              </w:rPr>
              <w:t>喷洒防臭剂</w:t>
            </w:r>
            <w:r>
              <w:t>+</w:t>
            </w:r>
            <w:r>
              <w:rPr>
                <w:rFonts w:hint="eastAsia"/>
              </w:rPr>
              <w:t>使用低蛋白配方饲料</w:t>
            </w:r>
          </w:p>
        </w:tc>
        <w:tc>
          <w:tcPr>
            <w:tcW w:w="2459" w:type="dxa"/>
            <w:vAlign w:val="center"/>
          </w:tcPr>
          <w:p>
            <w:pPr>
              <w:pStyle w:val="8"/>
              <w:bidi w:val="0"/>
            </w:pPr>
            <w:r>
              <w:t>《畜禽养殖业污染物排放标准》（GB18596-2001）；</w:t>
            </w:r>
          </w:p>
          <w:p>
            <w:pPr>
              <w:pStyle w:val="8"/>
              <w:bidi w:val="0"/>
            </w:pPr>
            <w:r>
              <w:t>《恶臭污染物排放标准》(GB14554-1993)厂界无组织排放浓度限值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89" w:type="dxa"/>
            <w:vMerge w:val="continue"/>
            <w:vAlign w:val="center"/>
          </w:tcPr>
          <w:p>
            <w:pPr>
              <w:pStyle w:val="8"/>
              <w:bidi w:val="0"/>
            </w:pPr>
          </w:p>
        </w:tc>
        <w:tc>
          <w:tcPr>
            <w:tcW w:w="1084" w:type="dxa"/>
            <w:vAlign w:val="center"/>
          </w:tcPr>
          <w:p>
            <w:pPr>
              <w:pStyle w:val="8"/>
              <w:bidi w:val="0"/>
            </w:pPr>
            <w:r>
              <w:rPr>
                <w:rFonts w:hint="eastAsia"/>
              </w:rPr>
              <w:t>柴油发电机</w:t>
            </w:r>
          </w:p>
        </w:tc>
        <w:tc>
          <w:tcPr>
            <w:tcW w:w="1237" w:type="dxa"/>
            <w:vAlign w:val="center"/>
          </w:tcPr>
          <w:p>
            <w:pPr>
              <w:pStyle w:val="8"/>
              <w:bidi w:val="0"/>
            </w:pPr>
            <w:r>
              <w:rPr>
                <w:rFonts w:hint="eastAsia"/>
              </w:rPr>
              <w:t>颗粒物、NO</w:t>
            </w:r>
            <w:r>
              <w:rPr>
                <w:rFonts w:hint="eastAsia"/>
                <w:vertAlign w:val="subscript"/>
              </w:rPr>
              <w:t>x</w:t>
            </w:r>
            <w:r>
              <w:rPr>
                <w:rFonts w:hint="eastAsia"/>
              </w:rPr>
              <w:t>、SO</w:t>
            </w:r>
            <w:r>
              <w:rPr>
                <w:rFonts w:hint="eastAsia"/>
                <w:vertAlign w:val="subscript"/>
              </w:rPr>
              <w:t>2</w:t>
            </w:r>
          </w:p>
        </w:tc>
        <w:tc>
          <w:tcPr>
            <w:tcW w:w="3063" w:type="dxa"/>
            <w:vAlign w:val="center"/>
          </w:tcPr>
          <w:p>
            <w:pPr>
              <w:pStyle w:val="8"/>
              <w:bidi w:val="0"/>
            </w:pPr>
            <w:r>
              <w:rPr>
                <w:rFonts w:hint="eastAsia"/>
              </w:rPr>
              <w:t>燃烧清洁能源</w:t>
            </w:r>
          </w:p>
        </w:tc>
        <w:tc>
          <w:tcPr>
            <w:tcW w:w="2459" w:type="dxa"/>
            <w:vAlign w:val="center"/>
          </w:tcPr>
          <w:p>
            <w:pPr>
              <w:pStyle w:val="8"/>
              <w:bidi w:val="0"/>
            </w:pPr>
            <w:r>
              <w:rPr>
                <w:rFonts w:hint="eastAsi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89" w:type="dxa"/>
            <w:vMerge w:val="continue"/>
            <w:vAlign w:val="center"/>
          </w:tcPr>
          <w:p>
            <w:pPr>
              <w:pStyle w:val="8"/>
              <w:bidi w:val="0"/>
            </w:pPr>
          </w:p>
        </w:tc>
        <w:tc>
          <w:tcPr>
            <w:tcW w:w="1084" w:type="dxa"/>
            <w:vAlign w:val="center"/>
          </w:tcPr>
          <w:p>
            <w:pPr>
              <w:pStyle w:val="8"/>
              <w:bidi w:val="0"/>
            </w:pPr>
            <w:r>
              <w:rPr>
                <w:rFonts w:hint="eastAsia"/>
              </w:rPr>
              <w:t>食堂油烟</w:t>
            </w:r>
          </w:p>
        </w:tc>
        <w:tc>
          <w:tcPr>
            <w:tcW w:w="1237" w:type="dxa"/>
            <w:vAlign w:val="center"/>
          </w:tcPr>
          <w:p>
            <w:pPr>
              <w:pStyle w:val="8"/>
              <w:bidi w:val="0"/>
            </w:pPr>
            <w:r>
              <w:rPr>
                <w:rFonts w:hint="eastAsia"/>
              </w:rPr>
              <w:t>油烟</w:t>
            </w:r>
          </w:p>
        </w:tc>
        <w:tc>
          <w:tcPr>
            <w:tcW w:w="3063" w:type="dxa"/>
            <w:vAlign w:val="center"/>
          </w:tcPr>
          <w:p>
            <w:pPr>
              <w:pStyle w:val="8"/>
              <w:bidi w:val="0"/>
            </w:pPr>
            <w:r>
              <w:rPr>
                <w:rFonts w:hint="eastAsia"/>
              </w:rPr>
              <w:t>油烟净化器</w:t>
            </w:r>
            <w:r>
              <w:t>+</w:t>
            </w:r>
            <w:r>
              <w:rPr>
                <w:rFonts w:hint="eastAsia"/>
              </w:rPr>
              <w:t>高空排放</w:t>
            </w:r>
          </w:p>
        </w:tc>
        <w:tc>
          <w:tcPr>
            <w:tcW w:w="2459" w:type="dxa"/>
            <w:vAlign w:val="center"/>
          </w:tcPr>
          <w:p>
            <w:pPr>
              <w:pStyle w:val="8"/>
              <w:bidi w:val="0"/>
            </w:pPr>
            <w:r>
              <w:rPr>
                <w:rFonts w:hint="eastAsi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889" w:type="dxa"/>
            <w:vMerge w:val="continue"/>
            <w:vAlign w:val="center"/>
          </w:tcPr>
          <w:p>
            <w:pPr>
              <w:pStyle w:val="8"/>
              <w:bidi w:val="0"/>
            </w:pPr>
          </w:p>
        </w:tc>
        <w:tc>
          <w:tcPr>
            <w:tcW w:w="1084" w:type="dxa"/>
            <w:vAlign w:val="center"/>
          </w:tcPr>
          <w:p>
            <w:pPr>
              <w:pStyle w:val="8"/>
              <w:bidi w:val="0"/>
              <w:rPr>
                <w:rFonts w:hint="eastAsia" w:eastAsiaTheme="minorEastAsia"/>
                <w:lang w:eastAsia="zh-CN"/>
              </w:rPr>
            </w:pPr>
            <w:r>
              <w:rPr>
                <w:rFonts w:hint="eastAsia"/>
              </w:rPr>
              <w:t>沼气</w:t>
            </w:r>
            <w:r>
              <w:rPr>
                <w:rFonts w:hint="eastAsia"/>
                <w:lang w:eastAsia="zh-CN"/>
              </w:rPr>
              <w:t>燃烧</w:t>
            </w:r>
          </w:p>
        </w:tc>
        <w:tc>
          <w:tcPr>
            <w:tcW w:w="1237" w:type="dxa"/>
            <w:vAlign w:val="center"/>
          </w:tcPr>
          <w:p>
            <w:pPr>
              <w:pStyle w:val="8"/>
              <w:bidi w:val="0"/>
            </w:pPr>
            <w:r>
              <w:rPr>
                <w:rFonts w:hint="eastAsia"/>
              </w:rPr>
              <w:t>颗粒物、NO</w:t>
            </w:r>
            <w:r>
              <w:rPr>
                <w:rFonts w:hint="eastAsia"/>
                <w:vertAlign w:val="subscript"/>
              </w:rPr>
              <w:t>x</w:t>
            </w:r>
            <w:r>
              <w:rPr>
                <w:rFonts w:hint="eastAsia"/>
              </w:rPr>
              <w:t>、SO</w:t>
            </w:r>
            <w:r>
              <w:rPr>
                <w:rFonts w:hint="eastAsia"/>
                <w:vertAlign w:val="subscript"/>
              </w:rPr>
              <w:t>2</w:t>
            </w:r>
          </w:p>
        </w:tc>
        <w:tc>
          <w:tcPr>
            <w:tcW w:w="3063" w:type="dxa"/>
            <w:vAlign w:val="center"/>
          </w:tcPr>
          <w:p>
            <w:pPr>
              <w:pStyle w:val="8"/>
              <w:bidi w:val="0"/>
            </w:pPr>
            <w:r>
              <w:rPr>
                <w:rFonts w:hint="eastAsia"/>
              </w:rPr>
              <w:t>沼气脱硫塔</w:t>
            </w:r>
            <w:r>
              <w:rPr>
                <w:rFonts w:hint="eastAsia"/>
                <w:lang w:eastAsia="zh-CN"/>
              </w:rPr>
              <w:t>、</w:t>
            </w:r>
            <w:r>
              <w:rPr>
                <w:rFonts w:hint="eastAsia"/>
              </w:rPr>
              <w:t>高空</w:t>
            </w:r>
            <w:r>
              <w:rPr>
                <w:rFonts w:hint="eastAsia"/>
                <w:lang w:eastAsia="zh-CN"/>
              </w:rPr>
              <w:t>燃烧</w:t>
            </w:r>
          </w:p>
        </w:tc>
        <w:tc>
          <w:tcPr>
            <w:tcW w:w="2459" w:type="dxa"/>
            <w:vAlign w:val="center"/>
          </w:tcPr>
          <w:p>
            <w:pPr>
              <w:pStyle w:val="8"/>
              <w:bidi w:val="0"/>
            </w:pPr>
            <w:r>
              <w:rPr>
                <w:rFonts w:hint="eastAsia"/>
              </w:rPr>
              <w:t>《</w:t>
            </w:r>
            <w:r>
              <w:rPr>
                <w:rFonts w:hint="eastAsia"/>
                <w:lang w:eastAsia="zh-CN"/>
              </w:rPr>
              <w:t>大气污染物综合排放标准</w:t>
            </w:r>
            <w:r>
              <w:rPr>
                <w:rFonts w:hint="eastAsia"/>
              </w:rPr>
              <w:t>》（GB</w:t>
            </w:r>
            <w:r>
              <w:rPr>
                <w:rFonts w:hint="eastAsia"/>
                <w:lang w:val="en-US" w:eastAsia="zh-CN"/>
              </w:rPr>
              <w:t>16297</w:t>
            </w:r>
            <w:r>
              <w:rPr>
                <w:rFonts w:hint="eastAsia"/>
              </w:rPr>
              <w:t>-</w:t>
            </w:r>
            <w:r>
              <w:rPr>
                <w:rFonts w:hint="eastAsia"/>
                <w:lang w:val="en-US" w:eastAsia="zh-CN"/>
              </w:rPr>
              <w:t>1996</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889" w:type="dxa"/>
            <w:vMerge w:val="restart"/>
            <w:vAlign w:val="center"/>
          </w:tcPr>
          <w:p>
            <w:pPr>
              <w:pStyle w:val="8"/>
              <w:bidi w:val="0"/>
            </w:pPr>
            <w:r>
              <w:rPr>
                <w:rFonts w:hint="eastAsia"/>
              </w:rPr>
              <w:t>固废</w:t>
            </w:r>
          </w:p>
        </w:tc>
        <w:tc>
          <w:tcPr>
            <w:tcW w:w="1084" w:type="dxa"/>
            <w:vAlign w:val="center"/>
          </w:tcPr>
          <w:p>
            <w:pPr>
              <w:pStyle w:val="8"/>
              <w:bidi w:val="0"/>
            </w:pPr>
            <w:r>
              <w:rPr>
                <w:rFonts w:hint="eastAsia"/>
              </w:rPr>
              <w:t>粪污处理设施</w:t>
            </w:r>
          </w:p>
        </w:tc>
        <w:tc>
          <w:tcPr>
            <w:tcW w:w="1237" w:type="dxa"/>
            <w:vAlign w:val="center"/>
          </w:tcPr>
          <w:p>
            <w:pPr>
              <w:pStyle w:val="8"/>
              <w:bidi w:val="0"/>
              <w:rPr>
                <w:rFonts w:hint="eastAsia" w:eastAsiaTheme="minorEastAsia"/>
                <w:lang w:eastAsia="zh-CN"/>
              </w:rPr>
            </w:pPr>
            <w:r>
              <w:rPr>
                <w:rFonts w:hint="eastAsia"/>
                <w:lang w:eastAsia="zh-CN"/>
              </w:rPr>
              <w:t>堆肥</w:t>
            </w:r>
          </w:p>
        </w:tc>
        <w:tc>
          <w:tcPr>
            <w:tcW w:w="3063" w:type="dxa"/>
            <w:vAlign w:val="center"/>
          </w:tcPr>
          <w:p>
            <w:pPr>
              <w:pStyle w:val="8"/>
              <w:bidi w:val="0"/>
            </w:pPr>
            <w:r>
              <w:rPr>
                <w:rFonts w:hint="eastAsia"/>
                <w:lang w:eastAsia="zh-CN"/>
              </w:rPr>
              <w:t>作为有机肥外售</w:t>
            </w:r>
          </w:p>
        </w:tc>
        <w:tc>
          <w:tcPr>
            <w:tcW w:w="2459" w:type="dxa"/>
            <w:vAlign w:val="center"/>
          </w:tcPr>
          <w:p>
            <w:pPr>
              <w:pStyle w:val="8"/>
              <w:bidi w:val="0"/>
            </w:pPr>
            <w:r>
              <w:rPr>
                <w:rFonts w:hint="eastAsia"/>
              </w:rPr>
              <w:t>全部综合利用，不外排。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89" w:type="dxa"/>
            <w:vMerge w:val="continue"/>
            <w:vAlign w:val="center"/>
          </w:tcPr>
          <w:p>
            <w:pPr>
              <w:pStyle w:val="8"/>
              <w:bidi w:val="0"/>
            </w:pPr>
          </w:p>
        </w:tc>
        <w:tc>
          <w:tcPr>
            <w:tcW w:w="1084" w:type="dxa"/>
            <w:vAlign w:val="center"/>
          </w:tcPr>
          <w:p>
            <w:pPr>
              <w:pStyle w:val="8"/>
              <w:bidi w:val="0"/>
            </w:pPr>
            <w:r>
              <w:rPr>
                <w:rFonts w:hint="eastAsia"/>
              </w:rPr>
              <w:t>猪舍</w:t>
            </w:r>
          </w:p>
        </w:tc>
        <w:tc>
          <w:tcPr>
            <w:tcW w:w="1237" w:type="dxa"/>
            <w:vAlign w:val="center"/>
          </w:tcPr>
          <w:p>
            <w:pPr>
              <w:pStyle w:val="8"/>
              <w:bidi w:val="0"/>
              <w:rPr>
                <w:rFonts w:hint="eastAsia" w:eastAsiaTheme="minorEastAsia"/>
                <w:lang w:eastAsia="zh-CN"/>
              </w:rPr>
            </w:pPr>
            <w:r>
              <w:rPr>
                <w:rFonts w:hint="eastAsia"/>
              </w:rPr>
              <w:t>病死猪</w:t>
            </w:r>
            <w:r>
              <w:rPr>
                <w:rFonts w:hint="eastAsia"/>
                <w:lang w:eastAsia="zh-CN"/>
              </w:rPr>
              <w:t>、</w:t>
            </w:r>
          </w:p>
          <w:p>
            <w:pPr>
              <w:pStyle w:val="8"/>
              <w:bidi w:val="0"/>
            </w:pPr>
            <w:r>
              <w:rPr>
                <w:rFonts w:hint="eastAsia"/>
              </w:rPr>
              <w:t>妊娠废物</w:t>
            </w:r>
          </w:p>
        </w:tc>
        <w:tc>
          <w:tcPr>
            <w:tcW w:w="3063" w:type="dxa"/>
            <w:vAlign w:val="center"/>
          </w:tcPr>
          <w:p>
            <w:pPr>
              <w:pStyle w:val="8"/>
              <w:bidi w:val="0"/>
            </w:pPr>
            <w:r>
              <w:rPr>
                <w:rFonts w:hint="eastAsia"/>
              </w:rPr>
              <w:t>冷冻库低温暂存</w:t>
            </w:r>
          </w:p>
        </w:tc>
        <w:tc>
          <w:tcPr>
            <w:tcW w:w="2459" w:type="dxa"/>
            <w:vAlign w:val="center"/>
          </w:tcPr>
          <w:p>
            <w:pPr>
              <w:pStyle w:val="8"/>
              <w:bidi w:val="0"/>
            </w:pPr>
            <w:r>
              <w:rPr>
                <w:rFonts w:hint="eastAsia"/>
              </w:rPr>
              <w:t>定期送澧县病死畜禽无害化处理收集中心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89" w:type="dxa"/>
            <w:vMerge w:val="continue"/>
            <w:vAlign w:val="center"/>
          </w:tcPr>
          <w:p>
            <w:pPr>
              <w:pStyle w:val="8"/>
              <w:bidi w:val="0"/>
            </w:pPr>
          </w:p>
        </w:tc>
        <w:tc>
          <w:tcPr>
            <w:tcW w:w="1084" w:type="dxa"/>
            <w:vAlign w:val="center"/>
          </w:tcPr>
          <w:p>
            <w:pPr>
              <w:pStyle w:val="8"/>
              <w:bidi w:val="0"/>
            </w:pPr>
            <w:r>
              <w:rPr>
                <w:rFonts w:hint="eastAsia"/>
              </w:rPr>
              <w:t>猪只防疫、诊疗</w:t>
            </w:r>
          </w:p>
        </w:tc>
        <w:tc>
          <w:tcPr>
            <w:tcW w:w="1237" w:type="dxa"/>
            <w:vAlign w:val="center"/>
          </w:tcPr>
          <w:p>
            <w:pPr>
              <w:pStyle w:val="8"/>
              <w:bidi w:val="0"/>
            </w:pPr>
            <w:r>
              <w:rPr>
                <w:rFonts w:hint="eastAsia"/>
              </w:rPr>
              <w:t>医疗废物</w:t>
            </w:r>
          </w:p>
        </w:tc>
        <w:tc>
          <w:tcPr>
            <w:tcW w:w="3063" w:type="dxa"/>
            <w:vAlign w:val="center"/>
          </w:tcPr>
          <w:p>
            <w:pPr>
              <w:pStyle w:val="8"/>
              <w:bidi w:val="0"/>
            </w:pPr>
            <w:r>
              <w:rPr>
                <w:rFonts w:hint="eastAsia"/>
              </w:rPr>
              <w:t>收集后委托有资质单位处置</w:t>
            </w:r>
          </w:p>
        </w:tc>
        <w:tc>
          <w:tcPr>
            <w:tcW w:w="2459" w:type="dxa"/>
            <w:vAlign w:val="center"/>
          </w:tcPr>
          <w:p>
            <w:pPr>
              <w:pStyle w:val="8"/>
              <w:bidi w:val="0"/>
            </w:pPr>
            <w:r>
              <w:rPr>
                <w:rFonts w:hint="eastAsia"/>
              </w:rPr>
              <w:t>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89" w:type="dxa"/>
            <w:vMerge w:val="continue"/>
            <w:vAlign w:val="center"/>
          </w:tcPr>
          <w:p>
            <w:pPr>
              <w:pStyle w:val="8"/>
              <w:bidi w:val="0"/>
            </w:pPr>
          </w:p>
        </w:tc>
        <w:tc>
          <w:tcPr>
            <w:tcW w:w="1084" w:type="dxa"/>
            <w:vAlign w:val="center"/>
          </w:tcPr>
          <w:p>
            <w:pPr>
              <w:pStyle w:val="8"/>
              <w:bidi w:val="0"/>
            </w:pPr>
            <w:r>
              <w:rPr>
                <w:rFonts w:hint="eastAsia"/>
              </w:rPr>
              <w:t>员工生活</w:t>
            </w:r>
          </w:p>
        </w:tc>
        <w:tc>
          <w:tcPr>
            <w:tcW w:w="1237" w:type="dxa"/>
            <w:vAlign w:val="center"/>
          </w:tcPr>
          <w:p>
            <w:pPr>
              <w:pStyle w:val="8"/>
              <w:bidi w:val="0"/>
            </w:pPr>
            <w:r>
              <w:rPr>
                <w:rFonts w:hint="eastAsia"/>
              </w:rPr>
              <w:t>生活垃圾</w:t>
            </w:r>
          </w:p>
        </w:tc>
        <w:tc>
          <w:tcPr>
            <w:tcW w:w="3063" w:type="dxa"/>
            <w:vAlign w:val="center"/>
          </w:tcPr>
          <w:p>
            <w:pPr>
              <w:pStyle w:val="8"/>
              <w:bidi w:val="0"/>
            </w:pPr>
            <w:r>
              <w:rPr>
                <w:rFonts w:hint="eastAsia"/>
              </w:rPr>
              <w:t>送乡镇垃圾填转运系统后，环卫部门集中处理</w:t>
            </w:r>
          </w:p>
        </w:tc>
        <w:tc>
          <w:tcPr>
            <w:tcW w:w="2459" w:type="dxa"/>
            <w:vAlign w:val="center"/>
          </w:tcPr>
          <w:p>
            <w:pPr>
              <w:pStyle w:val="8"/>
              <w:bidi w:val="0"/>
            </w:pPr>
            <w:r>
              <w:rPr>
                <w:rFonts w:hint="eastAsia"/>
              </w:rPr>
              <w:t>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889" w:type="dxa"/>
            <w:vMerge w:val="continue"/>
            <w:vAlign w:val="center"/>
          </w:tcPr>
          <w:p>
            <w:pPr>
              <w:pStyle w:val="8"/>
              <w:bidi w:val="0"/>
            </w:pPr>
          </w:p>
        </w:tc>
        <w:tc>
          <w:tcPr>
            <w:tcW w:w="1084" w:type="dxa"/>
            <w:vAlign w:val="center"/>
          </w:tcPr>
          <w:p>
            <w:pPr>
              <w:pStyle w:val="8"/>
              <w:bidi w:val="0"/>
            </w:pPr>
            <w:r>
              <w:rPr>
                <w:rFonts w:hint="eastAsia"/>
              </w:rPr>
              <w:t>脱硫废渣</w:t>
            </w:r>
          </w:p>
        </w:tc>
        <w:tc>
          <w:tcPr>
            <w:tcW w:w="1237" w:type="dxa"/>
            <w:vAlign w:val="center"/>
          </w:tcPr>
          <w:p>
            <w:pPr>
              <w:pStyle w:val="8"/>
              <w:bidi w:val="0"/>
            </w:pPr>
            <w:r>
              <w:rPr>
                <w:rFonts w:hint="eastAsia"/>
              </w:rPr>
              <w:t>沼气发电</w:t>
            </w:r>
          </w:p>
        </w:tc>
        <w:tc>
          <w:tcPr>
            <w:tcW w:w="3063" w:type="dxa"/>
            <w:vAlign w:val="center"/>
          </w:tcPr>
          <w:p>
            <w:pPr>
              <w:pStyle w:val="8"/>
              <w:bidi w:val="0"/>
            </w:pPr>
            <w:r>
              <w:rPr>
                <w:rFonts w:hint="eastAsia"/>
              </w:rPr>
              <w:t>厂家回收</w:t>
            </w:r>
          </w:p>
        </w:tc>
        <w:tc>
          <w:tcPr>
            <w:tcW w:w="2459" w:type="dxa"/>
            <w:vAlign w:val="center"/>
          </w:tcPr>
          <w:p>
            <w:pPr>
              <w:pStyle w:val="8"/>
              <w:bidi w:val="0"/>
            </w:pPr>
            <w:r>
              <w:rPr>
                <w:rFonts w:hint="eastAsia"/>
              </w:rPr>
              <w:t>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89" w:type="dxa"/>
            <w:vAlign w:val="center"/>
          </w:tcPr>
          <w:p>
            <w:pPr>
              <w:pStyle w:val="8"/>
              <w:bidi w:val="0"/>
            </w:pPr>
            <w:r>
              <w:rPr>
                <w:rFonts w:hint="eastAsia"/>
              </w:rPr>
              <w:t>噪声</w:t>
            </w:r>
          </w:p>
        </w:tc>
        <w:tc>
          <w:tcPr>
            <w:tcW w:w="1084" w:type="dxa"/>
            <w:vAlign w:val="center"/>
          </w:tcPr>
          <w:p>
            <w:pPr>
              <w:pStyle w:val="8"/>
              <w:bidi w:val="0"/>
            </w:pPr>
            <w:r>
              <w:rPr>
                <w:rFonts w:hint="eastAsia"/>
              </w:rPr>
              <w:t>养殖区</w:t>
            </w:r>
          </w:p>
        </w:tc>
        <w:tc>
          <w:tcPr>
            <w:tcW w:w="1237" w:type="dxa"/>
            <w:vAlign w:val="center"/>
          </w:tcPr>
          <w:p>
            <w:pPr>
              <w:pStyle w:val="8"/>
              <w:bidi w:val="0"/>
            </w:pPr>
            <w:r>
              <w:rPr>
                <w:rFonts w:hint="eastAsia"/>
              </w:rPr>
              <w:t>设备噪声、猪叫等</w:t>
            </w:r>
          </w:p>
        </w:tc>
        <w:tc>
          <w:tcPr>
            <w:tcW w:w="3063" w:type="dxa"/>
            <w:vAlign w:val="center"/>
          </w:tcPr>
          <w:p>
            <w:pPr>
              <w:pStyle w:val="8"/>
              <w:bidi w:val="0"/>
            </w:pPr>
            <w:r>
              <w:rPr>
                <w:rFonts w:hint="eastAsia"/>
              </w:rPr>
              <w:t>设备采用基础减震，猪舍进行隔声处理，厂区绿化</w:t>
            </w:r>
          </w:p>
        </w:tc>
        <w:tc>
          <w:tcPr>
            <w:tcW w:w="2459" w:type="dxa"/>
            <w:vAlign w:val="center"/>
          </w:tcPr>
          <w:p>
            <w:pPr>
              <w:pStyle w:val="8"/>
              <w:bidi w:val="0"/>
            </w:pPr>
            <w:r>
              <w:t>《工业企业厂界环境噪声排放标准》2类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889" w:type="dxa"/>
            <w:vAlign w:val="center"/>
          </w:tcPr>
          <w:p>
            <w:pPr>
              <w:pStyle w:val="8"/>
              <w:bidi w:val="0"/>
              <w:rPr>
                <w:rFonts w:hint="eastAsia"/>
                <w:lang w:eastAsia="zh-CN"/>
              </w:rPr>
            </w:pPr>
            <w:r>
              <w:rPr>
                <w:rFonts w:hint="eastAsia"/>
              </w:rPr>
              <w:t>生态</w:t>
            </w:r>
          </w:p>
        </w:tc>
        <w:tc>
          <w:tcPr>
            <w:tcW w:w="1084" w:type="dxa"/>
            <w:vAlign w:val="center"/>
          </w:tcPr>
          <w:p>
            <w:pPr>
              <w:pStyle w:val="8"/>
              <w:bidi w:val="0"/>
              <w:rPr>
                <w:rFonts w:hint="eastAsia"/>
              </w:rPr>
            </w:pPr>
            <w:r>
              <w:rPr>
                <w:rFonts w:hint="eastAsia"/>
              </w:rPr>
              <w:t>养殖区</w:t>
            </w:r>
          </w:p>
        </w:tc>
        <w:tc>
          <w:tcPr>
            <w:tcW w:w="1237" w:type="dxa"/>
            <w:vAlign w:val="center"/>
          </w:tcPr>
          <w:p>
            <w:pPr>
              <w:pStyle w:val="8"/>
              <w:bidi w:val="0"/>
              <w:rPr>
                <w:rFonts w:hint="eastAsia"/>
              </w:rPr>
            </w:pPr>
            <w:r>
              <w:rPr>
                <w:rFonts w:hint="eastAsia"/>
              </w:rPr>
              <w:t>扬尘、噪声、恶臭</w:t>
            </w:r>
          </w:p>
        </w:tc>
        <w:tc>
          <w:tcPr>
            <w:tcW w:w="3063" w:type="dxa"/>
            <w:vAlign w:val="center"/>
          </w:tcPr>
          <w:p>
            <w:pPr>
              <w:pStyle w:val="8"/>
              <w:bidi w:val="0"/>
              <w:rPr>
                <w:rFonts w:hint="eastAsia"/>
              </w:rPr>
            </w:pPr>
            <w:r>
              <w:rPr>
                <w:rFonts w:hint="eastAsia"/>
              </w:rPr>
              <w:t>场区内及厂界植树、防护林</w:t>
            </w:r>
          </w:p>
        </w:tc>
        <w:tc>
          <w:tcPr>
            <w:tcW w:w="2459" w:type="dxa"/>
            <w:vAlign w:val="center"/>
          </w:tcPr>
          <w:p>
            <w:pPr>
              <w:pStyle w:val="8"/>
              <w:bidi w:val="0"/>
            </w:pPr>
            <w:r>
              <w:rPr>
                <w:rFonts w:hint="eastAsia"/>
              </w:rPr>
              <w:t>绿化面积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89" w:type="dxa"/>
            <w:vAlign w:val="center"/>
          </w:tcPr>
          <w:p>
            <w:pPr>
              <w:pStyle w:val="8"/>
              <w:bidi w:val="0"/>
              <w:rPr>
                <w:rFonts w:hint="eastAsia"/>
                <w:lang w:eastAsia="zh-CN"/>
              </w:rPr>
            </w:pPr>
            <w:r>
              <w:rPr>
                <w:rFonts w:hint="eastAsia"/>
                <w:lang w:eastAsia="zh-CN"/>
              </w:rPr>
              <w:t>环境风险</w:t>
            </w:r>
          </w:p>
        </w:tc>
        <w:tc>
          <w:tcPr>
            <w:tcW w:w="1084" w:type="dxa"/>
            <w:vAlign w:val="center"/>
          </w:tcPr>
          <w:p>
            <w:pPr>
              <w:pStyle w:val="8"/>
              <w:bidi w:val="0"/>
              <w:rPr>
                <w:rFonts w:hint="eastAsia"/>
              </w:rPr>
            </w:pPr>
            <w:r>
              <w:rPr>
                <w:rFonts w:hint="eastAsia"/>
              </w:rPr>
              <w:t>养殖区</w:t>
            </w:r>
          </w:p>
        </w:tc>
        <w:tc>
          <w:tcPr>
            <w:tcW w:w="1237" w:type="dxa"/>
            <w:vAlign w:val="center"/>
          </w:tcPr>
          <w:p>
            <w:pPr>
              <w:pStyle w:val="8"/>
              <w:bidi w:val="0"/>
              <w:rPr>
                <w:rFonts w:hint="eastAsia"/>
              </w:rPr>
            </w:pPr>
            <w:r>
              <w:rPr>
                <w:rFonts w:hint="eastAsia"/>
                <w:lang w:eastAsia="zh-CN"/>
              </w:rPr>
              <w:t>厌氧罐发酵设施故障时</w:t>
            </w:r>
          </w:p>
        </w:tc>
        <w:tc>
          <w:tcPr>
            <w:tcW w:w="3063" w:type="dxa"/>
            <w:vAlign w:val="center"/>
          </w:tcPr>
          <w:p>
            <w:pPr>
              <w:pStyle w:val="8"/>
              <w:bidi w:val="0"/>
              <w:rPr>
                <w:rFonts w:hint="default"/>
                <w:lang w:val="en-US"/>
              </w:rPr>
            </w:pPr>
            <w:r>
              <w:rPr>
                <w:rFonts w:hint="eastAsia"/>
                <w:lang w:eastAsia="zh-CN"/>
              </w:rPr>
              <w:t>配套相应的</w:t>
            </w:r>
            <w:r>
              <w:rPr>
                <w:rFonts w:hint="eastAsia"/>
                <w:lang w:val="en-US" w:eastAsia="zh-CN"/>
              </w:rPr>
              <w:t>沼液储存池</w:t>
            </w:r>
          </w:p>
        </w:tc>
        <w:tc>
          <w:tcPr>
            <w:tcW w:w="2459" w:type="dxa"/>
            <w:vAlign w:val="center"/>
          </w:tcPr>
          <w:p>
            <w:pPr>
              <w:pStyle w:val="8"/>
              <w:bidi w:val="0"/>
            </w:pPr>
            <w:r>
              <w:rPr>
                <w:rFonts w:hint="eastAsia"/>
                <w:lang w:val="en-US" w:eastAsia="zh-CN"/>
              </w:rPr>
              <w:t>-</w:t>
            </w:r>
          </w:p>
        </w:tc>
      </w:tr>
    </w:tbl>
    <w:p>
      <w:pPr>
        <w:pStyle w:val="2"/>
        <w:bidi w:val="0"/>
      </w:pPr>
      <w:bookmarkStart w:id="438" w:name="_Toc289344586"/>
      <w:bookmarkStart w:id="439" w:name="_Toc182022392"/>
      <w:bookmarkStart w:id="440" w:name="_Toc118087372"/>
      <w:r>
        <w:br w:type="page"/>
      </w:r>
      <w:bookmarkEnd w:id="438"/>
      <w:bookmarkEnd w:id="439"/>
      <w:bookmarkEnd w:id="440"/>
      <w:bookmarkStart w:id="441" w:name="_Toc9355"/>
      <w:bookmarkStart w:id="442" w:name="_Toc289344606"/>
      <w:bookmarkStart w:id="443" w:name="_Toc468689293"/>
      <w:bookmarkStart w:id="444" w:name="_Toc182022402"/>
      <w:bookmarkStart w:id="445" w:name="_Toc118087377"/>
      <w:r>
        <w:rPr>
          <w:rFonts w:hint="eastAsia"/>
        </w:rPr>
        <w:t>环境经济损益分析</w:t>
      </w:r>
      <w:bookmarkEnd w:id="441"/>
      <w:bookmarkEnd w:id="442"/>
      <w:bookmarkEnd w:id="443"/>
    </w:p>
    <w:p>
      <w:r>
        <w:rPr>
          <w:rFonts w:hint="eastAsia"/>
        </w:rPr>
        <w:t>环境经济损益分析的主要任务是衡量建设项目要投入的环境投资所能收到的环境保护效果，本评价环境经济损益分析主要研究工程环境经济损益情况，除需计算用于控制污染所需投资和费用外，还要同时核算可能收到的环境与经济实效。</w:t>
      </w:r>
    </w:p>
    <w:p>
      <w:pPr>
        <w:pStyle w:val="4"/>
        <w:bidi w:val="0"/>
      </w:pPr>
      <w:bookmarkStart w:id="446" w:name="_Toc468689294"/>
      <w:bookmarkStart w:id="447" w:name="_Toc5993"/>
      <w:bookmarkStart w:id="448" w:name="_Toc289344607"/>
      <w:r>
        <w:rPr>
          <w:rFonts w:hint="eastAsia"/>
        </w:rPr>
        <w:t>环保投资估算</w:t>
      </w:r>
      <w:bookmarkEnd w:id="446"/>
      <w:bookmarkEnd w:id="447"/>
      <w:bookmarkEnd w:id="448"/>
    </w:p>
    <w:p>
      <w:r>
        <w:rPr>
          <w:rFonts w:hint="eastAsia"/>
        </w:rPr>
        <w:t>《建设项目环境保护设计规定》第六十三条指出：</w:t>
      </w:r>
      <w:r>
        <w:t>“</w:t>
      </w:r>
      <w:r>
        <w:rPr>
          <w:rFonts w:hint="eastAsia"/>
        </w:rPr>
        <w:t>凡属于污染治理和保护环境所需的装置、设备、监测手段和工程设施等属于环境保护设施</w:t>
      </w:r>
      <w:r>
        <w:t>”</w:t>
      </w:r>
      <w:r>
        <w:rPr>
          <w:rFonts w:hint="eastAsia"/>
        </w:rPr>
        <w:t>、</w:t>
      </w:r>
      <w:r>
        <w:t>“</w:t>
      </w:r>
      <w:r>
        <w:rPr>
          <w:rFonts w:hint="eastAsia"/>
        </w:rPr>
        <w:t>凡有环境保护设施的建设项目均应列入环境保护设施的投资概算</w:t>
      </w:r>
      <w:r>
        <w:t>”</w:t>
      </w:r>
      <w:r>
        <w:rPr>
          <w:rFonts w:hint="eastAsia"/>
        </w:rPr>
        <w:t>，根据此规定，该公司环保投资见下表</w:t>
      </w:r>
      <w:r>
        <w:rPr>
          <w:rFonts w:hint="eastAsia"/>
          <w:lang w:val="en-US" w:eastAsia="zh-CN"/>
        </w:rPr>
        <w:t>6.1-1</w:t>
      </w:r>
      <w:r>
        <w:rPr>
          <w:rFonts w:hint="eastAsia"/>
        </w:rPr>
        <w:t>。</w:t>
      </w:r>
    </w:p>
    <w:p>
      <w:pPr>
        <w:pStyle w:val="11"/>
        <w:rPr>
          <w:rFonts w:hint="default" w:eastAsiaTheme="minorEastAsia"/>
          <w:lang w:val="en-US" w:eastAsia="zh-CN"/>
        </w:rPr>
      </w:pPr>
      <w:r>
        <w:t xml:space="preserve">表6.1- </w:t>
      </w:r>
      <w:r>
        <w:fldChar w:fldCharType="begin"/>
      </w:r>
      <w:r>
        <w:instrText xml:space="preserve"> SEQ 表6.1- \* ARABIC </w:instrText>
      </w:r>
      <w:r>
        <w:fldChar w:fldCharType="separate"/>
      </w:r>
      <w:r>
        <w:t>1</w:t>
      </w:r>
      <w:r>
        <w:fldChar w:fldCharType="end"/>
      </w:r>
      <w:r>
        <w:rPr>
          <w:rFonts w:hint="eastAsia"/>
          <w:lang w:val="en-US" w:eastAsia="zh-CN"/>
        </w:rPr>
        <w:t xml:space="preserve">  </w:t>
      </w:r>
      <w:r>
        <w:t>环保治理投资估算一览表</w:t>
      </w:r>
    </w:p>
    <w:tbl>
      <w:tblPr>
        <w:tblStyle w:val="17"/>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108"/>
        <w:gridCol w:w="427"/>
        <w:gridCol w:w="699"/>
        <w:gridCol w:w="2940"/>
        <w:gridCol w:w="1946"/>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Align w:val="center"/>
          </w:tcPr>
          <w:p>
            <w:pPr>
              <w:pStyle w:val="8"/>
              <w:bidi w:val="0"/>
            </w:pPr>
            <w:r>
              <w:t>时期</w:t>
            </w:r>
          </w:p>
        </w:tc>
        <w:tc>
          <w:tcPr>
            <w:tcW w:w="1108" w:type="dxa"/>
            <w:vAlign w:val="center"/>
          </w:tcPr>
          <w:p>
            <w:pPr>
              <w:pStyle w:val="8"/>
              <w:bidi w:val="0"/>
            </w:pPr>
            <w:r>
              <w:t>环境要素</w:t>
            </w:r>
          </w:p>
        </w:tc>
        <w:tc>
          <w:tcPr>
            <w:tcW w:w="1126" w:type="dxa"/>
            <w:gridSpan w:val="2"/>
            <w:vAlign w:val="center"/>
          </w:tcPr>
          <w:p>
            <w:pPr>
              <w:pStyle w:val="8"/>
              <w:bidi w:val="0"/>
            </w:pPr>
            <w:r>
              <w:t>治理项目</w:t>
            </w:r>
          </w:p>
        </w:tc>
        <w:tc>
          <w:tcPr>
            <w:tcW w:w="2940" w:type="dxa"/>
            <w:vAlign w:val="center"/>
          </w:tcPr>
          <w:p>
            <w:pPr>
              <w:pStyle w:val="8"/>
              <w:bidi w:val="0"/>
            </w:pPr>
            <w:r>
              <w:t>治理措施</w:t>
            </w:r>
          </w:p>
        </w:tc>
        <w:tc>
          <w:tcPr>
            <w:tcW w:w="1946" w:type="dxa"/>
            <w:vAlign w:val="center"/>
          </w:tcPr>
          <w:p>
            <w:pPr>
              <w:pStyle w:val="8"/>
              <w:bidi w:val="0"/>
            </w:pPr>
            <w:r>
              <w:t>治理效果</w:t>
            </w:r>
          </w:p>
        </w:tc>
        <w:tc>
          <w:tcPr>
            <w:tcW w:w="1082" w:type="dxa"/>
            <w:vAlign w:val="center"/>
          </w:tcPr>
          <w:p>
            <w:pPr>
              <w:pStyle w:val="8"/>
              <w:bidi w:val="0"/>
            </w:pPr>
            <w:r>
              <w:t>投资估算</w:t>
            </w:r>
          </w:p>
          <w:p>
            <w:pPr>
              <w:pStyle w:val="8"/>
              <w:bidi w:val="0"/>
            </w:pPr>
            <w: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restart"/>
            <w:vAlign w:val="center"/>
          </w:tcPr>
          <w:p>
            <w:pPr>
              <w:pStyle w:val="8"/>
              <w:bidi w:val="0"/>
            </w:pPr>
            <w:r>
              <w:t>施</w:t>
            </w:r>
          </w:p>
          <w:p>
            <w:pPr>
              <w:pStyle w:val="8"/>
              <w:bidi w:val="0"/>
            </w:pPr>
            <w:r>
              <w:t>工</w:t>
            </w:r>
          </w:p>
          <w:p>
            <w:pPr>
              <w:pStyle w:val="8"/>
              <w:bidi w:val="0"/>
            </w:pPr>
            <w:r>
              <w:t>期</w:t>
            </w:r>
          </w:p>
        </w:tc>
        <w:tc>
          <w:tcPr>
            <w:tcW w:w="1108" w:type="dxa"/>
            <w:vAlign w:val="center"/>
          </w:tcPr>
          <w:p>
            <w:pPr>
              <w:pStyle w:val="8"/>
              <w:bidi w:val="0"/>
            </w:pPr>
            <w:r>
              <w:t>大气</w:t>
            </w:r>
          </w:p>
        </w:tc>
        <w:tc>
          <w:tcPr>
            <w:tcW w:w="1126" w:type="dxa"/>
            <w:gridSpan w:val="2"/>
            <w:vAlign w:val="center"/>
          </w:tcPr>
          <w:p>
            <w:pPr>
              <w:pStyle w:val="8"/>
              <w:bidi w:val="0"/>
            </w:pPr>
            <w:r>
              <w:t>废气治理</w:t>
            </w:r>
          </w:p>
        </w:tc>
        <w:tc>
          <w:tcPr>
            <w:tcW w:w="2940" w:type="dxa"/>
            <w:vAlign w:val="center"/>
          </w:tcPr>
          <w:p>
            <w:pPr>
              <w:pStyle w:val="8"/>
              <w:bidi w:val="0"/>
            </w:pPr>
            <w:r>
              <w:t>洒水、围挡、防尘布等</w:t>
            </w:r>
          </w:p>
        </w:tc>
        <w:tc>
          <w:tcPr>
            <w:tcW w:w="1946" w:type="dxa"/>
            <w:vAlign w:val="center"/>
          </w:tcPr>
          <w:p>
            <w:pPr>
              <w:pStyle w:val="8"/>
              <w:bidi w:val="0"/>
            </w:pPr>
            <w:r>
              <w:t>减小施工期扬尘对周围环境影响</w:t>
            </w:r>
          </w:p>
        </w:tc>
        <w:tc>
          <w:tcPr>
            <w:tcW w:w="1082" w:type="dxa"/>
            <w:vAlign w:val="center"/>
          </w:tcPr>
          <w:p>
            <w:pPr>
              <w:pStyle w:val="8"/>
              <w:bidi w:val="0"/>
            </w:pPr>
            <w:r>
              <w:rPr>
                <w:rFonts w:hint="eastAsia"/>
                <w:lang w:val="en-US" w:eastAsia="zh-CN"/>
              </w:rPr>
              <w:t>4</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Align w:val="center"/>
          </w:tcPr>
          <w:p>
            <w:pPr>
              <w:pStyle w:val="8"/>
              <w:bidi w:val="0"/>
            </w:pPr>
            <w:r>
              <w:t>水环境</w:t>
            </w:r>
          </w:p>
        </w:tc>
        <w:tc>
          <w:tcPr>
            <w:tcW w:w="1126" w:type="dxa"/>
            <w:gridSpan w:val="2"/>
            <w:vAlign w:val="center"/>
          </w:tcPr>
          <w:p>
            <w:pPr>
              <w:pStyle w:val="8"/>
              <w:bidi w:val="0"/>
            </w:pPr>
            <w:r>
              <w:t>废水治理</w:t>
            </w:r>
          </w:p>
        </w:tc>
        <w:tc>
          <w:tcPr>
            <w:tcW w:w="2940" w:type="dxa"/>
            <w:vAlign w:val="center"/>
          </w:tcPr>
          <w:p>
            <w:pPr>
              <w:pStyle w:val="8"/>
              <w:bidi w:val="0"/>
            </w:pPr>
            <w:r>
              <w:t>隔油沉淀池</w:t>
            </w:r>
          </w:p>
        </w:tc>
        <w:tc>
          <w:tcPr>
            <w:tcW w:w="1946" w:type="dxa"/>
            <w:vAlign w:val="center"/>
          </w:tcPr>
          <w:p>
            <w:pPr>
              <w:pStyle w:val="8"/>
              <w:bidi w:val="0"/>
            </w:pPr>
            <w:r>
              <w:t>废水回用不外排</w:t>
            </w:r>
          </w:p>
        </w:tc>
        <w:tc>
          <w:tcPr>
            <w:tcW w:w="1082" w:type="dxa"/>
            <w:vAlign w:val="center"/>
          </w:tcPr>
          <w:p>
            <w:pPr>
              <w:pStyle w:val="8"/>
              <w:bidi w:val="0"/>
            </w:pPr>
            <w:r>
              <w:rPr>
                <w:rFonts w:hint="eastAsia"/>
                <w:lang w:val="en-US" w:eastAsia="zh-CN"/>
              </w:rPr>
              <w:t>2</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Align w:val="center"/>
          </w:tcPr>
          <w:p>
            <w:pPr>
              <w:pStyle w:val="8"/>
              <w:bidi w:val="0"/>
            </w:pPr>
            <w:r>
              <w:t>噪声</w:t>
            </w:r>
          </w:p>
        </w:tc>
        <w:tc>
          <w:tcPr>
            <w:tcW w:w="1126" w:type="dxa"/>
            <w:gridSpan w:val="2"/>
            <w:vAlign w:val="center"/>
          </w:tcPr>
          <w:p>
            <w:pPr>
              <w:pStyle w:val="8"/>
              <w:bidi w:val="0"/>
            </w:pPr>
            <w:r>
              <w:t>噪声治理</w:t>
            </w:r>
          </w:p>
        </w:tc>
        <w:tc>
          <w:tcPr>
            <w:tcW w:w="2940" w:type="dxa"/>
            <w:vAlign w:val="center"/>
          </w:tcPr>
          <w:p>
            <w:pPr>
              <w:pStyle w:val="8"/>
              <w:bidi w:val="0"/>
            </w:pPr>
            <w:r>
              <w:t>隔声围挡</w:t>
            </w:r>
          </w:p>
        </w:tc>
        <w:tc>
          <w:tcPr>
            <w:tcW w:w="1946" w:type="dxa"/>
            <w:vAlign w:val="center"/>
          </w:tcPr>
          <w:p>
            <w:pPr>
              <w:pStyle w:val="8"/>
              <w:bidi w:val="0"/>
            </w:pPr>
            <w:r>
              <w:t>减小施工期噪声对周围环境影响</w:t>
            </w:r>
          </w:p>
        </w:tc>
        <w:tc>
          <w:tcPr>
            <w:tcW w:w="1082" w:type="dxa"/>
            <w:vAlign w:val="center"/>
          </w:tcPr>
          <w:p>
            <w:pPr>
              <w:pStyle w:val="8"/>
              <w:bidi w:val="0"/>
              <w:rPr>
                <w:rFonts w:hint="default" w:eastAsiaTheme="minorEastAsia"/>
                <w:lang w:val="en-US" w:eastAsia="zh-CN"/>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Align w:val="center"/>
          </w:tcPr>
          <w:p>
            <w:pPr>
              <w:pStyle w:val="8"/>
              <w:bidi w:val="0"/>
            </w:pPr>
            <w:r>
              <w:t>固体废物</w:t>
            </w:r>
          </w:p>
        </w:tc>
        <w:tc>
          <w:tcPr>
            <w:tcW w:w="1126" w:type="dxa"/>
            <w:gridSpan w:val="2"/>
            <w:vAlign w:val="center"/>
          </w:tcPr>
          <w:p>
            <w:pPr>
              <w:pStyle w:val="8"/>
              <w:bidi w:val="0"/>
            </w:pPr>
            <w:r>
              <w:t>固废治理</w:t>
            </w:r>
          </w:p>
        </w:tc>
        <w:tc>
          <w:tcPr>
            <w:tcW w:w="2940" w:type="dxa"/>
            <w:vAlign w:val="center"/>
          </w:tcPr>
          <w:p>
            <w:pPr>
              <w:pStyle w:val="8"/>
              <w:bidi w:val="0"/>
            </w:pPr>
            <w:r>
              <w:t>生活垃圾、建筑垃圾收集</w:t>
            </w:r>
          </w:p>
          <w:p>
            <w:pPr>
              <w:pStyle w:val="8"/>
              <w:bidi w:val="0"/>
            </w:pPr>
            <w:r>
              <w:t>分类统一清运</w:t>
            </w:r>
          </w:p>
        </w:tc>
        <w:tc>
          <w:tcPr>
            <w:tcW w:w="1946" w:type="dxa"/>
            <w:vAlign w:val="center"/>
          </w:tcPr>
          <w:p>
            <w:pPr>
              <w:pStyle w:val="8"/>
              <w:bidi w:val="0"/>
            </w:pPr>
            <w:r>
              <w:t>不外排周围环境</w:t>
            </w:r>
          </w:p>
        </w:tc>
        <w:tc>
          <w:tcPr>
            <w:tcW w:w="1082" w:type="dxa"/>
            <w:vAlign w:val="center"/>
          </w:tcPr>
          <w:p>
            <w:pPr>
              <w:pStyle w:val="8"/>
              <w:bidi w:val="0"/>
            </w:pPr>
            <w:r>
              <w:rPr>
                <w:rFonts w:hint="eastAsia"/>
                <w:lang w:val="en-US" w:eastAsia="zh-CN"/>
              </w:rPr>
              <w:t>5</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Align w:val="center"/>
          </w:tcPr>
          <w:p>
            <w:pPr>
              <w:pStyle w:val="8"/>
              <w:bidi w:val="0"/>
            </w:pPr>
            <w:r>
              <w:t>生态环境</w:t>
            </w:r>
          </w:p>
        </w:tc>
        <w:tc>
          <w:tcPr>
            <w:tcW w:w="1126" w:type="dxa"/>
            <w:gridSpan w:val="2"/>
            <w:vAlign w:val="center"/>
          </w:tcPr>
          <w:p>
            <w:pPr>
              <w:pStyle w:val="8"/>
              <w:bidi w:val="0"/>
            </w:pPr>
            <w:r>
              <w:t>水土流失</w:t>
            </w:r>
          </w:p>
        </w:tc>
        <w:tc>
          <w:tcPr>
            <w:tcW w:w="2940" w:type="dxa"/>
            <w:vAlign w:val="center"/>
          </w:tcPr>
          <w:p>
            <w:pPr>
              <w:pStyle w:val="8"/>
              <w:bidi w:val="0"/>
            </w:pPr>
            <w:r>
              <w:t>截水沟等排水设施</w:t>
            </w:r>
          </w:p>
        </w:tc>
        <w:tc>
          <w:tcPr>
            <w:tcW w:w="1946" w:type="dxa"/>
            <w:vAlign w:val="center"/>
          </w:tcPr>
          <w:p>
            <w:pPr>
              <w:pStyle w:val="8"/>
              <w:bidi w:val="0"/>
            </w:pPr>
            <w:r>
              <w:t>水土流失得到治理和控制</w:t>
            </w:r>
          </w:p>
        </w:tc>
        <w:tc>
          <w:tcPr>
            <w:tcW w:w="1082" w:type="dxa"/>
            <w:vAlign w:val="center"/>
          </w:tcPr>
          <w:p>
            <w:pPr>
              <w:pStyle w:val="8"/>
              <w:bidi w:val="0"/>
            </w:pPr>
            <w:r>
              <w:rPr>
                <w:rFonts w:hint="eastAsia"/>
                <w:lang w:val="en-US" w:eastAsia="zh-CN"/>
              </w:rPr>
              <w:t>5</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restart"/>
            <w:vAlign w:val="center"/>
          </w:tcPr>
          <w:p>
            <w:pPr>
              <w:pStyle w:val="8"/>
              <w:bidi w:val="0"/>
            </w:pPr>
            <w:r>
              <w:t>营运期</w:t>
            </w:r>
          </w:p>
        </w:tc>
        <w:tc>
          <w:tcPr>
            <w:tcW w:w="1108" w:type="dxa"/>
            <w:vMerge w:val="restart"/>
            <w:vAlign w:val="center"/>
          </w:tcPr>
          <w:p>
            <w:pPr>
              <w:pStyle w:val="8"/>
              <w:bidi w:val="0"/>
            </w:pPr>
            <w:r>
              <w:t>大气</w:t>
            </w:r>
          </w:p>
        </w:tc>
        <w:tc>
          <w:tcPr>
            <w:tcW w:w="427" w:type="dxa"/>
            <w:vAlign w:val="center"/>
          </w:tcPr>
          <w:p>
            <w:pPr>
              <w:pStyle w:val="8"/>
              <w:bidi w:val="0"/>
            </w:pPr>
            <w:r>
              <w:t>恶臭</w:t>
            </w:r>
          </w:p>
        </w:tc>
        <w:tc>
          <w:tcPr>
            <w:tcW w:w="699" w:type="dxa"/>
            <w:vAlign w:val="center"/>
          </w:tcPr>
          <w:p>
            <w:pPr>
              <w:pStyle w:val="8"/>
              <w:bidi w:val="0"/>
            </w:pPr>
            <w:r>
              <w:t>养殖场</w:t>
            </w:r>
          </w:p>
        </w:tc>
        <w:tc>
          <w:tcPr>
            <w:tcW w:w="2940" w:type="dxa"/>
            <w:vAlign w:val="center"/>
          </w:tcPr>
          <w:p>
            <w:pPr>
              <w:pStyle w:val="8"/>
              <w:bidi w:val="0"/>
            </w:pPr>
            <w:r>
              <w:rPr>
                <w:rFonts w:hint="eastAsia"/>
              </w:rPr>
              <w:t>合理搭配</w:t>
            </w:r>
            <w:r>
              <w:t>饲料</w:t>
            </w:r>
            <w:r>
              <w:rPr>
                <w:rFonts w:hint="eastAsia"/>
              </w:rPr>
              <w:t>，</w:t>
            </w:r>
            <w:r>
              <w:t>添加微生物剂</w:t>
            </w:r>
            <w:r>
              <w:rPr>
                <w:rFonts w:hint="eastAsia"/>
              </w:rPr>
              <w:t>；喷洒除臭剂；加强舍内通风，水帘降温除臭等等</w:t>
            </w:r>
          </w:p>
        </w:tc>
        <w:tc>
          <w:tcPr>
            <w:tcW w:w="1946" w:type="dxa"/>
            <w:vAlign w:val="center"/>
          </w:tcPr>
          <w:p>
            <w:pPr>
              <w:pStyle w:val="8"/>
              <w:bidi w:val="0"/>
            </w:pPr>
            <w:r>
              <w:t>确保场界处大气污染物不超标</w:t>
            </w:r>
          </w:p>
        </w:tc>
        <w:tc>
          <w:tcPr>
            <w:tcW w:w="1082" w:type="dxa"/>
            <w:vAlign w:val="center"/>
          </w:tcPr>
          <w:p>
            <w:pPr>
              <w:pStyle w:val="8"/>
              <w:bidi w:val="0"/>
              <w:rPr>
                <w:rFonts w:hint="default" w:eastAsiaTheme="minorEastAsia"/>
                <w:lang w:val="en-US" w:eastAsia="zh-CN"/>
              </w:rPr>
            </w:pPr>
            <w:r>
              <w:rPr>
                <w:rFonts w:hint="eastAsia"/>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Merge w:val="continue"/>
            <w:vAlign w:val="center"/>
          </w:tcPr>
          <w:p>
            <w:pPr>
              <w:pStyle w:val="8"/>
              <w:bidi w:val="0"/>
            </w:pPr>
          </w:p>
        </w:tc>
        <w:tc>
          <w:tcPr>
            <w:tcW w:w="427" w:type="dxa"/>
            <w:vAlign w:val="center"/>
          </w:tcPr>
          <w:p>
            <w:pPr>
              <w:pStyle w:val="8"/>
              <w:bidi w:val="0"/>
            </w:pPr>
            <w:r>
              <w:t>油烟</w:t>
            </w:r>
          </w:p>
        </w:tc>
        <w:tc>
          <w:tcPr>
            <w:tcW w:w="699" w:type="dxa"/>
            <w:vAlign w:val="center"/>
          </w:tcPr>
          <w:p>
            <w:pPr>
              <w:pStyle w:val="8"/>
              <w:bidi w:val="0"/>
            </w:pPr>
            <w:r>
              <w:t>厨房</w:t>
            </w:r>
          </w:p>
        </w:tc>
        <w:tc>
          <w:tcPr>
            <w:tcW w:w="2940" w:type="dxa"/>
            <w:vAlign w:val="center"/>
          </w:tcPr>
          <w:p>
            <w:pPr>
              <w:pStyle w:val="8"/>
              <w:bidi w:val="0"/>
            </w:pPr>
            <w:r>
              <w:t>家庭式油烟净化器</w:t>
            </w:r>
            <w:r>
              <w:rPr>
                <w:rFonts w:hint="eastAsia"/>
              </w:rPr>
              <w:t>（</w:t>
            </w:r>
            <w:r>
              <w:rPr>
                <w:rFonts w:hint="eastAsia"/>
                <w:lang w:val="en-US" w:eastAsia="zh-CN"/>
              </w:rPr>
              <w:t>1</w:t>
            </w:r>
            <w:r>
              <w:rPr>
                <w:rFonts w:hint="eastAsia"/>
              </w:rPr>
              <w:t>套）</w:t>
            </w:r>
          </w:p>
        </w:tc>
        <w:tc>
          <w:tcPr>
            <w:tcW w:w="1946" w:type="dxa"/>
            <w:vAlign w:val="center"/>
          </w:tcPr>
          <w:p>
            <w:pPr>
              <w:pStyle w:val="8"/>
              <w:bidi w:val="0"/>
            </w:pPr>
            <w:r>
              <w:t>减少煮食油烟对周围环境的影响</w:t>
            </w:r>
          </w:p>
        </w:tc>
        <w:tc>
          <w:tcPr>
            <w:tcW w:w="1082" w:type="dxa"/>
            <w:vAlign w:val="center"/>
          </w:tcPr>
          <w:p>
            <w:pPr>
              <w:pStyle w:val="8"/>
              <w:bidi w:val="0"/>
              <w:rPr>
                <w:rFonts w:hint="default" w:eastAsiaTheme="minorEastAsia"/>
                <w:lang w:val="en-US" w:eastAsia="zh-CN"/>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30" w:type="dxa"/>
            <w:vMerge w:val="continue"/>
            <w:vAlign w:val="center"/>
          </w:tcPr>
          <w:p>
            <w:pPr>
              <w:pStyle w:val="8"/>
              <w:bidi w:val="0"/>
            </w:pPr>
          </w:p>
        </w:tc>
        <w:tc>
          <w:tcPr>
            <w:tcW w:w="1108" w:type="dxa"/>
            <w:vMerge w:val="continue"/>
            <w:vAlign w:val="center"/>
          </w:tcPr>
          <w:p>
            <w:pPr>
              <w:pStyle w:val="8"/>
              <w:bidi w:val="0"/>
            </w:pPr>
          </w:p>
        </w:tc>
        <w:tc>
          <w:tcPr>
            <w:tcW w:w="427" w:type="dxa"/>
            <w:vAlign w:val="center"/>
          </w:tcPr>
          <w:p>
            <w:pPr>
              <w:pStyle w:val="8"/>
              <w:bidi w:val="0"/>
            </w:pPr>
            <w:r>
              <w:t>烟气</w:t>
            </w:r>
          </w:p>
        </w:tc>
        <w:tc>
          <w:tcPr>
            <w:tcW w:w="699"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rPr>
              <w:t>沼气</w:t>
            </w:r>
            <w:r>
              <w:rPr>
                <w:rFonts w:hint="eastAsia"/>
                <w:lang w:eastAsia="zh-CN"/>
              </w:rPr>
              <w:t>燃烧</w:t>
            </w:r>
          </w:p>
        </w:tc>
        <w:tc>
          <w:tcPr>
            <w:tcW w:w="2940"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rPr>
              <w:t>脱硫</w:t>
            </w:r>
            <w:r>
              <w:rPr>
                <w:rFonts w:hint="eastAsia"/>
                <w:lang w:eastAsia="zh-CN"/>
              </w:rPr>
              <w:t>、高空燃烧</w:t>
            </w:r>
          </w:p>
        </w:tc>
        <w:tc>
          <w:tcPr>
            <w:tcW w:w="1946" w:type="dxa"/>
            <w:vAlign w:val="center"/>
          </w:tcPr>
          <w:p>
            <w:pPr>
              <w:pStyle w:val="8"/>
              <w:bidi w:val="0"/>
              <w:ind w:firstLine="0" w:firstLineChars="0"/>
              <w:rPr>
                <w:rFonts w:ascii="Times New Roman" w:hAnsi="Times New Roman" w:eastAsiaTheme="minorEastAsia" w:cstheme="minorBidi"/>
                <w:kern w:val="20"/>
                <w:sz w:val="21"/>
                <w:szCs w:val="20"/>
                <w:lang w:val="en-US" w:eastAsia="zh-CN" w:bidi="ar-SA"/>
              </w:rPr>
            </w:pPr>
            <w:r>
              <w:t>达标排放</w:t>
            </w:r>
          </w:p>
        </w:tc>
        <w:tc>
          <w:tcPr>
            <w:tcW w:w="1082" w:type="dxa"/>
            <w:vAlign w:val="center"/>
          </w:tcPr>
          <w:p>
            <w:pPr>
              <w:pStyle w:val="8"/>
              <w:bidi w:val="0"/>
              <w:ind w:firstLine="0" w:firstLineChars="0"/>
              <w:rPr>
                <w:rFonts w:hint="eastAsia" w:ascii="Times New Roman" w:hAnsi="Times New Roman" w:eastAsiaTheme="minorEastAsia" w:cstheme="minorBidi"/>
                <w:kern w:val="20"/>
                <w:sz w:val="21"/>
                <w:szCs w:val="20"/>
                <w:lang w:val="en-US" w:eastAsia="zh-CN" w:bidi="ar-SA"/>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30" w:type="dxa"/>
            <w:vMerge w:val="continue"/>
            <w:vAlign w:val="center"/>
          </w:tcPr>
          <w:p>
            <w:pPr>
              <w:pStyle w:val="8"/>
              <w:bidi w:val="0"/>
            </w:pPr>
          </w:p>
        </w:tc>
        <w:tc>
          <w:tcPr>
            <w:tcW w:w="1108" w:type="dxa"/>
            <w:vMerge w:val="restart"/>
            <w:vAlign w:val="center"/>
          </w:tcPr>
          <w:p>
            <w:pPr>
              <w:pStyle w:val="8"/>
              <w:bidi w:val="0"/>
            </w:pPr>
            <w:r>
              <w:t>水环境</w:t>
            </w:r>
          </w:p>
        </w:tc>
        <w:tc>
          <w:tcPr>
            <w:tcW w:w="1126" w:type="dxa"/>
            <w:gridSpan w:val="2"/>
            <w:vAlign w:val="center"/>
          </w:tcPr>
          <w:p>
            <w:pPr>
              <w:pStyle w:val="8"/>
              <w:bidi w:val="0"/>
            </w:pPr>
            <w:r>
              <w:t>生产、生活废水</w:t>
            </w:r>
          </w:p>
        </w:tc>
        <w:tc>
          <w:tcPr>
            <w:tcW w:w="2940" w:type="dxa"/>
            <w:vAlign w:val="center"/>
          </w:tcPr>
          <w:p>
            <w:pPr>
              <w:pStyle w:val="8"/>
              <w:bidi w:val="0"/>
            </w:pPr>
            <w:r>
              <w:rPr>
                <w:rFonts w:hint="eastAsia"/>
              </w:rPr>
              <w:t>采用厌氧发酵</w:t>
            </w:r>
            <w:r>
              <w:rPr>
                <w:rFonts w:hint="eastAsia"/>
                <w:lang w:val="en-US" w:eastAsia="zh-CN"/>
              </w:rPr>
              <w:t>+AO组合池</w:t>
            </w:r>
            <w:r>
              <w:rPr>
                <w:rFonts w:hint="eastAsia"/>
              </w:rPr>
              <w:t>系统，产生沼液及沼渣直接进行施肥，</w:t>
            </w:r>
            <w:r>
              <w:rPr>
                <w:rFonts w:hint="eastAsia"/>
                <w:lang w:eastAsia="zh-CN"/>
              </w:rPr>
              <w:t>雨季沼液及沼渣暂存沼液池。</w:t>
            </w:r>
          </w:p>
        </w:tc>
        <w:tc>
          <w:tcPr>
            <w:tcW w:w="1946" w:type="dxa"/>
            <w:vAlign w:val="center"/>
          </w:tcPr>
          <w:p>
            <w:pPr>
              <w:pStyle w:val="8"/>
              <w:bidi w:val="0"/>
            </w:pPr>
            <w:r>
              <w:rPr>
                <w:rFonts w:hint="eastAsia"/>
                <w:lang w:eastAsia="zh-CN"/>
              </w:rPr>
              <w:t>常德华诚现代农业开发有限公司</w:t>
            </w:r>
            <w:r>
              <w:t>消纳，不外排</w:t>
            </w:r>
          </w:p>
        </w:tc>
        <w:tc>
          <w:tcPr>
            <w:tcW w:w="1082" w:type="dxa"/>
            <w:vAlign w:val="center"/>
          </w:tcPr>
          <w:p>
            <w:pPr>
              <w:pStyle w:val="8"/>
              <w:bidi w:val="0"/>
              <w:rPr>
                <w:rFonts w:hint="default" w:eastAsiaTheme="minorEastAsia"/>
                <w:lang w:val="en-US" w:eastAsia="zh-CN"/>
              </w:rPr>
            </w:pPr>
            <w:r>
              <w:rPr>
                <w:rFonts w:hint="eastAsia"/>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Merge w:val="continue"/>
            <w:vAlign w:val="center"/>
          </w:tcPr>
          <w:p>
            <w:pPr>
              <w:pStyle w:val="8"/>
              <w:bidi w:val="0"/>
            </w:pPr>
          </w:p>
        </w:tc>
        <w:tc>
          <w:tcPr>
            <w:tcW w:w="1126" w:type="dxa"/>
            <w:gridSpan w:val="2"/>
            <w:vAlign w:val="center"/>
          </w:tcPr>
          <w:p>
            <w:pPr>
              <w:pStyle w:val="8"/>
              <w:bidi w:val="0"/>
            </w:pPr>
            <w:r>
              <w:t>雨污分流</w:t>
            </w:r>
            <w:r>
              <w:rPr>
                <w:rFonts w:hint="eastAsia"/>
              </w:rPr>
              <w:t>，厂区防渗</w:t>
            </w:r>
          </w:p>
        </w:tc>
        <w:tc>
          <w:tcPr>
            <w:tcW w:w="2940" w:type="dxa"/>
            <w:vAlign w:val="center"/>
          </w:tcPr>
          <w:p>
            <w:pPr>
              <w:pStyle w:val="8"/>
              <w:bidi w:val="0"/>
            </w:pPr>
            <w:r>
              <w:t>修建完善雨污水管网</w:t>
            </w:r>
            <w:r>
              <w:rPr>
                <w:rFonts w:hint="eastAsia"/>
              </w:rPr>
              <w:t>，厂区防渗</w:t>
            </w:r>
            <w:r>
              <w:rPr>
                <w:rFonts w:hint="eastAsia"/>
                <w:lang w:eastAsia="zh-CN"/>
              </w:rPr>
              <w:t>：简单防渗渠采用地面硬化，一般防渗渠采用等效粘土防渗层</w:t>
            </w:r>
            <w:r>
              <w:rPr>
                <w:rFonts w:hint="eastAsia"/>
                <w:lang w:val="en-US" w:eastAsia="zh-CN"/>
              </w:rPr>
              <w:t>Mb≥1.5m，K≤1</w:t>
            </w:r>
            <w:r>
              <w:rPr>
                <w:rFonts w:hint="default" w:ascii="Arial" w:hAnsi="Arial" w:cs="Arial"/>
                <w:lang w:val="en-US" w:eastAsia="zh-CN"/>
              </w:rPr>
              <w:t>×</w:t>
            </w:r>
            <w:r>
              <w:rPr>
                <w:rFonts w:hint="eastAsia"/>
                <w:lang w:val="en-US" w:eastAsia="zh-CN"/>
              </w:rPr>
              <w:t>10</w:t>
            </w:r>
            <w:r>
              <w:rPr>
                <w:rFonts w:hint="eastAsia"/>
                <w:vertAlign w:val="superscript"/>
                <w:lang w:val="en-US" w:eastAsia="zh-CN"/>
              </w:rPr>
              <w:t>-7</w:t>
            </w:r>
            <w:r>
              <w:rPr>
                <w:rFonts w:hint="eastAsia"/>
                <w:lang w:val="en-US" w:eastAsia="zh-CN"/>
              </w:rPr>
              <w:t>cm/s</w:t>
            </w:r>
          </w:p>
        </w:tc>
        <w:tc>
          <w:tcPr>
            <w:tcW w:w="1946" w:type="dxa"/>
            <w:vAlign w:val="center"/>
          </w:tcPr>
          <w:p>
            <w:pPr>
              <w:pStyle w:val="8"/>
              <w:bidi w:val="0"/>
            </w:pPr>
            <w:r>
              <w:t>确保场区雨污分流</w:t>
            </w:r>
            <w:r>
              <w:rPr>
                <w:rFonts w:hint="eastAsia"/>
              </w:rPr>
              <w:t>，厂区防渗</w:t>
            </w:r>
          </w:p>
        </w:tc>
        <w:tc>
          <w:tcPr>
            <w:tcW w:w="1082" w:type="dxa"/>
            <w:vAlign w:val="center"/>
          </w:tcPr>
          <w:p>
            <w:pPr>
              <w:pStyle w:val="8"/>
              <w:bidi w:val="0"/>
              <w:rPr>
                <w:rFonts w:hint="default" w:eastAsiaTheme="minorEastAsia"/>
                <w:lang w:val="en-US" w:eastAsia="zh-CN"/>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Align w:val="center"/>
          </w:tcPr>
          <w:p>
            <w:pPr>
              <w:pStyle w:val="8"/>
              <w:bidi w:val="0"/>
            </w:pPr>
            <w:r>
              <w:t>噪声</w:t>
            </w:r>
          </w:p>
        </w:tc>
        <w:tc>
          <w:tcPr>
            <w:tcW w:w="1126" w:type="dxa"/>
            <w:gridSpan w:val="2"/>
            <w:vAlign w:val="center"/>
          </w:tcPr>
          <w:p>
            <w:pPr>
              <w:pStyle w:val="8"/>
              <w:bidi w:val="0"/>
            </w:pPr>
            <w:r>
              <w:t>噪声污染</w:t>
            </w:r>
          </w:p>
        </w:tc>
        <w:tc>
          <w:tcPr>
            <w:tcW w:w="2940" w:type="dxa"/>
            <w:vAlign w:val="center"/>
          </w:tcPr>
          <w:p>
            <w:pPr>
              <w:pStyle w:val="8"/>
              <w:bidi w:val="0"/>
            </w:pPr>
            <w:r>
              <w:t>设备采取消声、减振措施；高噪声设备安装在室内进行隔声；场区绿化，采用建筑物</w:t>
            </w:r>
            <w:r>
              <w:rPr>
                <w:rFonts w:hint="eastAsia"/>
                <w:lang w:eastAsia="zh-CN"/>
              </w:rPr>
              <w:t>、围墙</w:t>
            </w:r>
            <w:r>
              <w:t>隔声</w:t>
            </w:r>
          </w:p>
        </w:tc>
        <w:tc>
          <w:tcPr>
            <w:tcW w:w="1946" w:type="dxa"/>
            <w:vAlign w:val="center"/>
          </w:tcPr>
          <w:p>
            <w:pPr>
              <w:pStyle w:val="8"/>
              <w:bidi w:val="0"/>
            </w:pPr>
            <w:r>
              <w:t>满足《工业企业厂界环境噪声排放标准》（GB12348-2008）中2类标准</w:t>
            </w:r>
          </w:p>
        </w:tc>
        <w:tc>
          <w:tcPr>
            <w:tcW w:w="1082" w:type="dxa"/>
            <w:vAlign w:val="center"/>
          </w:tcPr>
          <w:p>
            <w:pPr>
              <w:pStyle w:val="8"/>
              <w:bidi w:val="0"/>
            </w:pPr>
            <w:r>
              <w:rPr>
                <w:rFonts w:hint="eastAsia"/>
                <w:lang w:val="en-US" w:eastAsia="zh-CN"/>
              </w:rPr>
              <w:t>8</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Merge w:val="restart"/>
            <w:vAlign w:val="center"/>
          </w:tcPr>
          <w:p>
            <w:pPr>
              <w:pStyle w:val="8"/>
              <w:bidi w:val="0"/>
            </w:pPr>
            <w:r>
              <w:t>固体废物</w:t>
            </w:r>
          </w:p>
        </w:tc>
        <w:tc>
          <w:tcPr>
            <w:tcW w:w="1126" w:type="dxa"/>
            <w:gridSpan w:val="2"/>
            <w:vAlign w:val="center"/>
          </w:tcPr>
          <w:p>
            <w:pPr>
              <w:pStyle w:val="8"/>
              <w:bidi w:val="0"/>
            </w:pPr>
            <w:r>
              <w:t>病死</w:t>
            </w:r>
            <w:r>
              <w:rPr>
                <w:rFonts w:hint="eastAsia"/>
              </w:rPr>
              <w:t>猪</w:t>
            </w:r>
          </w:p>
        </w:tc>
        <w:tc>
          <w:tcPr>
            <w:tcW w:w="2940" w:type="dxa"/>
            <w:vAlign w:val="center"/>
          </w:tcPr>
          <w:p>
            <w:pPr>
              <w:pStyle w:val="8"/>
              <w:bidi w:val="0"/>
            </w:pPr>
            <w:r>
              <w:t>修建冷冻库暂存，定期送澧县病死畜禽无害化集中处理收集中心，最终入常德市病死畜禽无害化集中处理中心处理。</w:t>
            </w:r>
          </w:p>
        </w:tc>
        <w:tc>
          <w:tcPr>
            <w:tcW w:w="1946" w:type="dxa"/>
            <w:vAlign w:val="center"/>
          </w:tcPr>
          <w:p>
            <w:pPr>
              <w:pStyle w:val="8"/>
              <w:bidi w:val="0"/>
            </w:pPr>
            <w:r>
              <w:t>无害化处理</w:t>
            </w:r>
          </w:p>
        </w:tc>
        <w:tc>
          <w:tcPr>
            <w:tcW w:w="1082" w:type="dxa"/>
            <w:vAlign w:val="center"/>
          </w:tcPr>
          <w:p>
            <w:pPr>
              <w:pStyle w:val="8"/>
              <w:bidi w:val="0"/>
            </w:pPr>
            <w:r>
              <w:rPr>
                <w:rFonts w:hint="eastAsia"/>
                <w:lang w:val="en-US" w:eastAsia="zh-CN"/>
              </w:rPr>
              <w:t>15</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Merge w:val="continue"/>
            <w:vAlign w:val="center"/>
          </w:tcPr>
          <w:p>
            <w:pPr>
              <w:pStyle w:val="8"/>
              <w:bidi w:val="0"/>
            </w:pPr>
          </w:p>
        </w:tc>
        <w:tc>
          <w:tcPr>
            <w:tcW w:w="1126" w:type="dxa"/>
            <w:gridSpan w:val="2"/>
            <w:vAlign w:val="center"/>
          </w:tcPr>
          <w:p>
            <w:pPr>
              <w:pStyle w:val="8"/>
              <w:bidi w:val="0"/>
              <w:rPr>
                <w:rFonts w:hint="eastAsia"/>
                <w:lang w:eastAsia="zh-CN"/>
              </w:rPr>
            </w:pPr>
            <w:r>
              <w:rPr>
                <w:rFonts w:hint="eastAsia"/>
                <w:lang w:eastAsia="zh-CN"/>
              </w:rPr>
              <w:t>堆粪棚、沼渣</w:t>
            </w:r>
          </w:p>
        </w:tc>
        <w:tc>
          <w:tcPr>
            <w:tcW w:w="2940" w:type="dxa"/>
            <w:vAlign w:val="center"/>
          </w:tcPr>
          <w:p>
            <w:pPr>
              <w:pStyle w:val="8"/>
              <w:bidi w:val="0"/>
              <w:rPr>
                <w:rFonts w:hint="eastAsia"/>
                <w:lang w:eastAsia="zh-CN"/>
              </w:rPr>
            </w:pPr>
            <w:r>
              <w:rPr>
                <w:rFonts w:hint="eastAsia"/>
                <w:lang w:eastAsia="zh-CN"/>
              </w:rPr>
              <w:t>堆粪产生的有机肥作为有机肥料外售</w:t>
            </w:r>
          </w:p>
        </w:tc>
        <w:tc>
          <w:tcPr>
            <w:tcW w:w="1946" w:type="dxa"/>
            <w:vAlign w:val="center"/>
          </w:tcPr>
          <w:p>
            <w:pPr>
              <w:pStyle w:val="8"/>
              <w:bidi w:val="0"/>
            </w:pPr>
            <w:r>
              <w:t>综合利用</w:t>
            </w:r>
          </w:p>
        </w:tc>
        <w:tc>
          <w:tcPr>
            <w:tcW w:w="1082" w:type="dxa"/>
            <w:vAlign w:val="center"/>
          </w:tcPr>
          <w:p>
            <w:pPr>
              <w:pStyle w:val="8"/>
              <w:bidi w:val="0"/>
              <w:rPr>
                <w:rFonts w:hint="default" w:eastAsiaTheme="minorEastAsia"/>
                <w:lang w:val="en-US" w:eastAsia="zh-CN"/>
              </w:rPr>
            </w:pPr>
            <w:r>
              <w:rPr>
                <w:rFonts w:hint="eastAsia"/>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Merge w:val="continue"/>
            <w:vAlign w:val="center"/>
          </w:tcPr>
          <w:p>
            <w:pPr>
              <w:pStyle w:val="8"/>
              <w:bidi w:val="0"/>
            </w:pPr>
          </w:p>
        </w:tc>
        <w:tc>
          <w:tcPr>
            <w:tcW w:w="1126" w:type="dxa"/>
            <w:gridSpan w:val="2"/>
            <w:vAlign w:val="center"/>
          </w:tcPr>
          <w:p>
            <w:pPr>
              <w:pStyle w:val="8"/>
              <w:bidi w:val="0"/>
            </w:pPr>
            <w:r>
              <w:t>畜禽医疗废物</w:t>
            </w:r>
          </w:p>
        </w:tc>
        <w:tc>
          <w:tcPr>
            <w:tcW w:w="2940" w:type="dxa"/>
            <w:vAlign w:val="center"/>
          </w:tcPr>
          <w:p>
            <w:pPr>
              <w:pStyle w:val="8"/>
              <w:bidi w:val="0"/>
            </w:pPr>
            <w:r>
              <w:t>危废暂存间、送有资质单位处置</w:t>
            </w:r>
          </w:p>
        </w:tc>
        <w:tc>
          <w:tcPr>
            <w:tcW w:w="1946" w:type="dxa"/>
            <w:vAlign w:val="center"/>
          </w:tcPr>
          <w:p>
            <w:pPr>
              <w:pStyle w:val="8"/>
              <w:bidi w:val="0"/>
            </w:pPr>
            <w:r>
              <w:t>无害化处理</w:t>
            </w:r>
          </w:p>
        </w:tc>
        <w:tc>
          <w:tcPr>
            <w:tcW w:w="1082" w:type="dxa"/>
            <w:vAlign w:val="center"/>
          </w:tcPr>
          <w:p>
            <w:pPr>
              <w:pStyle w:val="8"/>
              <w:bidi w:val="0"/>
            </w:pPr>
            <w:r>
              <w:rPr>
                <w:rFonts w:hint="eastAsia"/>
                <w:lang w:val="en-US" w:eastAsia="zh-CN"/>
              </w:rPr>
              <w:t>3</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Merge w:val="continue"/>
            <w:vAlign w:val="center"/>
          </w:tcPr>
          <w:p>
            <w:pPr>
              <w:pStyle w:val="8"/>
              <w:bidi w:val="0"/>
            </w:pPr>
          </w:p>
        </w:tc>
        <w:tc>
          <w:tcPr>
            <w:tcW w:w="1126" w:type="dxa"/>
            <w:gridSpan w:val="2"/>
            <w:vAlign w:val="center"/>
          </w:tcPr>
          <w:p>
            <w:pPr>
              <w:pStyle w:val="8"/>
              <w:bidi w:val="0"/>
              <w:rPr>
                <w:rFonts w:hint="eastAsia" w:eastAsiaTheme="minorEastAsia"/>
                <w:lang w:eastAsia="zh-CN"/>
              </w:rPr>
            </w:pPr>
            <w:r>
              <w:rPr>
                <w:rFonts w:hint="eastAsia"/>
                <w:lang w:eastAsia="zh-CN"/>
              </w:rPr>
              <w:t>脱硫废渣</w:t>
            </w:r>
          </w:p>
        </w:tc>
        <w:tc>
          <w:tcPr>
            <w:tcW w:w="2940" w:type="dxa"/>
            <w:vAlign w:val="center"/>
          </w:tcPr>
          <w:p>
            <w:pPr>
              <w:pStyle w:val="8"/>
              <w:bidi w:val="0"/>
              <w:rPr>
                <w:rFonts w:hint="eastAsia" w:eastAsiaTheme="minorEastAsia"/>
                <w:lang w:eastAsia="zh-CN"/>
              </w:rPr>
            </w:pPr>
            <w:r>
              <w:rPr>
                <w:rFonts w:hint="eastAsia"/>
                <w:lang w:eastAsia="zh-CN"/>
              </w:rPr>
              <w:t>暂存</w:t>
            </w:r>
          </w:p>
        </w:tc>
        <w:tc>
          <w:tcPr>
            <w:tcW w:w="1946" w:type="dxa"/>
            <w:vAlign w:val="center"/>
          </w:tcPr>
          <w:p>
            <w:pPr>
              <w:pStyle w:val="8"/>
              <w:bidi w:val="0"/>
              <w:rPr>
                <w:rFonts w:hint="eastAsia" w:eastAsiaTheme="minorEastAsia"/>
                <w:lang w:eastAsia="zh-CN"/>
              </w:rPr>
            </w:pPr>
            <w:r>
              <w:rPr>
                <w:rFonts w:hint="eastAsia"/>
                <w:lang w:eastAsia="zh-CN"/>
              </w:rPr>
              <w:t>厂家回收</w:t>
            </w:r>
          </w:p>
        </w:tc>
        <w:tc>
          <w:tcPr>
            <w:tcW w:w="1082" w:type="dxa"/>
            <w:vAlign w:val="center"/>
          </w:tcPr>
          <w:p>
            <w:pPr>
              <w:pStyle w:val="8"/>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bidi w:val="0"/>
            </w:pPr>
          </w:p>
        </w:tc>
        <w:tc>
          <w:tcPr>
            <w:tcW w:w="1108" w:type="dxa"/>
            <w:vMerge w:val="continue"/>
            <w:vAlign w:val="center"/>
          </w:tcPr>
          <w:p>
            <w:pPr>
              <w:pStyle w:val="8"/>
              <w:bidi w:val="0"/>
            </w:pPr>
          </w:p>
        </w:tc>
        <w:tc>
          <w:tcPr>
            <w:tcW w:w="1126" w:type="dxa"/>
            <w:gridSpan w:val="2"/>
            <w:vAlign w:val="center"/>
          </w:tcPr>
          <w:p>
            <w:pPr>
              <w:pStyle w:val="8"/>
              <w:bidi w:val="0"/>
            </w:pPr>
            <w:r>
              <w:t>生活垃圾</w:t>
            </w:r>
          </w:p>
        </w:tc>
        <w:tc>
          <w:tcPr>
            <w:tcW w:w="2940" w:type="dxa"/>
            <w:vAlign w:val="center"/>
          </w:tcPr>
          <w:p>
            <w:pPr>
              <w:pStyle w:val="8"/>
              <w:bidi w:val="0"/>
            </w:pPr>
            <w:r>
              <w:t>垃圾收集设施、生活垃圾委托</w:t>
            </w:r>
            <w:r>
              <w:rPr>
                <w:rFonts w:hint="eastAsia"/>
              </w:rPr>
              <w:t>环卫部门</w:t>
            </w:r>
            <w:r>
              <w:t>处理</w:t>
            </w:r>
          </w:p>
        </w:tc>
        <w:tc>
          <w:tcPr>
            <w:tcW w:w="1946" w:type="dxa"/>
            <w:vAlign w:val="center"/>
          </w:tcPr>
          <w:p>
            <w:pPr>
              <w:pStyle w:val="8"/>
              <w:bidi w:val="0"/>
            </w:pPr>
            <w:r>
              <w:rPr>
                <w:rFonts w:hint="eastAsia"/>
              </w:rPr>
              <w:t>卫生填埋</w:t>
            </w:r>
          </w:p>
        </w:tc>
        <w:tc>
          <w:tcPr>
            <w:tcW w:w="1082" w:type="dxa"/>
            <w:vAlign w:val="center"/>
          </w:tcPr>
          <w:p>
            <w:pPr>
              <w:pStyle w:val="8"/>
              <w:bidi w:val="0"/>
            </w:pPr>
            <w:r>
              <w:rPr>
                <w:rFonts w:hint="eastAsia"/>
                <w:lang w:val="en-US" w:eastAsia="zh-CN"/>
              </w:rPr>
              <w:t>2</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530" w:type="dxa"/>
            <w:vMerge w:val="continue"/>
            <w:vAlign w:val="center"/>
          </w:tcPr>
          <w:p>
            <w:pPr>
              <w:pStyle w:val="8"/>
              <w:bidi w:val="0"/>
            </w:pPr>
          </w:p>
        </w:tc>
        <w:tc>
          <w:tcPr>
            <w:tcW w:w="1108" w:type="dxa"/>
            <w:vAlign w:val="center"/>
          </w:tcPr>
          <w:p>
            <w:pPr>
              <w:pStyle w:val="8"/>
              <w:bidi w:val="0"/>
            </w:pPr>
            <w:r>
              <w:t>绿化</w:t>
            </w:r>
          </w:p>
        </w:tc>
        <w:tc>
          <w:tcPr>
            <w:tcW w:w="1126" w:type="dxa"/>
            <w:gridSpan w:val="2"/>
            <w:vAlign w:val="center"/>
          </w:tcPr>
          <w:p>
            <w:pPr>
              <w:pStyle w:val="8"/>
              <w:bidi w:val="0"/>
            </w:pPr>
            <w:r>
              <w:t>绿化措施</w:t>
            </w:r>
          </w:p>
        </w:tc>
        <w:tc>
          <w:tcPr>
            <w:tcW w:w="2940" w:type="dxa"/>
            <w:vAlign w:val="center"/>
          </w:tcPr>
          <w:p>
            <w:pPr>
              <w:pStyle w:val="8"/>
              <w:bidi w:val="0"/>
            </w:pPr>
            <w:r>
              <w:t>植树、设置花卉</w:t>
            </w:r>
          </w:p>
        </w:tc>
        <w:tc>
          <w:tcPr>
            <w:tcW w:w="1946" w:type="dxa"/>
            <w:vAlign w:val="center"/>
          </w:tcPr>
          <w:p>
            <w:pPr>
              <w:pStyle w:val="8"/>
              <w:bidi w:val="0"/>
            </w:pPr>
            <w:r>
              <w:t>/</w:t>
            </w:r>
          </w:p>
        </w:tc>
        <w:tc>
          <w:tcPr>
            <w:tcW w:w="1082" w:type="dxa"/>
            <w:vAlign w:val="center"/>
          </w:tcPr>
          <w:p>
            <w:pPr>
              <w:pStyle w:val="8"/>
              <w:bidi w:val="0"/>
              <w:rPr>
                <w:rFonts w:hint="default" w:eastAsiaTheme="minorEastAsia"/>
                <w:lang w:val="en-US" w:eastAsia="zh-CN"/>
              </w:rPr>
            </w:pPr>
            <w:r>
              <w:rPr>
                <w:rFonts w:hint="eastAsia"/>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0" w:type="dxa"/>
            <w:gridSpan w:val="6"/>
            <w:vAlign w:val="center"/>
          </w:tcPr>
          <w:p>
            <w:pPr>
              <w:pStyle w:val="8"/>
              <w:bidi w:val="0"/>
            </w:pPr>
            <w:r>
              <w:t>合计</w:t>
            </w:r>
          </w:p>
        </w:tc>
        <w:tc>
          <w:tcPr>
            <w:tcW w:w="1082" w:type="dxa"/>
            <w:vAlign w:val="center"/>
          </w:tcPr>
          <w:p>
            <w:pPr>
              <w:pStyle w:val="8"/>
              <w:bidi w:val="0"/>
              <w:rPr>
                <w:rFonts w:hint="default" w:eastAsiaTheme="minorEastAsia"/>
                <w:lang w:val="en-US" w:eastAsia="zh-CN"/>
              </w:rPr>
            </w:pPr>
            <w:r>
              <w:rPr>
                <w:rFonts w:hint="eastAsia"/>
                <w:lang w:val="en-US" w:eastAsia="zh-CN"/>
              </w:rPr>
              <w:t>338</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pPr>
      <w:r>
        <w:rPr>
          <w:rFonts w:hint="eastAsia"/>
        </w:rPr>
        <w:t>由上表可知，该项目环保投资为</w:t>
      </w:r>
      <w:r>
        <w:rPr>
          <w:rFonts w:hint="eastAsia"/>
          <w:lang w:val="en-US" w:eastAsia="zh-CN"/>
        </w:rPr>
        <w:t>338</w:t>
      </w:r>
      <w:r>
        <w:rPr>
          <w:rFonts w:hint="eastAsia"/>
        </w:rPr>
        <w:t>万元，占建设总投资</w:t>
      </w:r>
      <w:r>
        <w:rPr>
          <w:rFonts w:hint="eastAsia"/>
          <w:lang w:val="en-US" w:eastAsia="zh-CN"/>
        </w:rPr>
        <w:t>8000</w:t>
      </w:r>
      <w:r>
        <w:rPr>
          <w:rFonts w:hint="eastAsia"/>
        </w:rPr>
        <w:t>万元的</w:t>
      </w:r>
      <w:r>
        <w:rPr>
          <w:rFonts w:hint="eastAsia"/>
          <w:lang w:val="en-US" w:eastAsia="zh-CN"/>
        </w:rPr>
        <w:t>4.23</w:t>
      </w:r>
      <w:r>
        <w:t>%</w:t>
      </w:r>
      <w:r>
        <w:rPr>
          <w:rFonts w:hint="eastAsia"/>
        </w:rPr>
        <w:t>。</w:t>
      </w:r>
    </w:p>
    <w:p>
      <w:pPr>
        <w:pStyle w:val="4"/>
        <w:bidi w:val="0"/>
      </w:pPr>
      <w:bookmarkStart w:id="449" w:name="_Toc91406578"/>
      <w:bookmarkStart w:id="450" w:name="_Toc107052524"/>
      <w:bookmarkStart w:id="451" w:name="_Toc106791226"/>
      <w:bookmarkStart w:id="452" w:name="_Toc106172593"/>
      <w:bookmarkStart w:id="453" w:name="_Toc106157346"/>
      <w:bookmarkStart w:id="454" w:name="_Toc90803258"/>
      <w:bookmarkStart w:id="455" w:name="_Toc107209639"/>
      <w:bookmarkStart w:id="456" w:name="_Toc106159378"/>
      <w:bookmarkStart w:id="457" w:name="_Toc105469249"/>
      <w:bookmarkStart w:id="458" w:name="_Toc90804399"/>
      <w:bookmarkStart w:id="459" w:name="_Toc106447262"/>
      <w:bookmarkStart w:id="460" w:name="_Toc106415521"/>
      <w:bookmarkStart w:id="461" w:name="_Toc107218485"/>
      <w:bookmarkStart w:id="462" w:name="_Toc106157187"/>
      <w:bookmarkStart w:id="463" w:name="_Toc107196356"/>
      <w:bookmarkStart w:id="464" w:name="_Toc107037116"/>
      <w:bookmarkStart w:id="465" w:name="_Toc182022414"/>
      <w:bookmarkStart w:id="466" w:name="_Toc110400376"/>
      <w:bookmarkStart w:id="467" w:name="_Toc118087446"/>
      <w:bookmarkStart w:id="468" w:name="_Toc91039212"/>
      <w:bookmarkStart w:id="469" w:name="_Toc20975"/>
      <w:bookmarkStart w:id="470" w:name="_Toc468689298"/>
      <w:bookmarkStart w:id="471" w:name="_Toc289344609"/>
      <w:r>
        <w:rPr>
          <w:rFonts w:hint="eastAsia"/>
        </w:rPr>
        <w:t>环境效益</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Pr>
          <w:rFonts w:hint="eastAsia"/>
        </w:rPr>
        <w:t>分析</w:t>
      </w:r>
      <w:bookmarkEnd w:id="469"/>
      <w:bookmarkEnd w:id="470"/>
      <w:bookmarkEnd w:id="471"/>
    </w:p>
    <w:p>
      <w:r>
        <w:rPr>
          <w:rFonts w:hint="eastAsia"/>
        </w:rPr>
        <w:t>本项目属于</w:t>
      </w:r>
      <w:r>
        <w:rPr>
          <w:rFonts w:hint="eastAsia"/>
          <w:lang w:eastAsia="zh-CN"/>
        </w:rPr>
        <w:t>仔</w:t>
      </w:r>
      <w:r>
        <w:rPr>
          <w:rFonts w:hint="eastAsia"/>
        </w:rPr>
        <w:t>猪养殖及养殖废弃物综合利用项目，建成后产生的粪污全部用于有机肥使用；项目通过合理的饲料配方和先进的环保工艺技术对猪场产生的废气、污水、废弃物进行了有效处理，并建立了以有机肥为纽带的</w:t>
      </w:r>
      <w:r>
        <w:t>“</w:t>
      </w:r>
      <w:r>
        <w:rPr>
          <w:rFonts w:hint="eastAsia"/>
        </w:rPr>
        <w:t>养殖－有机肥－种植</w:t>
      </w:r>
      <w:r>
        <w:t>”</w:t>
      </w:r>
      <w:r>
        <w:rPr>
          <w:rFonts w:hint="eastAsia"/>
        </w:rPr>
        <w:t>的循环型种养模式，猪粪猪尿无害化处理后，全部还林，能产生一定的经济效益，项目可实现养殖废弃物综合利用，实现零排放、无害化和资源化。通过生猪养殖的产业化、集约化生产，建立链式生态产业结构，有效的延长产业链，对资源进行综合开发利用。同时，能有效缓解农村能源短缺的局面，并且为种植业提供大量有机肥料。项目的建设既不污染破坏生态环境，又实现养殖废弃物的全部综合利用，项目实施有较好的环境效益。</w:t>
      </w:r>
    </w:p>
    <w:p>
      <w:pPr>
        <w:pStyle w:val="4"/>
        <w:bidi w:val="0"/>
      </w:pPr>
      <w:bookmarkStart w:id="472" w:name="_Toc435778172"/>
      <w:bookmarkStart w:id="473" w:name="_Toc318105514"/>
      <w:bookmarkStart w:id="474" w:name="_Toc479672448"/>
      <w:bookmarkStart w:id="475" w:name="_Toc12844"/>
      <w:bookmarkStart w:id="476" w:name="_Toc234318321"/>
      <w:r>
        <w:rPr>
          <w:rFonts w:hint="eastAsia"/>
        </w:rPr>
        <w:t>结论</w:t>
      </w:r>
      <w:bookmarkEnd w:id="472"/>
      <w:bookmarkEnd w:id="473"/>
      <w:bookmarkEnd w:id="474"/>
      <w:bookmarkEnd w:id="475"/>
      <w:bookmarkEnd w:id="476"/>
    </w:p>
    <w:p>
      <w:pPr>
        <w:rPr>
          <w:rFonts w:hint="eastAsia"/>
        </w:rPr>
        <w:sectPr>
          <w:headerReference r:id="rId13" w:type="first"/>
          <w:footerReference r:id="rId16" w:type="first"/>
          <w:headerReference r:id="rId11" w:type="default"/>
          <w:footerReference r:id="rId14" w:type="default"/>
          <w:headerReference r:id="rId12" w:type="even"/>
          <w:footerReference r:id="rId15" w:type="even"/>
          <w:pgSz w:w="11850" w:h="16783"/>
          <w:pgMar w:top="1440" w:right="1423" w:bottom="1440" w:left="1423" w:header="851" w:footer="1134" w:gutter="0"/>
          <w:pgNumType w:fmt="decimal"/>
          <w:cols w:space="720" w:num="1"/>
          <w:docGrid w:type="lines" w:linePitch="312" w:charSpace="0"/>
        </w:sectPr>
      </w:pPr>
      <w:r>
        <w:rPr>
          <w:rFonts w:hint="eastAsia"/>
        </w:rPr>
        <w:t>结合本项目的环保投入和环境效益进行综合分析得出，项目在创造良好经济效益，经采取污染防治措施后，对环境的影响较小，能够将工程带来的环境损失降到可接受程度。因此，本项目可以实现经济效益与环保效益的相统一。</w:t>
      </w:r>
      <w:bookmarkStart w:id="477" w:name="_Toc265239536"/>
      <w:bookmarkStart w:id="478" w:name="_Toc468689300"/>
      <w:bookmarkStart w:id="479" w:name="_Toc289344611"/>
      <w:bookmarkStart w:id="480" w:name="_Toc266583610"/>
      <w:bookmarkStart w:id="481" w:name="_Toc228002642"/>
      <w:bookmarkStart w:id="482" w:name="_Toc158776790"/>
      <w:bookmarkStart w:id="483" w:name="_Toc166206089"/>
      <w:bookmarkStart w:id="484" w:name="_Toc199578791"/>
      <w:bookmarkStart w:id="485" w:name="_Toc211660889"/>
      <w:bookmarkStart w:id="486" w:name="_Toc213226897"/>
      <w:bookmarkStart w:id="487" w:name="_Toc158780422"/>
      <w:bookmarkStart w:id="488" w:name="_Toc162430545"/>
      <w:bookmarkStart w:id="489" w:name="_Toc164833034"/>
    </w:p>
    <w:p>
      <w:pPr>
        <w:pStyle w:val="2"/>
        <w:bidi w:val="0"/>
      </w:pPr>
      <w:bookmarkStart w:id="490" w:name="_Toc18040"/>
      <w:r>
        <w:t>环境管理与环境监测</w:t>
      </w:r>
      <w:bookmarkEnd w:id="477"/>
      <w:bookmarkEnd w:id="478"/>
      <w:bookmarkEnd w:id="479"/>
      <w:bookmarkEnd w:id="480"/>
      <w:bookmarkEnd w:id="481"/>
      <w:bookmarkEnd w:id="490"/>
    </w:p>
    <w:p>
      <w:pPr>
        <w:pStyle w:val="4"/>
        <w:bidi w:val="0"/>
      </w:pPr>
      <w:bookmarkStart w:id="491" w:name="_Toc266583611"/>
      <w:bookmarkStart w:id="492" w:name="_Toc89056313"/>
      <w:bookmarkStart w:id="493" w:name="_Toc228002643"/>
      <w:bookmarkStart w:id="494" w:name="_Toc32054"/>
      <w:bookmarkStart w:id="495" w:name="_Toc289344612"/>
      <w:bookmarkStart w:id="496" w:name="_Toc265239537"/>
      <w:bookmarkStart w:id="497" w:name="_Toc468689301"/>
      <w:r>
        <w:t>环境管理</w:t>
      </w:r>
      <w:bookmarkEnd w:id="491"/>
      <w:bookmarkEnd w:id="492"/>
      <w:bookmarkEnd w:id="493"/>
      <w:bookmarkEnd w:id="494"/>
      <w:bookmarkEnd w:id="495"/>
      <w:bookmarkEnd w:id="496"/>
      <w:bookmarkEnd w:id="497"/>
      <w:r>
        <w:tab/>
      </w:r>
    </w:p>
    <w:p>
      <w:pPr>
        <w:pStyle w:val="5"/>
        <w:bidi w:val="0"/>
      </w:pPr>
      <w:bookmarkStart w:id="498" w:name="_Toc249944966"/>
      <w:bookmarkStart w:id="499" w:name="_Toc26297"/>
      <w:bookmarkStart w:id="500" w:name="_Toc288480062"/>
      <w:bookmarkStart w:id="501" w:name="_Toc13347"/>
      <w:bookmarkStart w:id="502" w:name="_Toc289344613"/>
      <w:bookmarkStart w:id="503" w:name="_Toc289329268"/>
      <w:bookmarkStart w:id="504" w:name="_Toc153"/>
      <w:bookmarkStart w:id="505" w:name="_Toc249942774"/>
      <w:bookmarkStart w:id="506" w:name="_Toc266583612"/>
      <w:bookmarkStart w:id="507" w:name="_Toc265239538"/>
      <w:bookmarkStart w:id="508" w:name="_Toc249946091"/>
      <w:bookmarkStart w:id="509" w:name="_Toc253580173"/>
      <w:bookmarkStart w:id="510" w:name="_Toc468689302"/>
      <w:bookmarkStart w:id="511" w:name="_Toc249945675"/>
      <w:bookmarkStart w:id="512" w:name="_Toc6881"/>
      <w:r>
        <w:t>环境管理目的</w:t>
      </w:r>
    </w:p>
    <w:p>
      <w:r>
        <w:rPr>
          <w:rFonts w:hint="eastAsia"/>
        </w:rPr>
        <w:t>环境管理工作就是要保证决策中的方针和目标在预期内实现，并协调解决实现目标过程中的具体问题。为了正确处理发展生产与保护环境的关系，全面贯彻国家的环保法规与政策，应根据当地环保部门对本区域环境质量的要求，通过控制污染物排放的科学管理，促进企业原材料及能源的合理消耗，降低成本，最大限度地减少污染物的排放，提高企业的社会、经济、环境效益。在环境保护工作中，管理和治理是相辅相承的。为此，企业必须建立环境保护机构，制订全面的、长期的环境管理计划。</w:t>
      </w:r>
    </w:p>
    <w:p>
      <w:pPr>
        <w:pStyle w:val="5"/>
        <w:bidi w:val="0"/>
      </w:pPr>
      <w:r>
        <w:t>环境管理机构</w:t>
      </w:r>
    </w:p>
    <w:p>
      <w:r>
        <w:rPr>
          <w:rFonts w:hint="eastAsia"/>
        </w:rPr>
        <w:t>由于企业在生产的过程中不可避免地会产生污染物的排放，为了加强环境保护的力度，实现可持续发展的战略目标，按照环境保护的要求，根据一些环境管理先进企业的经验，企业应建立健全厂长负责、副厂长分管、各职能业务部门各负其责、环保部门规划、参谋、组织、协调、监督、考核的环境管理体制。</w:t>
      </w:r>
    </w:p>
    <w:p>
      <w:r>
        <w:rPr>
          <w:rFonts w:hint="eastAsia"/>
        </w:rPr>
        <w:t>根据企业的实际情况，应建立健全一套完整的环境管理机构，成立环境保护领导小组，由总经理亲自担任主任，分管副总经理担任副主任，成员由养殖场负责及工作人员组成，专门研究、决策有关环境保护方面的事宜。环境保护领导小组下设环保科，并配备</w:t>
      </w:r>
      <w:r>
        <w:t>1名专职环保人员，承担日常环保管理工作，使各项环境保护措施、制度得以贯彻落实。</w:t>
      </w:r>
    </w:p>
    <w:p>
      <w:pPr>
        <w:pStyle w:val="5"/>
        <w:bidi w:val="0"/>
      </w:pPr>
      <w:r>
        <w:rPr>
          <w:rFonts w:hint="eastAsia"/>
        </w:rPr>
        <w:t>环境管理机构及职责</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
        <w:rPr>
          <w:rFonts w:hint="eastAsia"/>
        </w:rPr>
        <w:t>（一）施工期的环境管理机构及职责</w:t>
      </w:r>
    </w:p>
    <w:p>
      <w:r>
        <w:rPr>
          <w:rFonts w:hint="eastAsia"/>
        </w:rPr>
        <w:t>项目施工期应有</w:t>
      </w:r>
      <w:r>
        <w:t>1</w:t>
      </w:r>
      <w:r>
        <w:rPr>
          <w:rFonts w:hint="eastAsia"/>
        </w:rPr>
        <w:t>～</w:t>
      </w:r>
      <w:r>
        <w:t>2</w:t>
      </w:r>
      <w:r>
        <w:rPr>
          <w:rFonts w:hint="eastAsia"/>
        </w:rPr>
        <w:t>名专、兼职环保人员，其主要职责是：</w:t>
      </w:r>
    </w:p>
    <w:p>
      <w:r>
        <w:t>(1)</w:t>
      </w:r>
      <w:r>
        <w:rPr>
          <w:rFonts w:hint="eastAsia"/>
        </w:rPr>
        <w:t>根据国家有关的施工管理条例和操作规范，按照环评报告书提出的施工期环境保护措施和要求，制定项目的施工环境保护管理办法，并负责实施；</w:t>
      </w:r>
    </w:p>
    <w:p>
      <w:r>
        <w:t>(2)</w:t>
      </w:r>
      <w:r>
        <w:rPr>
          <w:rFonts w:hint="eastAsia"/>
        </w:rPr>
        <w:t>监督施工单位执行施工环境保护管理办法的情况，对违反管理办法的施工行为及时予以制止；</w:t>
      </w:r>
    </w:p>
    <w:p>
      <w:r>
        <w:t>(3)</w:t>
      </w:r>
      <w:r>
        <w:rPr>
          <w:rFonts w:hint="eastAsia"/>
        </w:rPr>
        <w:t>调查、处理施工扰民或污染纠纷；</w:t>
      </w:r>
    </w:p>
    <w:p>
      <w:r>
        <w:t>(4)</w:t>
      </w:r>
      <w:r>
        <w:rPr>
          <w:rFonts w:hint="eastAsia"/>
        </w:rPr>
        <w:t>向当地环保部门提交施工期的阶段报告和</w:t>
      </w:r>
      <w:r>
        <w:t>“</w:t>
      </w:r>
      <w:r>
        <w:rPr>
          <w:rFonts w:hint="eastAsia"/>
        </w:rPr>
        <w:t>三同时</w:t>
      </w:r>
      <w:r>
        <w:t>”</w:t>
      </w:r>
      <w:r>
        <w:rPr>
          <w:rFonts w:hint="eastAsia"/>
        </w:rPr>
        <w:t>竣工验收报告。</w:t>
      </w:r>
    </w:p>
    <w:p>
      <w:bookmarkStart w:id="513" w:name="_Toc289344614"/>
      <w:bookmarkStart w:id="514" w:name="_Toc289329269"/>
      <w:bookmarkStart w:id="515" w:name="_Toc288480063"/>
      <w:bookmarkStart w:id="516" w:name="_Toc468689303"/>
      <w:r>
        <w:t>（</w:t>
      </w:r>
      <w:r>
        <w:rPr>
          <w:rFonts w:hint="eastAsia"/>
        </w:rPr>
        <w:t>二</w:t>
      </w:r>
      <w:r>
        <w:t>）</w:t>
      </w:r>
      <w:r>
        <w:rPr>
          <w:rFonts w:hint="eastAsia"/>
        </w:rPr>
        <w:t>运行期环境管理机构及职责</w:t>
      </w:r>
      <w:bookmarkEnd w:id="513"/>
      <w:bookmarkEnd w:id="514"/>
      <w:bookmarkEnd w:id="515"/>
      <w:bookmarkEnd w:id="516"/>
    </w:p>
    <w:p>
      <w:r>
        <w:rPr>
          <w:rFonts w:hint="eastAsia"/>
        </w:rPr>
        <w:t>项目应配备专、兼职环保人员</w:t>
      </w:r>
      <w:r>
        <w:t>1-2</w:t>
      </w:r>
      <w:r>
        <w:rPr>
          <w:rFonts w:hint="eastAsia"/>
        </w:rPr>
        <w:t>人，负责场内的环境管理和监测工作，对照国家环保法规和标准，进行监督和管理。其基本职责为：</w:t>
      </w:r>
    </w:p>
    <w:p>
      <w:r>
        <w:t>(1)</w:t>
      </w:r>
      <w:r>
        <w:rPr>
          <w:rFonts w:hint="eastAsia"/>
        </w:rPr>
        <w:t>宣传、组织贯彻国家有关环境保护的方针、政策、法令和条例，搞好项目的环境保护工作；</w:t>
      </w:r>
    </w:p>
    <w:p>
      <w:r>
        <w:t>(2)</w:t>
      </w:r>
      <w:r>
        <w:rPr>
          <w:rFonts w:hint="eastAsia"/>
        </w:rPr>
        <w:t>执行上级主管部门建立的各种环境管理制度；</w:t>
      </w:r>
    </w:p>
    <w:p>
      <w:r>
        <w:t>(3)</w:t>
      </w:r>
      <w:r>
        <w:rPr>
          <w:rFonts w:hint="eastAsia"/>
        </w:rPr>
        <w:t>监督本项目环保设施和设备的安装、调试和运行，保证</w:t>
      </w:r>
      <w:r>
        <w:t>“</w:t>
      </w:r>
      <w:r>
        <w:rPr>
          <w:rFonts w:hint="eastAsia"/>
        </w:rPr>
        <w:t>三同时</w:t>
      </w:r>
      <w:r>
        <w:t>”</w:t>
      </w:r>
      <w:r>
        <w:rPr>
          <w:rFonts w:hint="eastAsia"/>
        </w:rPr>
        <w:t>验收合格；</w:t>
      </w:r>
    </w:p>
    <w:p>
      <w:r>
        <w:t>(4)</w:t>
      </w:r>
      <w:r>
        <w:rPr>
          <w:rFonts w:hint="eastAsia"/>
        </w:rPr>
        <w:t>领导并组织项目运行期</w:t>
      </w:r>
      <w:r>
        <w:t>(</w:t>
      </w:r>
      <w:r>
        <w:rPr>
          <w:rFonts w:hint="eastAsia"/>
        </w:rPr>
        <w:t>包括非正常运行期</w:t>
      </w:r>
      <w:r>
        <w:t>)</w:t>
      </w:r>
      <w:r>
        <w:rPr>
          <w:rFonts w:hint="eastAsia"/>
        </w:rPr>
        <w:t>的环境监测工作，建立污染源档案；</w:t>
      </w:r>
    </w:p>
    <w:p>
      <w:r>
        <w:t>(5)</w:t>
      </w:r>
      <w:r>
        <w:rPr>
          <w:rFonts w:hint="eastAsia"/>
        </w:rPr>
        <w:t>调查、处理项目产生的污染事故和污染纠纷；</w:t>
      </w:r>
    </w:p>
    <w:p>
      <w:r>
        <w:t>(6)</w:t>
      </w:r>
      <w:r>
        <w:rPr>
          <w:rFonts w:hint="eastAsia"/>
        </w:rPr>
        <w:t>开展环保教育、技术培训和学术交流活动，提高员工素质，推广利用先进环保的技术和经验。</w:t>
      </w:r>
    </w:p>
    <w:p>
      <w:bookmarkStart w:id="517" w:name="_Toc468689304"/>
      <w:bookmarkStart w:id="518" w:name="_Toc288480064"/>
      <w:bookmarkStart w:id="519" w:name="_Toc289344615"/>
      <w:bookmarkStart w:id="520" w:name="_Toc289329270"/>
      <w:r>
        <w:t>（三）</w:t>
      </w:r>
      <w:r>
        <w:rPr>
          <w:rFonts w:hint="eastAsia"/>
        </w:rPr>
        <w:t>环境管理监督机构</w:t>
      </w:r>
      <w:bookmarkEnd w:id="517"/>
      <w:bookmarkEnd w:id="518"/>
      <w:bookmarkEnd w:id="519"/>
      <w:bookmarkEnd w:id="520"/>
    </w:p>
    <w:p>
      <w:r>
        <w:rPr>
          <w:rFonts w:hint="eastAsia"/>
        </w:rPr>
        <w:t>澧县环境保护局负责对本项目环境影响报告书审查及对项目环境保护工作实施情况进行监督管理；组织和协调有关机构为项目环境保护工作服务；监督项目环境管理计划的实施；确保项目应执行的环境管理法规和标准。</w:t>
      </w:r>
    </w:p>
    <w:p>
      <w:pPr>
        <w:pStyle w:val="5"/>
        <w:bidi w:val="0"/>
      </w:pPr>
      <w:r>
        <w:t>环境管理要求</w:t>
      </w:r>
    </w:p>
    <w:p>
      <w:r>
        <w:t>（</w:t>
      </w:r>
      <w:r>
        <w:rPr>
          <w:rFonts w:hint="eastAsia"/>
        </w:rPr>
        <w:t>一</w:t>
      </w:r>
      <w:r>
        <w:t>）施工期</w:t>
      </w:r>
      <w:r>
        <w:rPr>
          <w:rFonts w:hint="eastAsia"/>
        </w:rPr>
        <w:t>的</w:t>
      </w:r>
      <w:r>
        <w:t>环境管理</w:t>
      </w:r>
    </w:p>
    <w:p>
      <w:r>
        <w:rPr>
          <w:rFonts w:hint="eastAsia"/>
        </w:rPr>
        <w:t>施工期的环境管理包括施工管理队伍中环境管理机构的组成和任务、施工方案的审查、施工期环境监察制度的建立和施工结束后有关污染控制方面的验收内容。施工期环境管理监察小组的成员包括：施工单位的环保监察员、监理工程师和建设单位的环境管理人员。施工期施工场地内外有关施工活动的各项污染防治措施的实施均由施工单位负责，由工程监理单位和建设单位进行检查、监督。项目所在地区的环保局审核实施的结果。</w:t>
      </w:r>
    </w:p>
    <w:p>
      <w:r>
        <w:rPr>
          <w:rFonts w:hint="eastAsia"/>
        </w:rPr>
        <w:t>监督、检查和审核从设计阶段开始，建设单位、上级主管部门和政府环境保护管理部门要对施工设计方案进行审核，审核是否达到了国家有关条例和规范的要求，检查是否符合国家的有关法规。</w:t>
      </w:r>
    </w:p>
    <w:p>
      <w:r>
        <w:rPr>
          <w:rFonts w:hint="eastAsia"/>
        </w:rPr>
        <w:t>在项目施工的招标阶段，由建设单位根据现行的环境保护法规、条例和标准对施工期的环境保护提出要求，要求施工投标单位制定的施工组织计划中有控制环境污染的具体措施，控制措施经过评审符合要求的，才有中标资格。施工单位与建设单位签订的合同中要有防治污染的条款，并规定具体的控制指标和对违背条款责任方的处罚。工程承包费用中包括进行污染控制的费用。</w:t>
      </w:r>
    </w:p>
    <w:p>
      <w:r>
        <w:rPr>
          <w:rFonts w:hint="eastAsia"/>
        </w:rPr>
        <w:t>施工监理单位负责进一步审查施工单位的施工技术措施是否符合国家有关的法规和要求，是否符合工程设计方案的环境保护目标，必要时协助施工单位进行修改和补充。在施工进行期间，监理工程师按照措施的要求监督检查施工方案的执行情况。如果采用的技术措施不能达到预期的污染控制效果，将由环境监督机构的成员在一起协商修改控制措施。</w:t>
      </w:r>
    </w:p>
    <w:p>
      <w:r>
        <w:rPr>
          <w:rFonts w:hint="eastAsia"/>
        </w:rPr>
        <w:t>施工单位负责对员工进行环境保护法规和控制技术措施方面的培训，对施工人员进行考核内容应包括环境保护法规、有关条例要求、污染控制设施操作技术、污染事故应急措施等方面的内容。</w:t>
      </w:r>
    </w:p>
    <w:p>
      <w:r>
        <w:t>（</w:t>
      </w:r>
      <w:r>
        <w:rPr>
          <w:rFonts w:hint="eastAsia"/>
        </w:rPr>
        <w:t>二</w:t>
      </w:r>
      <w:r>
        <w:t>）营运期的环境管理</w:t>
      </w:r>
    </w:p>
    <w:p>
      <w:r>
        <w:t>（1）负责监督检查有关环保法规、条例的执行情况，以及生产过程中关于环境保护的规章制度的执行情况；</w:t>
      </w:r>
    </w:p>
    <w:p>
      <w:r>
        <w:t>（2）监督各项污染控制措施的执行、污染事故防治条例的实施和污染处理设施运行效果的检查；</w:t>
      </w:r>
    </w:p>
    <w:p>
      <w:r>
        <w:t>（3）职工环境保护培训和对外环境保护宣传；</w:t>
      </w:r>
    </w:p>
    <w:p>
      <w:r>
        <w:t>（4）负责调查处理污染投诉和污染事故，记录处理过程，编写调查处理报告；</w:t>
      </w:r>
    </w:p>
    <w:p>
      <w:r>
        <w:t>（5）协助地方环保局进行生产过程的环境监督和管理；</w:t>
      </w:r>
    </w:p>
    <w:p>
      <w:r>
        <w:t>（</w:t>
      </w:r>
      <w:r>
        <w:rPr>
          <w:rFonts w:hint="eastAsia"/>
        </w:rPr>
        <w:t>6</w:t>
      </w:r>
      <w:r>
        <w:t>）</w:t>
      </w:r>
      <w:r>
        <w:rPr>
          <w:rFonts w:hint="eastAsia"/>
        </w:rPr>
        <w:t>领导并组织公司的环境监测工作，建立监测台帐和档案，编写环保简报，做好环境统计，使企业领导、上级部门及时掌握污染治理动态；</w:t>
      </w:r>
    </w:p>
    <w:p>
      <w:r>
        <w:t>（</w:t>
      </w:r>
      <w:r>
        <w:rPr>
          <w:rFonts w:hint="eastAsia"/>
        </w:rPr>
        <w:t>7</w:t>
      </w:r>
      <w:r>
        <w:t>）</w:t>
      </w:r>
      <w:r>
        <w:rPr>
          <w:rFonts w:hint="eastAsia"/>
        </w:rPr>
        <w:t>制定污染治理设备设施操作规程的检查、维修计划，检查、记录污染治理设施运行及检修情况，确保治理设施常年正常、安全运行；</w:t>
      </w:r>
    </w:p>
    <w:p>
      <w:r>
        <w:rPr>
          <w:rFonts w:hint="eastAsia"/>
        </w:rPr>
        <w:t>（8）制定各车间的污染物排放指标，定时考核和统计，确保全厂污染物排放达到国家排放标准和总量控制指标；</w:t>
      </w:r>
    </w:p>
    <w:p>
      <w:r>
        <w:t>（</w:t>
      </w:r>
      <w:r>
        <w:rPr>
          <w:rFonts w:hint="eastAsia"/>
        </w:rPr>
        <w:t>9</w:t>
      </w:r>
      <w:r>
        <w:t>）负责环境监控计划的实施。</w:t>
      </w:r>
    </w:p>
    <w:p>
      <w:r>
        <w:t>（</w:t>
      </w:r>
      <w:r>
        <w:rPr>
          <w:rFonts w:hint="eastAsia"/>
        </w:rPr>
        <w:t>10</w:t>
      </w:r>
      <w:r>
        <w:t>）规范排污口</w:t>
      </w:r>
    </w:p>
    <w:p>
      <w:r>
        <w:t>在厂区“三废”及噪声排放点设置明显标志，标志的设置应执行《环境保护图形标志排放口（源）》</w:t>
      </w:r>
      <w:r>
        <w:rPr>
          <w:rFonts w:hint="eastAsia"/>
        </w:rPr>
        <w:t>（</w:t>
      </w:r>
      <w:r>
        <w:t>GB15562.1</w:t>
      </w:r>
      <w:r>
        <w:rPr>
          <w:rFonts w:hint="eastAsia"/>
        </w:rPr>
        <w:t>-</w:t>
      </w:r>
      <w:r>
        <w:t>1995</w:t>
      </w:r>
      <w:r>
        <w:rPr>
          <w:rFonts w:hint="eastAsia"/>
        </w:rPr>
        <w:t>）</w:t>
      </w:r>
      <w:r>
        <w:t>及《环境保护图形固体废物贮存（处置）场》（GBl55622</w:t>
      </w:r>
      <w:r>
        <w:rPr>
          <w:rFonts w:hint="eastAsia"/>
        </w:rPr>
        <w:t>-</w:t>
      </w:r>
      <w:r>
        <w:t>1995）中有关规定。排放口图形标志见表</w:t>
      </w:r>
      <w:r>
        <w:rPr>
          <w:rFonts w:hint="eastAsia"/>
          <w:lang w:val="en-US" w:eastAsia="zh-CN"/>
        </w:rPr>
        <w:t>7.1</w:t>
      </w:r>
      <w:r>
        <w:t>-1。</w:t>
      </w:r>
    </w:p>
    <w:p>
      <w:pPr>
        <w:pStyle w:val="11"/>
        <w:bidi w:val="0"/>
      </w:pPr>
      <w:r>
        <w:t>表</w:t>
      </w:r>
      <w:r>
        <w:rPr>
          <w:rFonts w:hint="eastAsia"/>
          <w:lang w:val="en-US" w:eastAsia="zh-CN"/>
        </w:rPr>
        <w:t>7.1</w:t>
      </w:r>
      <w:r>
        <w:t>-1  排放口图形标志</w:t>
      </w:r>
    </w:p>
    <w:tbl>
      <w:tblPr>
        <w:tblStyle w:val="1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812"/>
        <w:gridCol w:w="1812"/>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812" w:type="dxa"/>
          </w:tcPr>
          <w:p>
            <w:pPr>
              <w:pStyle w:val="8"/>
              <w:bidi w:val="0"/>
            </w:pPr>
            <w:r>
              <w:t>排放口</w:t>
            </w:r>
          </w:p>
        </w:tc>
        <w:tc>
          <w:tcPr>
            <w:tcW w:w="1812" w:type="dxa"/>
          </w:tcPr>
          <w:p>
            <w:pPr>
              <w:pStyle w:val="8"/>
              <w:bidi w:val="0"/>
            </w:pPr>
            <w:r>
              <w:t>废水排放口</w:t>
            </w:r>
          </w:p>
        </w:tc>
        <w:tc>
          <w:tcPr>
            <w:tcW w:w="1812" w:type="dxa"/>
          </w:tcPr>
          <w:p>
            <w:pPr>
              <w:pStyle w:val="8"/>
              <w:bidi w:val="0"/>
            </w:pPr>
            <w:r>
              <w:t>废气排放口</w:t>
            </w:r>
          </w:p>
        </w:tc>
        <w:tc>
          <w:tcPr>
            <w:tcW w:w="1812" w:type="dxa"/>
          </w:tcPr>
          <w:p>
            <w:pPr>
              <w:pStyle w:val="8"/>
              <w:bidi w:val="0"/>
            </w:pPr>
            <w:r>
              <w:t>噪声源</w:t>
            </w:r>
          </w:p>
        </w:tc>
        <w:tc>
          <w:tcPr>
            <w:tcW w:w="1812" w:type="dxa"/>
          </w:tcPr>
          <w:p>
            <w:pPr>
              <w:pStyle w:val="8"/>
              <w:bidi w:val="0"/>
            </w:pPr>
            <w:r>
              <w:t>固体废物堆场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pPr>
              <w:pStyle w:val="8"/>
              <w:bidi w:val="0"/>
            </w:pPr>
            <w:r>
              <w:t>图形符号</w:t>
            </w:r>
          </w:p>
        </w:tc>
        <w:tc>
          <w:tcPr>
            <w:tcW w:w="1812" w:type="dxa"/>
          </w:tcPr>
          <w:p>
            <w:pPr>
              <w:pStyle w:val="8"/>
              <w:bidi w:val="0"/>
            </w:pPr>
            <w:r>
              <w:drawing>
                <wp:inline distT="0" distB="0" distL="0" distR="0">
                  <wp:extent cx="933450" cy="971550"/>
                  <wp:effectExtent l="0" t="0" r="0" b="0"/>
                  <wp:docPr id="240" name="图片 4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5" descr="image0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c>
          <w:tcPr>
            <w:tcW w:w="1812" w:type="dxa"/>
          </w:tcPr>
          <w:p>
            <w:pPr>
              <w:pStyle w:val="8"/>
              <w:bidi w:val="0"/>
            </w:pPr>
            <w:r>
              <w:drawing>
                <wp:inline distT="0" distB="0" distL="0" distR="0">
                  <wp:extent cx="857250" cy="971550"/>
                  <wp:effectExtent l="0" t="0" r="0" b="0"/>
                  <wp:docPr id="241" name="图片 4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6" descr="image0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857250" cy="971550"/>
                          </a:xfrm>
                          <a:prstGeom prst="rect">
                            <a:avLst/>
                          </a:prstGeom>
                          <a:noFill/>
                          <a:ln>
                            <a:noFill/>
                          </a:ln>
                        </pic:spPr>
                      </pic:pic>
                    </a:graphicData>
                  </a:graphic>
                </wp:inline>
              </w:drawing>
            </w:r>
          </w:p>
        </w:tc>
        <w:tc>
          <w:tcPr>
            <w:tcW w:w="1812" w:type="dxa"/>
          </w:tcPr>
          <w:p>
            <w:pPr>
              <w:pStyle w:val="8"/>
              <w:bidi w:val="0"/>
            </w:pPr>
            <w:r>
              <w:drawing>
                <wp:inline distT="0" distB="0" distL="0" distR="0">
                  <wp:extent cx="933450" cy="971550"/>
                  <wp:effectExtent l="0" t="0" r="0" b="0"/>
                  <wp:docPr id="242" name="图片 4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7" descr="image0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c>
          <w:tcPr>
            <w:tcW w:w="1812" w:type="dxa"/>
          </w:tcPr>
          <w:p>
            <w:pPr>
              <w:pStyle w:val="8"/>
              <w:bidi w:val="0"/>
            </w:pPr>
            <w:r>
              <w:drawing>
                <wp:inline distT="0" distB="0" distL="0" distR="0">
                  <wp:extent cx="933450" cy="971550"/>
                  <wp:effectExtent l="0" t="0" r="0" b="0"/>
                  <wp:docPr id="321" name="图片 48" descr="2005042615013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48" descr="200504261501381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r>
    </w:tbl>
    <w:p>
      <w:r>
        <w:t>（11）危废标志管理</w:t>
      </w:r>
    </w:p>
    <w:p>
      <w:r>
        <w:rPr>
          <w:rFonts w:hint="eastAsia"/>
        </w:rPr>
        <w:t>企业应完善危险废物标志管理，在危废暂存处挂警示牌，在收集容器上贴图形标志。危废</w:t>
      </w:r>
      <w:r>
        <w:t>图形标志见表</w:t>
      </w:r>
      <w:r>
        <w:rPr>
          <w:rFonts w:hint="eastAsia"/>
          <w:lang w:val="en-US" w:eastAsia="zh-CN"/>
        </w:rPr>
        <w:t>7.1-2</w:t>
      </w:r>
      <w:r>
        <w:t>。</w:t>
      </w:r>
    </w:p>
    <w:p>
      <w:pPr>
        <w:pStyle w:val="11"/>
        <w:bidi w:val="0"/>
      </w:pPr>
      <w:r>
        <w:t>表</w:t>
      </w:r>
      <w:r>
        <w:rPr>
          <w:rFonts w:hint="eastAsia"/>
          <w:lang w:val="en-US" w:eastAsia="zh-CN"/>
        </w:rPr>
        <w:t>7.1-2</w:t>
      </w:r>
      <w:r>
        <w:t xml:space="preserve">  危险废物暂时场标志</w:t>
      </w:r>
    </w:p>
    <w:tbl>
      <w:tblPr>
        <w:tblStyle w:val="17"/>
        <w:tblW w:w="3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854" w:type="dxa"/>
          </w:tcPr>
          <w:p>
            <w:pPr>
              <w:pStyle w:val="8"/>
              <w:bidi w:val="0"/>
            </w:pPr>
            <w:r>
              <w:t>场所</w:t>
            </w:r>
          </w:p>
        </w:tc>
        <w:tc>
          <w:tcPr>
            <w:tcW w:w="2125" w:type="dxa"/>
          </w:tcPr>
          <w:p>
            <w:pPr>
              <w:pStyle w:val="8"/>
              <w:bidi w:val="0"/>
            </w:pPr>
            <w: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854" w:type="dxa"/>
            <w:vAlign w:val="center"/>
          </w:tcPr>
          <w:p>
            <w:pPr>
              <w:pStyle w:val="8"/>
              <w:bidi w:val="0"/>
            </w:pPr>
            <w:r>
              <w:t>图形符号</w:t>
            </w:r>
          </w:p>
        </w:tc>
        <w:tc>
          <w:tcPr>
            <w:tcW w:w="2125" w:type="dxa"/>
          </w:tcPr>
          <w:p>
            <w:pPr>
              <w:pStyle w:val="8"/>
              <w:bidi w:val="0"/>
            </w:pPr>
            <w:r>
              <w:drawing>
                <wp:anchor distT="0" distB="0" distL="114300" distR="114300" simplePos="0" relativeHeight="251667456" behindDoc="0" locked="0" layoutInCell="1" allowOverlap="1">
                  <wp:simplePos x="0" y="0"/>
                  <wp:positionH relativeFrom="column">
                    <wp:posOffset>-8255</wp:posOffset>
                  </wp:positionH>
                  <wp:positionV relativeFrom="paragraph">
                    <wp:posOffset>12700</wp:posOffset>
                  </wp:positionV>
                  <wp:extent cx="1223645" cy="1304925"/>
                  <wp:effectExtent l="0" t="0" r="14605" b="9525"/>
                  <wp:wrapNone/>
                  <wp:docPr id="619" name="图片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28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223645" cy="1304925"/>
                          </a:xfrm>
                          <a:prstGeom prst="rect">
                            <a:avLst/>
                          </a:prstGeom>
                          <a:noFill/>
                        </pic:spPr>
                      </pic:pic>
                    </a:graphicData>
                  </a:graphic>
                </wp:anchor>
              </w:drawing>
            </w:r>
          </w:p>
          <w:p>
            <w:pPr>
              <w:pStyle w:val="8"/>
              <w:bidi w:val="0"/>
            </w:pPr>
          </w:p>
          <w:p>
            <w:pPr>
              <w:pStyle w:val="8"/>
              <w:bidi w:val="0"/>
            </w:pPr>
          </w:p>
          <w:p>
            <w:pPr>
              <w:pStyle w:val="8"/>
              <w:bidi w:val="0"/>
            </w:pPr>
          </w:p>
          <w:p>
            <w:pPr>
              <w:pStyle w:val="8"/>
              <w:bidi w:val="0"/>
            </w:pPr>
          </w:p>
        </w:tc>
      </w:tr>
    </w:tbl>
    <w:p>
      <w:pPr>
        <w:rPr>
          <w:rFonts w:hint="eastAsia"/>
          <w:lang w:eastAsia="zh-CN"/>
        </w:rPr>
      </w:pPr>
      <w:r>
        <w:rPr>
          <w:rFonts w:hint="eastAsia"/>
          <w:lang w:eastAsia="zh-CN"/>
        </w:rPr>
        <w:t>（</w:t>
      </w:r>
      <w:r>
        <w:rPr>
          <w:rFonts w:hint="eastAsia"/>
          <w:lang w:val="en-US" w:eastAsia="zh-CN"/>
        </w:rPr>
        <w:t>12</w:t>
      </w:r>
      <w:r>
        <w:rPr>
          <w:rFonts w:hint="eastAsia"/>
          <w:lang w:eastAsia="zh-CN"/>
        </w:rPr>
        <w:t>）排污许可</w:t>
      </w:r>
    </w:p>
    <w:p>
      <w:r>
        <w:rPr>
          <w:rFonts w:hint="eastAsia"/>
          <w:lang w:val="en-US" w:eastAsia="zh-CN"/>
        </w:rPr>
        <w:t>建设单位应当在发生实际排污行为之前，按照《排污许可管理办法》规定向生态环境主管部门申请并取得排污许可证。</w:t>
      </w:r>
    </w:p>
    <w:p>
      <w:pPr>
        <w:pStyle w:val="4"/>
        <w:bidi w:val="0"/>
      </w:pPr>
      <w:bookmarkStart w:id="521" w:name="_Toc1544"/>
      <w:bookmarkStart w:id="522" w:name="_Toc468689306"/>
      <w:bookmarkStart w:id="523" w:name="_Toc228002644"/>
      <w:bookmarkStart w:id="524" w:name="_Toc289344617"/>
      <w:bookmarkStart w:id="525" w:name="_Toc89056317"/>
      <w:bookmarkStart w:id="526" w:name="_Toc266583613"/>
      <w:r>
        <w:t>环境监测</w:t>
      </w:r>
      <w:bookmarkEnd w:id="521"/>
      <w:bookmarkEnd w:id="522"/>
      <w:bookmarkEnd w:id="523"/>
      <w:bookmarkEnd w:id="524"/>
      <w:bookmarkEnd w:id="525"/>
      <w:bookmarkEnd w:id="526"/>
    </w:p>
    <w:p>
      <w:pPr>
        <w:pStyle w:val="5"/>
        <w:bidi w:val="0"/>
      </w:pPr>
      <w:bookmarkStart w:id="527" w:name="_Toc468689308"/>
      <w:bookmarkStart w:id="528" w:name="_Toc153257758"/>
      <w:r>
        <w:rPr>
          <w:rFonts w:hint="eastAsia"/>
        </w:rPr>
        <w:t>环境监测机构</w:t>
      </w:r>
      <w:bookmarkEnd w:id="527"/>
      <w:bookmarkEnd w:id="528"/>
    </w:p>
    <w:p>
      <w:r>
        <w:rPr>
          <w:rFonts w:hint="eastAsia"/>
        </w:rPr>
        <w:t>建议本项营运期的环境监测工作委托有相应检测资质的单位承担。</w:t>
      </w:r>
    </w:p>
    <w:p>
      <w:pPr>
        <w:pStyle w:val="5"/>
        <w:bidi w:val="0"/>
      </w:pPr>
      <w:bookmarkStart w:id="529" w:name="_Toc153257759"/>
      <w:bookmarkStart w:id="530" w:name="_Toc468689309"/>
      <w:r>
        <w:rPr>
          <w:rFonts w:hint="eastAsia"/>
        </w:rPr>
        <w:t>监测项目及监测计划</w:t>
      </w:r>
      <w:bookmarkEnd w:id="529"/>
      <w:bookmarkEnd w:id="530"/>
    </w:p>
    <w:p>
      <w:r>
        <w:rPr>
          <w:rFonts w:hint="eastAsia"/>
        </w:rPr>
        <w:t>其监测项目内容计划见表</w:t>
      </w:r>
      <w:r>
        <w:rPr>
          <w:rFonts w:hint="eastAsia"/>
          <w:lang w:val="en-US" w:eastAsia="zh-CN"/>
        </w:rPr>
        <w:t>7.2-1</w:t>
      </w:r>
      <w:r>
        <w:rPr>
          <w:rFonts w:hint="eastAsia"/>
        </w:rPr>
        <w:t>。</w:t>
      </w:r>
    </w:p>
    <w:p>
      <w:pPr>
        <w:pStyle w:val="11"/>
        <w:rPr>
          <w:rFonts w:hint="default" w:eastAsiaTheme="minorEastAsia"/>
          <w:lang w:val="en-US" w:eastAsia="zh-CN"/>
        </w:rPr>
      </w:pPr>
      <w:r>
        <w:t xml:space="preserve">表7.2- </w:t>
      </w:r>
      <w:r>
        <w:fldChar w:fldCharType="begin"/>
      </w:r>
      <w:r>
        <w:instrText xml:space="preserve"> SEQ 表7.2- \* ARABIC </w:instrText>
      </w:r>
      <w:r>
        <w:fldChar w:fldCharType="separate"/>
      </w:r>
      <w:r>
        <w:t>1</w:t>
      </w:r>
      <w:r>
        <w:fldChar w:fldCharType="end"/>
      </w:r>
      <w:r>
        <w:rPr>
          <w:rFonts w:hint="eastAsia"/>
          <w:lang w:val="en-US" w:eastAsia="zh-CN"/>
        </w:rPr>
        <w:t xml:space="preserve">  </w:t>
      </w:r>
      <w:bookmarkStart w:id="531" w:name="_Toc451499148"/>
      <w:bookmarkStart w:id="532" w:name="_Toc451499685"/>
      <w:bookmarkStart w:id="533" w:name="_Toc468689310"/>
      <w:bookmarkStart w:id="534" w:name="_Toc459390565"/>
      <w:bookmarkStart w:id="535" w:name="_Toc451499093"/>
      <w:bookmarkStart w:id="536" w:name="_Toc450299899"/>
      <w:bookmarkStart w:id="537" w:name="_Toc451499554"/>
      <w:r>
        <w:rPr>
          <w:rFonts w:hint="eastAsia"/>
          <w:lang w:val="en-US" w:eastAsia="zh-CN"/>
        </w:rPr>
        <w:t xml:space="preserve"> </w:t>
      </w:r>
      <w:r>
        <w:t>污染源</w:t>
      </w:r>
      <w:r>
        <w:rPr>
          <w:rFonts w:hint="eastAsia"/>
        </w:rPr>
        <w:t>监测计划</w:t>
      </w:r>
    </w:p>
    <w:tbl>
      <w:tblPr>
        <w:tblStyle w:val="17"/>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093"/>
        <w:gridCol w:w="1912"/>
        <w:gridCol w:w="2595"/>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924" w:type="dxa"/>
            <w:vAlign w:val="center"/>
          </w:tcPr>
          <w:p>
            <w:pPr>
              <w:pStyle w:val="8"/>
              <w:bidi w:val="0"/>
            </w:pPr>
            <w:r>
              <w:rPr>
                <w:rFonts w:hint="eastAsia"/>
              </w:rPr>
              <w:t>监测期</w:t>
            </w:r>
          </w:p>
        </w:tc>
        <w:tc>
          <w:tcPr>
            <w:tcW w:w="1093" w:type="dxa"/>
            <w:vAlign w:val="center"/>
          </w:tcPr>
          <w:p>
            <w:pPr>
              <w:pStyle w:val="8"/>
              <w:bidi w:val="0"/>
            </w:pPr>
            <w:r>
              <w:rPr>
                <w:rFonts w:hint="eastAsia"/>
              </w:rPr>
              <w:t>监测</w:t>
            </w:r>
          </w:p>
          <w:p>
            <w:pPr>
              <w:pStyle w:val="8"/>
              <w:bidi w:val="0"/>
            </w:pPr>
            <w:r>
              <w:rPr>
                <w:rFonts w:hint="eastAsia"/>
              </w:rPr>
              <w:t>类别</w:t>
            </w:r>
          </w:p>
        </w:tc>
        <w:tc>
          <w:tcPr>
            <w:tcW w:w="1912" w:type="dxa"/>
            <w:vAlign w:val="center"/>
          </w:tcPr>
          <w:p>
            <w:pPr>
              <w:pStyle w:val="8"/>
              <w:bidi w:val="0"/>
            </w:pPr>
            <w:r>
              <w:rPr>
                <w:rFonts w:hint="eastAsia"/>
              </w:rPr>
              <w:t>监测点位</w:t>
            </w:r>
          </w:p>
        </w:tc>
        <w:tc>
          <w:tcPr>
            <w:tcW w:w="2595" w:type="dxa"/>
            <w:vAlign w:val="center"/>
          </w:tcPr>
          <w:p>
            <w:pPr>
              <w:pStyle w:val="8"/>
              <w:bidi w:val="0"/>
            </w:pPr>
            <w:r>
              <w:rPr>
                <w:rFonts w:hint="eastAsia"/>
              </w:rPr>
              <w:t>监测项目</w:t>
            </w:r>
          </w:p>
        </w:tc>
        <w:tc>
          <w:tcPr>
            <w:tcW w:w="2207" w:type="dxa"/>
            <w:vAlign w:val="center"/>
          </w:tcPr>
          <w:p>
            <w:pPr>
              <w:pStyle w:val="8"/>
              <w:bidi w:val="0"/>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jc w:val="center"/>
        </w:trPr>
        <w:tc>
          <w:tcPr>
            <w:tcW w:w="924" w:type="dxa"/>
            <w:vMerge w:val="restart"/>
            <w:vAlign w:val="center"/>
          </w:tcPr>
          <w:p>
            <w:pPr>
              <w:pStyle w:val="8"/>
              <w:bidi w:val="0"/>
            </w:pPr>
            <w:r>
              <w:rPr>
                <w:rFonts w:hint="eastAsia"/>
              </w:rPr>
              <w:t>营运期</w:t>
            </w:r>
          </w:p>
        </w:tc>
        <w:tc>
          <w:tcPr>
            <w:tcW w:w="1093" w:type="dxa"/>
            <w:vAlign w:val="center"/>
          </w:tcPr>
          <w:p>
            <w:pPr>
              <w:pStyle w:val="8"/>
              <w:bidi w:val="0"/>
            </w:pPr>
            <w:r>
              <w:rPr>
                <w:rFonts w:hint="eastAsia"/>
              </w:rPr>
              <w:t>废气无组织</w:t>
            </w:r>
          </w:p>
        </w:tc>
        <w:tc>
          <w:tcPr>
            <w:tcW w:w="1912" w:type="dxa"/>
            <w:vAlign w:val="center"/>
          </w:tcPr>
          <w:p>
            <w:pPr>
              <w:pStyle w:val="8"/>
              <w:bidi w:val="0"/>
            </w:pPr>
            <w:r>
              <w:rPr>
                <w:rFonts w:hint="eastAsia"/>
              </w:rPr>
              <w:t>厂界下风向浓度最高处</w:t>
            </w:r>
          </w:p>
        </w:tc>
        <w:tc>
          <w:tcPr>
            <w:tcW w:w="2595" w:type="dxa"/>
            <w:vAlign w:val="center"/>
          </w:tcPr>
          <w:p>
            <w:pPr>
              <w:pStyle w:val="8"/>
              <w:bidi w:val="0"/>
            </w:pPr>
            <w:r>
              <w:rPr>
                <w:rFonts w:hint="eastAsia"/>
              </w:rPr>
              <w:t>臭气浓度</w:t>
            </w:r>
          </w:p>
        </w:tc>
        <w:tc>
          <w:tcPr>
            <w:tcW w:w="2207" w:type="dxa"/>
            <w:vAlign w:val="center"/>
          </w:tcPr>
          <w:p>
            <w:pPr>
              <w:pStyle w:val="8"/>
              <w:bidi w:val="0"/>
            </w:pPr>
            <w:r>
              <w:rPr>
                <w:rFonts w:hint="eastAsia"/>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924" w:type="dxa"/>
            <w:vMerge w:val="continue"/>
            <w:vAlign w:val="center"/>
          </w:tcPr>
          <w:p>
            <w:pPr>
              <w:pStyle w:val="8"/>
              <w:bidi w:val="0"/>
            </w:pPr>
          </w:p>
        </w:tc>
        <w:tc>
          <w:tcPr>
            <w:tcW w:w="1093" w:type="dxa"/>
            <w:vAlign w:val="center"/>
          </w:tcPr>
          <w:p>
            <w:pPr>
              <w:pStyle w:val="8"/>
              <w:bidi w:val="0"/>
            </w:pPr>
            <w:r>
              <w:rPr>
                <w:rFonts w:hint="eastAsia"/>
              </w:rPr>
              <w:t>废水</w:t>
            </w:r>
          </w:p>
        </w:tc>
        <w:tc>
          <w:tcPr>
            <w:tcW w:w="1912" w:type="dxa"/>
            <w:vAlign w:val="center"/>
          </w:tcPr>
          <w:p>
            <w:pPr>
              <w:pStyle w:val="8"/>
              <w:bidi w:val="0"/>
            </w:pPr>
            <w:r>
              <w:rPr>
                <w:rFonts w:hint="eastAsia"/>
              </w:rPr>
              <w:t>现场检查</w:t>
            </w:r>
          </w:p>
        </w:tc>
        <w:tc>
          <w:tcPr>
            <w:tcW w:w="2595" w:type="dxa"/>
            <w:vAlign w:val="center"/>
          </w:tcPr>
          <w:p>
            <w:pPr>
              <w:pStyle w:val="8"/>
              <w:bidi w:val="0"/>
            </w:pPr>
            <w:r>
              <w:rPr>
                <w:rFonts w:hint="eastAsia"/>
              </w:rPr>
              <w:t>粪液去向</w:t>
            </w:r>
          </w:p>
        </w:tc>
        <w:tc>
          <w:tcPr>
            <w:tcW w:w="2207" w:type="dxa"/>
            <w:vAlign w:val="center"/>
          </w:tcPr>
          <w:p>
            <w:pPr>
              <w:pStyle w:val="8"/>
              <w:bidi w:val="0"/>
            </w:pPr>
            <w:r>
              <w:rPr>
                <w:rFonts w:hint="eastAsia"/>
              </w:rPr>
              <w:t>建立管理台帐，记录用水量、施肥量等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924" w:type="dxa"/>
            <w:vMerge w:val="continue"/>
            <w:vAlign w:val="center"/>
          </w:tcPr>
          <w:p>
            <w:pPr>
              <w:pStyle w:val="8"/>
              <w:bidi w:val="0"/>
            </w:pPr>
          </w:p>
        </w:tc>
        <w:tc>
          <w:tcPr>
            <w:tcW w:w="1093" w:type="dxa"/>
            <w:vAlign w:val="center"/>
          </w:tcPr>
          <w:p>
            <w:pPr>
              <w:pStyle w:val="8"/>
              <w:bidi w:val="0"/>
            </w:pPr>
            <w:r>
              <w:rPr>
                <w:rFonts w:hint="eastAsia"/>
              </w:rPr>
              <w:t>噪声</w:t>
            </w:r>
          </w:p>
        </w:tc>
        <w:tc>
          <w:tcPr>
            <w:tcW w:w="1912" w:type="dxa"/>
            <w:vAlign w:val="center"/>
          </w:tcPr>
          <w:p>
            <w:pPr>
              <w:pStyle w:val="8"/>
              <w:bidi w:val="0"/>
            </w:pPr>
            <w:r>
              <w:rPr>
                <w:rFonts w:hint="eastAsia"/>
              </w:rPr>
              <w:t>厂界四周</w:t>
            </w:r>
          </w:p>
        </w:tc>
        <w:tc>
          <w:tcPr>
            <w:tcW w:w="2595" w:type="dxa"/>
            <w:vAlign w:val="center"/>
          </w:tcPr>
          <w:p>
            <w:pPr>
              <w:pStyle w:val="8"/>
              <w:bidi w:val="0"/>
            </w:pPr>
            <w:r>
              <w:t>Leq(A)</w:t>
            </w:r>
          </w:p>
        </w:tc>
        <w:tc>
          <w:tcPr>
            <w:tcW w:w="2207" w:type="dxa"/>
            <w:vAlign w:val="center"/>
          </w:tcPr>
          <w:p>
            <w:pPr>
              <w:pStyle w:val="8"/>
              <w:bidi w:val="0"/>
            </w:pPr>
            <w:r>
              <w:rPr>
                <w:rFonts w:hint="eastAsia"/>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924" w:type="dxa"/>
            <w:vMerge w:val="continue"/>
            <w:vAlign w:val="center"/>
          </w:tcPr>
          <w:p>
            <w:pPr>
              <w:pStyle w:val="8"/>
              <w:bidi w:val="0"/>
            </w:pPr>
          </w:p>
        </w:tc>
        <w:tc>
          <w:tcPr>
            <w:tcW w:w="1093" w:type="dxa"/>
            <w:vAlign w:val="center"/>
          </w:tcPr>
          <w:p>
            <w:pPr>
              <w:pStyle w:val="8"/>
              <w:bidi w:val="0"/>
            </w:pPr>
            <w:r>
              <w:rPr>
                <w:rFonts w:hint="eastAsia"/>
              </w:rPr>
              <w:t>固体废物</w:t>
            </w:r>
          </w:p>
        </w:tc>
        <w:tc>
          <w:tcPr>
            <w:tcW w:w="4507" w:type="dxa"/>
            <w:gridSpan w:val="2"/>
            <w:vAlign w:val="center"/>
          </w:tcPr>
          <w:p>
            <w:pPr>
              <w:pStyle w:val="8"/>
              <w:bidi w:val="0"/>
            </w:pPr>
            <w:r>
              <w:rPr>
                <w:rFonts w:hint="eastAsia"/>
              </w:rPr>
              <w:t>统计产生量、处理量</w:t>
            </w:r>
            <w:r>
              <w:t>/</w:t>
            </w:r>
            <w:r>
              <w:rPr>
                <w:rFonts w:hint="eastAsia"/>
              </w:rPr>
              <w:t>处理方式、贮存量</w:t>
            </w:r>
          </w:p>
        </w:tc>
        <w:tc>
          <w:tcPr>
            <w:tcW w:w="2207" w:type="dxa"/>
            <w:vAlign w:val="center"/>
          </w:tcPr>
          <w:p>
            <w:pPr>
              <w:pStyle w:val="8"/>
              <w:bidi w:val="0"/>
            </w:pPr>
            <w:r>
              <w:rPr>
                <w:rFonts w:hint="eastAsia"/>
              </w:rPr>
              <w:t>台帐统计、年报一次</w:t>
            </w:r>
          </w:p>
        </w:tc>
      </w:tr>
    </w:tbl>
    <w:p>
      <w:pPr>
        <w:pStyle w:val="4"/>
        <w:bidi w:val="0"/>
      </w:pPr>
      <w:r>
        <w:t xml:space="preserve"> </w:t>
      </w:r>
      <w:bookmarkStart w:id="538" w:name="_Toc3231"/>
      <w:r>
        <w:t>环保设施“三同时”竣工验收计划</w:t>
      </w:r>
      <w:bookmarkEnd w:id="531"/>
      <w:bookmarkEnd w:id="532"/>
      <w:bookmarkEnd w:id="533"/>
      <w:bookmarkEnd w:id="534"/>
      <w:bookmarkEnd w:id="535"/>
      <w:bookmarkEnd w:id="536"/>
      <w:bookmarkEnd w:id="537"/>
      <w:bookmarkEnd w:id="538"/>
    </w:p>
    <w:p>
      <w:r>
        <w:rPr>
          <w:rFonts w:hint="eastAsia"/>
        </w:rPr>
        <w:t>根据《建设项目环境保护管理条例》（国务院令682号，2017.10.1实施）中“第三章 环境保护设施建设”的相关规定要求：“建设项目需要配套建设的环境保护设施，必须与主体工程同时设计、同时施工、同时投产使用。”“建设单位应当将环境保护设施建设纳入施工合同，保证环境保护设施建设进度和资金，并在项目建设过程中同时组织实施环境影响报告书、环境影响报告表及其审批部门审批决定中提出的环境保护对策措施。”“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r>
        <w:t>自2017年10月1日起由建设单位自主开展建设项目废水、废气污染防治设施竣工环境保护验收，在《中华人民共和国固体废物污染环境防治法》《中华人民共和国环境噪声污染防治法》修改完成前，依法由环境保护主管部门对建设项目的噪声、固体废物的污染防治设施进行验收。</w:t>
      </w:r>
    </w:p>
    <w:p>
      <w:r>
        <w:rPr>
          <w:rFonts w:hint="eastAsia"/>
        </w:rPr>
        <w:t>根据《建设项目竣工环境保护验收暂行办法》（国环规环评</w:t>
      </w:r>
      <w:r>
        <w:t>[2017]4号）验收的一般程序与内容如下：</w:t>
      </w:r>
    </w:p>
    <w:p>
      <w:r>
        <w:rPr>
          <w:rFonts w:hint="eastAsia"/>
          <w:lang w:eastAsia="zh-CN"/>
        </w:rPr>
        <w:t>（</w:t>
      </w:r>
      <w:r>
        <w:rPr>
          <w:rFonts w:hint="eastAsia"/>
          <w:lang w:val="en-US" w:eastAsia="zh-CN"/>
        </w:rPr>
        <w:t>1</w:t>
      </w:r>
      <w:r>
        <w:rPr>
          <w:rFonts w:hint="eastAsia"/>
          <w:lang w:eastAsia="zh-CN"/>
        </w:rPr>
        <w:t>）</w:t>
      </w:r>
      <w:r>
        <w:rPr>
          <w:rFonts w:hint="eastAsia"/>
        </w:rPr>
        <w:t>建设项目竣工后，建设单位应当如实查验、监测、记载建设项目环境保护设施的建设和调试情况，编制验收监测（调查）报告。</w:t>
      </w:r>
    </w:p>
    <w:p>
      <w:r>
        <w:rPr>
          <w:rFonts w:hint="eastAsia"/>
        </w:rPr>
        <w:t>（2）建设单位不具备编制验收监测（调查）报告能力的，可以委托有能力的技术机构编制。建设单位对受委托的技术机构编制的验收监测（调查）报告结论负责。</w:t>
      </w:r>
    </w:p>
    <w:p>
      <w:r>
        <w:rPr>
          <w:rFonts w:hint="eastAsia"/>
          <w:lang w:eastAsia="zh-CN"/>
        </w:rPr>
        <w:t>（</w:t>
      </w:r>
      <w:r>
        <w:rPr>
          <w:rFonts w:hint="eastAsia"/>
          <w:lang w:val="en-US" w:eastAsia="zh-CN"/>
        </w:rPr>
        <w:t>3</w:t>
      </w:r>
      <w:r>
        <w:rPr>
          <w:rFonts w:hint="eastAsia"/>
          <w:lang w:eastAsia="zh-CN"/>
        </w:rPr>
        <w:t>）</w:t>
      </w:r>
      <w:r>
        <w:rPr>
          <w:rFonts w:hint="eastAsia"/>
        </w:rPr>
        <w:t>验收监测（调查）报告编制完成后，建设单位应当根据验收监测（调查）报告结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w:t>
      </w:r>
    </w:p>
    <w:p>
      <w:r>
        <w:t>（</w:t>
      </w:r>
      <w:r>
        <w:rPr>
          <w:rFonts w:hint="eastAsia"/>
        </w:rPr>
        <w:t>4</w:t>
      </w:r>
      <w:r>
        <w:t>）</w:t>
      </w:r>
      <w:r>
        <w:rPr>
          <w:rFonts w:hint="eastAsia"/>
        </w:rPr>
        <w:t>建设项目配套建设的环境保护设施经验收合格后，其主体工程方可投入生产或者使用；未经验收或者验收不合格的，不得投入生产或者使用。</w:t>
      </w:r>
    </w:p>
    <w:p>
      <w:r>
        <w:rPr>
          <w:rFonts w:hint="eastAsia"/>
        </w:rPr>
        <w:t>（5）除按照国家需要保密的情形外，建设单位应当通过其网站或其他便于公众知晓的方式，向社会公开项目相关信息.。验收报告编制完成后</w:t>
      </w:r>
      <w:r>
        <w:t>5个工作日内，公开验收报告，公示的期限不得少于20个工作日。</w:t>
      </w:r>
    </w:p>
    <w:p>
      <w:r>
        <w:rPr>
          <w:rFonts w:hint="eastAsia"/>
        </w:rPr>
        <w:t>（6）验收报告公示期满后</w:t>
      </w:r>
      <w:r>
        <w:t>5个工作日内，建设单位应当登录全国建设项目竣工环境保护验收信息平台，填报建设项目基本信息、环境保护设施验收情况等相关信息，环境保护主管部门对上述信息予以公开。</w:t>
      </w:r>
      <w:r>
        <w:rPr>
          <w:rFonts w:hint="eastAsia"/>
        </w:rPr>
        <w:t>建设单位应当将验收报告以及其他档案资料存档备查。</w:t>
      </w:r>
    </w:p>
    <w:p>
      <w:r>
        <w:rPr>
          <w:rFonts w:hint="eastAsia"/>
        </w:rPr>
        <w:t>项目环保措施</w:t>
      </w:r>
      <w:r>
        <w:t>“</w:t>
      </w:r>
      <w:r>
        <w:rPr>
          <w:rFonts w:hint="eastAsia"/>
        </w:rPr>
        <w:t>三同时</w:t>
      </w:r>
      <w:r>
        <w:t>”</w:t>
      </w:r>
      <w:r>
        <w:rPr>
          <w:rFonts w:hint="eastAsia"/>
        </w:rPr>
        <w:t>竣工验收计划见表</w:t>
      </w:r>
      <w:r>
        <w:rPr>
          <w:rFonts w:hint="eastAsia"/>
          <w:lang w:val="en-US" w:eastAsia="zh-CN"/>
        </w:rPr>
        <w:t>7.3-1</w:t>
      </w:r>
      <w:r>
        <w:rPr>
          <w:rFonts w:hint="eastAsia"/>
        </w:rPr>
        <w:t>。</w:t>
      </w:r>
    </w:p>
    <w:bookmarkEnd w:id="444"/>
    <w:bookmarkEnd w:id="445"/>
    <w:bookmarkEnd w:id="482"/>
    <w:bookmarkEnd w:id="483"/>
    <w:bookmarkEnd w:id="484"/>
    <w:bookmarkEnd w:id="485"/>
    <w:bookmarkEnd w:id="486"/>
    <w:bookmarkEnd w:id="487"/>
    <w:bookmarkEnd w:id="488"/>
    <w:bookmarkEnd w:id="489"/>
    <w:p>
      <w:pPr>
        <w:pStyle w:val="11"/>
        <w:rPr>
          <w:rFonts w:hint="default" w:eastAsiaTheme="minorEastAsia"/>
          <w:lang w:val="en-US" w:eastAsia="zh-CN"/>
        </w:rPr>
      </w:pPr>
      <w:bookmarkStart w:id="539" w:name="_Toc468689312"/>
      <w:bookmarkStart w:id="540" w:name="_Toc289344627"/>
      <w:r>
        <w:t xml:space="preserve">表7.3- </w:t>
      </w:r>
      <w:r>
        <w:fldChar w:fldCharType="begin"/>
      </w:r>
      <w:r>
        <w:instrText xml:space="preserve"> SEQ 表7.3- \* ARABIC </w:instrText>
      </w:r>
      <w:r>
        <w:fldChar w:fldCharType="separate"/>
      </w:r>
      <w:r>
        <w:t>1</w:t>
      </w:r>
      <w:r>
        <w:fldChar w:fldCharType="end"/>
      </w:r>
      <w:r>
        <w:rPr>
          <w:rFonts w:hint="eastAsia"/>
          <w:lang w:val="en-US" w:eastAsia="zh-CN"/>
        </w:rPr>
        <w:t xml:space="preserve">   </w:t>
      </w:r>
      <w:r>
        <w:rPr>
          <w:rFonts w:hint="eastAsia"/>
        </w:rPr>
        <w:t>建设项目污染防治措施</w:t>
      </w:r>
      <w:r>
        <w:t>“</w:t>
      </w:r>
      <w:r>
        <w:rPr>
          <w:rFonts w:hint="eastAsia"/>
        </w:rPr>
        <w:t>三同时</w:t>
      </w:r>
      <w:r>
        <w:t>”</w:t>
      </w:r>
      <w:r>
        <w:rPr>
          <w:rFonts w:hint="eastAsia"/>
        </w:rPr>
        <w:t>验收表</w:t>
      </w:r>
    </w:p>
    <w:tbl>
      <w:tblPr>
        <w:tblStyle w:val="17"/>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588"/>
        <w:gridCol w:w="968"/>
        <w:gridCol w:w="2081"/>
        <w:gridCol w:w="1317"/>
        <w:gridCol w:w="1165"/>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Align w:val="center"/>
          </w:tcPr>
          <w:p>
            <w:pPr>
              <w:pStyle w:val="8"/>
              <w:bidi w:val="0"/>
            </w:pPr>
            <w:r>
              <w:rPr>
                <w:rFonts w:hint="eastAsia"/>
              </w:rPr>
              <w:t>类别</w:t>
            </w:r>
          </w:p>
        </w:tc>
        <w:tc>
          <w:tcPr>
            <w:tcW w:w="1556" w:type="dxa"/>
            <w:gridSpan w:val="2"/>
            <w:vAlign w:val="center"/>
          </w:tcPr>
          <w:p>
            <w:pPr>
              <w:pStyle w:val="8"/>
              <w:bidi w:val="0"/>
            </w:pPr>
            <w:r>
              <w:rPr>
                <w:rFonts w:hint="eastAsia"/>
              </w:rPr>
              <w:t>排放源</w:t>
            </w:r>
          </w:p>
        </w:tc>
        <w:tc>
          <w:tcPr>
            <w:tcW w:w="2081" w:type="dxa"/>
            <w:vAlign w:val="center"/>
          </w:tcPr>
          <w:p>
            <w:pPr>
              <w:pStyle w:val="8"/>
              <w:bidi w:val="0"/>
            </w:pPr>
            <w:r>
              <w:rPr>
                <w:rFonts w:hint="eastAsia"/>
              </w:rPr>
              <w:t>环保措施</w:t>
            </w:r>
          </w:p>
        </w:tc>
        <w:tc>
          <w:tcPr>
            <w:tcW w:w="1317" w:type="dxa"/>
            <w:vAlign w:val="center"/>
          </w:tcPr>
          <w:p>
            <w:pPr>
              <w:pStyle w:val="8"/>
              <w:bidi w:val="0"/>
            </w:pPr>
            <w:r>
              <w:rPr>
                <w:rFonts w:hint="eastAsia"/>
              </w:rPr>
              <w:t>验收监测点位</w:t>
            </w:r>
          </w:p>
        </w:tc>
        <w:tc>
          <w:tcPr>
            <w:tcW w:w="1165" w:type="dxa"/>
            <w:vAlign w:val="center"/>
          </w:tcPr>
          <w:p>
            <w:pPr>
              <w:pStyle w:val="8"/>
              <w:bidi w:val="0"/>
            </w:pPr>
            <w:r>
              <w:rPr>
                <w:rFonts w:hint="eastAsia"/>
              </w:rPr>
              <w:t>验收监测因子</w:t>
            </w:r>
          </w:p>
        </w:tc>
        <w:tc>
          <w:tcPr>
            <w:tcW w:w="2040" w:type="dxa"/>
            <w:vAlign w:val="center"/>
          </w:tcPr>
          <w:p>
            <w:pPr>
              <w:pStyle w:val="8"/>
              <w:bidi w:val="0"/>
            </w:pPr>
            <w:r>
              <w:rPr>
                <w:rFonts w:hint="eastAsia"/>
              </w:rPr>
              <w:t>验收标准及要求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Align w:val="center"/>
          </w:tcPr>
          <w:p>
            <w:pPr>
              <w:pStyle w:val="8"/>
              <w:bidi w:val="0"/>
            </w:pPr>
            <w:r>
              <w:rPr>
                <w:rFonts w:hint="eastAsia"/>
              </w:rPr>
              <w:t>地表水</w:t>
            </w:r>
          </w:p>
        </w:tc>
        <w:tc>
          <w:tcPr>
            <w:tcW w:w="1556" w:type="dxa"/>
            <w:gridSpan w:val="2"/>
            <w:vAlign w:val="center"/>
          </w:tcPr>
          <w:p>
            <w:pPr>
              <w:pStyle w:val="8"/>
              <w:bidi w:val="0"/>
            </w:pPr>
            <w:r>
              <w:rPr>
                <w:rFonts w:hint="eastAsia"/>
              </w:rPr>
              <w:t>/</w:t>
            </w:r>
          </w:p>
        </w:tc>
        <w:tc>
          <w:tcPr>
            <w:tcW w:w="2081" w:type="dxa"/>
            <w:vAlign w:val="center"/>
          </w:tcPr>
          <w:p>
            <w:pPr>
              <w:pStyle w:val="8"/>
              <w:bidi w:val="0"/>
            </w:pPr>
            <w:r>
              <w:rPr>
                <w:rFonts w:hint="eastAsia"/>
              </w:rPr>
              <w:t>/</w:t>
            </w:r>
          </w:p>
        </w:tc>
        <w:tc>
          <w:tcPr>
            <w:tcW w:w="1317" w:type="dxa"/>
            <w:vAlign w:val="center"/>
          </w:tcPr>
          <w:p>
            <w:pPr>
              <w:pStyle w:val="8"/>
              <w:bidi w:val="0"/>
              <w:rPr>
                <w:rFonts w:hint="default" w:eastAsiaTheme="minorEastAsia"/>
                <w:lang w:val="en-US" w:eastAsia="zh-CN"/>
              </w:rPr>
            </w:pPr>
            <w:r>
              <w:rPr>
                <w:rFonts w:hint="eastAsia"/>
                <w:lang w:eastAsia="zh-CN"/>
              </w:rPr>
              <w:t>项目北侧道水支流</w:t>
            </w:r>
          </w:p>
        </w:tc>
        <w:tc>
          <w:tcPr>
            <w:tcW w:w="1165" w:type="dxa"/>
            <w:vAlign w:val="center"/>
          </w:tcPr>
          <w:p>
            <w:pPr>
              <w:pStyle w:val="8"/>
              <w:bidi w:val="0"/>
            </w:pPr>
            <w:r>
              <w:t>pH</w:t>
            </w:r>
            <w:r>
              <w:rPr>
                <w:rFonts w:hint="eastAsia"/>
              </w:rPr>
              <w:t>、</w:t>
            </w:r>
            <w:r>
              <w:t>CODcr</w:t>
            </w:r>
            <w:r>
              <w:rPr>
                <w:rFonts w:hint="eastAsia"/>
              </w:rPr>
              <w:t>、</w:t>
            </w:r>
            <w:r>
              <w:t>BOD</w:t>
            </w:r>
            <w:r>
              <w:rPr>
                <w:vertAlign w:val="subscript"/>
              </w:rPr>
              <w:t>5</w:t>
            </w:r>
            <w:r>
              <w:rPr>
                <w:rFonts w:hint="eastAsia"/>
              </w:rPr>
              <w:t>、氨氮、总磷、粪大肠菌群</w:t>
            </w:r>
          </w:p>
        </w:tc>
        <w:tc>
          <w:tcPr>
            <w:tcW w:w="2040" w:type="dxa"/>
            <w:vAlign w:val="center"/>
          </w:tcPr>
          <w:p>
            <w:pPr>
              <w:pStyle w:val="8"/>
              <w:bidi w:val="0"/>
            </w:pPr>
            <w:r>
              <w:rPr>
                <w:rFonts w:hint="eastAsia"/>
              </w:rPr>
              <w:t>《地表水环境质量标准》（</w:t>
            </w:r>
            <w:r>
              <w:t>GB3838-2002）III类标准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Merge w:val="restart"/>
            <w:vAlign w:val="center"/>
          </w:tcPr>
          <w:p>
            <w:pPr>
              <w:pStyle w:val="8"/>
              <w:bidi w:val="0"/>
            </w:pPr>
            <w:r>
              <w:rPr>
                <w:rFonts w:hint="eastAsia"/>
              </w:rPr>
              <w:t>废气</w:t>
            </w:r>
          </w:p>
        </w:tc>
        <w:tc>
          <w:tcPr>
            <w:tcW w:w="1556" w:type="dxa"/>
            <w:gridSpan w:val="2"/>
            <w:vAlign w:val="center"/>
          </w:tcPr>
          <w:p>
            <w:pPr>
              <w:pStyle w:val="8"/>
              <w:bidi w:val="0"/>
            </w:pPr>
            <w:r>
              <w:rPr>
                <w:rFonts w:hint="eastAsia"/>
              </w:rPr>
              <w:t>猪舍</w:t>
            </w:r>
            <w:r>
              <w:rPr>
                <w:rFonts w:hint="eastAsia"/>
                <w:lang w:eastAsia="zh-CN"/>
              </w:rPr>
              <w:t>、发酵间</w:t>
            </w:r>
            <w:r>
              <w:rPr>
                <w:rFonts w:hint="eastAsia"/>
              </w:rPr>
              <w:t>等产生</w:t>
            </w:r>
          </w:p>
          <w:p>
            <w:pPr>
              <w:pStyle w:val="8"/>
              <w:bidi w:val="0"/>
            </w:pPr>
            <w:r>
              <w:rPr>
                <w:rFonts w:hint="eastAsia"/>
              </w:rPr>
              <w:t>恶臭气体</w:t>
            </w:r>
          </w:p>
        </w:tc>
        <w:tc>
          <w:tcPr>
            <w:tcW w:w="2081" w:type="dxa"/>
            <w:vAlign w:val="center"/>
          </w:tcPr>
          <w:p>
            <w:pPr>
              <w:pStyle w:val="8"/>
              <w:bidi w:val="0"/>
              <w:rPr>
                <w:rFonts w:hint="eastAsia"/>
                <w:lang w:eastAsia="zh-CN"/>
              </w:rPr>
            </w:pPr>
            <w:r>
              <w:rPr>
                <w:rFonts w:hint="eastAsia"/>
              </w:rPr>
              <w:t>喷洒防臭剂、水帘排风、科学配方饲料</w:t>
            </w:r>
            <w:r>
              <w:rPr>
                <w:rFonts w:hint="eastAsia"/>
                <w:lang w:eastAsia="zh-CN"/>
              </w:rPr>
              <w:t>，发酵间采用生物除臭剂进行喷洒</w:t>
            </w:r>
          </w:p>
        </w:tc>
        <w:tc>
          <w:tcPr>
            <w:tcW w:w="1317" w:type="dxa"/>
            <w:vAlign w:val="center"/>
          </w:tcPr>
          <w:p>
            <w:pPr>
              <w:pStyle w:val="8"/>
              <w:bidi w:val="0"/>
            </w:pPr>
            <w:r>
              <w:rPr>
                <w:rFonts w:hint="eastAsia"/>
              </w:rPr>
              <w:t>项目养殖区场界下向风浓度最高处。</w:t>
            </w:r>
          </w:p>
        </w:tc>
        <w:tc>
          <w:tcPr>
            <w:tcW w:w="1165" w:type="dxa"/>
            <w:vAlign w:val="center"/>
          </w:tcPr>
          <w:p>
            <w:pPr>
              <w:pStyle w:val="8"/>
              <w:bidi w:val="0"/>
            </w:pPr>
            <w:r>
              <w:rPr>
                <w:rFonts w:hint="eastAsia"/>
              </w:rPr>
              <w:t>H</w:t>
            </w:r>
            <w:r>
              <w:rPr>
                <w:rFonts w:hint="eastAsia"/>
                <w:vertAlign w:val="subscript"/>
              </w:rPr>
              <w:t>2</w:t>
            </w:r>
            <w:r>
              <w:rPr>
                <w:rFonts w:hint="eastAsia"/>
              </w:rPr>
              <w:t>S、NH</w:t>
            </w:r>
            <w:r>
              <w:rPr>
                <w:rFonts w:hint="eastAsia"/>
                <w:vertAlign w:val="subscript"/>
              </w:rPr>
              <w:t>3</w:t>
            </w:r>
            <w:r>
              <w:rPr>
                <w:rFonts w:hint="eastAsia"/>
              </w:rPr>
              <w:t>、臭气浓度</w:t>
            </w:r>
          </w:p>
        </w:tc>
        <w:tc>
          <w:tcPr>
            <w:tcW w:w="2040" w:type="dxa"/>
            <w:vAlign w:val="center"/>
          </w:tcPr>
          <w:p>
            <w:pPr>
              <w:pStyle w:val="8"/>
              <w:bidi w:val="0"/>
            </w:pPr>
            <w:r>
              <w:rPr>
                <w:rFonts w:hint="eastAsia"/>
              </w:rPr>
              <w:t>《畜禽养殖业污染物排放标准》（</w:t>
            </w:r>
            <w:r>
              <w:t>GB18596-2001</w:t>
            </w:r>
            <w:r>
              <w:rPr>
                <w:rFonts w:hint="eastAsia"/>
              </w:rPr>
              <w:t>）和《恶臭污染物排放标准》（</w:t>
            </w:r>
            <w:r>
              <w:t>GB14554-93</w:t>
            </w:r>
            <w:r>
              <w:rPr>
                <w:rFonts w:hint="eastAsia"/>
              </w:rPr>
              <w:t>）中恶臭污染物排放标准值要求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pStyle w:val="8"/>
              <w:bidi w:val="0"/>
            </w:pPr>
          </w:p>
        </w:tc>
        <w:tc>
          <w:tcPr>
            <w:tcW w:w="1556" w:type="dxa"/>
            <w:gridSpan w:val="2"/>
            <w:vAlign w:val="center"/>
          </w:tcPr>
          <w:p>
            <w:pPr>
              <w:pStyle w:val="8"/>
              <w:bidi w:val="0"/>
            </w:pPr>
            <w:r>
              <w:rPr>
                <w:rFonts w:hint="eastAsia"/>
              </w:rPr>
              <w:t>食堂</w:t>
            </w:r>
          </w:p>
          <w:p>
            <w:pPr>
              <w:pStyle w:val="8"/>
              <w:bidi w:val="0"/>
            </w:pPr>
            <w:r>
              <w:rPr>
                <w:rFonts w:hint="eastAsia"/>
              </w:rPr>
              <w:t>油烟</w:t>
            </w:r>
          </w:p>
        </w:tc>
        <w:tc>
          <w:tcPr>
            <w:tcW w:w="2081" w:type="dxa"/>
            <w:vAlign w:val="center"/>
          </w:tcPr>
          <w:p>
            <w:pPr>
              <w:pStyle w:val="8"/>
              <w:bidi w:val="0"/>
            </w:pPr>
            <w:r>
              <w:rPr>
                <w:rFonts w:hint="eastAsia"/>
              </w:rPr>
              <w:t>油烟净化器</w:t>
            </w:r>
          </w:p>
        </w:tc>
        <w:tc>
          <w:tcPr>
            <w:tcW w:w="1317" w:type="dxa"/>
            <w:vAlign w:val="center"/>
          </w:tcPr>
          <w:p>
            <w:pPr>
              <w:pStyle w:val="8"/>
              <w:bidi w:val="0"/>
            </w:pPr>
            <w:r>
              <w:rPr>
                <w:rFonts w:hint="eastAsia"/>
              </w:rPr>
              <w:t>油烟净化器进、出口烟道</w:t>
            </w:r>
          </w:p>
        </w:tc>
        <w:tc>
          <w:tcPr>
            <w:tcW w:w="1165" w:type="dxa"/>
            <w:vAlign w:val="center"/>
          </w:tcPr>
          <w:p>
            <w:pPr>
              <w:pStyle w:val="8"/>
              <w:bidi w:val="0"/>
            </w:pPr>
            <w:r>
              <w:rPr>
                <w:rFonts w:hint="eastAsia"/>
              </w:rPr>
              <w:t>油烟</w:t>
            </w:r>
          </w:p>
        </w:tc>
        <w:tc>
          <w:tcPr>
            <w:tcW w:w="2040" w:type="dxa"/>
            <w:vAlign w:val="center"/>
          </w:tcPr>
          <w:p>
            <w:pPr>
              <w:pStyle w:val="8"/>
              <w:bidi w:val="0"/>
            </w:pPr>
            <w:r>
              <w:rPr>
                <w:rFonts w:hint="eastAsia"/>
              </w:rPr>
              <w:t>《饮食业油烟排放标准》（</w:t>
            </w:r>
            <w:r>
              <w:t>GB18483-2001</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72" w:type="dxa"/>
            <w:vMerge w:val="continue"/>
            <w:vAlign w:val="center"/>
          </w:tcPr>
          <w:p>
            <w:pPr>
              <w:pStyle w:val="8"/>
              <w:bidi w:val="0"/>
            </w:pPr>
          </w:p>
        </w:tc>
        <w:tc>
          <w:tcPr>
            <w:tcW w:w="1556" w:type="dxa"/>
            <w:gridSpan w:val="2"/>
            <w:vAlign w:val="center"/>
          </w:tcPr>
          <w:p>
            <w:pPr>
              <w:pStyle w:val="8"/>
              <w:bidi w:val="0"/>
            </w:pPr>
            <w:r>
              <w:rPr>
                <w:rFonts w:hint="eastAsia"/>
              </w:rPr>
              <w:t>沼气发电系统</w:t>
            </w:r>
          </w:p>
        </w:tc>
        <w:tc>
          <w:tcPr>
            <w:tcW w:w="2081" w:type="dxa"/>
            <w:vAlign w:val="center"/>
          </w:tcPr>
          <w:p>
            <w:pPr>
              <w:pStyle w:val="8"/>
              <w:bidi w:val="0"/>
              <w:rPr>
                <w:rFonts w:hint="eastAsia" w:eastAsiaTheme="minorEastAsia"/>
                <w:lang w:eastAsia="zh-CN"/>
              </w:rPr>
            </w:pPr>
            <w:r>
              <w:rPr>
                <w:rFonts w:hint="eastAsia"/>
              </w:rPr>
              <w:t>脱硫</w:t>
            </w:r>
            <w:r>
              <w:rPr>
                <w:rFonts w:hint="eastAsia"/>
                <w:lang w:eastAsia="zh-CN"/>
              </w:rPr>
              <w:t>、高空燃烧</w:t>
            </w:r>
          </w:p>
        </w:tc>
        <w:tc>
          <w:tcPr>
            <w:tcW w:w="1317" w:type="dxa"/>
            <w:vAlign w:val="center"/>
          </w:tcPr>
          <w:p>
            <w:pPr>
              <w:pStyle w:val="8"/>
              <w:bidi w:val="0"/>
            </w:pPr>
            <w:r>
              <w:rPr>
                <w:rFonts w:hint="eastAsia"/>
              </w:rPr>
              <w:t>出口烟道</w:t>
            </w:r>
          </w:p>
        </w:tc>
        <w:tc>
          <w:tcPr>
            <w:tcW w:w="1165" w:type="dxa"/>
            <w:vAlign w:val="center"/>
          </w:tcPr>
          <w:p>
            <w:pPr>
              <w:pStyle w:val="8"/>
              <w:bidi w:val="0"/>
            </w:pPr>
            <w:r>
              <w:rPr>
                <w:rFonts w:hint="eastAsia"/>
              </w:rPr>
              <w:t>颗粒物、SO</w:t>
            </w:r>
            <w:r>
              <w:rPr>
                <w:rFonts w:hint="eastAsia"/>
                <w:vertAlign w:val="subscript"/>
              </w:rPr>
              <w:t>2</w:t>
            </w:r>
            <w:r>
              <w:rPr>
                <w:rFonts w:hint="eastAsia"/>
              </w:rPr>
              <w:t>、NOx</w:t>
            </w:r>
          </w:p>
        </w:tc>
        <w:tc>
          <w:tcPr>
            <w:tcW w:w="2040" w:type="dxa"/>
            <w:vAlign w:val="center"/>
          </w:tcPr>
          <w:p>
            <w:pPr>
              <w:pStyle w:val="8"/>
              <w:bidi w:val="0"/>
            </w:pPr>
            <w:r>
              <w:rPr>
                <w:rFonts w:hint="eastAsia"/>
              </w:rPr>
              <w:t>《大气污染物</w:t>
            </w:r>
            <w:r>
              <w:rPr>
                <w:rFonts w:hint="eastAsia"/>
                <w:lang w:eastAsia="zh-CN"/>
              </w:rPr>
              <w:t>综合</w:t>
            </w:r>
            <w:r>
              <w:rPr>
                <w:rFonts w:hint="eastAsia"/>
              </w:rPr>
              <w:t>排放标准》（GB</w:t>
            </w:r>
            <w:r>
              <w:rPr>
                <w:rFonts w:hint="eastAsia"/>
                <w:lang w:val="en-US" w:eastAsia="zh-CN"/>
              </w:rPr>
              <w:t>16297</w:t>
            </w:r>
            <w:r>
              <w:rPr>
                <w:rFonts w:hint="eastAsia"/>
              </w:rPr>
              <w:t>-</w:t>
            </w:r>
            <w:r>
              <w:rPr>
                <w:rFonts w:hint="eastAsia"/>
                <w:lang w:val="en-US" w:eastAsia="zh-CN"/>
              </w:rPr>
              <w:t>1996）</w:t>
            </w:r>
            <w:r>
              <w:rPr>
                <w:rFonts w:hint="eastAsia"/>
                <w:lang w:eastAsia="zh-CN"/>
              </w:rPr>
              <w:t>二级</w:t>
            </w:r>
            <w:r>
              <w:rPr>
                <w:rFonts w:hint="eastAsia"/>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572" w:type="dxa"/>
            <w:vMerge w:val="restart"/>
            <w:vAlign w:val="center"/>
          </w:tcPr>
          <w:p>
            <w:pPr>
              <w:pStyle w:val="8"/>
              <w:bidi w:val="0"/>
            </w:pPr>
            <w:r>
              <w:rPr>
                <w:rFonts w:hint="eastAsia"/>
              </w:rPr>
              <w:t>废水</w:t>
            </w:r>
          </w:p>
        </w:tc>
        <w:tc>
          <w:tcPr>
            <w:tcW w:w="1556" w:type="dxa"/>
            <w:gridSpan w:val="2"/>
            <w:vAlign w:val="center"/>
          </w:tcPr>
          <w:p>
            <w:pPr>
              <w:pStyle w:val="8"/>
              <w:bidi w:val="0"/>
            </w:pPr>
            <w:r>
              <w:rPr>
                <w:rFonts w:hint="eastAsia"/>
              </w:rPr>
              <w:t>猪舍废水</w:t>
            </w:r>
          </w:p>
        </w:tc>
        <w:tc>
          <w:tcPr>
            <w:tcW w:w="2081" w:type="dxa"/>
            <w:vMerge w:val="restart"/>
            <w:vAlign w:val="center"/>
          </w:tcPr>
          <w:p>
            <w:pPr>
              <w:pStyle w:val="8"/>
              <w:bidi w:val="0"/>
              <w:rPr>
                <w:rFonts w:hint="eastAsia" w:eastAsiaTheme="minorEastAsia"/>
                <w:lang w:eastAsia="zh-CN"/>
              </w:rPr>
            </w:pPr>
            <w:r>
              <w:rPr>
                <w:rFonts w:hint="eastAsia"/>
              </w:rPr>
              <w:t>项目采取雨水污分流制，厂内配套雨污管网，雨水排入周边山林，废水采用</w:t>
            </w:r>
            <w:r>
              <w:rPr>
                <w:rFonts w:hint="eastAsia"/>
                <w:lang w:eastAsia="zh-CN"/>
              </w:rPr>
              <w:t>厌氧发酵</w:t>
            </w:r>
            <w:r>
              <w:rPr>
                <w:rFonts w:hint="eastAsia"/>
                <w:lang w:val="en-US" w:eastAsia="zh-CN"/>
              </w:rPr>
              <w:t>+AO组合池</w:t>
            </w:r>
            <w:r>
              <w:rPr>
                <w:rFonts w:hint="eastAsia"/>
              </w:rPr>
              <w:t>工程方案</w:t>
            </w:r>
            <w:r>
              <w:rPr>
                <w:rFonts w:hint="eastAsia"/>
                <w:lang w:val="en-US" w:eastAsia="zh-CN"/>
              </w:rPr>
              <w:t>处理</w:t>
            </w:r>
            <w:r>
              <w:rPr>
                <w:rFonts w:hint="eastAsia"/>
                <w:lang w:eastAsia="zh-CN"/>
              </w:rPr>
              <w:t>，沼液还田</w:t>
            </w:r>
          </w:p>
        </w:tc>
        <w:tc>
          <w:tcPr>
            <w:tcW w:w="1317" w:type="dxa"/>
            <w:vMerge w:val="restart"/>
            <w:vAlign w:val="center"/>
          </w:tcPr>
          <w:p>
            <w:pPr>
              <w:pStyle w:val="8"/>
              <w:bidi w:val="0"/>
            </w:pPr>
            <w:r>
              <w:rPr>
                <w:rFonts w:hint="eastAsia"/>
              </w:rPr>
              <w:t>无</w:t>
            </w:r>
          </w:p>
        </w:tc>
        <w:tc>
          <w:tcPr>
            <w:tcW w:w="1165" w:type="dxa"/>
            <w:vMerge w:val="restart"/>
            <w:vAlign w:val="center"/>
          </w:tcPr>
          <w:p>
            <w:pPr>
              <w:pStyle w:val="8"/>
              <w:bidi w:val="0"/>
            </w:pPr>
            <w:r>
              <w:rPr>
                <w:rFonts w:hint="eastAsia"/>
              </w:rPr>
              <w:t>无</w:t>
            </w:r>
          </w:p>
        </w:tc>
        <w:tc>
          <w:tcPr>
            <w:tcW w:w="2040" w:type="dxa"/>
            <w:vMerge w:val="restart"/>
            <w:vAlign w:val="center"/>
          </w:tcPr>
          <w:p>
            <w:pPr>
              <w:pStyle w:val="8"/>
              <w:bidi w:val="0"/>
            </w:pPr>
            <w:r>
              <w:rPr>
                <w:rFonts w:hint="eastAsia"/>
              </w:rPr>
              <w:t>粪污不外排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pStyle w:val="8"/>
              <w:bidi w:val="0"/>
            </w:pPr>
          </w:p>
        </w:tc>
        <w:tc>
          <w:tcPr>
            <w:tcW w:w="1556" w:type="dxa"/>
            <w:gridSpan w:val="2"/>
            <w:vAlign w:val="center"/>
          </w:tcPr>
          <w:p>
            <w:pPr>
              <w:pStyle w:val="8"/>
              <w:bidi w:val="0"/>
            </w:pPr>
            <w:r>
              <w:rPr>
                <w:rFonts w:hint="eastAsia"/>
              </w:rPr>
              <w:t>办公生活区生活污水</w:t>
            </w:r>
          </w:p>
        </w:tc>
        <w:tc>
          <w:tcPr>
            <w:tcW w:w="2081" w:type="dxa"/>
            <w:vMerge w:val="continue"/>
            <w:vAlign w:val="center"/>
          </w:tcPr>
          <w:p>
            <w:pPr>
              <w:pStyle w:val="8"/>
              <w:bidi w:val="0"/>
            </w:pPr>
          </w:p>
        </w:tc>
        <w:tc>
          <w:tcPr>
            <w:tcW w:w="1317" w:type="dxa"/>
            <w:vMerge w:val="continue"/>
            <w:vAlign w:val="center"/>
          </w:tcPr>
          <w:p>
            <w:pPr>
              <w:pStyle w:val="8"/>
              <w:bidi w:val="0"/>
            </w:pPr>
          </w:p>
        </w:tc>
        <w:tc>
          <w:tcPr>
            <w:tcW w:w="1165" w:type="dxa"/>
            <w:vMerge w:val="continue"/>
            <w:vAlign w:val="center"/>
          </w:tcPr>
          <w:p>
            <w:pPr>
              <w:pStyle w:val="8"/>
              <w:bidi w:val="0"/>
            </w:pPr>
          </w:p>
        </w:tc>
        <w:tc>
          <w:tcPr>
            <w:tcW w:w="2040" w:type="dxa"/>
            <w:vMerge w:val="continue"/>
            <w:vAlign w:val="center"/>
          </w:tcPr>
          <w:p>
            <w:pPr>
              <w:pStyle w:val="8"/>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2" w:type="dxa"/>
            <w:vMerge w:val="restart"/>
            <w:vAlign w:val="center"/>
          </w:tcPr>
          <w:p>
            <w:pPr>
              <w:pStyle w:val="8"/>
              <w:bidi w:val="0"/>
            </w:pPr>
            <w:r>
              <w:rPr>
                <w:rFonts w:hint="eastAsia"/>
              </w:rPr>
              <w:t>地下水污</w:t>
            </w:r>
          </w:p>
          <w:p>
            <w:pPr>
              <w:pStyle w:val="8"/>
              <w:bidi w:val="0"/>
            </w:pPr>
            <w:r>
              <w:rPr>
                <w:rFonts w:hint="eastAsia"/>
              </w:rPr>
              <w:t>染防治</w:t>
            </w:r>
          </w:p>
        </w:tc>
        <w:tc>
          <w:tcPr>
            <w:tcW w:w="1556" w:type="dxa"/>
            <w:gridSpan w:val="2"/>
            <w:vMerge w:val="restart"/>
            <w:vAlign w:val="center"/>
          </w:tcPr>
          <w:p>
            <w:pPr>
              <w:pStyle w:val="8"/>
              <w:bidi w:val="0"/>
              <w:rPr>
                <w:rFonts w:hint="eastAsia" w:eastAsiaTheme="minorEastAsia"/>
                <w:lang w:eastAsia="zh-CN"/>
              </w:rPr>
            </w:pPr>
            <w:r>
              <w:rPr>
                <w:rFonts w:hint="eastAsia"/>
              </w:rPr>
              <w:t>集污池、</w:t>
            </w:r>
            <w:r>
              <w:rPr>
                <w:rFonts w:hint="eastAsia"/>
                <w:lang w:eastAsia="zh-CN"/>
              </w:rPr>
              <w:t>堆粪棚</w:t>
            </w:r>
          </w:p>
        </w:tc>
        <w:tc>
          <w:tcPr>
            <w:tcW w:w="2081" w:type="dxa"/>
            <w:vAlign w:val="center"/>
          </w:tcPr>
          <w:p>
            <w:pPr>
              <w:pStyle w:val="8"/>
              <w:bidi w:val="0"/>
            </w:pPr>
            <w:r>
              <w:rPr>
                <w:rFonts w:hint="eastAsia"/>
              </w:rPr>
              <w:t>猪舍集污池和堆粪棚、沼液储存池、</w:t>
            </w:r>
            <w:r>
              <w:rPr>
                <w:rFonts w:hint="eastAsia"/>
                <w:lang w:eastAsia="zh-CN"/>
              </w:rPr>
              <w:t>厌氧发酵</w:t>
            </w:r>
            <w:r>
              <w:rPr>
                <w:rFonts w:hint="eastAsia"/>
                <w:lang w:val="en-US" w:eastAsia="zh-CN"/>
              </w:rPr>
              <w:t>罐</w:t>
            </w:r>
            <w:r>
              <w:rPr>
                <w:rFonts w:hint="eastAsia"/>
              </w:rPr>
              <w:t>、冷冻库等采用混凝土防渗处理，分区防渗等</w:t>
            </w:r>
          </w:p>
        </w:tc>
        <w:tc>
          <w:tcPr>
            <w:tcW w:w="1317" w:type="dxa"/>
            <w:vAlign w:val="center"/>
          </w:tcPr>
          <w:p>
            <w:pPr>
              <w:pStyle w:val="8"/>
              <w:bidi w:val="0"/>
            </w:pPr>
            <w:r>
              <w:rPr>
                <w:rFonts w:hint="eastAsia"/>
              </w:rPr>
              <w:t>一般防渗区</w:t>
            </w:r>
          </w:p>
        </w:tc>
        <w:tc>
          <w:tcPr>
            <w:tcW w:w="1165" w:type="dxa"/>
            <w:vAlign w:val="center"/>
          </w:tcPr>
          <w:p>
            <w:pPr>
              <w:pStyle w:val="8"/>
              <w:bidi w:val="0"/>
            </w:pPr>
            <w:r>
              <w:rPr>
                <w:rFonts w:hint="eastAsia"/>
              </w:rPr>
              <w:t>检查与查验</w:t>
            </w:r>
          </w:p>
        </w:tc>
        <w:tc>
          <w:tcPr>
            <w:tcW w:w="2040" w:type="dxa"/>
            <w:vAlign w:val="center"/>
          </w:tcPr>
          <w:p>
            <w:pPr>
              <w:pStyle w:val="8"/>
              <w:bidi w:val="0"/>
            </w:pPr>
            <w:r>
              <w:rPr>
                <w:rFonts w:hint="eastAsia"/>
              </w:rPr>
              <w:t>渗透系数小于</w:t>
            </w:r>
            <w:r>
              <w:t>1×10</w:t>
            </w:r>
            <w:r>
              <w:rPr>
                <w:vertAlign w:val="superscript"/>
              </w:rPr>
              <w:t>-7</w:t>
            </w:r>
            <w: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Merge w:val="continue"/>
            <w:vAlign w:val="center"/>
          </w:tcPr>
          <w:p/>
        </w:tc>
        <w:tc>
          <w:tcPr>
            <w:tcW w:w="1556" w:type="dxa"/>
            <w:gridSpan w:val="2"/>
            <w:vMerge w:val="continue"/>
            <w:vAlign w:val="center"/>
          </w:tcPr>
          <w:p/>
        </w:tc>
        <w:tc>
          <w:tcPr>
            <w:tcW w:w="2081" w:type="dxa"/>
            <w:vAlign w:val="center"/>
          </w:tcPr>
          <w:p>
            <w:pPr>
              <w:pStyle w:val="8"/>
              <w:bidi w:val="0"/>
            </w:pPr>
            <w:r>
              <w:rPr>
                <w:rFonts w:hint="eastAsia"/>
              </w:rPr>
              <w:t>监测井监控</w:t>
            </w:r>
          </w:p>
        </w:tc>
        <w:tc>
          <w:tcPr>
            <w:tcW w:w="1317" w:type="dxa"/>
            <w:vAlign w:val="center"/>
          </w:tcPr>
          <w:p>
            <w:pPr>
              <w:pStyle w:val="8"/>
              <w:bidi w:val="0"/>
            </w:pPr>
            <w:r>
              <w:rPr>
                <w:rFonts w:hint="eastAsia"/>
              </w:rPr>
              <w:t>设置</w:t>
            </w:r>
            <w:r>
              <w:rPr>
                <w:rFonts w:hint="eastAsia"/>
                <w:lang w:val="en-US" w:eastAsia="zh-CN"/>
              </w:rPr>
              <w:t>1</w:t>
            </w:r>
            <w:r>
              <w:rPr>
                <w:rFonts w:hint="eastAsia"/>
              </w:rPr>
              <w:t>个地下水监测井</w:t>
            </w:r>
          </w:p>
        </w:tc>
        <w:tc>
          <w:tcPr>
            <w:tcW w:w="1165" w:type="dxa"/>
            <w:vAlign w:val="center"/>
          </w:tcPr>
          <w:p>
            <w:pPr>
              <w:pStyle w:val="8"/>
              <w:bidi w:val="0"/>
            </w:pPr>
            <w:r>
              <w:t>pH</w:t>
            </w:r>
            <w:r>
              <w:rPr>
                <w:rFonts w:hint="eastAsia"/>
                <w:lang w:eastAsia="zh-CN"/>
              </w:rPr>
              <w:t>、</w:t>
            </w:r>
            <w:r>
              <w:t>氨氮</w:t>
            </w:r>
            <w:r>
              <w:rPr>
                <w:rFonts w:hint="eastAsia"/>
                <w:lang w:eastAsia="zh-CN"/>
              </w:rPr>
              <w:t>、</w:t>
            </w:r>
            <w:r>
              <w:t>总硬度</w:t>
            </w:r>
            <w:r>
              <w:rPr>
                <w:rFonts w:hint="eastAsia"/>
                <w:lang w:eastAsia="zh-CN"/>
              </w:rPr>
              <w:t>、</w:t>
            </w:r>
            <w:r>
              <w:t>耗氧量</w:t>
            </w:r>
            <w:r>
              <w:rPr>
                <w:rFonts w:hint="eastAsia"/>
                <w:lang w:eastAsia="zh-CN"/>
              </w:rPr>
              <w:t>、</w:t>
            </w:r>
            <w:r>
              <w:rPr>
                <w:rFonts w:hint="eastAsia"/>
              </w:rPr>
              <w:t>挥发性酚类</w:t>
            </w:r>
            <w:r>
              <w:rPr>
                <w:rFonts w:hint="eastAsia"/>
                <w:lang w:eastAsia="zh-CN"/>
              </w:rPr>
              <w:t>、</w:t>
            </w:r>
            <w:r>
              <w:rPr>
                <w:rFonts w:hint="eastAsia"/>
              </w:rPr>
              <w:t>氟</w:t>
            </w:r>
            <w:r>
              <w:t>化物</w:t>
            </w:r>
            <w:r>
              <w:rPr>
                <w:rFonts w:hint="eastAsia"/>
                <w:lang w:eastAsia="zh-CN"/>
              </w:rPr>
              <w:t>、</w:t>
            </w:r>
            <w:r>
              <w:t>硫酸盐</w:t>
            </w:r>
            <w:r>
              <w:rPr>
                <w:rFonts w:hint="eastAsia"/>
                <w:lang w:eastAsia="zh-CN"/>
              </w:rPr>
              <w:t>、</w:t>
            </w:r>
            <w:r>
              <w:t>总大肠菌群</w:t>
            </w:r>
          </w:p>
        </w:tc>
        <w:tc>
          <w:tcPr>
            <w:tcW w:w="2040" w:type="dxa"/>
            <w:vAlign w:val="center"/>
          </w:tcPr>
          <w:p>
            <w:pPr>
              <w:pStyle w:val="8"/>
              <w:bidi w:val="0"/>
            </w:pPr>
            <w:r>
              <w:rPr>
                <w:rFonts w:hint="eastAsia"/>
              </w:rPr>
              <w:t>开展地下水跟踪监测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Merge w:val="restart"/>
            <w:vAlign w:val="center"/>
          </w:tcPr>
          <w:p>
            <w:pPr>
              <w:pStyle w:val="8"/>
              <w:bidi w:val="0"/>
            </w:pPr>
            <w:r>
              <w:rPr>
                <w:rFonts w:hint="eastAsia"/>
              </w:rPr>
              <w:t>固废</w:t>
            </w:r>
          </w:p>
        </w:tc>
        <w:tc>
          <w:tcPr>
            <w:tcW w:w="588" w:type="dxa"/>
            <w:vAlign w:val="center"/>
          </w:tcPr>
          <w:p>
            <w:pPr>
              <w:pStyle w:val="8"/>
              <w:bidi w:val="0"/>
            </w:pPr>
            <w:r>
              <w:rPr>
                <w:rFonts w:hint="eastAsia"/>
              </w:rPr>
              <w:t>生活区</w:t>
            </w:r>
          </w:p>
        </w:tc>
        <w:tc>
          <w:tcPr>
            <w:tcW w:w="968" w:type="dxa"/>
            <w:vAlign w:val="center"/>
          </w:tcPr>
          <w:p>
            <w:pPr>
              <w:pStyle w:val="8"/>
              <w:bidi w:val="0"/>
            </w:pPr>
            <w:r>
              <w:rPr>
                <w:rFonts w:hint="eastAsia"/>
              </w:rPr>
              <w:t>生活垃圾</w:t>
            </w:r>
          </w:p>
        </w:tc>
        <w:tc>
          <w:tcPr>
            <w:tcW w:w="2081" w:type="dxa"/>
            <w:vAlign w:val="center"/>
          </w:tcPr>
          <w:p>
            <w:pPr>
              <w:pStyle w:val="8"/>
              <w:bidi w:val="0"/>
            </w:pPr>
            <w:r>
              <w:rPr>
                <w:rFonts w:hint="eastAsia"/>
              </w:rPr>
              <w:t>垃圾箱收集统一运至附近垃圾中转站，进入当地农村生活垃圾收集系统</w:t>
            </w:r>
          </w:p>
        </w:tc>
        <w:tc>
          <w:tcPr>
            <w:tcW w:w="1317" w:type="dxa"/>
            <w:vAlign w:val="center"/>
          </w:tcPr>
          <w:p>
            <w:pPr>
              <w:pStyle w:val="8"/>
              <w:bidi w:val="0"/>
            </w:pPr>
            <w:r>
              <w:rPr>
                <w:rFonts w:hint="eastAsia"/>
              </w:rPr>
              <w:t>临时储运设备</w:t>
            </w:r>
          </w:p>
        </w:tc>
        <w:tc>
          <w:tcPr>
            <w:tcW w:w="1165" w:type="dxa"/>
            <w:vAlign w:val="center"/>
          </w:tcPr>
          <w:p>
            <w:pPr>
              <w:pStyle w:val="8"/>
              <w:bidi w:val="0"/>
            </w:pPr>
            <w:r>
              <w:rPr>
                <w:rFonts w:hint="eastAsia"/>
              </w:rPr>
              <w:t>检查与查验</w:t>
            </w:r>
          </w:p>
        </w:tc>
        <w:tc>
          <w:tcPr>
            <w:tcW w:w="2040" w:type="dxa"/>
            <w:vAlign w:val="center"/>
          </w:tcPr>
          <w:p>
            <w:pPr>
              <w:pStyle w:val="8"/>
              <w:bidi w:val="0"/>
            </w:pPr>
            <w:r>
              <w:rPr>
                <w:rFonts w:hint="eastAsia"/>
              </w:rPr>
              <w:t>生活垃圾执行《生活垃圾</w:t>
            </w:r>
            <w:r>
              <w:rPr>
                <w:rFonts w:hint="eastAsia"/>
                <w:lang w:eastAsia="zh-CN"/>
              </w:rPr>
              <w:t>焚烧</w:t>
            </w:r>
            <w:r>
              <w:rPr>
                <w:rFonts w:hint="eastAsia"/>
              </w:rPr>
              <w:t>污染物控制标准》（GB</w:t>
            </w:r>
            <w:r>
              <w:rPr>
                <w:rFonts w:hint="eastAsia"/>
                <w:lang w:val="en-US" w:eastAsia="zh-CN"/>
              </w:rPr>
              <w:t>18485</w:t>
            </w:r>
            <w:r>
              <w:rPr>
                <w:rFonts w:hint="eastAsia"/>
              </w:rPr>
              <w:t>-20</w:t>
            </w:r>
            <w:r>
              <w:rPr>
                <w:rFonts w:hint="eastAsia"/>
                <w:lang w:val="en-US" w:eastAsia="zh-CN"/>
              </w:rPr>
              <w:t>14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pStyle w:val="8"/>
              <w:bidi w:val="0"/>
            </w:pPr>
          </w:p>
        </w:tc>
        <w:tc>
          <w:tcPr>
            <w:tcW w:w="588" w:type="dxa"/>
            <w:vMerge w:val="restart"/>
            <w:vAlign w:val="center"/>
          </w:tcPr>
          <w:p>
            <w:pPr>
              <w:pStyle w:val="8"/>
              <w:bidi w:val="0"/>
            </w:pPr>
            <w:r>
              <w:rPr>
                <w:rFonts w:hint="eastAsia"/>
              </w:rPr>
              <w:t>养殖区</w:t>
            </w:r>
          </w:p>
        </w:tc>
        <w:tc>
          <w:tcPr>
            <w:tcW w:w="968" w:type="dxa"/>
            <w:vAlign w:val="center"/>
          </w:tcPr>
          <w:p>
            <w:pPr>
              <w:pStyle w:val="8"/>
              <w:bidi w:val="0"/>
              <w:rPr>
                <w:rFonts w:hint="eastAsia" w:eastAsiaTheme="minorEastAsia"/>
                <w:lang w:eastAsia="zh-CN"/>
              </w:rPr>
            </w:pPr>
            <w:r>
              <w:rPr>
                <w:rFonts w:hint="eastAsia"/>
              </w:rPr>
              <w:t>病死猪</w:t>
            </w:r>
            <w:r>
              <w:rPr>
                <w:rFonts w:hint="eastAsia"/>
                <w:lang w:eastAsia="zh-CN"/>
              </w:rPr>
              <w:t>、分娩废物</w:t>
            </w:r>
          </w:p>
        </w:tc>
        <w:tc>
          <w:tcPr>
            <w:tcW w:w="2081" w:type="dxa"/>
            <w:vAlign w:val="center"/>
          </w:tcPr>
          <w:p>
            <w:pPr>
              <w:pStyle w:val="8"/>
              <w:bidi w:val="0"/>
            </w:pPr>
            <w:r>
              <w:rPr>
                <w:rFonts w:hint="eastAsia"/>
              </w:rPr>
              <w:t>冷冻库暂存</w:t>
            </w:r>
            <w:r>
              <w:rPr>
                <w:rFonts w:hint="eastAsia"/>
                <w:lang w:val="en-US" w:eastAsia="zh-CN"/>
              </w:rPr>
              <w:t>,容积为40m</w:t>
            </w:r>
            <w:r>
              <w:rPr>
                <w:rFonts w:hint="eastAsia"/>
                <w:vertAlign w:val="superscript"/>
                <w:lang w:val="en-US" w:eastAsia="zh-CN"/>
              </w:rPr>
              <w:t>3</w:t>
            </w:r>
            <w:r>
              <w:rPr>
                <w:rFonts w:hint="eastAsia"/>
                <w:lang w:val="en-US" w:eastAsia="zh-CN"/>
              </w:rPr>
              <w:t>，冷库下设消毒池</w:t>
            </w:r>
          </w:p>
        </w:tc>
        <w:tc>
          <w:tcPr>
            <w:tcW w:w="2482" w:type="dxa"/>
            <w:gridSpan w:val="2"/>
            <w:vAlign w:val="center"/>
          </w:tcPr>
          <w:p>
            <w:pPr>
              <w:pStyle w:val="8"/>
              <w:bidi w:val="0"/>
            </w:pPr>
            <w:r>
              <w:rPr>
                <w:rFonts w:hint="eastAsia"/>
              </w:rPr>
              <w:t>定期运往澧县病死畜禽无害化集中处理收集中心，现场查验台帐</w:t>
            </w:r>
          </w:p>
        </w:tc>
        <w:tc>
          <w:tcPr>
            <w:tcW w:w="2040" w:type="dxa"/>
            <w:vAlign w:val="center"/>
          </w:tcPr>
          <w:p>
            <w:pPr>
              <w:pStyle w:val="8"/>
              <w:bidi w:val="0"/>
            </w:pPr>
            <w:r>
              <w:rPr>
                <w:rFonts w:hint="eastAsia"/>
              </w:rPr>
              <w:t>《畜禽养殖业污染防治技术规范》（</w:t>
            </w:r>
            <w:r>
              <w:t>HJ/T81-2001</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72" w:type="dxa"/>
            <w:vMerge w:val="continue"/>
            <w:vAlign w:val="center"/>
          </w:tcPr>
          <w:p>
            <w:pPr>
              <w:pStyle w:val="8"/>
              <w:bidi w:val="0"/>
            </w:pPr>
          </w:p>
        </w:tc>
        <w:tc>
          <w:tcPr>
            <w:tcW w:w="588" w:type="dxa"/>
            <w:vMerge w:val="continue"/>
            <w:vAlign w:val="center"/>
          </w:tcPr>
          <w:p>
            <w:pPr>
              <w:pStyle w:val="8"/>
              <w:bidi w:val="0"/>
            </w:pPr>
          </w:p>
        </w:tc>
        <w:tc>
          <w:tcPr>
            <w:tcW w:w="968" w:type="dxa"/>
            <w:vAlign w:val="center"/>
          </w:tcPr>
          <w:p>
            <w:pPr>
              <w:pStyle w:val="8"/>
              <w:bidi w:val="0"/>
            </w:pPr>
            <w:r>
              <w:rPr>
                <w:rFonts w:hint="eastAsia"/>
                <w:lang w:eastAsia="zh-CN"/>
              </w:rPr>
              <w:t>堆肥</w:t>
            </w:r>
            <w:r>
              <w:rPr>
                <w:rFonts w:hint="eastAsia"/>
              </w:rPr>
              <w:t>、沼渣</w:t>
            </w:r>
          </w:p>
        </w:tc>
        <w:tc>
          <w:tcPr>
            <w:tcW w:w="2081" w:type="dxa"/>
            <w:vAlign w:val="center"/>
          </w:tcPr>
          <w:p>
            <w:pPr>
              <w:pStyle w:val="8"/>
              <w:bidi w:val="0"/>
            </w:pPr>
            <w:r>
              <w:rPr>
                <w:rFonts w:hint="eastAsia"/>
                <w:lang w:eastAsia="zh-CN"/>
              </w:rPr>
              <w:t>堆肥发酵</w:t>
            </w:r>
            <w:r>
              <w:rPr>
                <w:rFonts w:hint="eastAsia"/>
              </w:rPr>
              <w:t>、沼气发酵系统</w:t>
            </w:r>
          </w:p>
        </w:tc>
        <w:tc>
          <w:tcPr>
            <w:tcW w:w="1317" w:type="dxa"/>
            <w:vAlign w:val="center"/>
          </w:tcPr>
          <w:p>
            <w:pPr>
              <w:pStyle w:val="8"/>
              <w:bidi w:val="0"/>
            </w:pPr>
            <w:r>
              <w:rPr>
                <w:rFonts w:hint="eastAsia"/>
              </w:rPr>
              <w:t>作为肥料施肥</w:t>
            </w:r>
          </w:p>
        </w:tc>
        <w:tc>
          <w:tcPr>
            <w:tcW w:w="1165" w:type="dxa"/>
            <w:vAlign w:val="center"/>
          </w:tcPr>
          <w:p>
            <w:pPr>
              <w:pStyle w:val="8"/>
              <w:bidi w:val="0"/>
            </w:pPr>
            <w:r>
              <w:rPr>
                <w:rFonts w:hint="eastAsia"/>
              </w:rPr>
              <w:t>/</w:t>
            </w:r>
          </w:p>
        </w:tc>
        <w:tc>
          <w:tcPr>
            <w:tcW w:w="2040" w:type="dxa"/>
            <w:vAlign w:val="center"/>
          </w:tcPr>
          <w:p>
            <w:pPr>
              <w:pStyle w:val="8"/>
              <w:bidi w:val="0"/>
              <w:rPr>
                <w:rFonts w:hint="eastAsia"/>
                <w:lang w:eastAsia="zh-CN"/>
              </w:rPr>
            </w:pPr>
            <w:r>
              <w:rPr>
                <w:rFonts w:hint="eastAsia"/>
                <w:lang w:eastAsia="zh-CN"/>
              </w:rPr>
              <w:t>沼渣用于还田。堆肥产生的有机肥作为有机肥料外售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pStyle w:val="8"/>
              <w:bidi w:val="0"/>
            </w:pPr>
          </w:p>
        </w:tc>
        <w:tc>
          <w:tcPr>
            <w:tcW w:w="588" w:type="dxa"/>
            <w:vMerge w:val="continue"/>
            <w:vAlign w:val="center"/>
          </w:tcPr>
          <w:p>
            <w:pPr>
              <w:pStyle w:val="8"/>
              <w:bidi w:val="0"/>
            </w:pPr>
          </w:p>
        </w:tc>
        <w:tc>
          <w:tcPr>
            <w:tcW w:w="968" w:type="dxa"/>
            <w:vAlign w:val="center"/>
          </w:tcPr>
          <w:p>
            <w:pPr>
              <w:pStyle w:val="8"/>
              <w:bidi w:val="0"/>
            </w:pPr>
            <w:r>
              <w:rPr>
                <w:rFonts w:hint="eastAsia"/>
              </w:rPr>
              <w:t>医疗垃圾</w:t>
            </w:r>
          </w:p>
        </w:tc>
        <w:tc>
          <w:tcPr>
            <w:tcW w:w="2081" w:type="dxa"/>
            <w:vAlign w:val="center"/>
          </w:tcPr>
          <w:p>
            <w:pPr>
              <w:pStyle w:val="8"/>
              <w:bidi w:val="0"/>
            </w:pPr>
            <w:r>
              <w:rPr>
                <w:rFonts w:hint="eastAsia"/>
              </w:rPr>
              <w:t>委托有资质的单位处理</w:t>
            </w:r>
          </w:p>
        </w:tc>
        <w:tc>
          <w:tcPr>
            <w:tcW w:w="1317" w:type="dxa"/>
            <w:vAlign w:val="center"/>
          </w:tcPr>
          <w:p>
            <w:pPr>
              <w:pStyle w:val="8"/>
              <w:bidi w:val="0"/>
            </w:pPr>
            <w:r>
              <w:rPr>
                <w:rFonts w:hint="eastAsia"/>
              </w:rPr>
              <w:t>暂存间</w:t>
            </w:r>
          </w:p>
        </w:tc>
        <w:tc>
          <w:tcPr>
            <w:tcW w:w="1165" w:type="dxa"/>
            <w:vAlign w:val="center"/>
          </w:tcPr>
          <w:p>
            <w:pPr>
              <w:pStyle w:val="8"/>
              <w:bidi w:val="0"/>
            </w:pPr>
            <w:r>
              <w:rPr>
                <w:rFonts w:hint="eastAsia"/>
              </w:rPr>
              <w:t>现场查验</w:t>
            </w:r>
          </w:p>
        </w:tc>
        <w:tc>
          <w:tcPr>
            <w:tcW w:w="2040" w:type="dxa"/>
            <w:vAlign w:val="center"/>
          </w:tcPr>
          <w:p>
            <w:pPr>
              <w:pStyle w:val="8"/>
              <w:bidi w:val="0"/>
            </w:pPr>
            <w:r>
              <w:rPr>
                <w:rFonts w:hint="eastAsia"/>
              </w:rPr>
              <w:t>《危险废物贮存污染控制标准》（</w:t>
            </w:r>
            <w:r>
              <w:t>GB18597-2001</w:t>
            </w:r>
            <w:r>
              <w:rPr>
                <w:rFonts w:hint="eastAsia"/>
              </w:rPr>
              <w:t>）及</w:t>
            </w:r>
            <w:r>
              <w:t>2013</w:t>
            </w:r>
            <w:r>
              <w:rPr>
                <w:rFonts w:hint="eastAsia"/>
              </w:rPr>
              <w:t>年修订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pStyle w:val="8"/>
              <w:bidi w:val="0"/>
            </w:pPr>
          </w:p>
        </w:tc>
        <w:tc>
          <w:tcPr>
            <w:tcW w:w="588" w:type="dxa"/>
            <w:vMerge w:val="continue"/>
            <w:vAlign w:val="center"/>
          </w:tcPr>
          <w:p>
            <w:pPr>
              <w:pStyle w:val="8"/>
              <w:bidi w:val="0"/>
            </w:pPr>
          </w:p>
        </w:tc>
        <w:tc>
          <w:tcPr>
            <w:tcW w:w="968" w:type="dxa"/>
            <w:vAlign w:val="center"/>
          </w:tcPr>
          <w:p>
            <w:pPr>
              <w:pStyle w:val="8"/>
              <w:bidi w:val="0"/>
              <w:rPr>
                <w:rFonts w:hint="eastAsia" w:eastAsiaTheme="minorEastAsia"/>
                <w:lang w:eastAsia="zh-CN"/>
              </w:rPr>
            </w:pPr>
            <w:r>
              <w:rPr>
                <w:rFonts w:hint="eastAsia"/>
                <w:lang w:eastAsia="zh-CN"/>
              </w:rPr>
              <w:t>脱硫废渣</w:t>
            </w:r>
          </w:p>
        </w:tc>
        <w:tc>
          <w:tcPr>
            <w:tcW w:w="2081" w:type="dxa"/>
            <w:vAlign w:val="center"/>
          </w:tcPr>
          <w:p>
            <w:pPr>
              <w:pStyle w:val="8"/>
              <w:bidi w:val="0"/>
              <w:rPr>
                <w:rFonts w:hint="eastAsia" w:eastAsiaTheme="minorEastAsia"/>
                <w:lang w:eastAsia="zh-CN"/>
              </w:rPr>
            </w:pPr>
            <w:r>
              <w:rPr>
                <w:rFonts w:hint="eastAsia"/>
                <w:lang w:eastAsia="zh-CN"/>
              </w:rPr>
              <w:t>厂家回收</w:t>
            </w:r>
          </w:p>
        </w:tc>
        <w:tc>
          <w:tcPr>
            <w:tcW w:w="1317" w:type="dxa"/>
            <w:vAlign w:val="center"/>
          </w:tcPr>
          <w:p>
            <w:pPr>
              <w:pStyle w:val="8"/>
              <w:bidi w:val="0"/>
              <w:rPr>
                <w:rFonts w:hint="eastAsia" w:eastAsiaTheme="minorEastAsia"/>
                <w:lang w:val="en-US" w:eastAsia="zh-CN"/>
              </w:rPr>
            </w:pPr>
            <w:r>
              <w:rPr>
                <w:rFonts w:hint="eastAsia"/>
                <w:lang w:val="en-US" w:eastAsia="zh-CN"/>
              </w:rPr>
              <w:t>/</w:t>
            </w:r>
          </w:p>
        </w:tc>
        <w:tc>
          <w:tcPr>
            <w:tcW w:w="1165" w:type="dxa"/>
            <w:vAlign w:val="center"/>
          </w:tcPr>
          <w:p>
            <w:pPr>
              <w:pStyle w:val="8"/>
              <w:bidi w:val="0"/>
              <w:rPr>
                <w:rFonts w:hint="eastAsia"/>
              </w:rPr>
            </w:pPr>
            <w:r>
              <w:rPr>
                <w:rFonts w:hint="eastAsia"/>
              </w:rPr>
              <w:t>现场查验</w:t>
            </w:r>
          </w:p>
        </w:tc>
        <w:tc>
          <w:tcPr>
            <w:tcW w:w="2040" w:type="dxa"/>
            <w:vAlign w:val="center"/>
          </w:tcPr>
          <w:p>
            <w:pPr>
              <w:pStyle w:val="8"/>
              <w:bidi w:val="0"/>
              <w:rPr>
                <w:rFonts w:hint="eastAsia"/>
              </w:rPr>
            </w:pPr>
            <w:r>
              <w:rPr>
                <w:rFonts w:hint="eastAsia"/>
              </w:rPr>
              <w:t>《一般工业固体废物贮存、处置场污染控制标准》</w:t>
            </w:r>
            <w:r>
              <w:t>GB18599-2001</w:t>
            </w:r>
            <w:r>
              <w:rPr>
                <w:rFonts w:hint="eastAsia"/>
              </w:rPr>
              <w:t>及</w:t>
            </w:r>
            <w:r>
              <w:t>2013</w:t>
            </w:r>
            <w:r>
              <w:rPr>
                <w:rFonts w:hint="eastAsia"/>
              </w:rPr>
              <w:t>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Align w:val="center"/>
          </w:tcPr>
          <w:p>
            <w:pPr>
              <w:pStyle w:val="8"/>
              <w:bidi w:val="0"/>
            </w:pPr>
            <w:r>
              <w:rPr>
                <w:rFonts w:hint="eastAsia"/>
              </w:rPr>
              <w:t>噪声</w:t>
            </w:r>
          </w:p>
        </w:tc>
        <w:tc>
          <w:tcPr>
            <w:tcW w:w="1556" w:type="dxa"/>
            <w:gridSpan w:val="2"/>
            <w:vAlign w:val="center"/>
          </w:tcPr>
          <w:p>
            <w:pPr>
              <w:pStyle w:val="8"/>
              <w:bidi w:val="0"/>
            </w:pPr>
            <w:r>
              <w:rPr>
                <w:rFonts w:hint="eastAsia"/>
              </w:rPr>
              <w:t>粪污处理设备、水泵、风机等设备</w:t>
            </w:r>
          </w:p>
        </w:tc>
        <w:tc>
          <w:tcPr>
            <w:tcW w:w="2081" w:type="dxa"/>
            <w:vAlign w:val="center"/>
          </w:tcPr>
          <w:p>
            <w:pPr>
              <w:pStyle w:val="8"/>
              <w:bidi w:val="0"/>
            </w:pPr>
            <w:r>
              <w:rPr>
                <w:rFonts w:hint="eastAsia"/>
              </w:rPr>
              <w:t>减振垫、隔声、厂界绿化</w:t>
            </w:r>
          </w:p>
        </w:tc>
        <w:tc>
          <w:tcPr>
            <w:tcW w:w="1317" w:type="dxa"/>
            <w:vAlign w:val="center"/>
          </w:tcPr>
          <w:p>
            <w:pPr>
              <w:pStyle w:val="8"/>
              <w:bidi w:val="0"/>
            </w:pPr>
            <w:r>
              <w:rPr>
                <w:rFonts w:hint="eastAsia"/>
              </w:rPr>
              <w:t>项目育肥场养殖区厂界四周</w:t>
            </w:r>
          </w:p>
        </w:tc>
        <w:tc>
          <w:tcPr>
            <w:tcW w:w="1165" w:type="dxa"/>
            <w:vAlign w:val="center"/>
          </w:tcPr>
          <w:p>
            <w:pPr>
              <w:pStyle w:val="8"/>
              <w:bidi w:val="0"/>
            </w:pPr>
            <w:r>
              <w:t>Leq(A)</w:t>
            </w:r>
          </w:p>
        </w:tc>
        <w:tc>
          <w:tcPr>
            <w:tcW w:w="2040" w:type="dxa"/>
            <w:vAlign w:val="center"/>
          </w:tcPr>
          <w:p>
            <w:pPr>
              <w:pStyle w:val="8"/>
              <w:bidi w:val="0"/>
            </w:pPr>
            <w:r>
              <w:rPr>
                <w:rFonts w:hint="eastAsia"/>
              </w:rPr>
              <w:t>《工业企业厂界环境噪声排放标准》</w:t>
            </w:r>
            <w:r>
              <w:t>(GB12348-2008)2</w:t>
            </w:r>
            <w:r>
              <w:rPr>
                <w:rFonts w:hint="eastAsia"/>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Align w:val="center"/>
          </w:tcPr>
          <w:p>
            <w:pPr>
              <w:pStyle w:val="8"/>
              <w:bidi w:val="0"/>
            </w:pPr>
            <w:r>
              <w:rPr>
                <w:rFonts w:hint="eastAsia"/>
              </w:rPr>
              <w:t>生态</w:t>
            </w:r>
          </w:p>
        </w:tc>
        <w:tc>
          <w:tcPr>
            <w:tcW w:w="588" w:type="dxa"/>
            <w:vAlign w:val="center"/>
          </w:tcPr>
          <w:p>
            <w:pPr>
              <w:pStyle w:val="8"/>
              <w:bidi w:val="0"/>
            </w:pPr>
            <w:r>
              <w:rPr>
                <w:rFonts w:hint="eastAsia"/>
              </w:rPr>
              <w:t>养殖区</w:t>
            </w:r>
          </w:p>
        </w:tc>
        <w:tc>
          <w:tcPr>
            <w:tcW w:w="968" w:type="dxa"/>
            <w:vAlign w:val="center"/>
          </w:tcPr>
          <w:p>
            <w:pPr>
              <w:pStyle w:val="8"/>
              <w:bidi w:val="0"/>
            </w:pPr>
            <w:r>
              <w:rPr>
                <w:rFonts w:hint="eastAsia"/>
              </w:rPr>
              <w:t>扬尘、噪声、恶臭</w:t>
            </w:r>
          </w:p>
        </w:tc>
        <w:tc>
          <w:tcPr>
            <w:tcW w:w="2081" w:type="dxa"/>
            <w:vAlign w:val="center"/>
          </w:tcPr>
          <w:p>
            <w:pPr>
              <w:pStyle w:val="8"/>
              <w:bidi w:val="0"/>
            </w:pPr>
            <w:r>
              <w:rPr>
                <w:rFonts w:hint="eastAsia"/>
              </w:rPr>
              <w:t>场区内及厂界植树、防护林</w:t>
            </w:r>
          </w:p>
        </w:tc>
        <w:tc>
          <w:tcPr>
            <w:tcW w:w="1317" w:type="dxa"/>
            <w:vAlign w:val="center"/>
          </w:tcPr>
          <w:p>
            <w:pPr>
              <w:pStyle w:val="8"/>
              <w:bidi w:val="0"/>
            </w:pPr>
            <w:r>
              <w:rPr>
                <w:rFonts w:hint="eastAsia"/>
              </w:rPr>
              <w:t>/</w:t>
            </w:r>
          </w:p>
        </w:tc>
        <w:tc>
          <w:tcPr>
            <w:tcW w:w="1165" w:type="dxa"/>
            <w:vAlign w:val="center"/>
          </w:tcPr>
          <w:p>
            <w:pPr>
              <w:pStyle w:val="8"/>
              <w:bidi w:val="0"/>
            </w:pPr>
            <w:r>
              <w:rPr>
                <w:rFonts w:hint="eastAsia"/>
              </w:rPr>
              <w:t>/</w:t>
            </w:r>
          </w:p>
        </w:tc>
        <w:tc>
          <w:tcPr>
            <w:tcW w:w="2040" w:type="dxa"/>
            <w:vAlign w:val="center"/>
          </w:tcPr>
          <w:p>
            <w:pPr>
              <w:pStyle w:val="8"/>
              <w:bidi w:val="0"/>
            </w:pPr>
            <w:r>
              <w:rPr>
                <w:rFonts w:hint="eastAsia"/>
              </w:rPr>
              <w:t>绿化面积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dxa"/>
            <w:vAlign w:val="center"/>
          </w:tcPr>
          <w:p>
            <w:pPr>
              <w:pStyle w:val="8"/>
              <w:bidi w:val="0"/>
              <w:rPr>
                <w:rFonts w:hint="eastAsia"/>
                <w:lang w:val="en-US" w:eastAsia="zh-CN"/>
              </w:rPr>
            </w:pPr>
            <w:r>
              <w:rPr>
                <w:rFonts w:hint="eastAsia"/>
                <w:lang w:eastAsia="zh-CN"/>
              </w:rPr>
              <w:t>环境风险</w:t>
            </w:r>
          </w:p>
        </w:tc>
        <w:tc>
          <w:tcPr>
            <w:tcW w:w="588" w:type="dxa"/>
            <w:vAlign w:val="center"/>
          </w:tcPr>
          <w:p>
            <w:pPr>
              <w:pStyle w:val="8"/>
              <w:bidi w:val="0"/>
              <w:rPr>
                <w:rFonts w:hint="eastAsia"/>
                <w:lang w:val="en-US" w:eastAsia="zh-CN"/>
              </w:rPr>
            </w:pPr>
            <w:r>
              <w:rPr>
                <w:rFonts w:hint="eastAsia"/>
              </w:rPr>
              <w:t>养殖区</w:t>
            </w:r>
          </w:p>
        </w:tc>
        <w:tc>
          <w:tcPr>
            <w:tcW w:w="968" w:type="dxa"/>
            <w:vAlign w:val="center"/>
          </w:tcPr>
          <w:p>
            <w:pPr>
              <w:pStyle w:val="8"/>
              <w:bidi w:val="0"/>
              <w:rPr>
                <w:rFonts w:hint="eastAsia"/>
                <w:lang w:val="en-US" w:eastAsia="zh-CN"/>
              </w:rPr>
            </w:pPr>
            <w:r>
              <w:rPr>
                <w:rFonts w:hint="eastAsia"/>
                <w:lang w:eastAsia="zh-CN"/>
              </w:rPr>
              <w:t>厌氧罐沼气发酵设施故障时</w:t>
            </w:r>
          </w:p>
        </w:tc>
        <w:tc>
          <w:tcPr>
            <w:tcW w:w="2081" w:type="dxa"/>
            <w:vAlign w:val="center"/>
          </w:tcPr>
          <w:p>
            <w:pPr>
              <w:pStyle w:val="8"/>
              <w:bidi w:val="0"/>
              <w:rPr>
                <w:rFonts w:hint="default"/>
                <w:lang w:val="en-US" w:eastAsia="zh-CN"/>
              </w:rPr>
            </w:pPr>
            <w:r>
              <w:rPr>
                <w:rFonts w:hint="eastAsia"/>
                <w:lang w:eastAsia="zh-CN"/>
              </w:rPr>
              <w:t>配套相应的</w:t>
            </w:r>
            <w:r>
              <w:rPr>
                <w:rFonts w:hint="eastAsia"/>
                <w:lang w:val="en-US" w:eastAsia="zh-CN"/>
              </w:rPr>
              <w:t>沼液储存池、加强管理，制定突发环境事件应急预案</w:t>
            </w:r>
          </w:p>
        </w:tc>
        <w:tc>
          <w:tcPr>
            <w:tcW w:w="1317" w:type="dxa"/>
            <w:vAlign w:val="center"/>
          </w:tcPr>
          <w:p>
            <w:pPr>
              <w:pStyle w:val="8"/>
              <w:bidi w:val="0"/>
              <w:rPr>
                <w:rFonts w:hint="eastAsia"/>
                <w:lang w:val="en-US" w:eastAsia="zh-CN"/>
              </w:rPr>
            </w:pPr>
            <w:r>
              <w:rPr>
                <w:rFonts w:hint="eastAsia"/>
              </w:rPr>
              <w:t>/</w:t>
            </w:r>
          </w:p>
        </w:tc>
        <w:tc>
          <w:tcPr>
            <w:tcW w:w="1165" w:type="dxa"/>
            <w:vAlign w:val="center"/>
          </w:tcPr>
          <w:p>
            <w:pPr>
              <w:pStyle w:val="8"/>
              <w:bidi w:val="0"/>
              <w:rPr>
                <w:rFonts w:hint="eastAsia"/>
                <w:lang w:val="en-US" w:eastAsia="zh-CN"/>
              </w:rPr>
            </w:pPr>
            <w:r>
              <w:rPr>
                <w:rFonts w:hint="eastAsia"/>
              </w:rPr>
              <w:t>/</w:t>
            </w:r>
          </w:p>
        </w:tc>
        <w:tc>
          <w:tcPr>
            <w:tcW w:w="2040" w:type="dxa"/>
            <w:vAlign w:val="center"/>
          </w:tcPr>
          <w:p>
            <w:pPr>
              <w:pStyle w:val="8"/>
              <w:bidi w:val="0"/>
              <w:rPr>
                <w:rFonts w:hint="eastAsia"/>
                <w:lang w:val="en-US" w:eastAsia="zh-CN"/>
              </w:rPr>
            </w:pPr>
            <w:r>
              <w:rPr>
                <w:rFonts w:hint="eastAsia"/>
              </w:rPr>
              <w:t>/</w:t>
            </w:r>
          </w:p>
        </w:tc>
      </w:tr>
    </w:tbl>
    <w:p>
      <w:pPr>
        <w:pStyle w:val="2"/>
        <w:bidi w:val="0"/>
      </w:pPr>
      <w:r>
        <w:br w:type="page"/>
      </w:r>
      <w:bookmarkStart w:id="541" w:name="_Toc23847"/>
      <w:r>
        <w:t>项目可行性分析</w:t>
      </w:r>
      <w:bookmarkEnd w:id="541"/>
    </w:p>
    <w:p>
      <w:pPr>
        <w:pStyle w:val="4"/>
        <w:bidi w:val="0"/>
      </w:pPr>
      <w:bookmarkStart w:id="542" w:name="_Toc10323"/>
      <w:r>
        <w:t>相关政策符合性分析</w:t>
      </w:r>
      <w:bookmarkEnd w:id="542"/>
    </w:p>
    <w:p>
      <w:pPr>
        <w:pStyle w:val="5"/>
        <w:bidi w:val="0"/>
      </w:pPr>
      <w:r>
        <w:rPr>
          <w:rFonts w:hint="eastAsia"/>
        </w:rPr>
        <w:t>产业政策的符合性分析</w:t>
      </w:r>
    </w:p>
    <w:p>
      <w:r>
        <w:rPr>
          <w:rFonts w:hint="eastAsia"/>
        </w:rPr>
        <w:t>本项目属于《国民经济行业分类》（</w:t>
      </w:r>
      <w:r>
        <w:t>GBT4754-2017</w:t>
      </w:r>
      <w:r>
        <w:rPr>
          <w:rFonts w:hint="eastAsia"/>
        </w:rPr>
        <w:t>）中的“</w:t>
      </w:r>
      <w:r>
        <w:t>A0313</w:t>
      </w:r>
      <w:r>
        <w:rPr>
          <w:rFonts w:hint="eastAsia"/>
        </w:rPr>
        <w:t>猪的饲养”，根据《产业结构调整指导目录（</w:t>
      </w:r>
      <w:r>
        <w:t>2011</w:t>
      </w:r>
      <w:r>
        <w:rPr>
          <w:rFonts w:hint="eastAsia"/>
        </w:rPr>
        <w:t>年本）》（</w:t>
      </w:r>
      <w:r>
        <w:t>2013</w:t>
      </w:r>
      <w:r>
        <w:rPr>
          <w:rFonts w:hint="eastAsia"/>
        </w:rPr>
        <w:t>年修正），本项目不属于该目录中的鼓励类、限制类和淘汰类，因此，本项目属于允许类项目。</w:t>
      </w:r>
    </w:p>
    <w:p>
      <w:pPr>
        <w:pStyle w:val="5"/>
        <w:bidi w:val="0"/>
      </w:pPr>
      <w:r>
        <w:rPr>
          <w:rFonts w:hint="eastAsia"/>
        </w:rPr>
        <w:t>与畜牧养殖业相关政策符合性分析</w:t>
      </w:r>
    </w:p>
    <w:p>
      <w:r>
        <w:rPr>
          <w:rFonts w:hint="eastAsia"/>
        </w:rPr>
        <w:t>党中央、国务院高度重视生猪稳产保供工作。今年以来，农业农村部把生猪稳产保供放在更加突出的位置，9月以来，农业农村部相继召开东北和南方片区会，指导东北地区扩群增养，要求南方地区尽快遏制下滑趋势，成立恢复生猪生产协调办公室，加强生产和政策情况调度，约谈11个生猪生产下降幅度较大的省份。以国务院办公厅名义印发《关于稳定生猪生产促进转型升级的意见》，会同有关部门出台17项政策措施，全国31省（区、市）印发生猪稳产保供实施意见。在市场拉动和政策推动下，生猪生产已出现止降回升的积极变化，但恢复生产发展保障市场供给仍面临不少困难和挑战，任务十分艰巨。当前首先是把生猪生产抓上去，确保各项既定目标如期实现。2019年9月生态环境部、农业农村部联合《关于进一步规范畜禽养殖禁养区划定和管理促进生猪生产发展的通知》（环办土壤﹝2019﹞55号）要求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区划定依据。对禁养区内关停需搬迁的</w:t>
      </w:r>
      <w:r>
        <w:fldChar w:fldCharType="begin"/>
      </w:r>
      <w:r>
        <w:instrText xml:space="preserve"> HYPERLINK "https://www.tuliu.com/tags/142.html" \t "https://www.tuliu.com/_blank" </w:instrText>
      </w:r>
      <w:r>
        <w:fldChar w:fldCharType="separate"/>
      </w:r>
      <w:r>
        <w:rPr>
          <w:rFonts w:hint="eastAsia"/>
        </w:rPr>
        <w:t>规模化养殖</w:t>
      </w:r>
      <w:r>
        <w:rPr>
          <w:rFonts w:hint="eastAsia"/>
        </w:rPr>
        <w:fldChar w:fldCharType="end"/>
      </w:r>
      <w:r>
        <w:rPr>
          <w:rFonts w:hint="eastAsia"/>
        </w:rPr>
        <w:t>场户，优先支持异地重建，对符合环保要求的畜禽养殖建设项目，加快环评审批。2019年12月农业农村部先后发布了</w:t>
      </w:r>
      <w:r>
        <w:t>《加快生猪生产恢复发展三年行动方案》（农牧发[2019]39号</w:t>
      </w:r>
      <w:r>
        <w:rPr>
          <w:rFonts w:hint="eastAsia"/>
        </w:rPr>
        <w:t>）、《</w:t>
      </w:r>
      <w:r>
        <w:t>农业农村部关于调整动物防疫条件审查有关规定的通知</w:t>
      </w:r>
      <w:r>
        <w:rPr>
          <w:rFonts w:hint="eastAsia"/>
        </w:rPr>
        <w:t>》（农牧发[2019]42号，2019.12.19），暂停执行关于兴办动物饲养场、养殖小区等场所的选址距离规定，并对年出栏5000头以上的生猪养殖场建设，开展环评告知承诺制试点，建设单位提交承诺书和环评报告的，可以不经过开工前的评估审查，直接作出审批决定。</w:t>
      </w:r>
    </w:p>
    <w:p>
      <w:r>
        <w:rPr>
          <w:rFonts w:hint="eastAsia"/>
        </w:rPr>
        <w:t>今年这些养猪扶植政策的陆续出台为生猪生产提供多重保障。国务院21号常务会议针对养猪业提出了具体措施：</w:t>
      </w:r>
    </w:p>
    <w:p>
      <w:r>
        <w:rPr>
          <w:rFonts w:hint="eastAsia"/>
          <w:lang w:val="en-US" w:eastAsia="zh-CN"/>
        </w:rPr>
        <w:t>1、</w:t>
      </w:r>
      <w:r>
        <w:rPr>
          <w:rFonts w:hint="eastAsia"/>
        </w:rPr>
        <w:t>综合施策恢复生猪生产</w:t>
      </w:r>
    </w:p>
    <w:p>
      <w:r>
        <w:rPr>
          <w:rFonts w:hint="eastAsia"/>
          <w:lang w:eastAsia="zh-CN"/>
        </w:rPr>
        <w:t>（</w:t>
      </w:r>
      <w:r>
        <w:rPr>
          <w:rFonts w:hint="eastAsia"/>
          <w:lang w:val="en-US" w:eastAsia="zh-CN"/>
        </w:rPr>
        <w:t>1</w:t>
      </w:r>
      <w:r>
        <w:rPr>
          <w:rFonts w:hint="eastAsia"/>
          <w:lang w:eastAsia="zh-CN"/>
        </w:rPr>
        <w:t>）</w:t>
      </w:r>
      <w:r>
        <w:rPr>
          <w:rFonts w:hint="eastAsia"/>
        </w:rPr>
        <w:t>加大力度针对生猪大县、大型养殖场的政策扶持；（2）全国范围内开通仔猪和冷鲜肉的运输“绿色通道”，降低运输成本；</w:t>
      </w:r>
    </w:p>
    <w:p>
      <w:r>
        <w:rPr>
          <w:rFonts w:hint="eastAsia"/>
          <w:lang w:val="en-US" w:eastAsia="zh-CN"/>
        </w:rPr>
        <w:t>2、</w:t>
      </w:r>
      <w:r>
        <w:rPr>
          <w:rFonts w:hint="eastAsia"/>
        </w:rPr>
        <w:t>取消生猪禁言养、限养规定</w:t>
      </w:r>
    </w:p>
    <w:p>
      <w:r>
        <w:rPr>
          <w:rFonts w:hint="eastAsia"/>
        </w:rPr>
        <w:t>针对在禁养区内被关停的养殖场，进行政策扶持，重新安排养殖用地，支持养猪户可以异地重建养殖场！</w:t>
      </w:r>
    </w:p>
    <w:p>
      <w:r>
        <w:rPr>
          <w:rFonts w:hint="eastAsia"/>
          <w:lang w:val="en-US" w:eastAsia="zh-CN"/>
        </w:rPr>
        <w:t>3、</w:t>
      </w:r>
      <w:r>
        <w:rPr>
          <w:rFonts w:hint="eastAsia"/>
        </w:rPr>
        <w:t>支持规模养殖、支持农户养猪，用地政策放宽！</w:t>
      </w:r>
    </w:p>
    <w:p>
      <w:r>
        <w:rPr>
          <w:rFonts w:hint="eastAsia"/>
        </w:rPr>
        <w:t>针对养殖场和农户，能够进行规模养猪的，取消附属设施用地15亩的上限规定。</w:t>
      </w:r>
    </w:p>
    <w:p>
      <w:r>
        <w:rPr>
          <w:rFonts w:hint="eastAsia"/>
        </w:rPr>
        <w:t>2019年8月，自然资源部办公厅发出《关于保障生猪</w:t>
      </w:r>
      <w:r>
        <w:fldChar w:fldCharType="begin"/>
      </w:r>
      <w:r>
        <w:instrText xml:space="preserve"> HYPERLINK "https://www.tuliu.com/baike/list-c304" \t "https://www.tuliu.com/_blank" </w:instrText>
      </w:r>
      <w:r>
        <w:fldChar w:fldCharType="separate"/>
      </w:r>
      <w:r>
        <w:rPr>
          <w:rFonts w:hint="eastAsia"/>
        </w:rPr>
        <w:t>养殖</w:t>
      </w:r>
      <w:r>
        <w:rPr>
          <w:rFonts w:hint="eastAsia"/>
        </w:rPr>
        <w:fldChar w:fldCharType="end"/>
      </w:r>
      <w:r>
        <w:rPr>
          <w:rFonts w:hint="eastAsia"/>
        </w:rPr>
        <w:t>用地有关问题的通知》，通知强调要完善生猪生产的用地政策：</w:t>
      </w:r>
    </w:p>
    <w:p>
      <w:r>
        <w:rPr>
          <w:rFonts w:hint="eastAsia"/>
        </w:rPr>
        <w:t>一、生猪养殖用地作为</w:t>
      </w:r>
      <w:r>
        <w:fldChar w:fldCharType="begin"/>
      </w:r>
      <w:r>
        <w:instrText xml:space="preserve"> HYPERLINK "https://www.tuliu.com/gongying/sheshinongyongdi/" \t "https://www.tuliu.com/_blank" </w:instrText>
      </w:r>
      <w:r>
        <w:fldChar w:fldCharType="separate"/>
      </w:r>
      <w:r>
        <w:rPr>
          <w:rFonts w:hint="eastAsia"/>
        </w:rPr>
        <w:t>设施农用地</w:t>
      </w:r>
      <w:r>
        <w:rPr>
          <w:rFonts w:hint="eastAsia"/>
        </w:rPr>
        <w:fldChar w:fldCharType="end"/>
      </w:r>
      <w:r>
        <w:rPr>
          <w:rFonts w:hint="eastAsia"/>
        </w:rPr>
        <w:t>，按农用地管理，不需办理</w:t>
      </w:r>
      <w:r>
        <w:fldChar w:fldCharType="begin"/>
      </w:r>
      <w:r>
        <w:instrText xml:space="preserve"> HYPERLINK "https://www.tuliu.com/tags/310.html" \t "https://www.tuliu.com/_blank" </w:instrText>
      </w:r>
      <w:r>
        <w:fldChar w:fldCharType="separate"/>
      </w:r>
      <w:r>
        <w:rPr>
          <w:rFonts w:hint="eastAsia"/>
        </w:rPr>
        <w:t>建设用地</w:t>
      </w:r>
      <w:r>
        <w:rPr>
          <w:rFonts w:hint="eastAsia"/>
        </w:rPr>
        <w:fldChar w:fldCharType="end"/>
      </w:r>
      <w:r>
        <w:rPr>
          <w:rFonts w:hint="eastAsia"/>
        </w:rPr>
        <w:t>审批手续；在不占用永久基本农田的前提下，合理安排用地空间，允许生猪养殖用地使用一般耕地，作为养殖用途不需耕地占补平衡。</w:t>
      </w:r>
    </w:p>
    <w:p>
      <w:r>
        <w:rPr>
          <w:rFonts w:hint="eastAsia"/>
        </w:rPr>
        <w:t>二、生猪养殖圈舍、场区内通道及绿化隔离带等生产设施用地，根据养殖规模确定用地规模；增加附属设施用地规模，取消15亩上限规定，保障生猪养殖生产的废弃物处理等设施用地需要。</w:t>
      </w:r>
    </w:p>
    <w:p>
      <w:r>
        <w:rPr>
          <w:rFonts w:hint="eastAsia"/>
        </w:rPr>
        <w:t>三、鼓励利用</w:t>
      </w:r>
      <w:r>
        <w:fldChar w:fldCharType="begin"/>
      </w:r>
      <w:r>
        <w:instrText xml:space="preserve"> HYPERLINK "https://www.tuliu.com/gongying/huangshan/" \t "https://www.tuliu.com/_blank" </w:instrText>
      </w:r>
      <w:r>
        <w:fldChar w:fldCharType="separate"/>
      </w:r>
      <w:r>
        <w:rPr>
          <w:rFonts w:hint="eastAsia"/>
        </w:rPr>
        <w:t>荒山</w:t>
      </w:r>
      <w:r>
        <w:rPr>
          <w:rFonts w:hint="eastAsia"/>
        </w:rPr>
        <w:fldChar w:fldCharType="end"/>
      </w:r>
      <w:r>
        <w:rPr>
          <w:rFonts w:hint="eastAsia"/>
        </w:rPr>
        <w:t>、荒沟、荒丘、荒滩和农村集体建设用地及原有养殖设施用地进行生猪养殖生产，各地可进一步制定鼓励支持政策。</w:t>
      </w:r>
    </w:p>
    <w:p>
      <w:r>
        <w:rPr>
          <w:rFonts w:hint="eastAsia"/>
        </w:rPr>
        <w:t>2019年9月生态环境部、农业农村部联合印发通知，要求进一步规范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区划定依据。对禁养区内关停需搬迁的</w:t>
      </w:r>
      <w:r>
        <w:fldChar w:fldCharType="begin"/>
      </w:r>
      <w:r>
        <w:instrText xml:space="preserve"> HYPERLINK "https://www.tuliu.com/tags/142.html" \t "https://www.tuliu.com/_blank" </w:instrText>
      </w:r>
      <w:r>
        <w:fldChar w:fldCharType="separate"/>
      </w:r>
      <w:r>
        <w:rPr>
          <w:rFonts w:hint="eastAsia"/>
        </w:rPr>
        <w:t>规模化养殖</w:t>
      </w:r>
      <w:r>
        <w:rPr>
          <w:rFonts w:hint="eastAsia"/>
        </w:rPr>
        <w:fldChar w:fldCharType="end"/>
      </w:r>
      <w:r>
        <w:rPr>
          <w:rFonts w:hint="eastAsia"/>
        </w:rPr>
        <w:t>场户，优先支持异地重建，对符合环保要求的畜禽养殖建设项目，加快环评审批。对确需关闭的养殖场户，给予合理过渡期，严禁采取“一律关停”等简单做法。通知还指出，对违反法律法规限制养猪业发展和压减生猪产能的情况，要立即进行整改。</w:t>
      </w:r>
    </w:p>
    <w:p>
      <w:r>
        <w:rPr>
          <w:rFonts w:hint="eastAsia"/>
        </w:rPr>
        <w:t>本项目的建设很好的贯彻执行了上述文件精神。</w:t>
      </w:r>
    </w:p>
    <w:p>
      <w:r>
        <w:rPr>
          <w:rFonts w:hint="eastAsia"/>
        </w:rPr>
        <w:t>综上所述，本项目建设符合国家产业政策及畜禽养殖废弃物资源化利用的相关政策要求。</w:t>
      </w:r>
    </w:p>
    <w:p>
      <w:pPr>
        <w:pStyle w:val="5"/>
        <w:bidi w:val="0"/>
      </w:pPr>
      <w:r>
        <w:rPr>
          <w:rFonts w:hint="eastAsia"/>
        </w:rPr>
        <w:t>《畜禽规模养殖场粪污资源化利用设施建设规范（试行）》（农办牧</w:t>
      </w:r>
      <w:r>
        <w:t>[2018]2号</w:t>
      </w:r>
      <w:r>
        <w:rPr>
          <w:rFonts w:hint="eastAsia"/>
        </w:rPr>
        <w:t>)的符合性分析</w:t>
      </w:r>
    </w:p>
    <w:p>
      <w:r>
        <w:rPr>
          <w:rFonts w:hint="eastAsia"/>
        </w:rPr>
        <w:t>畜</w:t>
      </w:r>
      <w:r>
        <w:t>禽粪污资源化利用是指在畜禽粪污处理过程中，通过生产沼气、堆肥、沤肥、沼肥、肥水、商品有机肥、垫料、基质等方式进行合理利用。</w:t>
      </w:r>
    </w:p>
    <w:p>
      <w:pPr>
        <w:pStyle w:val="11"/>
        <w:rPr>
          <w:rFonts w:hint="default" w:eastAsiaTheme="minorEastAsia"/>
          <w:lang w:val="en-US" w:eastAsia="zh-CN"/>
        </w:rPr>
      </w:pPr>
      <w:r>
        <w:t xml:space="preserve">表8.1- </w:t>
      </w:r>
      <w:r>
        <w:fldChar w:fldCharType="begin"/>
      </w:r>
      <w:r>
        <w:instrText xml:space="preserve"> SEQ 表8.1- \* ARABIC </w:instrText>
      </w:r>
      <w:r>
        <w:fldChar w:fldCharType="separate"/>
      </w:r>
      <w:r>
        <w:t>1</w:t>
      </w:r>
      <w:r>
        <w:fldChar w:fldCharType="end"/>
      </w:r>
      <w:r>
        <w:rPr>
          <w:rFonts w:hint="eastAsia"/>
          <w:lang w:val="en-US" w:eastAsia="zh-CN"/>
        </w:rPr>
        <w:t xml:space="preserve">  </w:t>
      </w:r>
      <w:r>
        <w:rPr>
          <w:rFonts w:hint="eastAsia"/>
        </w:rPr>
        <w:t>与畜禽规模养殖场粪污资源化利用设施建设规范的符合性分析表</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9"/>
        <w:gridCol w:w="3937"/>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4109" w:type="dxa"/>
            <w:vAlign w:val="center"/>
          </w:tcPr>
          <w:p>
            <w:pPr>
              <w:pStyle w:val="8"/>
              <w:bidi w:val="0"/>
            </w:pPr>
            <w:r>
              <w:rPr>
                <w:rFonts w:hint="eastAsia"/>
              </w:rPr>
              <w:t>规范要求</w:t>
            </w:r>
          </w:p>
        </w:tc>
        <w:tc>
          <w:tcPr>
            <w:tcW w:w="3937" w:type="dxa"/>
            <w:vAlign w:val="center"/>
          </w:tcPr>
          <w:p>
            <w:pPr>
              <w:pStyle w:val="8"/>
              <w:bidi w:val="0"/>
            </w:pPr>
            <w:r>
              <w:rPr>
                <w:rFonts w:hint="eastAsia"/>
              </w:rPr>
              <w:t>本项目情况</w:t>
            </w:r>
          </w:p>
        </w:tc>
        <w:tc>
          <w:tcPr>
            <w:tcW w:w="1015" w:type="dxa"/>
            <w:vAlign w:val="center"/>
          </w:tcPr>
          <w:p>
            <w:pPr>
              <w:pStyle w:val="8"/>
              <w:bidi w:val="0"/>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4109" w:type="dxa"/>
            <w:vAlign w:val="center"/>
          </w:tcPr>
          <w:p>
            <w:pPr>
              <w:pStyle w:val="8"/>
              <w:bidi w:val="0"/>
            </w:pPr>
            <w:r>
              <w:rPr>
                <w:rFonts w:hint="eastAsia"/>
              </w:rPr>
              <w:t>畜禽规模养殖场粪污资源化利用应坚持农牧结合、种养平衡，按照资源化、减量化、无害化的原则，对源头减量、过程控制和末端利用各环节进行全程管理，提高粪污综合利用率和设施装备配套率。</w:t>
            </w:r>
          </w:p>
        </w:tc>
        <w:tc>
          <w:tcPr>
            <w:tcW w:w="3937" w:type="dxa"/>
            <w:vAlign w:val="center"/>
          </w:tcPr>
          <w:p>
            <w:pPr>
              <w:pStyle w:val="8"/>
              <w:bidi w:val="0"/>
            </w:pPr>
            <w:r>
              <w:rPr>
                <w:rFonts w:hint="eastAsia"/>
              </w:rPr>
              <w:t>本项目粪污经</w:t>
            </w:r>
            <w:r>
              <w:rPr>
                <w:rFonts w:hint="eastAsia"/>
                <w:lang w:eastAsia="zh-CN"/>
              </w:rPr>
              <w:t>堆肥、</w:t>
            </w:r>
            <w:r>
              <w:rPr>
                <w:rFonts w:hint="eastAsia"/>
                <w:lang w:val="en-US" w:eastAsia="zh-CN"/>
              </w:rPr>
              <w:t>废水经</w:t>
            </w:r>
            <w:r>
              <w:rPr>
                <w:rFonts w:hint="eastAsia"/>
              </w:rPr>
              <w:t>厌氧发酵</w:t>
            </w:r>
            <w:r>
              <w:rPr>
                <w:rFonts w:hint="eastAsia"/>
                <w:lang w:val="en-US" w:eastAsia="zh-CN"/>
              </w:rPr>
              <w:t>+AO组合池</w:t>
            </w:r>
            <w:r>
              <w:rPr>
                <w:rFonts w:hint="eastAsia"/>
              </w:rPr>
              <w:t>处理后用作有机肥还田</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109" w:type="dxa"/>
            <w:vAlign w:val="center"/>
          </w:tcPr>
          <w:p>
            <w:pPr>
              <w:pStyle w:val="8"/>
              <w:bidi w:val="0"/>
            </w:pPr>
            <w:r>
              <w:rPr>
                <w:rFonts w:hint="eastAsia"/>
              </w:rPr>
              <w:t>畜禽规模养殖场应根据养殖污染防治要求，建设与养殖规模相配套的粪污资源化利用设施设备，并确保正常运行。</w:t>
            </w:r>
          </w:p>
        </w:tc>
        <w:tc>
          <w:tcPr>
            <w:tcW w:w="3937" w:type="dxa"/>
            <w:vAlign w:val="center"/>
          </w:tcPr>
          <w:p>
            <w:pPr>
              <w:pStyle w:val="8"/>
              <w:bidi w:val="0"/>
            </w:pPr>
            <w:r>
              <w:rPr>
                <w:rFonts w:hint="eastAsia"/>
              </w:rPr>
              <w:t>本项目建设了与养殖规模相配套的</w:t>
            </w:r>
            <w:r>
              <w:rPr>
                <w:rFonts w:hint="eastAsia"/>
                <w:lang w:eastAsia="zh-CN"/>
              </w:rPr>
              <w:t>堆肥棚</w:t>
            </w:r>
            <w:r>
              <w:rPr>
                <w:rFonts w:hint="eastAsia"/>
              </w:rPr>
              <w:t>，处理粪污</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109" w:type="dxa"/>
            <w:vAlign w:val="center"/>
          </w:tcPr>
          <w:p>
            <w:pPr>
              <w:pStyle w:val="8"/>
              <w:bidi w:val="0"/>
            </w:pPr>
            <w:r>
              <w:rPr>
                <w:rFonts w:hint="eastAsia"/>
              </w:rPr>
              <w:t>畜禽规模养殖场应建设雨污分离设施，污水宜采用暗沟或管道输送。</w:t>
            </w:r>
          </w:p>
        </w:tc>
        <w:tc>
          <w:tcPr>
            <w:tcW w:w="3937" w:type="dxa"/>
            <w:vAlign w:val="center"/>
          </w:tcPr>
          <w:p>
            <w:pPr>
              <w:pStyle w:val="8"/>
              <w:bidi w:val="0"/>
            </w:pPr>
            <w:r>
              <w:rPr>
                <w:rFonts w:hint="eastAsia"/>
              </w:rPr>
              <w:t>本项目的养殖场实行了雨污分流，粪污</w:t>
            </w:r>
            <w:r>
              <w:rPr>
                <w:rFonts w:hint="eastAsia"/>
                <w:lang w:eastAsia="zh-CN"/>
              </w:rPr>
              <w:t>采用管道输送</w:t>
            </w:r>
            <w:r>
              <w:rPr>
                <w:rFonts w:hint="eastAsia"/>
              </w:rPr>
              <w:t>。</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109" w:type="dxa"/>
            <w:vAlign w:val="center"/>
          </w:tcPr>
          <w:p>
            <w:pPr>
              <w:spacing w:line="240" w:lineRule="auto"/>
            </w:pPr>
            <w:r>
              <w:rPr>
                <w:rFonts w:hint="eastAsia"/>
                <w:sz w:val="21"/>
                <w:szCs w:val="21"/>
              </w:rPr>
              <w:t>液体或全量粪污采用</w:t>
            </w:r>
            <w:r>
              <w:rPr>
                <w:rFonts w:hint="eastAsia"/>
                <w:sz w:val="21"/>
                <w:szCs w:val="21"/>
                <w:lang w:eastAsia="zh-CN"/>
              </w:rPr>
              <w:t>氧化塘、沉淀池等进行无害化</w:t>
            </w:r>
            <w:r>
              <w:rPr>
                <w:rFonts w:hint="eastAsia"/>
                <w:sz w:val="21"/>
                <w:szCs w:val="21"/>
              </w:rPr>
              <w:t>处理的，氧化塘、贮存池容积不小于单位畜禽日粪污产生量（</w:t>
            </w:r>
            <w:r>
              <w:rPr>
                <w:rFonts w:hint="eastAsia"/>
                <w:sz w:val="21"/>
                <w:szCs w:val="21"/>
                <w:lang w:val="en-US"/>
              </w:rPr>
              <w:t>m</w:t>
            </w:r>
            <w:r>
              <w:rPr>
                <w:rFonts w:hint="eastAsia"/>
                <w:sz w:val="21"/>
                <w:szCs w:val="21"/>
                <w:vertAlign w:val="superscript"/>
                <w:lang w:val="en-US"/>
              </w:rPr>
              <w:t>3</w:t>
            </w:r>
            <w:r>
              <w:rPr>
                <w:rFonts w:hint="eastAsia"/>
                <w:sz w:val="21"/>
                <w:szCs w:val="21"/>
              </w:rPr>
              <w:t>）</w:t>
            </w:r>
            <w:r>
              <w:rPr>
                <w:rFonts w:hint="eastAsia"/>
                <w:sz w:val="21"/>
                <w:szCs w:val="21"/>
                <w:lang w:val="en-US"/>
              </w:rPr>
              <w:t>×</w:t>
            </w:r>
            <w:r>
              <w:rPr>
                <w:rFonts w:hint="eastAsia"/>
                <w:sz w:val="21"/>
                <w:szCs w:val="21"/>
              </w:rPr>
              <w:t>贮存周期</w:t>
            </w:r>
            <w:r>
              <w:rPr>
                <w:rFonts w:hint="eastAsia"/>
                <w:sz w:val="21"/>
                <w:szCs w:val="21"/>
                <w:lang w:val="en-US"/>
              </w:rPr>
              <w:t>(</w:t>
            </w:r>
            <w:r>
              <w:rPr>
                <w:rFonts w:hint="eastAsia"/>
                <w:sz w:val="21"/>
                <w:szCs w:val="21"/>
              </w:rPr>
              <w:t>天</w:t>
            </w:r>
            <w:r>
              <w:rPr>
                <w:rFonts w:hint="eastAsia"/>
                <w:sz w:val="21"/>
                <w:szCs w:val="21"/>
                <w:lang w:val="en-US"/>
              </w:rPr>
              <w:t>)×</w:t>
            </w:r>
            <w:r>
              <w:rPr>
                <w:rFonts w:hint="eastAsia"/>
                <w:sz w:val="21"/>
                <w:szCs w:val="21"/>
              </w:rPr>
              <w:t>设计存栏量</w:t>
            </w:r>
            <w:r>
              <w:rPr>
                <w:rFonts w:hint="eastAsia"/>
                <w:sz w:val="21"/>
                <w:szCs w:val="21"/>
                <w:lang w:val="en-US"/>
              </w:rPr>
              <w:t>(</w:t>
            </w:r>
            <w:r>
              <w:rPr>
                <w:rFonts w:hint="eastAsia"/>
                <w:sz w:val="21"/>
                <w:szCs w:val="21"/>
              </w:rPr>
              <w:t>头</w:t>
            </w:r>
            <w:r>
              <w:rPr>
                <w:rFonts w:hint="eastAsia"/>
                <w:sz w:val="21"/>
                <w:szCs w:val="21"/>
                <w:lang w:val="en-US"/>
              </w:rPr>
              <w:t>)</w:t>
            </w:r>
            <w:r>
              <w:rPr>
                <w:rFonts w:hint="eastAsia"/>
                <w:sz w:val="21"/>
                <w:szCs w:val="21"/>
              </w:rPr>
              <w:t>。规模养殖场干清粪或固液分离后的固体粪便可采用堆肥、沤肥、生产垫料等方式进行处理利用。固体粪便堆肥</w:t>
            </w:r>
            <w:r>
              <w:rPr>
                <w:rFonts w:hint="eastAsia"/>
                <w:sz w:val="21"/>
                <w:szCs w:val="21"/>
                <w:lang w:val="en-US"/>
              </w:rPr>
              <w:t>(</w:t>
            </w:r>
            <w:r>
              <w:rPr>
                <w:rFonts w:hint="eastAsia"/>
                <w:sz w:val="21"/>
                <w:szCs w:val="21"/>
              </w:rPr>
              <w:t>生产垫料</w:t>
            </w:r>
            <w:r>
              <w:rPr>
                <w:rFonts w:hint="eastAsia"/>
                <w:sz w:val="21"/>
                <w:szCs w:val="21"/>
                <w:lang w:val="en-US"/>
              </w:rPr>
              <w:t>)</w:t>
            </w:r>
            <w:r>
              <w:rPr>
                <w:rFonts w:hint="eastAsia"/>
                <w:sz w:val="21"/>
                <w:szCs w:val="21"/>
              </w:rPr>
              <w:t>宜采用条垛式、槽式、发酵仓、强制通风静态垛等好氧工艺，或其他适用技术，同时配套必要的混合、输送、搅拌、供氧等设施设备。猪场堆肥设施发酵容积不小于</w:t>
            </w:r>
            <w:r>
              <w:rPr>
                <w:rFonts w:hint="eastAsia"/>
                <w:sz w:val="21"/>
                <w:szCs w:val="21"/>
                <w:lang w:val="en-US"/>
              </w:rPr>
              <w:t>0.002 m</w:t>
            </w:r>
            <w:r>
              <w:rPr>
                <w:rFonts w:hint="eastAsia"/>
                <w:sz w:val="21"/>
                <w:szCs w:val="21"/>
                <w:vertAlign w:val="superscript"/>
                <w:lang w:val="en-US"/>
              </w:rPr>
              <w:t>3</w:t>
            </w:r>
            <w:r>
              <w:rPr>
                <w:rFonts w:hint="eastAsia"/>
                <w:sz w:val="21"/>
                <w:szCs w:val="21"/>
                <w:lang w:val="en-US"/>
              </w:rPr>
              <w:t>×</w:t>
            </w:r>
            <w:r>
              <w:rPr>
                <w:rFonts w:hint="eastAsia"/>
                <w:sz w:val="21"/>
                <w:szCs w:val="21"/>
              </w:rPr>
              <w:t>发酵周期</w:t>
            </w:r>
            <w:r>
              <w:rPr>
                <w:rFonts w:hint="eastAsia"/>
                <w:sz w:val="21"/>
                <w:szCs w:val="21"/>
                <w:lang w:val="en-US"/>
              </w:rPr>
              <w:t>(</w:t>
            </w:r>
            <w:r>
              <w:rPr>
                <w:rFonts w:hint="eastAsia"/>
                <w:sz w:val="21"/>
                <w:szCs w:val="21"/>
              </w:rPr>
              <w:t>天</w:t>
            </w:r>
            <w:r>
              <w:rPr>
                <w:rFonts w:hint="eastAsia"/>
                <w:sz w:val="21"/>
                <w:szCs w:val="21"/>
                <w:lang w:val="en-US"/>
              </w:rPr>
              <w:t>)×</w:t>
            </w:r>
            <w:r>
              <w:rPr>
                <w:rFonts w:hint="eastAsia"/>
                <w:sz w:val="21"/>
                <w:szCs w:val="21"/>
              </w:rPr>
              <w:t>设计存栏量</w:t>
            </w:r>
            <w:r>
              <w:rPr>
                <w:rFonts w:hint="eastAsia"/>
                <w:sz w:val="21"/>
                <w:szCs w:val="21"/>
                <w:lang w:val="en-US"/>
              </w:rPr>
              <w:t>(</w:t>
            </w:r>
            <w:r>
              <w:rPr>
                <w:rFonts w:hint="eastAsia"/>
                <w:sz w:val="21"/>
                <w:szCs w:val="21"/>
              </w:rPr>
              <w:t>头</w:t>
            </w:r>
            <w:r>
              <w:rPr>
                <w:rFonts w:hint="eastAsia"/>
                <w:sz w:val="21"/>
                <w:szCs w:val="21"/>
                <w:lang w:val="en-US"/>
              </w:rPr>
              <w:t>)</w:t>
            </w:r>
            <w:r>
              <w:rPr>
                <w:rFonts w:hint="eastAsia"/>
                <w:sz w:val="21"/>
                <w:szCs w:val="21"/>
              </w:rPr>
              <w:t>，其它畜禽按</w:t>
            </w:r>
            <w:r>
              <w:rPr>
                <w:rFonts w:hint="eastAsia"/>
                <w:sz w:val="21"/>
                <w:szCs w:val="21"/>
                <w:lang w:val="en-US"/>
              </w:rPr>
              <w:t>GB18596 </w:t>
            </w:r>
            <w:r>
              <w:rPr>
                <w:rFonts w:hint="eastAsia"/>
                <w:sz w:val="21"/>
                <w:szCs w:val="21"/>
              </w:rPr>
              <w:t>折算成猪的存栏量计算。</w:t>
            </w:r>
          </w:p>
        </w:tc>
        <w:tc>
          <w:tcPr>
            <w:tcW w:w="3937" w:type="dxa"/>
            <w:vAlign w:val="center"/>
          </w:tcPr>
          <w:p>
            <w:pPr>
              <w:pStyle w:val="8"/>
              <w:bidi w:val="0"/>
              <w:jc w:val="left"/>
              <w:rPr>
                <w:rFonts w:hint="eastAsia"/>
                <w:lang w:val="en-US" w:eastAsia="zh-CN"/>
              </w:rPr>
            </w:pPr>
            <w:r>
              <w:rPr>
                <w:rFonts w:hint="eastAsia"/>
              </w:rPr>
              <w:t>本项目</w:t>
            </w:r>
            <w:r>
              <w:rPr>
                <w:rFonts w:hint="eastAsia"/>
                <w:lang w:val="en-US" w:eastAsia="zh-CN"/>
              </w:rPr>
              <w:t>进入厌氧发酵设施的废水量为14679.7</w:t>
            </w:r>
            <w:r>
              <w:t>m</w:t>
            </w:r>
            <w:r>
              <w:rPr>
                <w:vertAlign w:val="superscript"/>
              </w:rPr>
              <w:t>3</w:t>
            </w:r>
            <w:r>
              <w:t>/a</w:t>
            </w:r>
            <w:r>
              <w:rPr>
                <w:rFonts w:hint="eastAsia"/>
                <w:lang w:eastAsia="zh-CN"/>
              </w:rPr>
              <w:t>，</w:t>
            </w:r>
            <w:r>
              <w:rPr>
                <w:rFonts w:hint="eastAsia"/>
                <w:lang w:val="en-US" w:eastAsia="zh-CN"/>
              </w:rPr>
              <w:t>40.22</w:t>
            </w:r>
            <w:r>
              <w:t>m</w:t>
            </w:r>
            <w:r>
              <w:rPr>
                <w:vertAlign w:val="superscript"/>
              </w:rPr>
              <w:t>3</w:t>
            </w:r>
            <w:r>
              <w:t>/d</w:t>
            </w:r>
            <w:r>
              <w:rPr>
                <w:rFonts w:hint="eastAsia"/>
              </w:rPr>
              <w:t>。</w:t>
            </w:r>
            <w:r>
              <w:rPr>
                <w:rFonts w:hint="eastAsia"/>
                <w:lang w:eastAsia="zh-CN"/>
              </w:rPr>
              <w:t>本项目厌氧罐的有效容积为</w:t>
            </w:r>
            <w:r>
              <w:rPr>
                <w:rFonts w:hint="eastAsia"/>
                <w:lang w:val="en-US" w:eastAsia="zh-CN"/>
              </w:rPr>
              <w:t>400</w:t>
            </w:r>
            <w:r>
              <w:t>m</w:t>
            </w:r>
            <w:r>
              <w:rPr>
                <w:vertAlign w:val="superscript"/>
              </w:rPr>
              <w:t>3</w:t>
            </w:r>
            <w:r>
              <w:rPr>
                <w:rFonts w:hint="eastAsia"/>
                <w:lang w:val="en-US" w:eastAsia="zh-CN"/>
              </w:rPr>
              <w:t>、</w:t>
            </w:r>
            <w:r>
              <w:rPr>
                <w:rFonts w:hint="eastAsia"/>
              </w:rPr>
              <w:t>沼液储存</w:t>
            </w:r>
            <w:r>
              <w:rPr>
                <w:rFonts w:hint="eastAsia"/>
                <w:lang w:eastAsia="zh-CN"/>
              </w:rPr>
              <w:t>池有效容积为</w:t>
            </w:r>
            <w:r>
              <w:rPr>
                <w:rFonts w:hint="eastAsia"/>
                <w:lang w:val="en-US" w:eastAsia="zh-CN"/>
              </w:rPr>
              <w:t>12000</w:t>
            </w:r>
            <w:r>
              <w:t>m</w:t>
            </w:r>
            <w:r>
              <w:rPr>
                <w:vertAlign w:val="superscript"/>
              </w:rPr>
              <w:t>3</w:t>
            </w:r>
            <w:r>
              <w:rPr>
                <w:rFonts w:hint="eastAsia"/>
                <w:lang w:eastAsia="zh-CN"/>
              </w:rPr>
              <w:t>。容积均满足储存</w:t>
            </w:r>
            <w:r>
              <w:rPr>
                <w:rFonts w:hint="eastAsia"/>
                <w:lang w:val="en-US" w:eastAsia="zh-CN"/>
              </w:rPr>
              <w:t>3个月的量。</w:t>
            </w:r>
          </w:p>
          <w:p>
            <w:pPr>
              <w:pStyle w:val="8"/>
              <w:bidi w:val="0"/>
              <w:jc w:val="left"/>
              <w:rPr>
                <w:rFonts w:hint="eastAsia" w:eastAsiaTheme="minorEastAsia"/>
                <w:lang w:eastAsia="zh-CN"/>
              </w:rPr>
            </w:pPr>
            <w:r>
              <w:rPr>
                <w:rFonts w:hint="eastAsia"/>
                <w:lang w:eastAsia="zh-CN"/>
              </w:rPr>
              <w:t>本项目发酵周期按照</w:t>
            </w:r>
            <w:r>
              <w:rPr>
                <w:rFonts w:hint="eastAsia"/>
                <w:lang w:val="en-US" w:eastAsia="zh-CN"/>
              </w:rPr>
              <w:t>30天计算，存栏量则算为6929头，则堆肥设施发酵容积不小于416</w:t>
            </w:r>
            <w:r>
              <w:rPr>
                <w:rFonts w:hint="eastAsia"/>
                <w:lang w:val="en-US"/>
              </w:rPr>
              <w:t>m3</w:t>
            </w:r>
            <w:r>
              <w:rPr>
                <w:rFonts w:hint="eastAsia"/>
                <w:lang w:val="en-US" w:eastAsia="zh-CN"/>
              </w:rPr>
              <w:t>。本项目堆粪棚占地426</w:t>
            </w:r>
            <w:r>
              <w:rPr>
                <w:rFonts w:hint="eastAsia"/>
                <w:lang w:val="en-US"/>
              </w:rPr>
              <w:t>m</w:t>
            </w:r>
            <w:r>
              <w:rPr>
                <w:rFonts w:hint="eastAsia"/>
                <w:vertAlign w:val="superscript"/>
                <w:lang w:val="en-US" w:eastAsia="zh-CN"/>
              </w:rPr>
              <w:t>2</w:t>
            </w:r>
            <w:r>
              <w:rPr>
                <w:rFonts w:hint="eastAsia"/>
                <w:lang w:val="en-US" w:eastAsia="zh-CN"/>
              </w:rPr>
              <w:t>，有效容积约650</w:t>
            </w:r>
            <w:r>
              <w:rPr>
                <w:rFonts w:hint="eastAsia"/>
                <w:lang w:val="en-US"/>
              </w:rPr>
              <w:t>m</w:t>
            </w:r>
            <w:r>
              <w:rPr>
                <w:rFonts w:hint="eastAsia"/>
                <w:vertAlign w:val="superscript"/>
                <w:lang w:val="en-US"/>
              </w:rPr>
              <w:t>3</w:t>
            </w:r>
            <w:r>
              <w:rPr>
                <w:rFonts w:hint="eastAsia"/>
                <w:lang w:val="en-US" w:eastAsia="zh-CN"/>
              </w:rPr>
              <w:t>，</w:t>
            </w:r>
            <w:r>
              <w:rPr>
                <w:rFonts w:hint="eastAsia"/>
              </w:rPr>
              <w:t>设计符合《畜禽规模养殖场粪污资源化利用设施建设规范（试行）》要求</w:t>
            </w:r>
            <w:r>
              <w:rPr>
                <w:rFonts w:hint="eastAsia"/>
                <w:lang w:eastAsia="zh-CN"/>
              </w:rPr>
              <w:t>。</w:t>
            </w:r>
          </w:p>
        </w:tc>
        <w:tc>
          <w:tcPr>
            <w:tcW w:w="1015" w:type="dxa"/>
            <w:vAlign w:val="center"/>
          </w:tcPr>
          <w:p>
            <w:pPr>
              <w:pStyle w:val="8"/>
              <w:bidi w:val="0"/>
            </w:pPr>
            <w:r>
              <w:rPr>
                <w:rFonts w:hint="eastAsia"/>
              </w:rPr>
              <w:t>符合</w:t>
            </w:r>
          </w:p>
        </w:tc>
      </w:tr>
    </w:tbl>
    <w:p>
      <w:r>
        <w:t>根据上表可知，本项目粪污资源化利用设施的建设符合《畜禽规模养殖场粪污资源化利用设施建设规范（试行）》（农办牧[2018]2号)中的相关规定。</w:t>
      </w:r>
    </w:p>
    <w:p>
      <w:pPr>
        <w:pStyle w:val="5"/>
        <w:bidi w:val="0"/>
      </w:pPr>
      <w:r>
        <w:rPr>
          <w:rFonts w:hint="eastAsia"/>
        </w:rPr>
        <w:t>与《湖南省畜禽规模养殖污染防治规定》湘政办发（〔</w:t>
      </w:r>
      <w:r>
        <w:t>2017〕29号</w:t>
      </w:r>
      <w:r>
        <w:rPr>
          <w:rFonts w:hint="eastAsia"/>
        </w:rPr>
        <w:t>)的符合性分析</w:t>
      </w:r>
    </w:p>
    <w:p>
      <w:r>
        <w:t>“</w:t>
      </w:r>
      <w:r>
        <w:rPr>
          <w:rFonts w:hint="eastAsia"/>
        </w:rPr>
        <w:t>第一十三条：</w:t>
      </w:r>
      <w:r>
        <w:t>新建、改建、扩建畜禽养殖场、养殖小区要实施雨污分流，建设必要的畜禽养殖废弃物资源化利用和无害化处理设施。</w:t>
      </w:r>
      <w:r>
        <w:rPr>
          <w:rFonts w:hint="eastAsia"/>
        </w:rPr>
        <w:t>第十四条</w:t>
      </w:r>
      <w:r>
        <w:t xml:space="preserve"> 病死畜禽尸体及其排泄物，要严格按照《国务院办公厅关于建立病死畜禽无害化处理机制的意见》（国办发〔2014〕47号）有关规定处理，严禁私自未经任何处理随意抛弃、掩埋等。</w:t>
      </w:r>
      <w:r>
        <w:rPr>
          <w:rFonts w:hint="eastAsia"/>
        </w:rPr>
        <w:t>第十五条</w:t>
      </w:r>
      <w:r>
        <w:t xml:space="preserve"> 畜禽养殖污染治理应按照资源化、减量化、无害化的原则，从源头控制，采取合适的技术对畜禽养殖废弃物进行处理，并通过粪肥还田、制取沼气、制造有机肥等方式提高畜禽养殖废弃物的资源化利用率。”</w:t>
      </w:r>
    </w:p>
    <w:p>
      <w:r>
        <w:rPr>
          <w:rFonts w:hint="eastAsia"/>
        </w:rPr>
        <w:t>本项目实行了</w:t>
      </w:r>
      <w:r>
        <w:t>雨污分流、建设了</w:t>
      </w:r>
      <w:r>
        <w:rPr>
          <w:rFonts w:hint="eastAsia"/>
          <w:lang w:eastAsia="zh-CN"/>
        </w:rPr>
        <w:t>堆粪棚及厌氧发酵</w:t>
      </w:r>
      <w:r>
        <w:rPr>
          <w:rFonts w:hint="eastAsia"/>
          <w:lang w:val="en-US" w:eastAsia="zh-CN"/>
        </w:rPr>
        <w:t>+AO组合池废水处理</w:t>
      </w:r>
      <w:r>
        <w:rPr>
          <w:rFonts w:hint="eastAsia"/>
          <w:lang w:eastAsia="zh-CN"/>
        </w:rPr>
        <w:t>系统</w:t>
      </w:r>
      <w:r>
        <w:t>、对病死畜禽尸及其他病理废物采用冷冻库暂存，再依据市县二级病死畜禽无害化集中处理中心处理、粪污经处理后做为有机肥还林利用等，本项目</w:t>
      </w:r>
      <w:r>
        <w:rPr>
          <w:rFonts w:hint="eastAsia"/>
        </w:rPr>
        <w:t>均较好地执行了上述规定，项目建设符合《湖南省畜禽规模养殖污染防治规定》的要求。</w:t>
      </w:r>
    </w:p>
    <w:p>
      <w:pPr>
        <w:pStyle w:val="5"/>
        <w:bidi w:val="0"/>
      </w:pPr>
      <w:r>
        <w:t>与常德市畜牧业发展</w:t>
      </w:r>
      <w:r>
        <w:rPr>
          <w:rFonts w:hint="eastAsia"/>
        </w:rPr>
        <w:t>政策</w:t>
      </w:r>
      <w:r>
        <w:t>的符合性分析</w:t>
      </w:r>
    </w:p>
    <w:p>
      <w:r>
        <w:rPr>
          <w:rFonts w:hint="eastAsia"/>
        </w:rPr>
        <w:t>根据《常德市人民政府关于加强畜禽养殖污染防治促进畜牧业发展的意见》（常政发［2013］4号）：常德市畜禽养殖业工作的重点为：（一）科学划定禁养区。（二）禁养区内畜禽养殖场和养殖小区限期退出养殖。2015年底前，禁养区内的畜禽养殖场和养殖小区全面退出养殖。鼓励禁养区的畜禽养殖场和养殖小区主动退出养殖，在2015年底前主动退出养殖的，由养殖场和养殖小区所在地区县市财政给予一定的奖励，具体奖励办法由各区县市人民政府确定。（三）实现畜禽养殖场排污达标。所有畜禽养殖场应当配套建设畜禽粪便、污水和其他废弃物的贮存设施，并根据污染防治需要配套建设无害化处理和综合利用设施，排放污染物必须达到国家规定的排放标准。畜禽养殖场必须按有关规定依法进行排污申报登记。（四）对新建畜禽养殖场实行严格准入。新建畜禽养殖场要符合当地乡（镇）土地利用总体规划，兴办者应征求当地村（居）委会、乡（镇）人民政府意见，向县级畜牧兽医水产部门备案。新建、扩建、改建畜禽养殖场，必须按建设项目环境保护法律法规的有关规定，进行环境影响评价，办理相关审批手续。涉及占用林地的需到林业部门办理使用林地审核手续，涉及农用地转变用途的需到国土资源部门办理土地转用审批手续。畜禽养殖场生产设施与治污设施必须同时设计、同时施工、同时使用。县级畜牧兽医水产部门要严格审查动物防疫条件，对动物防疫条件不合格的养殖场，不得发放动物防疫条件合格证。（五）积极推行标准化生态养殖模式。各地要着力推进畜禽品种良种化、养殖设施化、管理规范化、防疫制度化、粪污处理资源化，不断提高我市科学养殖水平。鼓励和支持通过采取粪肥还田、生产沼气、制造有机肥等方法，对畜禽养殖场粪污进行综合利用。积极推广“养殖—沼气—种植”、生物发酵床、复合生物滤池、三级生物降解池等生态养殖污染治理模式。要在养殖工艺上推广“干湿分离”与“雨污分流”工艺，实现畜禽粪污处理的减量化。（六）加强畜禽养殖场环境日常监管。各地要加大畜禽养殖污染治理力度，加强对养殖场环境日常监督管理。要建立和完善畜禽养殖场（户）信用档案，明确监督管理和包保责任人，确保监管工作覆盖率100％；建立健全畜禽养殖生产制度，完善畜禽养殖生产台帐和记录，不断规范畜禽养殖生产行为。环保部门要加强畜禽养殖场环境监管，规范其排污行为，督促畜禽养殖场按期完成污染减排任务。</w:t>
      </w:r>
    </w:p>
    <w:p>
      <w:r>
        <w:rPr>
          <w:rFonts w:hint="eastAsia"/>
        </w:rPr>
        <w:t>项目用地符合当地的乡村土地利用总体规划，不在禁养区和限养区内，并得到当地村委会及镇政府及周边公众的大力支持，符合准入条件。本项目属于标准化生态养殖模式，畜禽品种良种化、养殖设施化、管理规范化、粪肥还林，对畜禽养殖场粪污进行综合利用。</w:t>
      </w:r>
    </w:p>
    <w:p>
      <w:r>
        <w:rPr>
          <w:rFonts w:hint="eastAsia"/>
        </w:rPr>
        <w:t>综上，本项目建设符合常德市畜牧业发展政策的相关要求。</w:t>
      </w:r>
    </w:p>
    <w:p>
      <w:pPr>
        <w:pStyle w:val="4"/>
        <w:bidi w:val="0"/>
      </w:pPr>
      <w:bookmarkStart w:id="543" w:name="_Toc4980"/>
      <w:r>
        <w:rPr>
          <w:rFonts w:hint="eastAsia"/>
        </w:rPr>
        <w:t>项目选址合理性分析</w:t>
      </w:r>
      <w:bookmarkEnd w:id="543"/>
    </w:p>
    <w:p>
      <w:pPr>
        <w:pStyle w:val="5"/>
        <w:bidi w:val="0"/>
      </w:pPr>
      <w:r>
        <w:rPr>
          <w:rFonts w:hint="eastAsia"/>
        </w:rPr>
        <w:t>用地合法性分析</w:t>
      </w:r>
    </w:p>
    <w:p>
      <w:r>
        <w:rPr>
          <w:rFonts w:hint="eastAsia"/>
        </w:rPr>
        <w:t>本项目选址于澧县</w:t>
      </w:r>
      <w:r>
        <w:rPr>
          <w:rFonts w:hint="eastAsia"/>
          <w:lang w:eastAsia="zh-CN"/>
        </w:rPr>
        <w:t>澧南镇天子山社区、</w:t>
      </w:r>
      <w:r>
        <w:rPr>
          <w:rFonts w:hint="eastAsia"/>
          <w:lang w:val="en-US" w:eastAsia="zh-CN"/>
        </w:rPr>
        <w:t>临澧县修梅镇杨板桥社区</w:t>
      </w:r>
      <w:r>
        <w:rPr>
          <w:rFonts w:hint="eastAsia"/>
        </w:rPr>
        <w:t>。项目占用澧县</w:t>
      </w:r>
      <w:r>
        <w:rPr>
          <w:rFonts w:hint="eastAsia"/>
          <w:lang w:eastAsia="zh-CN"/>
        </w:rPr>
        <w:t>澧南镇天子山社区、</w:t>
      </w:r>
      <w:r>
        <w:rPr>
          <w:rFonts w:hint="eastAsia"/>
          <w:lang w:val="en-US" w:eastAsia="zh-CN"/>
        </w:rPr>
        <w:t>临澧县修梅镇杨板桥社区</w:t>
      </w:r>
      <w:r>
        <w:rPr>
          <w:rFonts w:hint="eastAsia"/>
        </w:rPr>
        <w:t>集体所有土地约</w:t>
      </w:r>
      <w:r>
        <w:rPr>
          <w:rFonts w:hint="eastAsia"/>
          <w:lang w:val="en-US" w:eastAsia="zh-CN"/>
        </w:rPr>
        <w:t>9.62</w:t>
      </w:r>
      <w:r>
        <w:rPr>
          <w:rFonts w:hint="eastAsia"/>
        </w:rPr>
        <w:t>公顷，经</w:t>
      </w:r>
      <w:r>
        <w:rPr>
          <w:rFonts w:hint="eastAsia"/>
          <w:lang w:eastAsia="zh-CN"/>
        </w:rPr>
        <w:t>澧县国土局审核</w:t>
      </w:r>
      <w:r>
        <w:rPr>
          <w:rFonts w:hint="eastAsia"/>
        </w:rPr>
        <w:t>，准予同意使用。并与</w:t>
      </w:r>
      <w:r>
        <w:rPr>
          <w:rFonts w:hint="eastAsia"/>
          <w:lang w:eastAsia="zh-CN"/>
        </w:rPr>
        <w:t>湖南省四季百和绿色产业发展有限公司、天子山社区居民委员会</w:t>
      </w:r>
      <w:r>
        <w:rPr>
          <w:rFonts w:hint="eastAsia"/>
        </w:rPr>
        <w:t>签订了《</w:t>
      </w:r>
      <w:r>
        <w:rPr>
          <w:rFonts w:hint="eastAsia"/>
          <w:lang w:eastAsia="zh-CN"/>
        </w:rPr>
        <w:t>林地林权再次流转合同书</w:t>
      </w:r>
      <w:r>
        <w:rPr>
          <w:rFonts w:hint="eastAsia"/>
        </w:rPr>
        <w:t>》（见附件）。</w:t>
      </w:r>
    </w:p>
    <w:p>
      <w:r>
        <w:rPr>
          <w:rFonts w:hint="eastAsia"/>
        </w:rPr>
        <w:t>综上，项目用地符合当地的乡村土地利用总体规划，征用土地手续齐全、合法。</w:t>
      </w:r>
    </w:p>
    <w:p>
      <w:pPr>
        <w:pStyle w:val="5"/>
        <w:bidi w:val="0"/>
      </w:pPr>
      <w:r>
        <w:rPr>
          <w:rFonts w:hint="eastAsia"/>
        </w:rPr>
        <w:t>选址与《畜禽养殖业污染防治技术规范》（</w:t>
      </w:r>
      <w:r>
        <w:t>HJ/T8-2001</w:t>
      </w:r>
      <w:r>
        <w:rPr>
          <w:rFonts w:hint="eastAsia"/>
        </w:rPr>
        <w:t>）相符性分析</w:t>
      </w:r>
    </w:p>
    <w:p>
      <w:r>
        <w:rPr>
          <w:rFonts w:hint="eastAsia"/>
        </w:rPr>
        <w:t>根据《畜禽养殖业污染防治技术规范》，畜禽养殖业选址必须符合下列要求，</w:t>
      </w:r>
    </w:p>
    <w:p>
      <w:r>
        <w:rPr>
          <w:rFonts w:hint="eastAsia"/>
        </w:rPr>
        <w:t>（</w:t>
      </w:r>
      <w:r>
        <w:t>1</w:t>
      </w:r>
      <w:r>
        <w:rPr>
          <w:rFonts w:hint="eastAsia"/>
        </w:rPr>
        <w:t>）禁止在下列区域内建设畜禽养殖场：</w:t>
      </w:r>
    </w:p>
    <w:p>
      <w:r>
        <w:rPr>
          <w:rFonts w:hint="eastAsia"/>
        </w:rPr>
        <w:t>①生活饮用水水源保护区、风景名胜区、自然保护区的核心区及缓冲区；</w:t>
      </w:r>
    </w:p>
    <w:p>
      <w:r>
        <w:rPr>
          <w:rFonts w:hint="eastAsia"/>
        </w:rPr>
        <w:t>②城市和城镇居民区，包括文教科研区、医疗区、商业区、工业区、游览区等人口集中地区；</w:t>
      </w:r>
    </w:p>
    <w:p>
      <w:r>
        <w:rPr>
          <w:rFonts w:hint="eastAsia"/>
        </w:rPr>
        <w:t>③县级人民政府依法划定的禁养区域；</w:t>
      </w:r>
    </w:p>
    <w:p>
      <w:r>
        <w:rPr>
          <w:rFonts w:hint="eastAsia"/>
        </w:rPr>
        <w:t>④国家或地方法律、法规规定需特殊保护的其它区域。</w:t>
      </w:r>
    </w:p>
    <w:p>
      <w:r>
        <w:rPr>
          <w:rFonts w:hint="eastAsia"/>
        </w:rPr>
        <w:t>（</w:t>
      </w:r>
      <w:r>
        <w:t>2</w:t>
      </w:r>
      <w:r>
        <w:rPr>
          <w:rFonts w:hint="eastAsia"/>
        </w:rPr>
        <w:t>）新建、改建、扩建的畜禽养殖场选址应避开（</w:t>
      </w:r>
      <w:r>
        <w:t>1</w:t>
      </w:r>
      <w:r>
        <w:rPr>
          <w:rFonts w:hint="eastAsia"/>
        </w:rPr>
        <w:t>）中规定的禁建区域，在禁建区域附近建设的，应设在（</w:t>
      </w:r>
      <w:r>
        <w:t>1</w:t>
      </w:r>
      <w:r>
        <w:rPr>
          <w:rFonts w:hint="eastAsia"/>
        </w:rPr>
        <w:t>）中规定的禁建区域常年主导风向的下风向或侧风向处，场界与禁建区域边界的最小距离不得小于</w:t>
      </w:r>
      <w:r>
        <w:t>500m</w:t>
      </w:r>
      <w:r>
        <w:rPr>
          <w:rFonts w:hint="eastAsia"/>
        </w:rPr>
        <w:t>。</w:t>
      </w:r>
    </w:p>
    <w:p>
      <w:pPr>
        <w:pStyle w:val="11"/>
        <w:rPr>
          <w:rFonts w:hint="default" w:eastAsiaTheme="minorEastAsia"/>
          <w:lang w:val="en-US" w:eastAsia="zh-CN"/>
        </w:rPr>
      </w:pPr>
      <w:r>
        <w:t xml:space="preserve">表8.2- </w:t>
      </w:r>
      <w:r>
        <w:fldChar w:fldCharType="begin"/>
      </w:r>
      <w:r>
        <w:instrText xml:space="preserve"> SEQ 表8.2- \* ARABIC </w:instrText>
      </w:r>
      <w:r>
        <w:fldChar w:fldCharType="separate"/>
      </w:r>
      <w:r>
        <w:t>1</w:t>
      </w:r>
      <w:r>
        <w:fldChar w:fldCharType="end"/>
      </w:r>
      <w:r>
        <w:rPr>
          <w:rFonts w:hint="eastAsia"/>
          <w:lang w:val="en-US" w:eastAsia="zh-CN"/>
        </w:rPr>
        <w:t xml:space="preserve">  </w:t>
      </w:r>
      <w:r>
        <w:rPr>
          <w:rFonts w:hint="eastAsia"/>
        </w:rPr>
        <w:t>本项目场址与选址要求的符合性分析表</w:t>
      </w:r>
    </w:p>
    <w:tbl>
      <w:tblPr>
        <w:tblStyle w:val="1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9"/>
        <w:gridCol w:w="4747"/>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jc w:val="center"/>
        </w:trPr>
        <w:tc>
          <w:tcPr>
            <w:tcW w:w="3299" w:type="dxa"/>
            <w:vAlign w:val="center"/>
          </w:tcPr>
          <w:p>
            <w:pPr>
              <w:pStyle w:val="8"/>
              <w:bidi w:val="0"/>
            </w:pPr>
            <w:r>
              <w:rPr>
                <w:rFonts w:hint="eastAsia"/>
              </w:rPr>
              <w:t>选址条件</w:t>
            </w:r>
          </w:p>
        </w:tc>
        <w:tc>
          <w:tcPr>
            <w:tcW w:w="4747" w:type="dxa"/>
            <w:vAlign w:val="center"/>
          </w:tcPr>
          <w:p>
            <w:pPr>
              <w:pStyle w:val="8"/>
              <w:bidi w:val="0"/>
            </w:pPr>
            <w:r>
              <w:rPr>
                <w:rFonts w:hint="eastAsia"/>
              </w:rPr>
              <w:t>本项目情况</w:t>
            </w:r>
          </w:p>
        </w:tc>
        <w:tc>
          <w:tcPr>
            <w:tcW w:w="1015" w:type="dxa"/>
            <w:vAlign w:val="center"/>
          </w:tcPr>
          <w:p>
            <w:pPr>
              <w:pStyle w:val="8"/>
              <w:bidi w:val="0"/>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299" w:type="dxa"/>
            <w:vAlign w:val="center"/>
          </w:tcPr>
          <w:p>
            <w:pPr>
              <w:pStyle w:val="8"/>
              <w:bidi w:val="0"/>
            </w:pPr>
            <w:r>
              <w:rPr>
                <w:rFonts w:hint="eastAsia"/>
              </w:rPr>
              <w:t>禁止在生活饮用水水源保护区、风景名胜区、自然保护区的核心区及缓冲区建设</w:t>
            </w:r>
          </w:p>
        </w:tc>
        <w:tc>
          <w:tcPr>
            <w:tcW w:w="4747" w:type="dxa"/>
            <w:vAlign w:val="center"/>
          </w:tcPr>
          <w:p>
            <w:pPr>
              <w:pStyle w:val="8"/>
              <w:bidi w:val="0"/>
              <w:rPr>
                <w:rFonts w:hint="default" w:eastAsiaTheme="minorEastAsia"/>
                <w:lang w:val="en-US" w:eastAsia="zh-CN"/>
              </w:rPr>
            </w:pPr>
            <w:r>
              <w:rPr>
                <w:rFonts w:hint="eastAsia"/>
              </w:rPr>
              <w:t>本项目所在地不是、风景名胜区、自然保护区的核心区及缓冲区</w:t>
            </w:r>
            <w:r>
              <w:rPr>
                <w:rFonts w:hint="eastAsia"/>
                <w:lang w:eastAsia="zh-CN"/>
              </w:rPr>
              <w:t>，距离桑木峪水库</w:t>
            </w:r>
            <w:r>
              <w:rPr>
                <w:rFonts w:hint="eastAsia"/>
              </w:rPr>
              <w:t>生活饮用水水源保护区</w:t>
            </w:r>
            <w:r>
              <w:rPr>
                <w:rFonts w:hint="eastAsia"/>
                <w:lang w:eastAsia="zh-CN"/>
              </w:rPr>
              <w:t>最近距离</w:t>
            </w:r>
            <w:r>
              <w:rPr>
                <w:rFonts w:hint="eastAsia"/>
                <w:lang w:val="en-US" w:eastAsia="zh-CN"/>
              </w:rPr>
              <w:t>502m</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99" w:type="dxa"/>
            <w:vAlign w:val="center"/>
          </w:tcPr>
          <w:p>
            <w:pPr>
              <w:pStyle w:val="8"/>
              <w:bidi w:val="0"/>
            </w:pPr>
            <w:r>
              <w:rPr>
                <w:rFonts w:hint="eastAsia"/>
              </w:rPr>
              <w:t>禁止城市和城镇居民区，包括文教科研区、医疗区、商业区、工业区、游览区等人口集中地区建设</w:t>
            </w:r>
          </w:p>
        </w:tc>
        <w:tc>
          <w:tcPr>
            <w:tcW w:w="4747" w:type="dxa"/>
            <w:vAlign w:val="center"/>
          </w:tcPr>
          <w:p>
            <w:pPr>
              <w:pStyle w:val="8"/>
              <w:bidi w:val="0"/>
            </w:pPr>
            <w:r>
              <w:rPr>
                <w:rFonts w:hint="eastAsia"/>
              </w:rPr>
              <w:t>本项目所在地不位于城市和城镇居民区</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299" w:type="dxa"/>
            <w:vAlign w:val="center"/>
          </w:tcPr>
          <w:p>
            <w:pPr>
              <w:pStyle w:val="8"/>
              <w:bidi w:val="0"/>
            </w:pPr>
            <w:r>
              <w:rPr>
                <w:rFonts w:hint="eastAsia"/>
              </w:rPr>
              <w:t>禁止在县级人民政府依法划定的禁养区域建设</w:t>
            </w:r>
          </w:p>
        </w:tc>
        <w:tc>
          <w:tcPr>
            <w:tcW w:w="4747" w:type="dxa"/>
            <w:vAlign w:val="center"/>
          </w:tcPr>
          <w:p>
            <w:pPr>
              <w:pStyle w:val="8"/>
              <w:bidi w:val="0"/>
            </w:pPr>
            <w:r>
              <w:rPr>
                <w:rFonts w:hint="eastAsia"/>
              </w:rPr>
              <w:t>根据澧县人民政府《澧县畜禽养殖禁养区划定方案》（澧政发[</w:t>
            </w:r>
            <w:r>
              <w:rPr>
                <w:rFonts w:hint="eastAsia"/>
                <w:lang w:val="en-US" w:eastAsia="zh-CN"/>
              </w:rPr>
              <w:t>2020</w:t>
            </w:r>
            <w:r>
              <w:rPr>
                <w:rFonts w:hint="eastAsia"/>
              </w:rPr>
              <w:t>]</w:t>
            </w:r>
            <w:r>
              <w:rPr>
                <w:rFonts w:hint="eastAsia"/>
                <w:lang w:val="en-US" w:eastAsia="zh-CN"/>
              </w:rPr>
              <w:t>6</w:t>
            </w:r>
            <w:r>
              <w:rPr>
                <w:rFonts w:hint="eastAsia"/>
              </w:rPr>
              <w:t>号，20</w:t>
            </w:r>
            <w:r>
              <w:rPr>
                <w:rFonts w:hint="eastAsia"/>
                <w:lang w:val="en-US" w:eastAsia="zh-CN"/>
              </w:rPr>
              <w:t>20</w:t>
            </w:r>
            <w:r>
              <w:rPr>
                <w:rFonts w:hint="eastAsia"/>
              </w:rPr>
              <w:t>.</w:t>
            </w:r>
            <w:r>
              <w:rPr>
                <w:rFonts w:hint="eastAsia"/>
                <w:lang w:val="en-US" w:eastAsia="zh-CN"/>
              </w:rPr>
              <w:t>4</w:t>
            </w:r>
            <w:r>
              <w:rPr>
                <w:rFonts w:hint="eastAsia"/>
              </w:rPr>
              <w:t>.</w:t>
            </w:r>
            <w:r>
              <w:rPr>
                <w:rFonts w:hint="eastAsia"/>
                <w:lang w:val="en-US" w:eastAsia="zh-CN"/>
              </w:rPr>
              <w:t>17</w:t>
            </w:r>
            <w:r>
              <w:rPr>
                <w:rFonts w:hint="eastAsia"/>
              </w:rPr>
              <w:t>），本项目不在禁养区范围</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3299" w:type="dxa"/>
            <w:vAlign w:val="center"/>
          </w:tcPr>
          <w:p>
            <w:pPr>
              <w:pStyle w:val="8"/>
              <w:bidi w:val="0"/>
            </w:pPr>
            <w:r>
              <w:rPr>
                <w:rFonts w:hint="eastAsia"/>
              </w:rPr>
              <w:t>禁止在国家或地方法律、法规规定需特殊保护的其它区域建设</w:t>
            </w:r>
          </w:p>
        </w:tc>
        <w:tc>
          <w:tcPr>
            <w:tcW w:w="4747" w:type="dxa"/>
            <w:vAlign w:val="center"/>
          </w:tcPr>
          <w:p>
            <w:pPr>
              <w:pStyle w:val="8"/>
              <w:bidi w:val="0"/>
            </w:pPr>
            <w:r>
              <w:rPr>
                <w:rFonts w:hint="eastAsia"/>
              </w:rPr>
              <w:t>本项目所在地不属于国家或地方法律、法规规定需特殊保护的其它区域</w:t>
            </w:r>
          </w:p>
        </w:tc>
        <w:tc>
          <w:tcPr>
            <w:tcW w:w="1015" w:type="dxa"/>
            <w:vAlign w:val="center"/>
          </w:tcPr>
          <w:p>
            <w:pPr>
              <w:pStyle w:val="8"/>
              <w:bidi w:val="0"/>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299" w:type="dxa"/>
            <w:vAlign w:val="center"/>
          </w:tcPr>
          <w:p>
            <w:pPr>
              <w:pStyle w:val="8"/>
              <w:bidi w:val="0"/>
            </w:pPr>
            <w:r>
              <w:rPr>
                <w:rFonts w:hint="eastAsia"/>
              </w:rPr>
              <w:t>场界与禁建区域边界的最小距离不得小于</w:t>
            </w:r>
            <w:r>
              <w:t>500m</w:t>
            </w:r>
          </w:p>
        </w:tc>
        <w:tc>
          <w:tcPr>
            <w:tcW w:w="4747" w:type="dxa"/>
            <w:vAlign w:val="center"/>
          </w:tcPr>
          <w:p>
            <w:pPr>
              <w:pStyle w:val="8"/>
              <w:bidi w:val="0"/>
            </w:pPr>
            <w:r>
              <w:rPr>
                <w:rFonts w:hint="eastAsia"/>
              </w:rPr>
              <w:t>周边地表水系不发达</w:t>
            </w:r>
            <w:r>
              <w:rPr>
                <w:rFonts w:hint="eastAsia" w:ascii="Times New Roman" w:hAnsi="Times New Roman" w:cs="Times New Roman"/>
              </w:rPr>
              <w:t>周边居民距离猪舍最近距离为</w:t>
            </w:r>
            <w:r>
              <w:rPr>
                <w:rFonts w:hint="eastAsia" w:cs="Times New Roman"/>
                <w:lang w:val="en-US" w:eastAsia="zh-CN"/>
              </w:rPr>
              <w:t>200</w:t>
            </w:r>
            <w:r>
              <w:rPr>
                <w:rFonts w:ascii="Times New Roman" w:hAnsi="Times New Roman" w:cs="Times New Roman"/>
              </w:rPr>
              <w:t>m</w:t>
            </w:r>
            <w:r>
              <w:rPr>
                <w:rFonts w:hint="eastAsia" w:ascii="Times New Roman" w:hAnsi="Times New Roman" w:cs="Times New Roman"/>
              </w:rPr>
              <w:t>；周边地表水系</w:t>
            </w:r>
            <w:r>
              <w:rPr>
                <w:rFonts w:hint="eastAsia" w:cs="Times New Roman"/>
                <w:lang w:eastAsia="zh-CN"/>
              </w:rPr>
              <w:t>主要为东侧的道水，直线距离分别为</w:t>
            </w:r>
            <w:r>
              <w:rPr>
                <w:rFonts w:hint="eastAsia" w:cs="Times New Roman"/>
                <w:lang w:val="en-US" w:eastAsia="zh-CN"/>
              </w:rPr>
              <w:t>2500m</w:t>
            </w:r>
            <w:r>
              <w:rPr>
                <w:rFonts w:hint="eastAsia"/>
              </w:rPr>
              <w:t>。</w:t>
            </w:r>
          </w:p>
        </w:tc>
        <w:tc>
          <w:tcPr>
            <w:tcW w:w="1015" w:type="dxa"/>
            <w:vAlign w:val="center"/>
          </w:tcPr>
          <w:p>
            <w:pPr>
              <w:pStyle w:val="8"/>
              <w:bidi w:val="0"/>
            </w:pPr>
            <w:r>
              <w:rPr>
                <w:rFonts w:hint="eastAsia"/>
              </w:rPr>
              <w:t>符合</w:t>
            </w:r>
          </w:p>
        </w:tc>
      </w:tr>
    </w:tbl>
    <w:p>
      <w:r>
        <w:rPr>
          <w:rFonts w:hint="eastAsia"/>
        </w:rPr>
        <w:t>根据表</w:t>
      </w:r>
      <w:r>
        <w:rPr>
          <w:rFonts w:hint="eastAsia"/>
          <w:lang w:val="en-US" w:eastAsia="zh-CN"/>
        </w:rPr>
        <w:t>8.2-1</w:t>
      </w:r>
      <w:r>
        <w:rPr>
          <w:rFonts w:hint="eastAsia"/>
        </w:rPr>
        <w:t>可知，本项目选址符合《畜禽养殖业污染防治技术规范》（</w:t>
      </w:r>
      <w:r>
        <w:t>HJ/T8-2001</w:t>
      </w:r>
      <w:r>
        <w:rPr>
          <w:rFonts w:hint="eastAsia"/>
        </w:rPr>
        <w:t>）中选址要求。</w:t>
      </w:r>
    </w:p>
    <w:p>
      <w:pPr>
        <w:pStyle w:val="5"/>
        <w:bidi w:val="0"/>
      </w:pPr>
      <w:r>
        <w:rPr>
          <w:rFonts w:hint="eastAsia"/>
        </w:rPr>
        <w:t>项目选址与《湖南省生态保护红线》（湘政发[2018]20号）的符合性</w:t>
      </w:r>
    </w:p>
    <w:p>
      <w:r>
        <w:rPr>
          <w:rFonts w:hint="eastAsia"/>
        </w:rPr>
        <w:t>为深入贯彻落实党中央、国务院关于生态保护红线划定工作的总体要求，优化湖南省国土空间格局，维护和改善生态功能，保障国家和区域生态安全，依据《中华人民共和国环境保护法》《中华人民共和国国家安全法》《中共中央办公厅国务院办公厅关于划定并严守生态保护红线的若干意见》等法律法规和文件规定，结合实际，省人民政府组织划定了湖南省生态保护红线。</w:t>
      </w:r>
    </w:p>
    <w:p>
      <w:r>
        <w:t>总体划定情况。湖南省生态保护红线划定面积为4.28万平方公里，占全省国土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w:t>
      </w:r>
      <w:r>
        <w:rPr>
          <w:rFonts w:hint="eastAsia"/>
        </w:rPr>
        <w:t>带的重要组成部分。“四水”为湘资沅澧</w:t>
      </w:r>
      <w:r>
        <w:t>(湘江、资水、沅江、澧水)的源头区及重要水域。</w:t>
      </w:r>
    </w:p>
    <w:p>
      <w:r>
        <w:t>本项目均不在上述区域内。</w:t>
      </w:r>
    </w:p>
    <w:p>
      <w:pPr>
        <w:pStyle w:val="5"/>
        <w:bidi w:val="0"/>
        <w:rPr>
          <w:highlight w:val="yellow"/>
        </w:rPr>
      </w:pPr>
      <w:r>
        <w:rPr>
          <w:rFonts w:hint="eastAsia"/>
          <w:highlight w:val="yellow"/>
        </w:rPr>
        <w:t>项目选址与《澧县畜禽养殖禁养区划定方案》（澧政发[</w:t>
      </w:r>
      <w:r>
        <w:rPr>
          <w:rFonts w:hint="eastAsia"/>
          <w:highlight w:val="yellow"/>
          <w:lang w:val="en-US" w:eastAsia="zh-CN"/>
        </w:rPr>
        <w:t>2020</w:t>
      </w:r>
      <w:r>
        <w:rPr>
          <w:rFonts w:hint="eastAsia"/>
          <w:highlight w:val="yellow"/>
        </w:rPr>
        <w:t>]</w:t>
      </w:r>
      <w:r>
        <w:rPr>
          <w:rFonts w:hint="eastAsia"/>
          <w:highlight w:val="yellow"/>
          <w:lang w:val="en-US" w:eastAsia="zh-CN"/>
        </w:rPr>
        <w:t>6</w:t>
      </w:r>
      <w:r>
        <w:rPr>
          <w:rFonts w:hint="eastAsia"/>
          <w:highlight w:val="yellow"/>
        </w:rPr>
        <w:t>号）的符合性分析</w:t>
      </w:r>
    </w:p>
    <w:p>
      <w:r>
        <w:t>根据《澧县人民政府关于印发&lt;澧县畜禽养殖禁养区限养区适养区划定方案&gt;的通知》（澧政发〔2017〕8号，2017.</w:t>
      </w:r>
      <w:r>
        <w:rPr>
          <w:rFonts w:hint="eastAsia"/>
        </w:rPr>
        <w:t>8</w:t>
      </w:r>
      <w:r>
        <w:t>.</w:t>
      </w:r>
      <w:r>
        <w:rPr>
          <w:rFonts w:hint="eastAsia"/>
        </w:rPr>
        <w:t>31</w:t>
      </w:r>
      <w:r>
        <w:t>）文件可知，常德市</w:t>
      </w:r>
      <w:r>
        <w:rPr>
          <w:rFonts w:hint="eastAsia"/>
        </w:rPr>
        <w:t>澧县</w:t>
      </w:r>
      <w:r>
        <w:t>畜禽规模养殖区域划分为禁养区、限养区和适养区三类。</w:t>
      </w:r>
      <w:r>
        <w:rPr>
          <w:rFonts w:hint="eastAsia"/>
        </w:rPr>
        <w:t>澧县</w:t>
      </w:r>
      <w:r>
        <w:t>畜禽规模养殖区域</w:t>
      </w:r>
      <w:r>
        <w:rPr>
          <w:rFonts w:hint="eastAsia"/>
        </w:rPr>
        <w:t>具体</w:t>
      </w:r>
      <w:r>
        <w:t>划分</w:t>
      </w:r>
      <w:r>
        <w:rPr>
          <w:rFonts w:hint="eastAsia"/>
        </w:rPr>
        <w:t>及本项目情况见下表。</w:t>
      </w:r>
    </w:p>
    <w:p>
      <w:pPr>
        <w:pStyle w:val="11"/>
        <w:rPr>
          <w:rFonts w:hint="default" w:eastAsiaTheme="minorEastAsia"/>
          <w:lang w:val="en-US" w:eastAsia="zh-CN"/>
        </w:rPr>
      </w:pPr>
      <w:r>
        <w:t xml:space="preserve">表8.2- </w:t>
      </w:r>
      <w:r>
        <w:fldChar w:fldCharType="begin"/>
      </w:r>
      <w:r>
        <w:instrText xml:space="preserve"> SEQ 表8.2- \* ARABIC </w:instrText>
      </w:r>
      <w:r>
        <w:fldChar w:fldCharType="separate"/>
      </w:r>
      <w:r>
        <w:t>2</w:t>
      </w:r>
      <w:r>
        <w:fldChar w:fldCharType="end"/>
      </w:r>
      <w:r>
        <w:rPr>
          <w:rFonts w:hint="eastAsia"/>
          <w:lang w:val="en-US" w:eastAsia="zh-CN"/>
        </w:rPr>
        <w:t xml:space="preserve">  </w:t>
      </w:r>
      <w:r>
        <w:rPr>
          <w:rFonts w:hint="eastAsia"/>
        </w:rPr>
        <w:t>澧县</w:t>
      </w:r>
      <w:r>
        <w:t>畜禽规模养殖区域划分及项目情况一览表</w:t>
      </w:r>
    </w:p>
    <w:tbl>
      <w:tblPr>
        <w:tblStyle w:val="17"/>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116"/>
        <w:gridCol w:w="2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bidi w:val="0"/>
            </w:pPr>
            <w:r>
              <w:t>养殖区域划分</w:t>
            </w:r>
          </w:p>
        </w:tc>
        <w:tc>
          <w:tcPr>
            <w:tcW w:w="5116" w:type="dxa"/>
            <w:vAlign w:val="center"/>
          </w:tcPr>
          <w:p>
            <w:pPr>
              <w:pStyle w:val="8"/>
              <w:bidi w:val="0"/>
            </w:pPr>
            <w:r>
              <w:t>区域范围</w:t>
            </w:r>
          </w:p>
        </w:tc>
        <w:tc>
          <w:tcPr>
            <w:tcW w:w="2683" w:type="dxa"/>
            <w:vAlign w:val="center"/>
          </w:tcPr>
          <w:p>
            <w:pPr>
              <w:pStyle w:val="8"/>
              <w:bidi w:val="0"/>
            </w:pPr>
            <w: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Merge w:val="restart"/>
            <w:vAlign w:val="center"/>
          </w:tcPr>
          <w:p>
            <w:pPr>
              <w:pStyle w:val="8"/>
              <w:bidi w:val="0"/>
            </w:pPr>
            <w:r>
              <w:t>禁养区</w:t>
            </w:r>
          </w:p>
        </w:tc>
        <w:tc>
          <w:tcPr>
            <w:tcW w:w="5116" w:type="dxa"/>
            <w:vAlign w:val="center"/>
          </w:tcPr>
          <w:p>
            <w:pPr>
              <w:pStyle w:val="8"/>
              <w:bidi w:val="0"/>
            </w:pPr>
            <w:r>
              <w:rPr>
                <w:rFonts w:hint="eastAsia"/>
                <w:lang w:eastAsia="zh-CN"/>
              </w:rPr>
              <w:t>（</w:t>
            </w:r>
            <w:r>
              <w:rPr>
                <w:rFonts w:hint="eastAsia"/>
                <w:lang w:val="en-US" w:eastAsia="zh-CN"/>
              </w:rPr>
              <w:t>1</w:t>
            </w:r>
            <w:r>
              <w:rPr>
                <w:rFonts w:hint="eastAsia"/>
                <w:lang w:eastAsia="zh-CN"/>
              </w:rPr>
              <w:t>）</w:t>
            </w:r>
            <w:r>
              <w:t>生活饮用水水源保护区：</w:t>
            </w:r>
          </w:p>
          <w:p>
            <w:pPr>
              <w:pStyle w:val="8"/>
              <w:bidi w:val="0"/>
            </w:pPr>
            <w:r>
              <w:t>省人民政府依法划定的地表水型饮用水水源保护区(一级保护区、二级保护区)范围内；澧澹街道和如东镇2处农村集中式饮用水地下水源取水点周边陆域水平纵深1000</w:t>
            </w:r>
            <w:r>
              <w:rPr>
                <w:rFonts w:hint="eastAsia"/>
              </w:rPr>
              <w:t>m</w:t>
            </w:r>
            <w:r>
              <w:t>范围内。</w:t>
            </w:r>
          </w:p>
        </w:tc>
        <w:tc>
          <w:tcPr>
            <w:tcW w:w="2683" w:type="dxa"/>
            <w:vAlign w:val="center"/>
          </w:tcPr>
          <w:p>
            <w:pPr>
              <w:pStyle w:val="8"/>
              <w:bidi w:val="0"/>
            </w:pPr>
            <w:r>
              <w:t>本项目不属于此</w:t>
            </w:r>
            <w:r>
              <w:rPr>
                <w:rFonts w:hint="eastAsia"/>
              </w:rPr>
              <w:t>禁</w:t>
            </w:r>
            <w:r>
              <w:t>养</w:t>
            </w:r>
            <w:r>
              <w:rPr>
                <w:rFonts w:hint="eastAsia"/>
              </w:rPr>
              <w:t>区</w:t>
            </w:r>
            <w:r>
              <w:t>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Merge w:val="continue"/>
            <w:vAlign w:val="center"/>
          </w:tcPr>
          <w:p>
            <w:pPr>
              <w:pStyle w:val="8"/>
              <w:bidi w:val="0"/>
            </w:pPr>
          </w:p>
        </w:tc>
        <w:tc>
          <w:tcPr>
            <w:tcW w:w="5116" w:type="dxa"/>
            <w:vAlign w:val="center"/>
          </w:tcPr>
          <w:p>
            <w:pPr>
              <w:pStyle w:val="8"/>
              <w:bidi w:val="0"/>
            </w:pPr>
            <w:r>
              <w:rPr>
                <w:rFonts w:hint="eastAsia"/>
                <w:lang w:eastAsia="zh-CN"/>
              </w:rPr>
              <w:t>（</w:t>
            </w:r>
            <w:r>
              <w:rPr>
                <w:rFonts w:hint="eastAsia"/>
                <w:lang w:val="en-US" w:eastAsia="zh-CN"/>
              </w:rPr>
              <w:t>2</w:t>
            </w:r>
            <w:r>
              <w:rPr>
                <w:rFonts w:hint="eastAsia"/>
                <w:lang w:eastAsia="zh-CN"/>
              </w:rPr>
              <w:t>）</w:t>
            </w:r>
            <w:r>
              <w:t>风景名胜区、自然保护区、重点旅游景区：</w:t>
            </w:r>
          </w:p>
          <w:p>
            <w:pPr>
              <w:pStyle w:val="8"/>
              <w:bidi w:val="0"/>
            </w:pPr>
            <w:r>
              <w:t>城头山古文化遗址范围内（东起八支、西至大坪西干、南起大坪干渠、北至车溪干渠，面积约20</w:t>
            </w:r>
            <w:r>
              <w:rPr>
                <w:rFonts w:hint="eastAsia"/>
              </w:rPr>
              <w:t>km</w:t>
            </w:r>
            <w:r>
              <w:rPr>
                <w:rFonts w:hint="eastAsia"/>
                <w:vertAlign w:val="superscript"/>
              </w:rPr>
              <w:t>2</w:t>
            </w:r>
            <w:r>
              <w:t>）；彭钦艳风景旅游区规划范围内。</w:t>
            </w:r>
          </w:p>
        </w:tc>
        <w:tc>
          <w:tcPr>
            <w:tcW w:w="2683" w:type="dxa"/>
            <w:vAlign w:val="center"/>
          </w:tcPr>
          <w:p>
            <w:pPr>
              <w:pStyle w:val="8"/>
              <w:bidi w:val="0"/>
            </w:pPr>
            <w:r>
              <w:t>本项目不属于此范围内的区域。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Merge w:val="continue"/>
            <w:vAlign w:val="center"/>
          </w:tcPr>
          <w:p>
            <w:pPr>
              <w:pStyle w:val="8"/>
              <w:bidi w:val="0"/>
            </w:pPr>
          </w:p>
        </w:tc>
        <w:tc>
          <w:tcPr>
            <w:tcW w:w="5116" w:type="dxa"/>
            <w:vAlign w:val="center"/>
          </w:tcPr>
          <w:p>
            <w:pPr>
              <w:pStyle w:val="8"/>
              <w:bidi w:val="0"/>
            </w:pPr>
            <w:r>
              <w:rPr>
                <w:rFonts w:hint="eastAsia"/>
                <w:lang w:eastAsia="zh-CN"/>
              </w:rPr>
              <w:t>（</w:t>
            </w:r>
            <w:r>
              <w:rPr>
                <w:rFonts w:hint="eastAsia"/>
                <w:lang w:val="en-US" w:eastAsia="zh-CN"/>
              </w:rPr>
              <w:t>3</w:t>
            </w:r>
            <w:r>
              <w:rPr>
                <w:rFonts w:hint="eastAsia"/>
                <w:lang w:eastAsia="zh-CN"/>
              </w:rPr>
              <w:t>）</w:t>
            </w:r>
            <w:r>
              <w:t>镇、村庄规划区：</w:t>
            </w:r>
          </w:p>
          <w:p>
            <w:pPr>
              <w:pStyle w:val="8"/>
              <w:bidi w:val="0"/>
            </w:pPr>
            <w:r>
              <w:t>县城集中建设区（61</w:t>
            </w:r>
            <w:r>
              <w:rPr>
                <w:rFonts w:hint="eastAsia"/>
              </w:rPr>
              <w:t>km</w:t>
            </w:r>
            <w:r>
              <w:rPr>
                <w:rFonts w:hint="eastAsia"/>
                <w:vertAlign w:val="superscript"/>
              </w:rPr>
              <w:t>2</w:t>
            </w:r>
            <w:r>
              <w:t>）范围内；镇人民政府所在地集镇规划区及周边500</w:t>
            </w:r>
            <w:r>
              <w:rPr>
                <w:rFonts w:hint="eastAsia"/>
              </w:rPr>
              <w:t>m</w:t>
            </w:r>
            <w:r>
              <w:t>范围内；2015年底乡镇区划调整前原乡镇人民政府所在地集镇规划区及周边500</w:t>
            </w:r>
            <w:r>
              <w:rPr>
                <w:rFonts w:hint="eastAsia"/>
              </w:rPr>
              <w:t>m</w:t>
            </w:r>
            <w:r>
              <w:t>范围内；村庄规划区及周边500</w:t>
            </w:r>
            <w:r>
              <w:rPr>
                <w:rFonts w:hint="eastAsia"/>
              </w:rPr>
              <w:t>m</w:t>
            </w:r>
            <w:r>
              <w:t>范围内。</w:t>
            </w:r>
          </w:p>
        </w:tc>
        <w:tc>
          <w:tcPr>
            <w:tcW w:w="2683" w:type="dxa"/>
            <w:vAlign w:val="center"/>
          </w:tcPr>
          <w:p>
            <w:pPr>
              <w:pStyle w:val="8"/>
              <w:bidi w:val="0"/>
            </w:pPr>
            <w:r>
              <w:t>本</w:t>
            </w:r>
            <w:r>
              <w:rPr>
                <w:rFonts w:hint="eastAsia"/>
              </w:rPr>
              <w:t>项目</w:t>
            </w:r>
            <w:r>
              <w:t>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Merge w:val="continue"/>
            <w:vAlign w:val="center"/>
          </w:tcPr>
          <w:p>
            <w:pPr>
              <w:pStyle w:val="8"/>
              <w:bidi w:val="0"/>
            </w:pPr>
          </w:p>
        </w:tc>
        <w:tc>
          <w:tcPr>
            <w:tcW w:w="5116" w:type="dxa"/>
            <w:vAlign w:val="center"/>
          </w:tcPr>
          <w:p>
            <w:pPr>
              <w:pStyle w:val="8"/>
              <w:bidi w:val="0"/>
            </w:pPr>
            <w:r>
              <w:t>（4）农村学校、幼儿院、敬老院、医院、居民集中居住点及周边500</w:t>
            </w:r>
            <w:r>
              <w:rPr>
                <w:rFonts w:hint="eastAsia"/>
              </w:rPr>
              <w:t>m</w:t>
            </w:r>
            <w:r>
              <w:t>范围内。</w:t>
            </w:r>
          </w:p>
        </w:tc>
        <w:tc>
          <w:tcPr>
            <w:tcW w:w="2683" w:type="dxa"/>
            <w:vAlign w:val="center"/>
          </w:tcPr>
          <w:p>
            <w:pPr>
              <w:pStyle w:val="8"/>
              <w:bidi w:val="0"/>
            </w:pPr>
            <w:r>
              <w:t>本</w:t>
            </w:r>
            <w:r>
              <w:rPr>
                <w:rFonts w:hint="eastAsia"/>
              </w:rPr>
              <w:t>项目</w:t>
            </w:r>
            <w:r>
              <w:t>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Merge w:val="continue"/>
            <w:vAlign w:val="center"/>
          </w:tcPr>
          <w:p>
            <w:pPr>
              <w:pStyle w:val="8"/>
              <w:bidi w:val="0"/>
            </w:pPr>
          </w:p>
        </w:tc>
        <w:tc>
          <w:tcPr>
            <w:tcW w:w="5116" w:type="dxa"/>
            <w:vAlign w:val="center"/>
          </w:tcPr>
          <w:p>
            <w:pPr>
              <w:pStyle w:val="8"/>
              <w:bidi w:val="0"/>
            </w:pPr>
            <w:r>
              <w:rPr>
                <w:rFonts w:hint="eastAsia"/>
              </w:rPr>
              <w:t>（5）</w:t>
            </w:r>
            <w:r>
              <w:t>主要交通干线：二广高速G55澧县段道路两侧各500</w:t>
            </w:r>
            <w:r>
              <w:rPr>
                <w:rFonts w:hint="eastAsia"/>
              </w:rPr>
              <w:t>m</w:t>
            </w:r>
            <w:r>
              <w:t>范围内；焦柳铁路澧县段道路两侧各500</w:t>
            </w:r>
            <w:r>
              <w:rPr>
                <w:rFonts w:hint="eastAsia"/>
              </w:rPr>
              <w:t>m</w:t>
            </w:r>
            <w:r>
              <w:t>范围内；国、省道澧县段道路两侧各500</w:t>
            </w:r>
            <w:r>
              <w:rPr>
                <w:rFonts w:hint="eastAsia"/>
              </w:rPr>
              <w:t>m</w:t>
            </w:r>
            <w:r>
              <w:t>范围内。</w:t>
            </w:r>
          </w:p>
        </w:tc>
        <w:tc>
          <w:tcPr>
            <w:tcW w:w="2683" w:type="dxa"/>
            <w:vAlign w:val="center"/>
          </w:tcPr>
          <w:p>
            <w:pPr>
              <w:pStyle w:val="8"/>
              <w:bidi w:val="0"/>
            </w:pPr>
            <w:r>
              <w:t>本项目不属于此范围内的区域。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Merge w:val="continue"/>
            <w:vAlign w:val="center"/>
          </w:tcPr>
          <w:p>
            <w:pPr>
              <w:pStyle w:val="8"/>
              <w:bidi w:val="0"/>
            </w:pPr>
          </w:p>
        </w:tc>
        <w:tc>
          <w:tcPr>
            <w:tcW w:w="5116" w:type="dxa"/>
            <w:vAlign w:val="center"/>
          </w:tcPr>
          <w:p>
            <w:pPr>
              <w:pStyle w:val="8"/>
              <w:bidi w:val="0"/>
            </w:pPr>
            <w:r>
              <w:rPr>
                <w:rFonts w:hint="eastAsia"/>
              </w:rPr>
              <w:t>（6）</w:t>
            </w:r>
            <w:r>
              <w:t>重要水功能区：澧水、涔水、道水、澹水、松滋水、洈水等6大水系澧县段两侧堤岸陆域水平纵深各500</w:t>
            </w:r>
            <w:r>
              <w:rPr>
                <w:rFonts w:hint="eastAsia"/>
              </w:rPr>
              <w:t>m</w:t>
            </w:r>
            <w:r>
              <w:t>范围内；马公湖、北民湖、杨家湖、宋鲁湖、牛浪湖等5大内湖堤岸周边陆域水平纵深1000</w:t>
            </w:r>
            <w:r>
              <w:rPr>
                <w:rFonts w:hint="eastAsia"/>
              </w:rPr>
              <w:t>m</w:t>
            </w:r>
            <w:r>
              <w:t>范围内。</w:t>
            </w:r>
          </w:p>
        </w:tc>
        <w:tc>
          <w:tcPr>
            <w:tcW w:w="2683" w:type="dxa"/>
            <w:vAlign w:val="center"/>
          </w:tcPr>
          <w:p>
            <w:pPr>
              <w:pStyle w:val="8"/>
              <w:bidi w:val="0"/>
            </w:pPr>
            <w:r>
              <w:t>本</w:t>
            </w:r>
            <w:r>
              <w:rPr>
                <w:rFonts w:hint="eastAsia"/>
              </w:rPr>
              <w:t>项目</w:t>
            </w:r>
            <w:r>
              <w:rPr>
                <w:rFonts w:hint="eastAsia"/>
                <w:lang w:eastAsia="zh-CN"/>
              </w:rPr>
              <w:t>距道水</w:t>
            </w:r>
            <w:r>
              <w:rPr>
                <w:rFonts w:hint="eastAsia"/>
              </w:rPr>
              <w:t>最近距离为</w:t>
            </w:r>
            <w:r>
              <w:rPr>
                <w:rFonts w:hint="eastAsia"/>
                <w:lang w:val="en-US" w:eastAsia="zh-CN"/>
              </w:rPr>
              <w:t>2500</w:t>
            </w:r>
            <w:r>
              <w:rPr>
                <w:rFonts w:hint="eastAsia"/>
              </w:rPr>
              <w:t>m，因此</w:t>
            </w:r>
            <w:r>
              <w:t>不属于此范围内的区域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Merge w:val="continue"/>
            <w:vAlign w:val="center"/>
          </w:tcPr>
          <w:p>
            <w:pPr>
              <w:pStyle w:val="8"/>
              <w:bidi w:val="0"/>
            </w:pPr>
          </w:p>
        </w:tc>
        <w:tc>
          <w:tcPr>
            <w:tcW w:w="5116" w:type="dxa"/>
            <w:vAlign w:val="center"/>
          </w:tcPr>
          <w:p>
            <w:pPr>
              <w:pStyle w:val="8"/>
              <w:bidi w:val="0"/>
            </w:pPr>
            <w:r>
              <w:rPr>
                <w:rFonts w:hint="eastAsia"/>
              </w:rPr>
              <w:t>（7）</w:t>
            </w:r>
            <w:r>
              <w:t>法律、法规规定的其它禁养区域。</w:t>
            </w:r>
          </w:p>
        </w:tc>
        <w:tc>
          <w:tcPr>
            <w:tcW w:w="2683" w:type="dxa"/>
            <w:vAlign w:val="center"/>
          </w:tcPr>
          <w:p>
            <w:pPr>
              <w:pStyle w:val="8"/>
              <w:bidi w:val="0"/>
            </w:pPr>
            <w:r>
              <w:t>不属于法律、法规规定需要特殊保护的其它区域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Merge w:val="restart"/>
            <w:vAlign w:val="center"/>
          </w:tcPr>
          <w:p>
            <w:pPr>
              <w:pStyle w:val="8"/>
              <w:bidi w:val="0"/>
            </w:pPr>
            <w:r>
              <w:t>限养区</w:t>
            </w:r>
          </w:p>
        </w:tc>
        <w:tc>
          <w:tcPr>
            <w:tcW w:w="5116" w:type="dxa"/>
            <w:vAlign w:val="center"/>
          </w:tcPr>
          <w:p>
            <w:pPr>
              <w:pStyle w:val="8"/>
              <w:bidi w:val="0"/>
            </w:pPr>
            <w:r>
              <w:t>（1）畜禽养殖禁养区外延500</w:t>
            </w:r>
            <w:r>
              <w:rPr>
                <w:rFonts w:hint="eastAsia"/>
              </w:rPr>
              <w:t>m</w:t>
            </w:r>
            <w:r>
              <w:t>范围内。</w:t>
            </w:r>
          </w:p>
        </w:tc>
        <w:tc>
          <w:tcPr>
            <w:tcW w:w="2683" w:type="dxa"/>
            <w:vAlign w:val="center"/>
          </w:tcPr>
          <w:p>
            <w:pPr>
              <w:pStyle w:val="8"/>
              <w:bidi w:val="0"/>
            </w:pPr>
            <w:r>
              <w:rPr>
                <w:rFonts w:hint="eastAsia"/>
                <w:lang w:eastAsia="zh-CN"/>
              </w:rPr>
              <w:t>本</w:t>
            </w:r>
            <w:r>
              <w:t>项目</w:t>
            </w:r>
            <w:r>
              <w:rPr>
                <w:rFonts w:hint="eastAsia"/>
                <w:lang w:eastAsia="zh-CN"/>
              </w:rPr>
              <w:t>距离禁养区的最近距离为</w:t>
            </w:r>
            <w:r>
              <w:rPr>
                <w:rFonts w:hint="eastAsia"/>
                <w:lang w:val="en-US" w:eastAsia="zh-CN"/>
              </w:rPr>
              <w:t>502m，因此</w:t>
            </w:r>
            <w:r>
              <w:t>不在此范围区域内。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932" w:type="dxa"/>
            <w:vMerge w:val="continue"/>
            <w:vAlign w:val="center"/>
          </w:tcPr>
          <w:p>
            <w:pPr>
              <w:pStyle w:val="8"/>
              <w:bidi w:val="0"/>
            </w:pPr>
          </w:p>
        </w:tc>
        <w:tc>
          <w:tcPr>
            <w:tcW w:w="5116" w:type="dxa"/>
            <w:vAlign w:val="center"/>
          </w:tcPr>
          <w:p>
            <w:pPr>
              <w:pStyle w:val="8"/>
              <w:bidi w:val="0"/>
            </w:pPr>
            <w:r>
              <w:rPr>
                <w:rFonts w:hint="eastAsia"/>
              </w:rPr>
              <w:t>（2）</w:t>
            </w:r>
            <w:r>
              <w:t>其他区域：未列入禁养区的小Ⅰ型、小Ⅱ型水库堤岸周边陆域水平纵深500</w:t>
            </w:r>
            <w:r>
              <w:rPr>
                <w:rFonts w:hint="eastAsia"/>
              </w:rPr>
              <w:t>m</w:t>
            </w:r>
            <w:r>
              <w:t>范围内；澧州涔槐国家湿地公园、天供山森林公园未列入畜禽养殖禁养区的范围；县城规划区除县城集中建设区以外的范围；县道道路两侧500</w:t>
            </w:r>
            <w:r>
              <w:rPr>
                <w:rFonts w:hint="eastAsia"/>
              </w:rPr>
              <w:t>m</w:t>
            </w:r>
            <w:r>
              <w:t>范围内；未列入禁养区的主要内湖堤岸周边陆域水平纵深500</w:t>
            </w:r>
            <w:r>
              <w:rPr>
                <w:rFonts w:hint="eastAsia"/>
              </w:rPr>
              <w:t>m</w:t>
            </w:r>
            <w:r>
              <w:t>范围内。</w:t>
            </w:r>
          </w:p>
        </w:tc>
        <w:tc>
          <w:tcPr>
            <w:tcW w:w="2683" w:type="dxa"/>
            <w:vAlign w:val="center"/>
          </w:tcPr>
          <w:p>
            <w:pPr>
              <w:pStyle w:val="8"/>
              <w:bidi w:val="0"/>
            </w:pPr>
            <w:r>
              <w:rPr>
                <w:rFonts w:hint="eastAsia"/>
              </w:rPr>
              <w:t>项目养殖区</w:t>
            </w:r>
            <w:r>
              <w:t>不在此范围内的区域。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932" w:type="dxa"/>
            <w:vMerge w:val="restart"/>
            <w:vAlign w:val="center"/>
          </w:tcPr>
          <w:p>
            <w:pPr>
              <w:pStyle w:val="8"/>
              <w:bidi w:val="0"/>
            </w:pPr>
            <w:r>
              <w:t>适养区</w:t>
            </w:r>
          </w:p>
        </w:tc>
        <w:tc>
          <w:tcPr>
            <w:tcW w:w="5116" w:type="dxa"/>
            <w:vAlign w:val="center"/>
          </w:tcPr>
          <w:p>
            <w:pPr>
              <w:pStyle w:val="8"/>
              <w:bidi w:val="0"/>
            </w:pPr>
            <w:r>
              <w:t>（1）选址必须符合城乡发展规划和镇土地利用总体规划，并按有关要求在规划、国土资源、环保、林业、水利、畜牧、发改等部门办理相关手续。</w:t>
            </w:r>
          </w:p>
        </w:tc>
        <w:tc>
          <w:tcPr>
            <w:tcW w:w="2683" w:type="dxa"/>
            <w:vAlign w:val="center"/>
          </w:tcPr>
          <w:p>
            <w:pPr>
              <w:pStyle w:val="8"/>
              <w:bidi w:val="0"/>
            </w:pPr>
            <w:r>
              <w:t>本项目</w:t>
            </w: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932" w:type="dxa"/>
            <w:vMerge w:val="continue"/>
            <w:vAlign w:val="center"/>
          </w:tcPr>
          <w:p>
            <w:pPr>
              <w:pStyle w:val="8"/>
              <w:bidi w:val="0"/>
            </w:pPr>
          </w:p>
        </w:tc>
        <w:tc>
          <w:tcPr>
            <w:tcW w:w="5116" w:type="dxa"/>
            <w:vAlign w:val="center"/>
          </w:tcPr>
          <w:p>
            <w:pPr>
              <w:pStyle w:val="8"/>
              <w:bidi w:val="0"/>
            </w:pPr>
            <w:r>
              <w:t>（2）选址必须符合当地畜禽养殖规划布局，有足够消纳养殖粪便和污水的林地、果地、旱作物地或农田。</w:t>
            </w:r>
          </w:p>
        </w:tc>
        <w:tc>
          <w:tcPr>
            <w:tcW w:w="2683" w:type="dxa"/>
            <w:vAlign w:val="center"/>
          </w:tcPr>
          <w:p>
            <w:pPr>
              <w:pStyle w:val="8"/>
              <w:bidi w:val="0"/>
            </w:pPr>
            <w:r>
              <w:t>本项目</w:t>
            </w:r>
            <w:r>
              <w:rPr>
                <w:rFonts w:hint="eastAsia"/>
                <w:lang w:eastAsia="zh-CN"/>
              </w:rPr>
              <w:t>利用常德华诚现代农业开发有限公司</w:t>
            </w:r>
            <w:r>
              <w:rPr>
                <w:rFonts w:hint="eastAsia"/>
              </w:rPr>
              <w:t>消纳养殖粪污，所以，本项目符合。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932" w:type="dxa"/>
            <w:vMerge w:val="continue"/>
            <w:vAlign w:val="center"/>
          </w:tcPr>
          <w:p>
            <w:pPr>
              <w:pStyle w:val="8"/>
              <w:bidi w:val="0"/>
            </w:pPr>
          </w:p>
        </w:tc>
        <w:tc>
          <w:tcPr>
            <w:tcW w:w="5116" w:type="dxa"/>
            <w:vAlign w:val="center"/>
          </w:tcPr>
          <w:p>
            <w:pPr>
              <w:pStyle w:val="8"/>
              <w:bidi w:val="0"/>
            </w:pPr>
            <w:r>
              <w:t>（3）建设必须符合环境保护条件，具备畜禽粪污和病死畜禽处理的设施设备和手段，并办理相关环境影响审批手续；大中型畜禽规模养殖场、养殖小区必须进行环境影响评价，并按“三同时”要求进行环保设施建设。</w:t>
            </w:r>
          </w:p>
        </w:tc>
        <w:tc>
          <w:tcPr>
            <w:tcW w:w="2683" w:type="dxa"/>
            <w:vAlign w:val="center"/>
          </w:tcPr>
          <w:p>
            <w:pPr>
              <w:pStyle w:val="8"/>
              <w:bidi w:val="0"/>
            </w:pPr>
            <w:r>
              <w:t>本项目</w:t>
            </w:r>
            <w:r>
              <w:rPr>
                <w:rFonts w:hint="eastAsia"/>
              </w:rPr>
              <w:t>符合，按要求进行了环境影响评价，正在办理审批手续。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932" w:type="dxa"/>
            <w:vMerge w:val="continue"/>
            <w:vAlign w:val="center"/>
          </w:tcPr>
          <w:p>
            <w:pPr>
              <w:pStyle w:val="8"/>
              <w:bidi w:val="0"/>
            </w:pPr>
          </w:p>
        </w:tc>
        <w:tc>
          <w:tcPr>
            <w:tcW w:w="5116" w:type="dxa"/>
            <w:vAlign w:val="center"/>
          </w:tcPr>
          <w:p>
            <w:pPr>
              <w:pStyle w:val="8"/>
              <w:bidi w:val="0"/>
            </w:pPr>
            <w:r>
              <w:t>（4）建设必须符合动物防疫条件，取得《动物防疫条件合格证》。</w:t>
            </w:r>
          </w:p>
        </w:tc>
        <w:tc>
          <w:tcPr>
            <w:tcW w:w="2683" w:type="dxa"/>
            <w:vAlign w:val="center"/>
          </w:tcPr>
          <w:p>
            <w:pPr>
              <w:pStyle w:val="8"/>
              <w:bidi w:val="0"/>
            </w:pPr>
            <w:r>
              <w:rPr>
                <w:rFonts w:hint="eastAsia"/>
              </w:rPr>
              <w:t>正在办理中</w:t>
            </w:r>
          </w:p>
        </w:tc>
      </w:tr>
    </w:tbl>
    <w:p>
      <w:r>
        <w:t>由上表可知，项目不属于《澧县人民政府关于印发&lt;澧县畜禽养殖禁养区限养区适养区划定方案&gt;的通知》（澧政发〔2017〕8号</w:t>
      </w:r>
      <w:r>
        <w:rPr>
          <w:rFonts w:hint="eastAsia"/>
        </w:rPr>
        <w:t>）中</w:t>
      </w:r>
      <w:r>
        <w:t>，规定的禁养区及限养区，</w:t>
      </w:r>
      <w:r>
        <w:rPr>
          <w:rFonts w:hint="eastAsia"/>
        </w:rPr>
        <w:t>因此，本项目既</w:t>
      </w:r>
      <w:r>
        <w:t>不在禁养区</w:t>
      </w:r>
      <w:r>
        <w:rPr>
          <w:rFonts w:hint="eastAsia"/>
        </w:rPr>
        <w:t>（1000m内）</w:t>
      </w:r>
      <w:r>
        <w:t>，也不在限养区</w:t>
      </w:r>
      <w:r>
        <w:rPr>
          <w:rFonts w:hint="eastAsia"/>
        </w:rPr>
        <w:t>（禁养区外围500</w:t>
      </w:r>
      <w:r>
        <w:t>m</w:t>
      </w:r>
      <w:r>
        <w:rPr>
          <w:rFonts w:hint="eastAsia"/>
        </w:rPr>
        <w:t>）范围</w:t>
      </w:r>
      <w:r>
        <w:t>内，本项目位于适养区，选址符合要求</w:t>
      </w:r>
      <w:r>
        <w:rPr>
          <w:rFonts w:hint="eastAsia"/>
        </w:rPr>
        <w:t>。</w:t>
      </w:r>
    </w:p>
    <w:p>
      <w:r>
        <w:rPr>
          <w:rFonts w:hint="eastAsia"/>
        </w:rPr>
        <w:t>同时根据2019年9月生态环境部、农业农村部联合印发《关于进一步规范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因此，本项目更加符合规定要求，选址合理。</w:t>
      </w:r>
    </w:p>
    <w:p>
      <w:pPr>
        <w:pStyle w:val="5"/>
        <w:bidi w:val="0"/>
      </w:pPr>
      <w:r>
        <w:t>从防护距离上分析</w:t>
      </w:r>
    </w:p>
    <w:p>
      <w:r>
        <w:rPr>
          <w:rFonts w:hint="eastAsia"/>
        </w:rPr>
        <w:t>经预测可知，本项目无组织排放的废气无超标点存在，无需设置大气防护距离。</w:t>
      </w:r>
    </w:p>
    <w:p>
      <w:r>
        <w:t>根据《畜禽养殖业污染防治技术规范》（HJ/T81-2001）、《关于加强畜禽养殖业环境监管、严防高致病性禽流感疫情扩散的紧急通知》环发[2004]18号要求，最终确定本</w:t>
      </w:r>
      <w:r>
        <w:rPr>
          <w:rFonts w:hint="eastAsia"/>
        </w:rPr>
        <w:t>项目养殖区的</w:t>
      </w:r>
      <w:r>
        <w:t>卫生防护距离为200m。</w:t>
      </w:r>
    </w:p>
    <w:p>
      <w:r>
        <w:t>目前，本</w:t>
      </w:r>
      <w:r>
        <w:rPr>
          <w:rFonts w:hint="eastAsia"/>
        </w:rPr>
        <w:t>项目</w:t>
      </w:r>
      <w:r>
        <w:rPr>
          <w:rFonts w:hint="eastAsia"/>
          <w:lang w:val="en-US" w:eastAsia="zh-CN"/>
        </w:rPr>
        <w:t>2</w:t>
      </w:r>
      <w:r>
        <w:rPr>
          <w:rFonts w:hint="eastAsia"/>
        </w:rPr>
        <w:t>0</w:t>
      </w:r>
      <w:r>
        <w:t>0m范围内无集中居民点，可见</w:t>
      </w:r>
      <w:r>
        <w:rPr>
          <w:rFonts w:hint="eastAsia"/>
        </w:rPr>
        <w:t>，本</w:t>
      </w:r>
      <w:r>
        <w:t>项目卫生防护距离范围内无居民集中区等环境敏感点。同时，日后在此防护距离范围内应严格土地利用审批，禁止建设旅游风景区、别墅住宅区、学校、医院等环境保护敏感点。</w:t>
      </w:r>
    </w:p>
    <w:p>
      <w:r>
        <w:t>综上所述，本项目选址符合土地利用规划，符合《畜禽养殖业污染防治技术规范》（HJ/T81-2001）及《畜禽养殖产地环境评价规范》（HJ568-2010）相关选址要求，</w:t>
      </w:r>
      <w:r>
        <w:rPr>
          <w:rFonts w:hint="eastAsia"/>
        </w:rPr>
        <w:t>符合</w:t>
      </w:r>
      <w:r>
        <w:t>《澧县人民政府关于印发&lt;澧县畜禽养殖禁养区限养区适养区划定方案&gt;的通知》（澧政发〔2017〕8号</w:t>
      </w:r>
      <w:r>
        <w:rPr>
          <w:rFonts w:hint="eastAsia"/>
        </w:rPr>
        <w:t>）文件要求，</w:t>
      </w:r>
      <w:r>
        <w:t>项目卫生防护距离范围内无居民、学校等环境敏感点，区域交通、</w:t>
      </w:r>
      <w:r>
        <w:rPr>
          <w:rFonts w:hint="eastAsia"/>
        </w:rPr>
        <w:t>水、</w:t>
      </w:r>
      <w:r>
        <w:t>电设施完善，项目选址可行</w:t>
      </w:r>
      <w:r>
        <w:rPr>
          <w:rFonts w:hint="eastAsia"/>
        </w:rPr>
        <w:t>。</w:t>
      </w:r>
    </w:p>
    <w:p>
      <w:pPr>
        <w:pStyle w:val="4"/>
        <w:bidi w:val="0"/>
      </w:pPr>
      <w:bookmarkStart w:id="544" w:name="_Toc9046"/>
      <w:r>
        <w:t>总平面布置可行性分析</w:t>
      </w:r>
      <w:bookmarkEnd w:id="544"/>
    </w:p>
    <w:p>
      <w:r>
        <w:t>本项目按照工艺流程，在保证提高工作效率的前提下，以地势、风向和有利于疫病预防要求为原则，结合《畜禽养殖业污染防治技术规范》（HJ/T81—2001）中的相关要求，进行科学合理的总平面布置。</w:t>
      </w:r>
    </w:p>
    <w:p>
      <w:r>
        <w:t>（1）本项目养殖场生产区、生活办公区相互分开，项目总体布置符合《畜禽养殖业污染防治技术规范》（HJ/T81-2001）的规定。</w:t>
      </w:r>
    </w:p>
    <w:p>
      <w:r>
        <w:t>（2）本项目按照饲养的操作流程布置，做到功能分区明确合理，保证养殖小区内物料运输距离短捷顺畅，干净道和污染道尽量不交叉，搞好绿化工作，使养殖场内部环境优美，空气清新，有利于人畜生活。</w:t>
      </w:r>
    </w:p>
    <w:p>
      <w:r>
        <w:t>（3）畜禽养殖需要较高的卫生条件，所以场区内绿化、美化环境显得尤为重要。该项目应在建设过程中加强场内的绿化建设和卫生要求。在道路两侧种植行道树，选择大树冠的树种，场区内树种应高低搭配，多种植乔木与灌木，尽量为场区营造一个空气清新，利于牲畜生长的生态环境。</w:t>
      </w:r>
    </w:p>
    <w:p>
      <w:r>
        <w:t>（4）本项目排水系统实行雨污分流，在场区内设置封闭排污管道。符合《畜禽养殖业污染防治技术规范》（HJ/T81-2001）的规定。</w:t>
      </w:r>
    </w:p>
    <w:p>
      <w:r>
        <w:t>综上所述，本工程总平面布置充分利用现有地势，按照功能和工艺流程布置，生活区和生产区分开。从整体布局和环境影响上看，工程总平面布置基本合理。</w:t>
      </w:r>
    </w:p>
    <w:p>
      <w:pPr>
        <w:pStyle w:val="4"/>
        <w:bidi w:val="0"/>
      </w:pPr>
      <w:bookmarkStart w:id="545" w:name="_Toc6739"/>
      <w:r>
        <w:rPr>
          <w:rFonts w:hint="eastAsia"/>
        </w:rPr>
        <w:t>污染物排放总量控制分析</w:t>
      </w:r>
      <w:bookmarkEnd w:id="545"/>
      <w:bookmarkStart w:id="546" w:name="_Toc361212526"/>
      <w:bookmarkStart w:id="547" w:name="_Toc168308834"/>
      <w:bookmarkStart w:id="548" w:name="_Toc360007727"/>
      <w:bookmarkStart w:id="549" w:name="_Toc235612859"/>
      <w:bookmarkStart w:id="550" w:name="_Toc369165608"/>
    </w:p>
    <w:p>
      <w:pPr>
        <w:pStyle w:val="5"/>
        <w:bidi w:val="0"/>
      </w:pPr>
      <w:r>
        <w:t>总量控制因子</w:t>
      </w:r>
      <w:bookmarkEnd w:id="546"/>
      <w:bookmarkEnd w:id="547"/>
      <w:bookmarkEnd w:id="548"/>
      <w:bookmarkEnd w:id="549"/>
      <w:bookmarkEnd w:id="550"/>
    </w:p>
    <w:p>
      <w:bookmarkStart w:id="551" w:name="_Toc360007728"/>
      <w:bookmarkStart w:id="552" w:name="_Toc361212527"/>
      <w:bookmarkStart w:id="553" w:name="_Toc369165609"/>
      <w:bookmarkStart w:id="554" w:name="_Toc168308835"/>
      <w:r>
        <w:t>在“十一五”期间国家将化学需氧量（COD）和二氧化硫（SO2）两项主要污染物纳入总量控制指标体系，“十二五”期间国家在前述两项指标的甚而上，将氨氮和氮氧化物（NOx）纳入总量控制指标体系，“十三五”期间在前述四项指标的基础上又拟将VOC</w:t>
      </w:r>
      <w:r>
        <w:rPr>
          <w:rFonts w:hint="eastAsia"/>
          <w:lang w:val="en-US" w:eastAsia="zh-CN"/>
        </w:rPr>
        <w:t>s</w:t>
      </w:r>
      <w:r>
        <w:t>纳入总量控制指标体系，对上述五项主要污染物实施国家总量控制，统一要求、统一考核。</w:t>
      </w:r>
    </w:p>
    <w:p>
      <w:r>
        <w:rPr>
          <w:rFonts w:hint="eastAsia"/>
        </w:rPr>
        <w:t>结合本项目实际，本项目产生的养殖废水与粪便一起发酵处理后，做为有机肥全部用于本项目配套的种植基地，不外排地表水环境，</w:t>
      </w:r>
      <w:r>
        <w:t>因此，本项目将</w:t>
      </w:r>
      <w:r>
        <w:rPr>
          <w:rFonts w:hint="eastAsia"/>
        </w:rPr>
        <w:t>不考虑废水污染物的总量指标；本项目育肥场工程配备的沼气发电系统产生燃烧废气，因此，本项目将</w:t>
      </w:r>
      <w:r>
        <w:t>SO</w:t>
      </w:r>
      <w:r>
        <w:rPr>
          <w:vertAlign w:val="subscript"/>
        </w:rPr>
        <w:t>2</w:t>
      </w:r>
      <w:r>
        <w:t>、NOx共</w:t>
      </w:r>
      <w:r>
        <w:rPr>
          <w:rFonts w:hint="eastAsia"/>
        </w:rPr>
        <w:t>2</w:t>
      </w:r>
      <w:r>
        <w:t>项作为总量控制因子。</w:t>
      </w:r>
    </w:p>
    <w:p>
      <w:pPr>
        <w:pStyle w:val="5"/>
        <w:bidi w:val="0"/>
      </w:pPr>
      <w:r>
        <w:t>总量指标核算</w:t>
      </w:r>
      <w:bookmarkEnd w:id="551"/>
      <w:bookmarkEnd w:id="552"/>
      <w:bookmarkEnd w:id="553"/>
    </w:p>
    <w:p>
      <w:r>
        <w:t>根据工程分析结果，</w:t>
      </w:r>
      <w:r>
        <w:rPr>
          <w:rFonts w:hint="eastAsia"/>
        </w:rPr>
        <w:t>沼气</w:t>
      </w:r>
      <w:r>
        <w:rPr>
          <w:rFonts w:hint="eastAsia"/>
          <w:lang w:eastAsia="zh-CN"/>
        </w:rPr>
        <w:t>燃烧</w:t>
      </w:r>
      <w:r>
        <w:rPr>
          <w:rFonts w:hint="eastAsia"/>
        </w:rPr>
        <w:t>烟气的产生量为</w:t>
      </w:r>
      <w:r>
        <w:rPr>
          <w:rFonts w:hint="eastAsia"/>
          <w:lang w:val="en-US" w:eastAsia="zh-CN"/>
        </w:rPr>
        <w:t>34.73</w:t>
      </w:r>
      <w:r>
        <w:rPr>
          <w:rFonts w:hint="eastAsia"/>
        </w:rPr>
        <w:t>万Nm</w:t>
      </w:r>
      <w:r>
        <w:rPr>
          <w:rFonts w:hint="eastAsia"/>
          <w:vertAlign w:val="superscript"/>
        </w:rPr>
        <w:t>3</w:t>
      </w:r>
      <w:r>
        <w:rPr>
          <w:rFonts w:hint="eastAsia"/>
        </w:rPr>
        <w:t>。</w:t>
      </w:r>
    </w:p>
    <w:p>
      <w:r>
        <w:t>按污染物</w:t>
      </w:r>
      <w:r>
        <w:rPr>
          <w:rFonts w:hint="eastAsia"/>
        </w:rPr>
        <w:t>的预测</w:t>
      </w:r>
      <w:r>
        <w:t>排放</w:t>
      </w:r>
      <w:r>
        <w:rPr>
          <w:rFonts w:hint="eastAsia"/>
        </w:rPr>
        <w:t>浓度</w:t>
      </w:r>
      <w:r>
        <w:t>核算</w:t>
      </w:r>
      <w:r>
        <w:rPr>
          <w:rFonts w:hint="eastAsia"/>
        </w:rPr>
        <w:t>排放</w:t>
      </w:r>
      <w:r>
        <w:t>总量</w:t>
      </w:r>
      <w:r>
        <w:rPr>
          <w:rFonts w:hint="eastAsia"/>
        </w:rPr>
        <w:t>：</w:t>
      </w:r>
      <w:r>
        <w:t>SO</w:t>
      </w:r>
      <w:r>
        <w:rPr>
          <w:vertAlign w:val="subscript"/>
        </w:rPr>
        <w:t>2</w:t>
      </w:r>
      <w:r>
        <w:t>、NO</w:t>
      </w:r>
      <w:r>
        <w:rPr>
          <w:vertAlign w:val="subscript"/>
        </w:rPr>
        <w:t>x</w:t>
      </w:r>
      <w:r>
        <w:t>的排放</w:t>
      </w:r>
      <w:r>
        <w:rPr>
          <w:rFonts w:hint="eastAsia"/>
        </w:rPr>
        <w:t>预测排放浓度分别为0.8</w:t>
      </w:r>
      <w:r>
        <w:rPr>
          <w:rFonts w:hint="eastAsia"/>
          <w:lang w:val="en-US" w:eastAsia="zh-CN"/>
        </w:rPr>
        <w:t>6</w:t>
      </w:r>
      <w:r>
        <w:t>mg/m</w:t>
      </w:r>
      <w:r>
        <w:rPr>
          <w:vertAlign w:val="superscript"/>
        </w:rPr>
        <w:t>3</w:t>
      </w:r>
      <w:r>
        <w:rPr>
          <w:rFonts w:hint="eastAsia"/>
        </w:rPr>
        <w:t>、67.</w:t>
      </w:r>
      <w:r>
        <w:rPr>
          <w:rFonts w:hint="eastAsia"/>
          <w:lang w:val="en-US" w:eastAsia="zh-CN"/>
        </w:rPr>
        <w:t>66</w:t>
      </w:r>
      <w:r>
        <w:t xml:space="preserve"> mg/m</w:t>
      </w:r>
      <w:r>
        <w:rPr>
          <w:vertAlign w:val="superscript"/>
        </w:rPr>
        <w:t>3</w:t>
      </w:r>
      <w:r>
        <w:t>，</w:t>
      </w:r>
      <w:r>
        <w:rPr>
          <w:rFonts w:hint="eastAsia"/>
        </w:rPr>
        <w:t>则</w:t>
      </w:r>
      <w:r>
        <w:t>本项目主要污染物的</w:t>
      </w:r>
      <w:r>
        <w:rPr>
          <w:rFonts w:hint="eastAsia"/>
        </w:rPr>
        <w:t>预测</w:t>
      </w:r>
      <w:r>
        <w:t>排放量分别为：SO</w:t>
      </w:r>
      <w:r>
        <w:rPr>
          <w:vertAlign w:val="subscript"/>
        </w:rPr>
        <w:t>2</w:t>
      </w:r>
      <w:r>
        <w:rPr>
          <w:rFonts w:hint="eastAsia"/>
        </w:rPr>
        <w:t>0.000</w:t>
      </w:r>
      <w:r>
        <w:rPr>
          <w:rFonts w:hint="eastAsia"/>
          <w:lang w:val="en-US" w:eastAsia="zh-CN"/>
        </w:rPr>
        <w:t>3</w:t>
      </w:r>
      <w:r>
        <w:rPr>
          <w:rFonts w:hint="eastAsia"/>
        </w:rPr>
        <w:t>t</w:t>
      </w:r>
      <w:r>
        <w:t>/a、氮氧化物</w:t>
      </w:r>
      <w:r>
        <w:rPr>
          <w:rFonts w:hint="eastAsia"/>
          <w:lang w:val="en-US" w:eastAsia="zh-CN"/>
        </w:rPr>
        <w:t>0.0235</w:t>
      </w:r>
      <w:r>
        <w:t>t/a。</w:t>
      </w:r>
    </w:p>
    <w:bookmarkEnd w:id="554"/>
    <w:p>
      <w:pPr>
        <w:pStyle w:val="4"/>
        <w:bidi w:val="0"/>
      </w:pPr>
      <w:bookmarkStart w:id="555" w:name="_Toc12832"/>
      <w:r>
        <w:rPr>
          <w:rFonts w:hint="eastAsia"/>
        </w:rPr>
        <w:t>项目环评文件不予审批情况判断</w:t>
      </w:r>
      <w:bookmarkEnd w:id="555"/>
    </w:p>
    <w:p>
      <w:r>
        <w:rPr>
          <w:rFonts w:hint="eastAsia"/>
        </w:rPr>
        <w:t>根据《建设项目环境保护管理条例》（国务院令682号）第十一条，项目环评文件不予审批的情况。</w:t>
      </w:r>
    </w:p>
    <w:p>
      <w:pPr>
        <w:pStyle w:val="11"/>
        <w:rPr>
          <w:rFonts w:hint="default" w:eastAsiaTheme="minorEastAsia"/>
          <w:lang w:val="en-US" w:eastAsia="zh-CN"/>
        </w:rPr>
      </w:pPr>
      <w:r>
        <w:t xml:space="preserve">表8.5- </w:t>
      </w:r>
      <w:r>
        <w:fldChar w:fldCharType="begin"/>
      </w:r>
      <w:r>
        <w:instrText xml:space="preserve"> SEQ 表8.5- \* ARABIC </w:instrText>
      </w:r>
      <w:r>
        <w:fldChar w:fldCharType="separate"/>
      </w:r>
      <w:r>
        <w:t>1</w:t>
      </w:r>
      <w:r>
        <w:fldChar w:fldCharType="end"/>
      </w:r>
      <w:r>
        <w:rPr>
          <w:rFonts w:hint="eastAsia"/>
          <w:lang w:val="en-US" w:eastAsia="zh-CN"/>
        </w:rPr>
        <w:t xml:space="preserve">  </w:t>
      </w:r>
      <w:r>
        <w:rPr>
          <w:rFonts w:hint="eastAsia"/>
        </w:rPr>
        <w:t>澧县</w:t>
      </w:r>
      <w:r>
        <w:t>畜禽规模养殖区域划分及项目情况一览表</w:t>
      </w:r>
    </w:p>
    <w:tbl>
      <w:tblPr>
        <w:tblStyle w:val="17"/>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4342"/>
        <w:gridCol w:w="3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bidi w:val="0"/>
            </w:pPr>
            <w:r>
              <w:t>序号</w:t>
            </w:r>
          </w:p>
        </w:tc>
        <w:tc>
          <w:tcPr>
            <w:tcW w:w="4342" w:type="dxa"/>
            <w:vAlign w:val="center"/>
          </w:tcPr>
          <w:p>
            <w:pPr>
              <w:pStyle w:val="8"/>
              <w:bidi w:val="0"/>
            </w:pPr>
            <w:r>
              <w:t>不予审批情况</w:t>
            </w:r>
          </w:p>
        </w:tc>
        <w:tc>
          <w:tcPr>
            <w:tcW w:w="3457" w:type="dxa"/>
            <w:vAlign w:val="center"/>
          </w:tcPr>
          <w:p>
            <w:pPr>
              <w:pStyle w:val="8"/>
              <w:bidi w:val="0"/>
            </w:pPr>
            <w: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bidi w:val="0"/>
            </w:pPr>
            <w:r>
              <w:rPr>
                <w:rFonts w:hint="eastAsia"/>
              </w:rPr>
              <w:t>1</w:t>
            </w:r>
          </w:p>
        </w:tc>
        <w:tc>
          <w:tcPr>
            <w:tcW w:w="4342" w:type="dxa"/>
            <w:vAlign w:val="center"/>
          </w:tcPr>
          <w:p>
            <w:pPr>
              <w:pStyle w:val="8"/>
              <w:bidi w:val="0"/>
            </w:pPr>
            <w:r>
              <w:rPr>
                <w:rFonts w:hint="eastAsia"/>
              </w:rPr>
              <w:t>建设项目类型及其选址、布局、规模等不符合环境保护法律法规和相关法定规划；</w:t>
            </w:r>
          </w:p>
        </w:tc>
        <w:tc>
          <w:tcPr>
            <w:tcW w:w="3457" w:type="dxa"/>
            <w:vAlign w:val="center"/>
          </w:tcPr>
          <w:p>
            <w:pPr>
              <w:pStyle w:val="8"/>
              <w:bidi w:val="0"/>
            </w:pPr>
            <w:r>
              <w:rPr>
                <w:rFonts w:hint="eastAsia"/>
              </w:rPr>
              <w:t>本项目为畜禽养殖项目，其养殖规模符合澧县畜牧业发展相关规划。项目选址位于适养区，平面布局基本合理</w:t>
            </w:r>
            <w:r>
              <w:t>。均符合</w:t>
            </w:r>
            <w:r>
              <w:rPr>
                <w:rFonts w:hint="eastAsia"/>
              </w:rPr>
              <w:t>环境保护法律法规和相关法定规划。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bidi w:val="0"/>
            </w:pPr>
            <w:r>
              <w:rPr>
                <w:rFonts w:hint="eastAsia"/>
              </w:rPr>
              <w:t>2</w:t>
            </w:r>
          </w:p>
        </w:tc>
        <w:tc>
          <w:tcPr>
            <w:tcW w:w="4342" w:type="dxa"/>
            <w:vAlign w:val="center"/>
          </w:tcPr>
          <w:p>
            <w:pPr>
              <w:pStyle w:val="8"/>
              <w:bidi w:val="0"/>
            </w:pPr>
            <w:r>
              <w:rPr>
                <w:rFonts w:hint="eastAsia"/>
              </w:rPr>
              <w:t>所在区域环境质量未达到国家或者地方环境质量标准，且建设项目拟采取的措施不能满足区域环境质量改善目标管理要求</w:t>
            </w:r>
          </w:p>
        </w:tc>
        <w:tc>
          <w:tcPr>
            <w:tcW w:w="3457" w:type="dxa"/>
            <w:vAlign w:val="center"/>
          </w:tcPr>
          <w:p>
            <w:pPr>
              <w:pStyle w:val="8"/>
              <w:bidi w:val="0"/>
            </w:pPr>
            <w:r>
              <w:rPr>
                <w:rFonts w:hint="eastAsia"/>
              </w:rPr>
              <w:t>项目所在区域环境质量达到国家或者地方环境质量标准。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bidi w:val="0"/>
            </w:pPr>
            <w:r>
              <w:rPr>
                <w:rFonts w:hint="eastAsia"/>
              </w:rPr>
              <w:t>3</w:t>
            </w:r>
          </w:p>
        </w:tc>
        <w:tc>
          <w:tcPr>
            <w:tcW w:w="4342" w:type="dxa"/>
            <w:vAlign w:val="center"/>
          </w:tcPr>
          <w:p>
            <w:pPr>
              <w:pStyle w:val="8"/>
              <w:bidi w:val="0"/>
            </w:pPr>
            <w:r>
              <w:rPr>
                <w:rFonts w:hint="eastAsia"/>
              </w:rPr>
              <w:t>建设项目采取的污染防治措施无法确保污染物排放达到国家和地方排放标准，或者未采取必要措施预防和控制生态破坏；</w:t>
            </w:r>
          </w:p>
        </w:tc>
        <w:tc>
          <w:tcPr>
            <w:tcW w:w="3457" w:type="dxa"/>
            <w:vAlign w:val="center"/>
          </w:tcPr>
          <w:p>
            <w:pPr>
              <w:pStyle w:val="8"/>
              <w:bidi w:val="0"/>
            </w:pPr>
            <w:r>
              <w:rPr>
                <w:rFonts w:hint="eastAsia"/>
              </w:rPr>
              <w:t>本项目采取的各种污染防治措施能确保污染物排放达标，固废能得到妥善与安全处理。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bidi w:val="0"/>
            </w:pPr>
            <w:r>
              <w:rPr>
                <w:rFonts w:hint="eastAsia"/>
              </w:rPr>
              <w:t>4</w:t>
            </w:r>
          </w:p>
        </w:tc>
        <w:tc>
          <w:tcPr>
            <w:tcW w:w="4342" w:type="dxa"/>
            <w:vAlign w:val="center"/>
          </w:tcPr>
          <w:p>
            <w:pPr>
              <w:pStyle w:val="8"/>
              <w:bidi w:val="0"/>
            </w:pPr>
            <w:r>
              <w:rPr>
                <w:rFonts w:hint="eastAsia"/>
              </w:rPr>
              <w:t>改建、扩建和技术改造项目，未针对项目原有环境污染和生态破坏提出有效防治措施；</w:t>
            </w:r>
          </w:p>
        </w:tc>
        <w:tc>
          <w:tcPr>
            <w:tcW w:w="3457" w:type="dxa"/>
            <w:vAlign w:val="center"/>
          </w:tcPr>
          <w:p>
            <w:pPr>
              <w:pStyle w:val="8"/>
              <w:bidi w:val="0"/>
            </w:pPr>
            <w:r>
              <w:rPr>
                <w:rFonts w:hint="eastAsia"/>
              </w:rPr>
              <w:t>本项目为新建项目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bidi w:val="0"/>
            </w:pPr>
            <w:r>
              <w:rPr>
                <w:rFonts w:hint="eastAsia"/>
              </w:rPr>
              <w:t>5</w:t>
            </w:r>
          </w:p>
        </w:tc>
        <w:tc>
          <w:tcPr>
            <w:tcW w:w="4342" w:type="dxa"/>
            <w:vAlign w:val="center"/>
          </w:tcPr>
          <w:p>
            <w:pPr>
              <w:pStyle w:val="8"/>
              <w:bidi w:val="0"/>
            </w:pPr>
            <w:r>
              <w:rPr>
                <w:rFonts w:hint="eastAsia"/>
              </w:rPr>
              <w:t>建设项目的环境影响报告书、环境影响报告表的基础资料数据明显不实，内容存在重大缺陷、遗漏，或者环境影响评价结论不明确、不合理。</w:t>
            </w:r>
          </w:p>
        </w:tc>
        <w:tc>
          <w:tcPr>
            <w:tcW w:w="3457" w:type="dxa"/>
            <w:vAlign w:val="center"/>
          </w:tcPr>
          <w:p>
            <w:pPr>
              <w:pStyle w:val="8"/>
              <w:bidi w:val="0"/>
            </w:pPr>
            <w:r>
              <w:rPr>
                <w:rFonts w:hint="eastAsia"/>
              </w:rPr>
              <w:t>本报告的基础资料数据参照相关技术、规范及公开发表的文献等，来源均有据可；监测数据委托有监测资质单位实测。环境影响结论明确、合理。</w:t>
            </w:r>
          </w:p>
        </w:tc>
      </w:tr>
    </w:tbl>
    <w:p>
      <w:pPr>
        <w:sectPr>
          <w:pgSz w:w="11850" w:h="16783"/>
          <w:pgMar w:top="1440" w:right="1800" w:bottom="1440" w:left="1800" w:header="851" w:footer="1134" w:gutter="0"/>
          <w:pgNumType w:fmt="decimal"/>
          <w:cols w:space="720" w:num="1"/>
          <w:docGrid w:type="lines" w:linePitch="312" w:charSpace="0"/>
        </w:sectPr>
      </w:pPr>
      <w:r>
        <w:rPr>
          <w:rFonts w:hint="eastAsia"/>
        </w:rPr>
        <w:t>综上所述，本项目不存在环境影响报告书不予以审批的情形。从环境保护角度，本项目不存在明显环境制约条件，项目建设可行。</w:t>
      </w:r>
    </w:p>
    <w:p>
      <w:pPr>
        <w:pStyle w:val="2"/>
        <w:bidi w:val="0"/>
      </w:pPr>
      <w:bookmarkStart w:id="556" w:name="_Toc25184"/>
      <w:r>
        <w:t>结论与建议</w:t>
      </w:r>
      <w:bookmarkEnd w:id="556"/>
    </w:p>
    <w:bookmarkEnd w:id="539"/>
    <w:p>
      <w:pPr>
        <w:pStyle w:val="4"/>
        <w:bidi w:val="0"/>
      </w:pPr>
      <w:bookmarkStart w:id="557" w:name="_Toc24793"/>
      <w:bookmarkStart w:id="558" w:name="_Toc468689313"/>
      <w:r>
        <w:t>建设项目概况</w:t>
      </w:r>
      <w:bookmarkEnd w:id="540"/>
      <w:bookmarkEnd w:id="557"/>
      <w:bookmarkEnd w:id="558"/>
    </w:p>
    <w:p>
      <w:pPr>
        <w:rPr>
          <w:rFonts w:hint="eastAsia" w:eastAsiaTheme="minorEastAsia"/>
          <w:lang w:eastAsia="zh-CN"/>
        </w:rPr>
      </w:pPr>
      <w:bookmarkStart w:id="559" w:name="_Toc289344628"/>
      <w:bookmarkStart w:id="560" w:name="_Toc468689314"/>
      <w:r>
        <w:rPr>
          <w:rFonts w:hint="eastAsia"/>
        </w:rPr>
        <w:t>项目名称：</w:t>
      </w:r>
      <w:r>
        <w:rPr>
          <w:rFonts w:hint="eastAsia"/>
          <w:lang w:eastAsia="zh-CN"/>
        </w:rPr>
        <w:t>大梁农业天子山种猪繁育基地建设项目</w:t>
      </w:r>
    </w:p>
    <w:p>
      <w:r>
        <w:rPr>
          <w:rFonts w:hint="eastAsia"/>
        </w:rPr>
        <w:t>建设性质：新建</w:t>
      </w:r>
    </w:p>
    <w:p>
      <w:pPr>
        <w:rPr>
          <w:rFonts w:hint="default" w:eastAsiaTheme="minorEastAsia"/>
          <w:lang w:val="en-US" w:eastAsia="zh-CN"/>
        </w:rPr>
      </w:pPr>
      <w:r>
        <w:rPr>
          <w:rFonts w:hint="eastAsia"/>
        </w:rPr>
        <w:t>建设规模：</w:t>
      </w:r>
      <w:r>
        <w:rPr>
          <w:rFonts w:hint="eastAsia"/>
          <w:lang w:eastAsia="zh-CN"/>
        </w:rPr>
        <w:t>项目占地</w:t>
      </w:r>
      <w:r>
        <w:rPr>
          <w:rFonts w:hint="eastAsia"/>
          <w:lang w:val="en-US" w:eastAsia="zh-CN"/>
        </w:rPr>
        <w:t>96245m</w:t>
      </w:r>
      <w:r>
        <w:rPr>
          <w:rFonts w:hint="eastAsia"/>
          <w:vertAlign w:val="superscript"/>
          <w:lang w:val="en-US" w:eastAsia="zh-CN"/>
        </w:rPr>
        <w:t>2</w:t>
      </w:r>
      <w:r>
        <w:rPr>
          <w:rFonts w:hint="eastAsia"/>
          <w:lang w:val="en-US" w:eastAsia="zh-CN"/>
        </w:rPr>
        <w:t>，年存栏母猪4800头</w:t>
      </w:r>
    </w:p>
    <w:p>
      <w:r>
        <w:rPr>
          <w:rFonts w:hint="eastAsia"/>
        </w:rPr>
        <w:t>建设地点：澧县</w:t>
      </w:r>
      <w:r>
        <w:rPr>
          <w:rFonts w:hint="eastAsia"/>
          <w:lang w:eastAsia="zh-CN"/>
        </w:rPr>
        <w:t>澧南镇天子山社区、</w:t>
      </w:r>
      <w:r>
        <w:rPr>
          <w:rFonts w:hint="eastAsia"/>
          <w:lang w:val="en-US" w:eastAsia="zh-CN"/>
        </w:rPr>
        <w:t>临澧县修梅镇杨板桥社区</w:t>
      </w:r>
    </w:p>
    <w:p>
      <w:pPr>
        <w:rPr>
          <w:rFonts w:hint="eastAsia" w:eastAsiaTheme="minorEastAsia"/>
          <w:lang w:eastAsia="zh-CN"/>
        </w:rPr>
      </w:pPr>
      <w:r>
        <w:rPr>
          <w:rFonts w:hint="eastAsia"/>
        </w:rPr>
        <w:t>建设单位：</w:t>
      </w:r>
      <w:r>
        <w:rPr>
          <w:rFonts w:hint="eastAsia"/>
          <w:lang w:eastAsia="zh-CN"/>
        </w:rPr>
        <w:t>澧县大梁农业发展有限公司</w:t>
      </w:r>
    </w:p>
    <w:p>
      <w:r>
        <w:rPr>
          <w:rFonts w:hint="eastAsia"/>
        </w:rPr>
        <w:t>资金及来源：总投资</w:t>
      </w:r>
      <w:r>
        <w:rPr>
          <w:rFonts w:hint="eastAsia"/>
          <w:lang w:val="en-US" w:eastAsia="zh-CN"/>
        </w:rPr>
        <w:t>8000</w:t>
      </w:r>
      <w:r>
        <w:rPr>
          <w:rFonts w:hint="eastAsia"/>
        </w:rPr>
        <w:t>万元，全部由企业自筹</w:t>
      </w:r>
    </w:p>
    <w:p>
      <w:pPr>
        <w:rPr>
          <w:rFonts w:hint="eastAsia"/>
          <w:lang w:eastAsia="zh-CN"/>
        </w:rPr>
      </w:pPr>
      <w:r>
        <w:rPr>
          <w:rFonts w:hint="eastAsia"/>
        </w:rPr>
        <w:t>建设进度：项目计划于</w:t>
      </w:r>
      <w:r>
        <w:t>20</w:t>
      </w:r>
      <w:r>
        <w:rPr>
          <w:rFonts w:hint="eastAsia"/>
        </w:rPr>
        <w:t>20年</w:t>
      </w:r>
      <w:r>
        <w:rPr>
          <w:rFonts w:hint="eastAsia"/>
          <w:lang w:val="en-US" w:eastAsia="zh-CN"/>
        </w:rPr>
        <w:t>12</w:t>
      </w:r>
      <w:r>
        <w:rPr>
          <w:rFonts w:hint="eastAsia"/>
        </w:rPr>
        <w:t>月动工建设，</w:t>
      </w:r>
      <w:r>
        <w:t>20</w:t>
      </w:r>
      <w:r>
        <w:rPr>
          <w:rFonts w:hint="eastAsia"/>
        </w:rPr>
        <w:t>2</w:t>
      </w:r>
      <w:r>
        <w:rPr>
          <w:rFonts w:hint="eastAsia"/>
          <w:lang w:val="en-US" w:eastAsia="zh-CN"/>
        </w:rPr>
        <w:t>1</w:t>
      </w:r>
      <w:r>
        <w:rPr>
          <w:rFonts w:hint="eastAsia"/>
        </w:rPr>
        <w:t>年</w:t>
      </w:r>
      <w:r>
        <w:rPr>
          <w:rFonts w:hint="eastAsia"/>
          <w:lang w:val="en-US" w:eastAsia="zh-CN"/>
        </w:rPr>
        <w:t>6</w:t>
      </w:r>
      <w:r>
        <w:rPr>
          <w:rFonts w:hint="eastAsia"/>
        </w:rPr>
        <w:t>月基本建成。</w:t>
      </w:r>
    </w:p>
    <w:p>
      <w:r>
        <w:rPr>
          <w:rFonts w:hint="eastAsia"/>
        </w:rPr>
        <w:t>项目工程用地通过</w:t>
      </w:r>
      <w:r>
        <w:rPr>
          <w:rFonts w:hint="default"/>
        </w:rPr>
        <w:t>流转的形式</w:t>
      </w:r>
      <w:r>
        <w:rPr>
          <w:rFonts w:hint="eastAsia"/>
          <w:lang w:eastAsia="zh-CN"/>
        </w:rPr>
        <w:t>征用</w:t>
      </w:r>
      <w:r>
        <w:rPr>
          <w:rFonts w:hint="eastAsia"/>
        </w:rPr>
        <w:t>澧县</w:t>
      </w:r>
      <w:r>
        <w:rPr>
          <w:rFonts w:hint="eastAsia"/>
          <w:lang w:eastAsia="zh-CN"/>
        </w:rPr>
        <w:t>澧南镇天子山社区、</w:t>
      </w:r>
      <w:r>
        <w:rPr>
          <w:rFonts w:hint="eastAsia"/>
          <w:lang w:val="en-US" w:eastAsia="zh-CN"/>
        </w:rPr>
        <w:t>临澧县修梅镇杨板桥社区</w:t>
      </w:r>
      <w:r>
        <w:rPr>
          <w:rFonts w:hint="eastAsia"/>
          <w:lang w:eastAsia="zh-CN"/>
        </w:rPr>
        <w:t>集体用</w:t>
      </w:r>
      <w:r>
        <w:rPr>
          <w:rFonts w:hint="eastAsia"/>
          <w:highlight w:val="none"/>
          <w:lang w:eastAsia="zh-CN"/>
        </w:rPr>
        <w:t>地</w:t>
      </w:r>
      <w:r>
        <w:rPr>
          <w:rFonts w:hint="eastAsia"/>
          <w:highlight w:val="none"/>
          <w:lang w:val="en-US" w:eastAsia="zh-CN"/>
        </w:rPr>
        <w:t>9.62公顷</w:t>
      </w:r>
      <w:r>
        <w:rPr>
          <w:rFonts w:hint="eastAsia"/>
          <w:highlight w:val="none"/>
        </w:rPr>
        <w:t>，</w:t>
      </w:r>
      <w:r>
        <w:rPr>
          <w:rFonts w:hint="eastAsia"/>
        </w:rPr>
        <w:t>建设了常年存栏母猪</w:t>
      </w:r>
      <w:r>
        <w:rPr>
          <w:rFonts w:hint="eastAsia"/>
          <w:lang w:val="en-US" w:eastAsia="zh-CN"/>
        </w:rPr>
        <w:t>4800</w:t>
      </w:r>
      <w:r>
        <w:rPr>
          <w:rFonts w:hint="eastAsia"/>
        </w:rPr>
        <w:t>头</w:t>
      </w:r>
      <w:r>
        <w:rPr>
          <w:rFonts w:hint="eastAsia"/>
          <w:lang w:eastAsia="zh-CN"/>
        </w:rPr>
        <w:t>养殖</w:t>
      </w:r>
      <w:r>
        <w:rPr>
          <w:rFonts w:hint="eastAsia"/>
        </w:rPr>
        <w:t>场。</w:t>
      </w:r>
      <w:r>
        <w:rPr>
          <w:rFonts w:hint="eastAsia"/>
          <w:lang w:eastAsia="zh-CN"/>
        </w:rPr>
        <w:t>项目</w:t>
      </w:r>
      <w:r>
        <w:rPr>
          <w:rFonts w:hint="eastAsia"/>
        </w:rPr>
        <w:t>总</w:t>
      </w:r>
      <w:r>
        <w:rPr>
          <w:rFonts w:hint="eastAsia"/>
          <w:lang w:eastAsia="zh-CN"/>
        </w:rPr>
        <w:t>占地</w:t>
      </w:r>
      <w:r>
        <w:rPr>
          <w:rFonts w:hint="eastAsia"/>
        </w:rPr>
        <w:t>面积为</w:t>
      </w:r>
      <w:r>
        <w:rPr>
          <w:rFonts w:hint="eastAsia"/>
          <w:lang w:val="en-US" w:eastAsia="zh-CN"/>
        </w:rPr>
        <w:t>96245</w:t>
      </w:r>
      <w:r>
        <w:t>m</w:t>
      </w:r>
      <w:r>
        <w:rPr>
          <w:vertAlign w:val="superscript"/>
        </w:rPr>
        <w:t>2</w:t>
      </w:r>
      <w:r>
        <w:rPr>
          <w:rFonts w:hint="eastAsia"/>
        </w:rPr>
        <w:t>，主要建设内容包括：</w:t>
      </w:r>
      <w:r>
        <w:rPr>
          <w:rFonts w:hint="eastAsia"/>
          <w:lang w:eastAsia="zh-CN"/>
        </w:rPr>
        <w:t>公猪母猪隔离舍</w:t>
      </w:r>
      <w:r>
        <w:t>1</w:t>
      </w:r>
      <w:r>
        <w:rPr>
          <w:rFonts w:hint="eastAsia"/>
        </w:rPr>
        <w:t>栋、</w:t>
      </w:r>
      <w:r>
        <w:rPr>
          <w:rFonts w:hint="eastAsia"/>
          <w:lang w:eastAsia="zh-CN"/>
        </w:rPr>
        <w:t>公猪舍</w:t>
      </w:r>
      <w:r>
        <w:rPr>
          <w:rFonts w:hint="eastAsia"/>
          <w:lang w:val="en-US" w:eastAsia="zh-CN"/>
        </w:rPr>
        <w:t>1栋，</w:t>
      </w:r>
      <w:r>
        <w:rPr>
          <w:rFonts w:hint="eastAsia"/>
          <w:lang w:eastAsia="zh-CN"/>
        </w:rPr>
        <w:t>配怀舍</w:t>
      </w:r>
      <w:r>
        <w:rPr>
          <w:rFonts w:hint="eastAsia"/>
          <w:lang w:val="en-US" w:eastAsia="zh-CN"/>
        </w:rPr>
        <w:t>2</w:t>
      </w:r>
      <w:r>
        <w:rPr>
          <w:rFonts w:hint="eastAsia"/>
        </w:rPr>
        <w:t>栋、</w:t>
      </w:r>
      <w:r>
        <w:rPr>
          <w:rFonts w:hint="eastAsia"/>
          <w:lang w:eastAsia="zh-CN"/>
        </w:rPr>
        <w:t>分娩舍</w:t>
      </w:r>
      <w:r>
        <w:rPr>
          <w:rFonts w:hint="eastAsia"/>
          <w:lang w:val="en-US" w:eastAsia="zh-CN"/>
        </w:rPr>
        <w:t>2栋、环保设施、</w:t>
      </w:r>
      <w:r>
        <w:rPr>
          <w:rFonts w:hint="eastAsia"/>
        </w:rPr>
        <w:t>办公生活楼、消毒房、仓库、门卫以及供水、供电、供热、道路等相关配套设施</w:t>
      </w:r>
      <w:r>
        <w:rPr>
          <w:rFonts w:hint="eastAsia"/>
          <w:lang w:eastAsia="zh-CN"/>
        </w:rPr>
        <w:t>。</w:t>
      </w:r>
      <w:r>
        <w:rPr>
          <w:rFonts w:hint="eastAsia"/>
        </w:rPr>
        <w:t>项目工程符合国家的产业政策，符合相关的环境保护法律法规及技术规定，选址合理。</w:t>
      </w:r>
    </w:p>
    <w:p>
      <w:pPr>
        <w:pStyle w:val="4"/>
        <w:bidi w:val="0"/>
      </w:pPr>
      <w:bookmarkStart w:id="561" w:name="_Toc5428"/>
      <w:r>
        <w:rPr>
          <w:rFonts w:hint="eastAsia"/>
        </w:rPr>
        <w:t>环境质量现状评价结论</w:t>
      </w:r>
      <w:bookmarkEnd w:id="559"/>
      <w:bookmarkEnd w:id="560"/>
      <w:bookmarkEnd w:id="561"/>
    </w:p>
    <w:p>
      <w:r>
        <w:rPr>
          <w:rFonts w:hint="eastAsia"/>
        </w:rPr>
        <w:t>（</w:t>
      </w:r>
      <w:r>
        <w:t>1</w:t>
      </w:r>
      <w:r>
        <w:rPr>
          <w:rFonts w:hint="eastAsia"/>
        </w:rPr>
        <w:t>）地表水环境</w:t>
      </w:r>
    </w:p>
    <w:p>
      <w:r>
        <w:rPr>
          <w:rFonts w:hint="eastAsia"/>
        </w:rPr>
        <w:t>由监测结果可知，项目周边</w:t>
      </w:r>
      <w:r>
        <w:rPr>
          <w:rFonts w:hint="eastAsia"/>
          <w:lang w:eastAsia="zh-CN"/>
        </w:rPr>
        <w:t>道水</w:t>
      </w:r>
      <w:r>
        <w:rPr>
          <w:rFonts w:hint="eastAsia"/>
        </w:rPr>
        <w:t>水质能达到《地表水环境质量标准》（</w:t>
      </w:r>
      <w:r>
        <w:t>GB3838-2002</w:t>
      </w:r>
      <w:r>
        <w:rPr>
          <w:rFonts w:hint="eastAsia"/>
        </w:rPr>
        <w:t>）Ⅲ类水质标准。</w:t>
      </w:r>
      <w:bookmarkStart w:id="562" w:name="_Toc468689316"/>
      <w:r>
        <w:rPr>
          <w:rFonts w:hint="eastAsia"/>
        </w:rPr>
        <w:t>项目所在区域地表水环境质量良好。</w:t>
      </w:r>
    </w:p>
    <w:p>
      <w:r>
        <w:rPr>
          <w:rFonts w:hint="eastAsia"/>
          <w:lang w:eastAsia="zh-CN"/>
        </w:rPr>
        <w:t>（</w:t>
      </w:r>
      <w:r>
        <w:rPr>
          <w:rFonts w:hint="eastAsia"/>
          <w:lang w:val="en-US" w:eastAsia="zh-CN"/>
        </w:rPr>
        <w:t>2</w:t>
      </w:r>
      <w:r>
        <w:rPr>
          <w:rFonts w:hint="eastAsia"/>
          <w:lang w:eastAsia="zh-CN"/>
        </w:rPr>
        <w:t>）</w:t>
      </w:r>
      <w:r>
        <w:rPr>
          <w:rFonts w:hint="eastAsia"/>
        </w:rPr>
        <w:t>地下水环境</w:t>
      </w:r>
    </w:p>
    <w:p>
      <w:r>
        <w:rPr>
          <w:rFonts w:hint="eastAsia"/>
        </w:rPr>
        <w:t>由监测结果可知，项目所在区域地下水中各监测因子均符合《地下水环境质量标准》（GB/T14848-2017）中III类水质要求</w:t>
      </w:r>
      <w:r>
        <w:t>。</w:t>
      </w:r>
    </w:p>
    <w:p>
      <w:r>
        <w:rPr>
          <w:rFonts w:hint="eastAsia"/>
        </w:rPr>
        <w:t>（3）环境空气</w:t>
      </w:r>
      <w:bookmarkEnd w:id="562"/>
    </w:p>
    <w:p>
      <w:r>
        <w:rPr>
          <w:rFonts w:hint="eastAsia"/>
        </w:rPr>
        <w:t>由监测结果可知，评价区域各项大气监测因子均未超标，能够满足《环境空气质量标准》（</w:t>
      </w:r>
      <w:r>
        <w:t>GB3095-2012</w:t>
      </w:r>
      <w:r>
        <w:rPr>
          <w:rFonts w:hint="eastAsia"/>
        </w:rPr>
        <w:t>）中的二级标准，区域环境空气质量较好。</w:t>
      </w:r>
    </w:p>
    <w:p>
      <w:bookmarkStart w:id="563" w:name="_Toc468689317"/>
      <w:r>
        <w:rPr>
          <w:rFonts w:hint="eastAsia"/>
        </w:rPr>
        <w:t>（4）声环境</w:t>
      </w:r>
      <w:bookmarkEnd w:id="563"/>
    </w:p>
    <w:p>
      <w:pPr>
        <w:rPr>
          <w:rFonts w:hint="eastAsia"/>
        </w:rPr>
      </w:pPr>
      <w:r>
        <w:rPr>
          <w:rFonts w:hint="eastAsia"/>
        </w:rPr>
        <w:t>从监测结果可知，项目周边声环境均满足《声环境质量标准》(</w:t>
      </w:r>
      <w:r>
        <w:t>GB3095-2008</w:t>
      </w:r>
      <w:r>
        <w:rPr>
          <w:rFonts w:hint="eastAsia"/>
        </w:rPr>
        <w:t>)中</w:t>
      </w:r>
      <w:r>
        <w:t>2</w:t>
      </w:r>
      <w:r>
        <w:rPr>
          <w:rFonts w:hint="eastAsia"/>
        </w:rPr>
        <w:t>类标准要求。项目所在区域声环境质量良好。</w:t>
      </w:r>
    </w:p>
    <w:p>
      <w:pPr>
        <w:numPr>
          <w:ilvl w:val="0"/>
          <w:numId w:val="0"/>
        </w:numPr>
        <w:ind w:leftChars="200"/>
        <w:rPr>
          <w:rFonts w:hint="eastAsia"/>
          <w:lang w:eastAsia="zh-CN"/>
        </w:rPr>
      </w:pPr>
      <w:r>
        <w:rPr>
          <w:rFonts w:hint="eastAsia"/>
          <w:lang w:eastAsia="zh-CN"/>
        </w:rPr>
        <w:t>（</w:t>
      </w:r>
      <w:r>
        <w:rPr>
          <w:rFonts w:hint="eastAsia"/>
          <w:lang w:val="en-US" w:eastAsia="zh-CN"/>
        </w:rPr>
        <w:t>5</w:t>
      </w:r>
      <w:r>
        <w:rPr>
          <w:rFonts w:hint="eastAsia"/>
          <w:lang w:eastAsia="zh-CN"/>
        </w:rPr>
        <w:t>）土壤环境</w:t>
      </w:r>
    </w:p>
    <w:p>
      <w:pPr>
        <w:bidi w:val="0"/>
        <w:rPr>
          <w:rFonts w:hint="eastAsia"/>
          <w:lang w:val="en-US" w:eastAsia="zh-CN"/>
        </w:rPr>
      </w:pPr>
      <w:r>
        <w:rPr>
          <w:rFonts w:hint="eastAsia"/>
          <w:lang w:eastAsia="zh-CN"/>
        </w:rPr>
        <w:t>土壤环境各监测值均低于</w:t>
      </w:r>
      <w:r>
        <w:rPr>
          <w:rFonts w:hint="eastAsia"/>
          <w:lang w:val="en-US" w:eastAsia="zh-CN"/>
        </w:rPr>
        <w:t>养殖场内土壤执行《畜禽养殖产地环境评价规范》（HJ568-2010）中《畜禽养殖场和养殖小区内土壤环境质量评价指标限值》，同时低于《土壤环境质量  农用地土壤污染风险管控标准》（GB15618-2018）限值。</w:t>
      </w:r>
    </w:p>
    <w:p>
      <w:pPr>
        <w:pStyle w:val="4"/>
        <w:bidi w:val="0"/>
      </w:pPr>
      <w:bookmarkStart w:id="564" w:name="_Toc468689320"/>
      <w:bookmarkStart w:id="565" w:name="_Toc289344630"/>
      <w:bookmarkStart w:id="566" w:name="_Toc4224"/>
      <w:r>
        <w:rPr>
          <w:rFonts w:hint="eastAsia"/>
        </w:rPr>
        <w:t>环境影响预测与评价结论</w:t>
      </w:r>
      <w:bookmarkEnd w:id="564"/>
      <w:bookmarkEnd w:id="565"/>
      <w:bookmarkEnd w:id="566"/>
    </w:p>
    <w:p>
      <w:pPr>
        <w:pStyle w:val="5"/>
        <w:bidi w:val="0"/>
      </w:pPr>
      <w:bookmarkStart w:id="567" w:name="_Toc468689323"/>
      <w:r>
        <w:t>施工期环境影响评价结论</w:t>
      </w:r>
    </w:p>
    <w:p>
      <w:r>
        <w:t>在本项目建设施工过程中将会对周围环境造成一定的污染影响。施工期环境影响因素主要有水土流失、施工废气、施工噪声、施工废水和施工固体废物，由于项目施工时间短，对环境影响有限，且各污染物通过采取环评报告提出的污染防治措施后均能达标排放，项目施工期对环境影响较小。</w:t>
      </w:r>
    </w:p>
    <w:p>
      <w:pPr>
        <w:pStyle w:val="5"/>
        <w:bidi w:val="0"/>
      </w:pPr>
      <w:r>
        <w:t>运营期环境影响评价结论</w:t>
      </w:r>
    </w:p>
    <w:p>
      <w:r>
        <w:rPr>
          <w:rFonts w:hint="eastAsia"/>
        </w:rPr>
        <w:t>（</w:t>
      </w:r>
      <w:r>
        <w:t>1</w:t>
      </w:r>
      <w:r>
        <w:rPr>
          <w:rFonts w:hint="eastAsia"/>
        </w:rPr>
        <w:t>）地表水环境影响分析结论</w:t>
      </w:r>
      <w:bookmarkEnd w:id="567"/>
    </w:p>
    <w:p>
      <w:bookmarkStart w:id="568" w:name="_Toc468689324"/>
      <w:r>
        <w:rPr>
          <w:rFonts w:hint="eastAsia"/>
        </w:rPr>
        <w:t>本项目养殖场均实施了雨污分流，</w:t>
      </w:r>
      <w:r>
        <w:rPr>
          <w:rFonts w:hint="eastAsia"/>
          <w:lang w:eastAsia="zh-CN"/>
        </w:rPr>
        <w:t>项目采用厌氧发酵</w:t>
      </w:r>
      <w:r>
        <w:rPr>
          <w:rFonts w:hint="eastAsia"/>
          <w:lang w:val="en-US" w:eastAsia="zh-CN"/>
        </w:rPr>
        <w:t>+AO组合池废水处理</w:t>
      </w:r>
      <w:r>
        <w:rPr>
          <w:rFonts w:hint="eastAsia"/>
          <w:lang w:eastAsia="zh-CN"/>
        </w:rPr>
        <w:t>系统对养殖废水进行处理</w:t>
      </w:r>
      <w:r>
        <w:rPr>
          <w:rFonts w:hint="eastAsia"/>
        </w:rPr>
        <w:t>，经过发酵、分解，沼液直接用于周边种植基地，无废水外排。</w:t>
      </w:r>
    </w:p>
    <w:p>
      <w:r>
        <w:rPr>
          <w:rFonts w:hint="eastAsia"/>
        </w:rPr>
        <w:t xml:space="preserve">评价人员对周边的走访调查也发现，项目周边均为低山丘陵，地表水系不发达，没有明显的表面径流。项目不在饮用水源保护区范围内。 </w:t>
      </w:r>
    </w:p>
    <w:p>
      <w:r>
        <w:rPr>
          <w:rFonts w:hint="eastAsia"/>
        </w:rPr>
        <w:t>因此，本项目养殖污水对周边地表水体水质影响很小。</w:t>
      </w:r>
    </w:p>
    <w:p>
      <w:r>
        <w:rPr>
          <w:rFonts w:hint="eastAsia"/>
        </w:rPr>
        <w:t>（</w:t>
      </w:r>
      <w:r>
        <w:t>2</w:t>
      </w:r>
      <w:r>
        <w:rPr>
          <w:rFonts w:hint="eastAsia"/>
        </w:rPr>
        <w:t>）地下水环境影响分析结论</w:t>
      </w:r>
      <w:bookmarkEnd w:id="568"/>
    </w:p>
    <w:p>
      <w:r>
        <w:rPr>
          <w:rFonts w:hint="eastAsia"/>
        </w:rPr>
        <w:t>项目粪污处理区、</w:t>
      </w:r>
      <w:r>
        <w:rPr>
          <w:rFonts w:hint="eastAsia"/>
          <w:lang w:eastAsia="zh-CN"/>
        </w:rPr>
        <w:t>猪舍、沼气池</w:t>
      </w:r>
      <w:r>
        <w:rPr>
          <w:rFonts w:hint="eastAsia"/>
        </w:rPr>
        <w:t>等按规定进行了防渗处理，可以有效防止污水渗入地下，场区污水渗入地下的可能性较小。</w:t>
      </w:r>
    </w:p>
    <w:p>
      <w:r>
        <w:rPr>
          <w:rFonts w:hint="eastAsia"/>
        </w:rPr>
        <w:t>因此，必须加强养殖区污水处理、收集、排放设施和固废处理设施的防渗，通过强有力的防渗措施可使地下水的影响控制在可接受的范围内。通过调查，评价区域地下水属于上部水量丰富、下部水量中等的双层孔隙承压水的区域，受地表水影响较小。故项目建成后加强养殖区和污水、固废收集处理设施的防渗，对区域地下水环境影响不大。</w:t>
      </w:r>
    </w:p>
    <w:p>
      <w:r>
        <w:rPr>
          <w:rFonts w:hint="eastAsia"/>
        </w:rPr>
        <w:t>项目周边无地下水井，所在区域居民也不饮用地下水，地下水环境不敏感，因而项目运营对地下水影响较小。</w:t>
      </w:r>
    </w:p>
    <w:p>
      <w:r>
        <w:rPr>
          <w:rFonts w:hint="eastAsia"/>
        </w:rPr>
        <w:t>（</w:t>
      </w:r>
      <w:r>
        <w:t>3</w:t>
      </w:r>
      <w:r>
        <w:rPr>
          <w:rFonts w:hint="eastAsia"/>
        </w:rPr>
        <w:t>）大气环境影响分析结论</w:t>
      </w:r>
    </w:p>
    <w:p>
      <w:r>
        <w:rPr>
          <w:rFonts w:hint="eastAsia"/>
        </w:rPr>
        <w:t>本项目运营后，废气排放源主要有猪舍粪池、</w:t>
      </w:r>
      <w:r>
        <w:rPr>
          <w:rFonts w:hint="eastAsia"/>
          <w:lang w:eastAsia="zh-CN"/>
        </w:rPr>
        <w:t>堆肥等</w:t>
      </w:r>
      <w:r>
        <w:rPr>
          <w:rFonts w:hint="eastAsia"/>
        </w:rPr>
        <w:t>产生的恶臭气体</w:t>
      </w:r>
      <w:r>
        <w:rPr>
          <w:rFonts w:hint="eastAsia"/>
          <w:lang w:eastAsia="zh-CN"/>
        </w:rPr>
        <w:t>、</w:t>
      </w:r>
      <w:r>
        <w:rPr>
          <w:rFonts w:hint="eastAsia"/>
        </w:rPr>
        <w:t>备用发电机产生的烟气以及食堂产生的油烟等废气。</w:t>
      </w:r>
    </w:p>
    <w:p>
      <w:r>
        <w:fldChar w:fldCharType="begin"/>
      </w:r>
      <w:r>
        <w:instrText xml:space="preserve"> = 1 \* GB3 </w:instrText>
      </w:r>
      <w:r>
        <w:fldChar w:fldCharType="separate"/>
      </w:r>
      <w:r>
        <w:t>①</w:t>
      </w:r>
      <w:r>
        <w:fldChar w:fldCharType="end"/>
      </w:r>
      <w:r>
        <w:rPr>
          <w:rFonts w:hint="eastAsia"/>
        </w:rPr>
        <w:t>恶臭气体</w:t>
      </w:r>
    </w:p>
    <w:p>
      <w:r>
        <w:rPr>
          <w:rFonts w:hint="eastAsia"/>
        </w:rPr>
        <w:t>本项目大气污染物主要是养殖场猪舍、集污池、</w:t>
      </w:r>
      <w:r>
        <w:rPr>
          <w:rFonts w:hint="eastAsia"/>
          <w:lang w:eastAsia="zh-CN"/>
        </w:rPr>
        <w:t>堆粪</w:t>
      </w:r>
      <w:r>
        <w:rPr>
          <w:rFonts w:hint="eastAsia"/>
        </w:rPr>
        <w:t>等产生的恶臭气体。</w:t>
      </w:r>
    </w:p>
    <w:p>
      <w:r>
        <w:rPr>
          <w:rFonts w:hint="eastAsia"/>
          <w:lang w:eastAsia="zh-CN"/>
        </w:rPr>
        <w:t>根据预测可知，</w:t>
      </w:r>
      <w:r>
        <w:t>污染物NH</w:t>
      </w:r>
      <w:r>
        <w:rPr>
          <w:vertAlign w:val="subscript"/>
        </w:rPr>
        <w:t>3</w:t>
      </w:r>
      <w:r>
        <w:t>最大占标率Pmax为</w:t>
      </w:r>
      <w:r>
        <w:rPr>
          <w:rFonts w:hint="eastAsia"/>
          <w:lang w:val="en-US" w:eastAsia="zh-CN"/>
        </w:rPr>
        <w:t>6.54</w:t>
      </w:r>
      <w:r>
        <w:t>%，</w:t>
      </w:r>
      <w:r>
        <w:rPr>
          <w:rStyle w:val="19"/>
          <w:rFonts w:hint="eastAsia" w:cs="Times New Roman"/>
          <w:highlight w:val="none"/>
          <w:lang w:val="en-US" w:eastAsia="zh-CN"/>
        </w:rPr>
        <w:t>预测质量浓度为1.31</w:t>
      </w:r>
      <w:r>
        <w:rPr>
          <w:rStyle w:val="19"/>
          <w:rFonts w:hint="default" w:ascii="Times New Roman" w:hAnsi="Times New Roman" w:cs="Times New Roman"/>
          <w:highlight w:val="none"/>
          <w:lang w:val="en-US" w:eastAsia="zh-CN"/>
        </w:rPr>
        <w:t>E-0</w:t>
      </w:r>
      <w:r>
        <w:rPr>
          <w:rStyle w:val="19"/>
          <w:rFonts w:hint="eastAsia" w:cs="Times New Roman"/>
          <w:highlight w:val="none"/>
          <w:lang w:val="en-US" w:eastAsia="zh-CN"/>
        </w:rPr>
        <w:t>2mg/m</w:t>
      </w:r>
      <w:r>
        <w:rPr>
          <w:rStyle w:val="19"/>
          <w:rFonts w:hint="eastAsia" w:cs="Times New Roman"/>
          <w:highlight w:val="none"/>
          <w:vertAlign w:val="superscript"/>
          <w:lang w:val="en-US" w:eastAsia="zh-CN"/>
        </w:rPr>
        <w:t>3</w:t>
      </w:r>
      <w:r>
        <w:rPr>
          <w:rStyle w:val="19"/>
          <w:rFonts w:hint="eastAsia" w:cs="Times New Roman"/>
          <w:highlight w:val="none"/>
          <w:lang w:val="en-US" w:eastAsia="zh-CN"/>
        </w:rPr>
        <w:t>，</w:t>
      </w:r>
      <w:r>
        <w:t>H</w:t>
      </w:r>
      <w:r>
        <w:rPr>
          <w:vertAlign w:val="subscript"/>
        </w:rPr>
        <w:t>2</w:t>
      </w:r>
      <w:r>
        <w:t>S最大占标率Pmax为</w:t>
      </w:r>
      <w:r>
        <w:rPr>
          <w:rFonts w:hint="eastAsia"/>
          <w:lang w:val="en-US" w:eastAsia="zh-CN"/>
        </w:rPr>
        <w:t>9.56</w:t>
      </w:r>
      <w:r>
        <w:t>%，</w:t>
      </w:r>
      <w:r>
        <w:rPr>
          <w:rStyle w:val="19"/>
          <w:rFonts w:hint="eastAsia" w:cs="Times New Roman"/>
          <w:highlight w:val="none"/>
          <w:lang w:val="en-US" w:eastAsia="zh-CN"/>
        </w:rPr>
        <w:t>预测质量浓度为</w:t>
      </w:r>
      <w:r>
        <w:rPr>
          <w:rStyle w:val="19"/>
          <w:rFonts w:hint="default" w:ascii="Times New Roman" w:hAnsi="Times New Roman" w:cs="Times New Roman"/>
          <w:highlight w:val="none"/>
          <w:lang w:val="en-US" w:eastAsia="zh-CN"/>
        </w:rPr>
        <w:t>9.</w:t>
      </w:r>
      <w:r>
        <w:rPr>
          <w:rStyle w:val="19"/>
          <w:rFonts w:hint="eastAsia" w:cs="Times New Roman"/>
          <w:highlight w:val="none"/>
          <w:lang w:val="en-US" w:eastAsia="zh-CN"/>
        </w:rPr>
        <w:t>56</w:t>
      </w:r>
      <w:r>
        <w:rPr>
          <w:rStyle w:val="19"/>
          <w:rFonts w:hint="default" w:ascii="Times New Roman" w:hAnsi="Times New Roman" w:cs="Times New Roman"/>
          <w:highlight w:val="none"/>
          <w:lang w:val="en-US" w:eastAsia="zh-CN"/>
        </w:rPr>
        <w:t>E-04</w:t>
      </w:r>
      <w:r>
        <w:rPr>
          <w:rStyle w:val="19"/>
          <w:rFonts w:hint="eastAsia" w:cs="Times New Roman"/>
          <w:highlight w:val="none"/>
          <w:lang w:val="en-US" w:eastAsia="zh-CN"/>
        </w:rPr>
        <w:t>mg/m</w:t>
      </w:r>
      <w:r>
        <w:rPr>
          <w:rStyle w:val="19"/>
          <w:rFonts w:hint="eastAsia" w:cs="Times New Roman"/>
          <w:highlight w:val="none"/>
          <w:vertAlign w:val="superscript"/>
          <w:lang w:val="en-US" w:eastAsia="zh-CN"/>
        </w:rPr>
        <w:t>3</w:t>
      </w:r>
      <w:r>
        <w:rPr>
          <w:rStyle w:val="19"/>
          <w:rFonts w:hint="eastAsia" w:cs="Times New Roman"/>
          <w:highlight w:val="none"/>
          <w:vertAlign w:val="baseline"/>
          <w:lang w:val="en-US" w:eastAsia="zh-CN"/>
        </w:rPr>
        <w:t>，</w:t>
      </w:r>
      <w:r>
        <w:t>离源距离为</w:t>
      </w:r>
      <w:r>
        <w:rPr>
          <w:rFonts w:hint="eastAsia"/>
          <w:lang w:val="en-US" w:eastAsia="zh-CN"/>
        </w:rPr>
        <w:t>162</w:t>
      </w:r>
      <w:r>
        <w:t>m，占标率＜10%。本项目大气评价等级为二级。</w:t>
      </w:r>
    </w:p>
    <w:p>
      <w:r>
        <w:rPr>
          <w:rFonts w:hint="eastAsia"/>
        </w:rPr>
        <w:t>本环评通过计算，项目养殖区均不需设置大气环境防护距离。</w:t>
      </w:r>
    </w:p>
    <w:p>
      <w:r>
        <w:rPr>
          <w:rFonts w:hint="eastAsia"/>
        </w:rPr>
        <w:t>本环评通过计算，并结合规范相关要求，最终确定项目养殖区需设置</w:t>
      </w:r>
      <w:r>
        <w:t>200m</w:t>
      </w:r>
      <w:r>
        <w:rPr>
          <w:rFonts w:hint="eastAsia"/>
        </w:rPr>
        <w:t>的卫生防护距离。根据对现场的调查，项目养殖区的防护距离范围内</w:t>
      </w:r>
      <w:r>
        <w:rPr>
          <w:rFonts w:hint="eastAsia"/>
          <w:lang w:eastAsia="zh-CN"/>
        </w:rPr>
        <w:t>暂有居民居住，建设单位已租用作为办公室和员工宿舍</w:t>
      </w:r>
      <w:r>
        <w:rPr>
          <w:rFonts w:hint="eastAsia"/>
        </w:rPr>
        <w:t>。今后，在</w:t>
      </w:r>
      <w:r>
        <w:rPr>
          <w:rFonts w:hint="eastAsia"/>
          <w:lang w:eastAsia="zh-CN"/>
        </w:rPr>
        <w:t>卫生</w:t>
      </w:r>
      <w:r>
        <w:rPr>
          <w:rFonts w:hint="eastAsia"/>
        </w:rPr>
        <w:t>防护区域范围内禁止新建居民等环境敏感目标。</w:t>
      </w:r>
    </w:p>
    <w:p>
      <w:bookmarkStart w:id="569" w:name="_Toc468689326"/>
      <w:r>
        <w:fldChar w:fldCharType="begin"/>
      </w:r>
      <w:r>
        <w:instrText xml:space="preserve"> = 2 \* GB3 </w:instrText>
      </w:r>
      <w:r>
        <w:fldChar w:fldCharType="separate"/>
      </w:r>
      <w:r>
        <w:t>②</w:t>
      </w:r>
      <w:r>
        <w:fldChar w:fldCharType="end"/>
      </w:r>
      <w:r>
        <w:rPr>
          <w:rFonts w:hint="eastAsia"/>
          <w:lang w:eastAsia="zh-CN"/>
        </w:rPr>
        <w:t>沼气燃烧</w:t>
      </w:r>
      <w:r>
        <w:rPr>
          <w:rFonts w:hint="eastAsia"/>
        </w:rPr>
        <w:t>废气</w:t>
      </w:r>
    </w:p>
    <w:p>
      <w:r>
        <w:rPr>
          <w:rFonts w:hint="eastAsia"/>
        </w:rPr>
        <w:t>沼气发电</w:t>
      </w:r>
      <w:r>
        <w:t>燃气产生的烟气对周围环境空气质量影响较小。</w:t>
      </w:r>
    </w:p>
    <w:p>
      <w:r>
        <w:fldChar w:fldCharType="begin"/>
      </w:r>
      <w:r>
        <w:instrText xml:space="preserve"> = 3 \* GB3 </w:instrText>
      </w:r>
      <w:r>
        <w:fldChar w:fldCharType="separate"/>
      </w:r>
      <w:r>
        <w:t>③</w:t>
      </w:r>
      <w:r>
        <w:fldChar w:fldCharType="end"/>
      </w:r>
      <w:r>
        <w:t>备用柴油发电机尾气</w:t>
      </w:r>
    </w:p>
    <w:p>
      <w:r>
        <w:t>备用柴油发电机使用时间少，环评要求项目使用0＃柴油，0＃柴油属清洁能源，其燃烧产生的废气污染物较少，经屋顶排放，对周围环境的影响较小。</w:t>
      </w:r>
    </w:p>
    <w:p>
      <w:r>
        <w:fldChar w:fldCharType="begin"/>
      </w:r>
      <w:r>
        <w:instrText xml:space="preserve"> = 4 \* GB3 </w:instrText>
      </w:r>
      <w:r>
        <w:fldChar w:fldCharType="separate"/>
      </w:r>
      <w:r>
        <w:t>④</w:t>
      </w:r>
      <w:r>
        <w:fldChar w:fldCharType="end"/>
      </w:r>
      <w:r>
        <w:rPr>
          <w:rFonts w:hint="eastAsia"/>
        </w:rPr>
        <w:t>油烟废气</w:t>
      </w:r>
    </w:p>
    <w:p>
      <w:r>
        <w:rPr>
          <w:rFonts w:hint="eastAsia"/>
        </w:rPr>
        <w:t>食堂设有油烟净化器，设计除烟效率</w:t>
      </w:r>
      <w:r>
        <w:t>≥8</w:t>
      </w:r>
      <w:r>
        <w:rPr>
          <w:rFonts w:hint="eastAsia"/>
          <w:lang w:val="en-US" w:eastAsia="zh-CN"/>
        </w:rPr>
        <w:t>0</w:t>
      </w:r>
      <w:r>
        <w:t>%</w:t>
      </w:r>
      <w:r>
        <w:rPr>
          <w:rFonts w:hint="eastAsia"/>
        </w:rPr>
        <w:t>，经其处理后油烟排放量很小，油烟废气经油烟净化器处理后引至屋顶高于主体建筑排气筒排放，对周边环境影响小。</w:t>
      </w:r>
    </w:p>
    <w:p>
      <w:r>
        <w:rPr>
          <w:rFonts w:hint="eastAsia"/>
        </w:rPr>
        <w:t>（4）声环境影响分析结论</w:t>
      </w:r>
      <w:bookmarkEnd w:id="569"/>
    </w:p>
    <w:p>
      <w:bookmarkStart w:id="570" w:name="_Toc468689327"/>
      <w:r>
        <w:rPr>
          <w:rFonts w:hint="eastAsia"/>
        </w:rPr>
        <w:t>通过工程分析，本项目猪舍噪声主要来自猪群叫声和猪舍排气扇产生的噪声。猪舍内猪只特别是猪仔发出的叫声基本上属于偶发性噪声，随机性较大，一般噪声在</w:t>
      </w:r>
      <w:r>
        <w:t>70</w:t>
      </w:r>
      <w:r>
        <w:rPr>
          <w:rFonts w:hint="eastAsia"/>
        </w:rPr>
        <w:t>～</w:t>
      </w:r>
      <w:r>
        <w:t>80dB(A)</w:t>
      </w:r>
      <w:r>
        <w:rPr>
          <w:rFonts w:hint="eastAsia"/>
        </w:rPr>
        <w:t>左右，猪舍排气扇在猪舍需要通风换气时连续运转产生机械噪声，一般噪声在</w:t>
      </w:r>
      <w:r>
        <w:t>75</w:t>
      </w:r>
      <w:r>
        <w:rPr>
          <w:rFonts w:hint="eastAsia"/>
        </w:rPr>
        <w:t>～</w:t>
      </w:r>
      <w:r>
        <w:t>85dB(A)</w:t>
      </w:r>
      <w:r>
        <w:rPr>
          <w:rFonts w:hint="eastAsia"/>
        </w:rPr>
        <w:t>左右。猪的叫声由于无法人为控制，猪叫时会在猪群之间相互产生一些影响，同时排气扇在运转时也会产生一些噪声，影响附近猪群。为了减少猪叫声对操作工人及猪群的影响，尽可能满足猪只饮食需要，避免因饥饿或口渴而发出叫声；播放轻音乐，同时应减少外界噪声等对猪舍的干扰，避免因惊吓而产生不安，使猪只保持安定平和的气氛，以缓解猪只的不安情绪；禁止夜间装车等。</w:t>
      </w:r>
    </w:p>
    <w:p>
      <w:r>
        <w:rPr>
          <w:rFonts w:hint="eastAsia"/>
        </w:rPr>
        <w:t>项目</w:t>
      </w:r>
      <w:r>
        <w:rPr>
          <w:rFonts w:hint="eastAsia"/>
          <w:lang w:eastAsia="zh-CN"/>
        </w:rPr>
        <w:t>运行时</w:t>
      </w:r>
      <w:r>
        <w:rPr>
          <w:rFonts w:hint="eastAsia"/>
        </w:rPr>
        <w:t>养殖区周边200</w:t>
      </w:r>
      <w:r>
        <w:t xml:space="preserve"> m</w:t>
      </w:r>
      <w:r>
        <w:rPr>
          <w:rFonts w:hint="eastAsia"/>
        </w:rPr>
        <w:t>范围内没有居民，养殖区噪声对周边声环境影响较小。</w:t>
      </w:r>
    </w:p>
    <w:p>
      <w:r>
        <w:rPr>
          <w:rFonts w:hint="eastAsia"/>
        </w:rPr>
        <w:t>（5）固体废物环境影响分析结论</w:t>
      </w:r>
      <w:bookmarkEnd w:id="570"/>
    </w:p>
    <w:p>
      <w:r>
        <w:rPr>
          <w:rFonts w:hint="eastAsia"/>
        </w:rPr>
        <w:t>病死牲畜、分娩废物等采用冷冻库暂存，再依托市县二级病死畜禽无害化集中处理中心进行无害化处理；医疗废物委托有资质的单位处理；粪污经</w:t>
      </w:r>
      <w:r>
        <w:rPr>
          <w:rFonts w:hint="eastAsia"/>
          <w:lang w:eastAsia="zh-CN"/>
        </w:rPr>
        <w:t>堆肥</w:t>
      </w:r>
      <w:r>
        <w:rPr>
          <w:rFonts w:hint="eastAsia"/>
        </w:rPr>
        <w:t>处理后，是优质的有机肥，直接</w:t>
      </w:r>
      <w:r>
        <w:rPr>
          <w:rFonts w:hint="eastAsia"/>
          <w:lang w:eastAsia="zh-CN"/>
        </w:rPr>
        <w:t>外售</w:t>
      </w:r>
      <w:r>
        <w:rPr>
          <w:rFonts w:hint="eastAsia"/>
        </w:rPr>
        <w:t>进行资源化利用；生活垃圾委托环卫统一处理。</w:t>
      </w:r>
    </w:p>
    <w:p>
      <w:bookmarkStart w:id="571" w:name="_Toc468689328"/>
      <w:r>
        <w:rPr>
          <w:rFonts w:hint="eastAsia"/>
        </w:rPr>
        <w:t>建设项目产生的固体废物均得到了妥善处置和综合利用，符合《畜禽养殖业污染防治技术规范》的要求，不向环境排放，所以本工程固体废物对环境的影响可以接受。</w:t>
      </w:r>
    </w:p>
    <w:bookmarkEnd w:id="571"/>
    <w:p>
      <w:pPr>
        <w:pStyle w:val="5"/>
        <w:bidi w:val="0"/>
      </w:pPr>
      <w:bookmarkStart w:id="572" w:name="_Toc289344631"/>
      <w:bookmarkStart w:id="573" w:name="_Toc468689331"/>
      <w:r>
        <w:rPr>
          <w:rFonts w:hint="eastAsia"/>
        </w:rPr>
        <w:t>污染防治措施结论</w:t>
      </w:r>
      <w:bookmarkEnd w:id="572"/>
      <w:bookmarkEnd w:id="573"/>
    </w:p>
    <w:p>
      <w:r>
        <w:rPr>
          <w:rFonts w:hint="eastAsia"/>
        </w:rPr>
        <w:t>项目采用</w:t>
      </w:r>
      <w:r>
        <w:t>“</w:t>
      </w:r>
      <w:r>
        <w:rPr>
          <w:rFonts w:hint="eastAsia"/>
        </w:rPr>
        <w:t>猪</w:t>
      </w:r>
      <w:r>
        <w:t>—</w:t>
      </w:r>
      <w:r>
        <w:rPr>
          <w:rFonts w:hint="eastAsia"/>
        </w:rPr>
        <w:t>粪</w:t>
      </w:r>
      <w:r>
        <w:t>—</w:t>
      </w:r>
      <w:r>
        <w:rPr>
          <w:rFonts w:hint="eastAsia"/>
        </w:rPr>
        <w:t>林</w:t>
      </w:r>
      <w:r>
        <w:t>”</w:t>
      </w:r>
      <w:r>
        <w:rPr>
          <w:rFonts w:hint="eastAsia"/>
        </w:rPr>
        <w:t>的农业循环经济发展模式，采用先进的生态养殖技术，利用生物发酵原理处理粪尿，解决环境污染问题。项目</w:t>
      </w:r>
      <w:r>
        <w:rPr>
          <w:rFonts w:hint="eastAsia"/>
          <w:lang w:eastAsia="zh-CN"/>
        </w:rPr>
        <w:t>周边大于</w:t>
      </w:r>
      <w:r>
        <w:rPr>
          <w:rFonts w:hint="eastAsia"/>
          <w:highlight w:val="none"/>
          <w:lang w:val="en-US" w:eastAsia="zh-CN"/>
        </w:rPr>
        <w:t>5000</w:t>
      </w:r>
      <w:r>
        <w:rPr>
          <w:rFonts w:hint="eastAsia"/>
          <w:lang w:val="en-US" w:eastAsia="zh-CN"/>
        </w:rPr>
        <w:t>亩果蔬地、柑橘地、经济林</w:t>
      </w:r>
      <w:r>
        <w:rPr>
          <w:rFonts w:hint="eastAsia"/>
        </w:rPr>
        <w:t>消纳粪肥，可实现足够消纳项目所产生的粪。</w:t>
      </w:r>
    </w:p>
    <w:p>
      <w:r>
        <w:rPr>
          <w:rFonts w:hint="eastAsia"/>
        </w:rPr>
        <w:t>此外，为有效防止项目运营对区域大气环境造成影响，项目对产生的恶臭气体采取水帘通风除臭、选用氨基酸平衡的低蛋白的饲料和合理使用饲料添加剂、喷洒除臭剂等综合措施减少恶臭气体排放。</w:t>
      </w:r>
    </w:p>
    <w:p>
      <w:r>
        <w:rPr>
          <w:rFonts w:hint="eastAsia"/>
        </w:rPr>
        <w:t>综合分析，本项目所采取的各项污染防治措施从技术经济角度分析均具有可行性。</w:t>
      </w:r>
    </w:p>
    <w:p>
      <w:pPr>
        <w:pStyle w:val="4"/>
        <w:bidi w:val="0"/>
      </w:pPr>
      <w:bookmarkStart w:id="574" w:name="_Toc468689338"/>
      <w:bookmarkStart w:id="575" w:name="_Toc7795"/>
      <w:bookmarkStart w:id="576" w:name="_Toc289344632"/>
      <w:r>
        <w:t>项目建设可行性评价结论</w:t>
      </w:r>
      <w:bookmarkEnd w:id="574"/>
      <w:bookmarkEnd w:id="575"/>
      <w:bookmarkEnd w:id="576"/>
    </w:p>
    <w:p>
      <w:r>
        <w:rPr>
          <w:rFonts w:hint="eastAsia"/>
        </w:rPr>
        <w:t>（</w:t>
      </w:r>
      <w:r>
        <w:t>1</w:t>
      </w:r>
      <w:r>
        <w:rPr>
          <w:rFonts w:hint="eastAsia"/>
        </w:rPr>
        <w:t>）项目建设符合产业政策分析性结论</w:t>
      </w:r>
    </w:p>
    <w:p>
      <w:r>
        <w:rPr>
          <w:rFonts w:hint="eastAsia"/>
        </w:rPr>
        <w:t>本项目属于《国民经济行业分类》分类中的</w:t>
      </w:r>
      <w:r>
        <w:t>“A0320</w:t>
      </w:r>
      <w:r>
        <w:rPr>
          <w:rFonts w:hint="eastAsia"/>
        </w:rPr>
        <w:t>猪的养殖</w:t>
      </w:r>
      <w:r>
        <w:t>”</w:t>
      </w:r>
      <w:r>
        <w:rPr>
          <w:rFonts w:hint="eastAsia"/>
        </w:rPr>
        <w:t>，根据《产业结构调整指导目录》（</w:t>
      </w:r>
      <w:r>
        <w:t>20</w:t>
      </w:r>
      <w:r>
        <w:rPr>
          <w:rFonts w:hint="eastAsia"/>
          <w:lang w:val="en-US" w:eastAsia="zh-CN"/>
        </w:rPr>
        <w:t>19年</w:t>
      </w:r>
      <w:r>
        <w:rPr>
          <w:rFonts w:hint="eastAsia"/>
        </w:rPr>
        <w:t>），不属于限制类和淘汰类的产业，场区未使用淘汰类设备；符合近年来中共中央、国务院颁布的</w:t>
      </w:r>
      <w:r>
        <w:t>1</w:t>
      </w:r>
      <w:r>
        <w:rPr>
          <w:rFonts w:hint="eastAsia"/>
        </w:rPr>
        <w:t>号文件加强畜牧业生产的精神。因此，本项目建设符合国家的产业政策。</w:t>
      </w:r>
    </w:p>
    <w:p>
      <w:bookmarkStart w:id="577" w:name="_Toc468689339"/>
      <w:r>
        <w:rPr>
          <w:rFonts w:hint="eastAsia"/>
        </w:rPr>
        <w:t>（</w:t>
      </w:r>
      <w:r>
        <w:t>2</w:t>
      </w:r>
      <w:r>
        <w:rPr>
          <w:rFonts w:hint="eastAsia"/>
        </w:rPr>
        <w:t>）项目选址合理性结论</w:t>
      </w:r>
      <w:bookmarkEnd w:id="577"/>
    </w:p>
    <w:p>
      <w:r>
        <w:rPr>
          <w:rFonts w:hint="eastAsia"/>
        </w:rPr>
        <w:t>本项目选址符合当地的乡村土地利用总体规划，符合《畜禽养殖业污染防治技术规范》基本要求，符合《湖南省生态保护红线》（湘政发</w:t>
      </w:r>
      <w:r>
        <w:t>[2018]20号）的相关要求，</w:t>
      </w:r>
      <w:r>
        <w:rPr>
          <w:rFonts w:hint="eastAsia"/>
        </w:rPr>
        <w:t>符合澧县畜牧养殖业发展规划，位于《澧县畜禽养殖禁养区划定方案》中的</w:t>
      </w:r>
      <w:r>
        <w:rPr>
          <w:rFonts w:hint="eastAsia"/>
          <w:lang w:val="en-US" w:eastAsia="zh-CN"/>
        </w:rPr>
        <w:t>禁养区</w:t>
      </w:r>
      <w:r>
        <w:rPr>
          <w:rFonts w:hint="eastAsia"/>
        </w:rPr>
        <w:t>，项目选址基本合理。</w:t>
      </w:r>
    </w:p>
    <w:p>
      <w:bookmarkStart w:id="578" w:name="_Toc468689340"/>
      <w:r>
        <w:rPr>
          <w:rFonts w:hint="eastAsia"/>
        </w:rPr>
        <w:t>（</w:t>
      </w:r>
      <w:r>
        <w:t>3</w:t>
      </w:r>
      <w:r>
        <w:rPr>
          <w:rFonts w:hint="eastAsia"/>
        </w:rPr>
        <w:t>）总图布置合理性分析</w:t>
      </w:r>
      <w:bookmarkEnd w:id="578"/>
    </w:p>
    <w:p>
      <w:r>
        <w:rPr>
          <w:rFonts w:hint="eastAsia"/>
        </w:rPr>
        <w:t>该项目在平面布置上生产区和非生产区功能分区布置相对独立，通过合理组织功能分区，合理布置工艺车间，合理组织交通运输使物料运输方便快捷；保证生产工艺流程畅通。场界四周及生产区四周种植高大乔木，尽可能减轻恶臭气体对居民的影响因素。保证场区平面布置符合环境保护、安全生产、卫生防疫、绿化与工业企业卫生要求。</w:t>
      </w:r>
    </w:p>
    <w:p>
      <w:r>
        <w:rPr>
          <w:rFonts w:hint="eastAsia"/>
        </w:rPr>
        <w:t>（4）本项目无明显环境制约因素。</w:t>
      </w:r>
    </w:p>
    <w:p>
      <w:pPr>
        <w:pStyle w:val="4"/>
        <w:bidi w:val="0"/>
        <w:rPr>
          <w:rFonts w:hint="default"/>
        </w:rPr>
      </w:pPr>
      <w:bookmarkStart w:id="579" w:name="_Toc23107"/>
      <w:r>
        <w:rPr>
          <w:rFonts w:hint="default"/>
        </w:rPr>
        <w:t>公众意见采纳情况</w:t>
      </w:r>
      <w:bookmarkEnd w:id="579"/>
    </w:p>
    <w:p>
      <w:pPr>
        <w:spacing w:line="480" w:lineRule="exact"/>
        <w:ind w:firstLine="480" w:firstLineChars="200"/>
        <w:rPr>
          <w:rFonts w:hint="default" w:ascii="Times New Roman" w:hAnsi="Times New Roman" w:cs="Times New Roman"/>
          <w:bCs/>
          <w:sz w:val="24"/>
          <w:u w:val="none"/>
          <w:lang w:val="en-US" w:eastAsia="zh-CN"/>
        </w:rPr>
      </w:pPr>
      <w:r>
        <w:rPr>
          <w:rFonts w:hint="default" w:ascii="Times New Roman" w:hAnsi="Times New Roman" w:cs="Times New Roman"/>
          <w:bCs/>
          <w:sz w:val="24"/>
          <w:u w:val="none"/>
          <w:lang w:val="en-US" w:eastAsia="zh-CN"/>
        </w:rPr>
        <w:t>根据2019年1月1日实施的《环境影响评价公众参与办法》，</w:t>
      </w:r>
      <w:r>
        <w:rPr>
          <w:rFonts w:hint="eastAsia" w:cs="Times New Roman"/>
          <w:bCs/>
          <w:sz w:val="24"/>
          <w:u w:val="none"/>
          <w:lang w:val="en-US" w:eastAsia="zh-CN"/>
        </w:rPr>
        <w:t>建设单位在澧县政府网站（</w:t>
      </w:r>
      <w:r>
        <w:rPr>
          <w:rFonts w:hint="eastAsia"/>
          <w:lang w:val="en-US" w:eastAsia="zh-CN"/>
        </w:rPr>
        <w:fldChar w:fldCharType="begin"/>
      </w:r>
      <w:r>
        <w:rPr>
          <w:rFonts w:hint="eastAsia"/>
          <w:lang w:val="en-US" w:eastAsia="zh-CN"/>
        </w:rPr>
        <w:instrText xml:space="preserve"> HYPERLINK "https://www.li-xian.gov.cn/xwzx/gsgg/content_82202" </w:instrText>
      </w:r>
      <w:r>
        <w:rPr>
          <w:rFonts w:hint="eastAsia"/>
          <w:lang w:val="en-US" w:eastAsia="zh-CN"/>
        </w:rPr>
        <w:fldChar w:fldCharType="separate"/>
      </w:r>
      <w:r>
        <w:rPr>
          <w:rStyle w:val="20"/>
          <w:rFonts w:hint="eastAsia"/>
          <w:lang w:val="en-US" w:eastAsia="zh-CN"/>
        </w:rPr>
        <w:t>https://www.li-xian.gov.cn/xwzx/gsgg/content_82202</w:t>
      </w:r>
      <w:r>
        <w:rPr>
          <w:rFonts w:hint="eastAsia"/>
          <w:lang w:val="en-US" w:eastAsia="zh-CN"/>
        </w:rPr>
        <w:fldChar w:fldCharType="end"/>
      </w:r>
      <w:r>
        <w:rPr>
          <w:rFonts w:hint="eastAsia" w:cs="Times New Roman"/>
          <w:bCs/>
          <w:sz w:val="24"/>
          <w:u w:val="none"/>
          <w:lang w:val="en-US" w:eastAsia="zh-CN"/>
        </w:rPr>
        <w:t>）</w:t>
      </w:r>
      <w:r>
        <w:rPr>
          <w:rFonts w:hint="default" w:ascii="Times New Roman" w:hAnsi="Times New Roman" w:cs="Times New Roman"/>
          <w:bCs/>
          <w:sz w:val="24"/>
          <w:u w:val="none"/>
          <w:lang w:val="en-US" w:eastAsia="zh-CN"/>
        </w:rPr>
        <w:t>进行了第一次公示，第一次公示期间未收到公众意见。</w:t>
      </w:r>
      <w:bookmarkStart w:id="588" w:name="_GoBack"/>
      <w:bookmarkEnd w:id="588"/>
    </w:p>
    <w:p>
      <w:pPr>
        <w:pStyle w:val="4"/>
        <w:bidi w:val="0"/>
      </w:pPr>
      <w:bookmarkStart w:id="580" w:name="_Toc468689343"/>
      <w:bookmarkStart w:id="581" w:name="_Toc289344636"/>
      <w:bookmarkStart w:id="582" w:name="_Toc1608"/>
      <w:r>
        <w:rPr>
          <w:rFonts w:hint="eastAsia"/>
        </w:rPr>
        <w:t>综合结论</w:t>
      </w:r>
      <w:bookmarkEnd w:id="580"/>
      <w:bookmarkEnd w:id="581"/>
      <w:bookmarkEnd w:id="582"/>
    </w:p>
    <w:p>
      <w:bookmarkStart w:id="583" w:name="_Toc468689344"/>
      <w:bookmarkStart w:id="584" w:name="_Toc289344637"/>
      <w:bookmarkStart w:id="585" w:name="_Toc211660900"/>
      <w:bookmarkStart w:id="586" w:name="_Toc213226908"/>
      <w:r>
        <w:rPr>
          <w:rFonts w:hint="eastAsia"/>
        </w:rPr>
        <w:t>项目采用“猪</w:t>
      </w:r>
      <w:r>
        <w:t>—</w:t>
      </w:r>
      <w:r>
        <w:rPr>
          <w:rFonts w:hint="eastAsia"/>
        </w:rPr>
        <w:t>肥</w:t>
      </w:r>
      <w:r>
        <w:t>—</w:t>
      </w:r>
      <w:r>
        <w:rPr>
          <w:rFonts w:hint="eastAsia"/>
        </w:rPr>
        <w:t>林”的农业循环经济发展模式进行生猪养殖并配套林果种植基地消纳养殖肥料，符合产业政策要求，社会经济效益明显。项目采用</w:t>
      </w:r>
      <w:r>
        <w:rPr>
          <w:rFonts w:hint="eastAsia"/>
          <w:lang w:eastAsia="zh-CN"/>
        </w:rPr>
        <w:t>堆肥</w:t>
      </w:r>
      <w:r>
        <w:rPr>
          <w:rFonts w:hint="eastAsia"/>
        </w:rPr>
        <w:t>生态养殖技术，将猪粪进行微生物发酵处理，</w:t>
      </w:r>
      <w:r>
        <w:rPr>
          <w:rFonts w:hint="eastAsia"/>
          <w:lang w:eastAsia="zh-CN"/>
        </w:rPr>
        <w:t>堆肥后的</w:t>
      </w:r>
      <w:r>
        <w:rPr>
          <w:rFonts w:hint="eastAsia"/>
        </w:rPr>
        <w:t>有机肥料进行综合利用</w:t>
      </w:r>
      <w:r>
        <w:rPr>
          <w:rFonts w:hint="eastAsia"/>
          <w:lang w:eastAsia="zh-CN"/>
        </w:rPr>
        <w:t>。采用厌氧发酵</w:t>
      </w:r>
      <w:r>
        <w:rPr>
          <w:rFonts w:hint="eastAsia"/>
          <w:lang w:val="en-US" w:eastAsia="zh-CN"/>
        </w:rPr>
        <w:t>+AO组合池废水处理</w:t>
      </w:r>
      <w:r>
        <w:rPr>
          <w:rFonts w:hint="eastAsia"/>
          <w:lang w:eastAsia="zh-CN"/>
        </w:rPr>
        <w:t>系统处理养殖废水等，发酵后的沼液还田。本项目采用的粪污、废水处理方案</w:t>
      </w:r>
      <w:r>
        <w:rPr>
          <w:rFonts w:hint="eastAsia"/>
        </w:rPr>
        <w:t>符合《国务院办公厅关于加快推进畜禽养殖废弃物资源化利用的意见》的相关要求，项目可实现粪污完全消纳，不外排，对环境的影响较小，在环境可承受的范围内。因此，只要建设单位认真贯彻执行国家和地方的环境保护法律法规，切实落实本评价提出的各项污染防治措施及风险防范措施，进一步加强日常环境管理和风险防控，可做到废气和噪声达标排放、粪污液渣全部综合利用，从环境保护技术角度而言，本项目的建设是可行的。</w:t>
      </w:r>
    </w:p>
    <w:p>
      <w:pPr>
        <w:pStyle w:val="4"/>
        <w:bidi w:val="0"/>
      </w:pPr>
      <w:bookmarkStart w:id="587" w:name="_Toc29325"/>
      <w:r>
        <w:t>建议</w:t>
      </w:r>
      <w:bookmarkEnd w:id="583"/>
      <w:bookmarkEnd w:id="584"/>
      <w:bookmarkEnd w:id="585"/>
      <w:bookmarkEnd w:id="586"/>
      <w:bookmarkEnd w:id="587"/>
    </w:p>
    <w:p>
      <w:r>
        <w:rPr>
          <w:rFonts w:hint="eastAsia"/>
        </w:rPr>
        <w:t>（</w:t>
      </w:r>
      <w:r>
        <w:t>1</w:t>
      </w:r>
      <w:r>
        <w:rPr>
          <w:rFonts w:hint="eastAsia"/>
        </w:rPr>
        <w:t>）要保证足够的环保资金，落实本环评提出的各项治理措施。</w:t>
      </w:r>
    </w:p>
    <w:p>
      <w:r>
        <w:rPr>
          <w:rFonts w:hint="eastAsia"/>
        </w:rPr>
        <w:t>（</w:t>
      </w:r>
      <w:r>
        <w:t>2</w:t>
      </w:r>
      <w:r>
        <w:rPr>
          <w:rFonts w:hint="eastAsia"/>
        </w:rPr>
        <w:t>）公司应进一步加强环境管理，建立健全的环境管理机构，负责全场环境管理工作，保证环保设施正常运行。</w:t>
      </w:r>
    </w:p>
    <w:p>
      <w:r>
        <w:rPr>
          <w:rFonts w:hint="eastAsia"/>
        </w:rPr>
        <w:t>（</w:t>
      </w:r>
      <w:r>
        <w:t>3</w:t>
      </w:r>
      <w:r>
        <w:rPr>
          <w:rFonts w:hint="eastAsia"/>
        </w:rPr>
        <w:t>）生活区、养殖区之间设立隔离带，并实行严格消毒。</w:t>
      </w:r>
    </w:p>
    <w:p>
      <w:r>
        <w:rPr>
          <w:rFonts w:hint="eastAsia"/>
        </w:rPr>
        <w:t>（4）做好雨污分流，防止多余的水</w:t>
      </w:r>
      <w:r>
        <w:rPr>
          <w:rFonts w:hint="eastAsia"/>
          <w:lang w:eastAsia="zh-CN"/>
        </w:rPr>
        <w:t>分</w:t>
      </w:r>
      <w:r>
        <w:rPr>
          <w:rFonts w:hint="eastAsia"/>
        </w:rPr>
        <w:t>流进</w:t>
      </w:r>
      <w:r>
        <w:rPr>
          <w:rFonts w:hint="eastAsia"/>
          <w:lang w:eastAsia="zh-CN"/>
        </w:rPr>
        <w:t>集污池</w:t>
      </w:r>
      <w:r>
        <w:rPr>
          <w:rFonts w:hint="eastAsia"/>
        </w:rPr>
        <w:t>，给后方处理带来压力。</w:t>
      </w:r>
    </w:p>
    <w:p>
      <w:pPr>
        <w:rPr>
          <w:rFonts w:hint="eastAsia" w:eastAsiaTheme="minorEastAsia"/>
          <w:lang w:eastAsia="zh-CN"/>
        </w:rPr>
      </w:pPr>
      <w:r>
        <w:rPr>
          <w:rFonts w:hint="eastAsia"/>
        </w:rPr>
        <w:t>（5）加强对</w:t>
      </w:r>
      <w:r>
        <w:rPr>
          <w:rFonts w:hint="eastAsia"/>
          <w:lang w:eastAsia="zh-CN"/>
        </w:rPr>
        <w:t>堆肥车间</w:t>
      </w:r>
      <w:r>
        <w:rPr>
          <w:rFonts w:hint="eastAsia"/>
        </w:rPr>
        <w:t>的管理</w:t>
      </w:r>
      <w:r>
        <w:rPr>
          <w:rFonts w:hint="eastAsia"/>
          <w:lang w:eastAsia="zh-CN"/>
        </w:rPr>
        <w:t>，</w:t>
      </w:r>
      <w:r>
        <w:rPr>
          <w:rFonts w:hint="eastAsia"/>
        </w:rPr>
        <w:t>保证微生物发酵所需的温度与湿度条件，保证粪污高效分解与转化，对环境无害。</w:t>
      </w:r>
      <w:r>
        <w:rPr>
          <w:rFonts w:hint="eastAsia"/>
          <w:lang w:eastAsia="zh-CN"/>
        </w:rPr>
        <w:t>加强废水处理厌氧发酵</w:t>
      </w:r>
      <w:r>
        <w:rPr>
          <w:rFonts w:hint="eastAsia"/>
          <w:lang w:val="en-US" w:eastAsia="zh-CN"/>
        </w:rPr>
        <w:t>+AO组合池废水处理</w:t>
      </w:r>
      <w:r>
        <w:rPr>
          <w:rFonts w:hint="eastAsia"/>
          <w:lang w:eastAsia="zh-CN"/>
        </w:rPr>
        <w:t>系统的管理，保证系统正常运转。</w:t>
      </w:r>
    </w:p>
    <w:p>
      <w:r>
        <w:rPr>
          <w:rFonts w:hint="eastAsia"/>
        </w:rPr>
        <w:t>（5）在今后的运营过程中，如周边种植区面积减少导致不能种养平衡时，应及时减少养殖规模。</w:t>
      </w:r>
    </w:p>
    <w:p/>
    <w:p/>
    <w:p>
      <w:pPr>
        <w:rPr>
          <w:rFonts w:hint="default"/>
          <w:lang w:val="en-US" w:eastAsia="zh-CN"/>
        </w:rPr>
      </w:pPr>
    </w:p>
    <w:sectPr>
      <w:footerReference r:id="rId17"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rP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III</w:t>
                          </w:r>
                          <w:r>
                            <w:rPr>
                              <w:rFonts w:ascii="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fiUg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H4lINAIAAGUEAAAOAAAAAAAAAAEAIAAAAB8BAABkcnMvZTJvRG9jLnhtbFBL&#10;BQYAAAAABgAGAFkBAADFBQAAAAA=&#10;">
              <v:fill on="f" focussize="0,0"/>
              <v:stroke on="f" weight="0.5pt"/>
              <v:imagedata o:title=""/>
              <o:lock v:ext="edit" aspectratio="f"/>
              <v:textbox inset="0mm,0mm,0mm,0mm" style="mso-fit-shape-to-text:t;">
                <w:txbxContent>
                  <w:p>
                    <w:pPr>
                      <w:pStyle w:val="13"/>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III</w:t>
                    </w:r>
                    <w:r>
                      <w:rPr>
                        <w:rFonts w:ascii="Times New Roman"/>
                      </w:rPr>
                      <w:fldChar w:fldCharType="end"/>
                    </w:r>
                  </w:p>
                </w:txbxContent>
              </v:textbox>
            </v:shape>
          </w:pict>
        </mc:Fallback>
      </mc:AlternateContent>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w:t>
                          </w:r>
                          <w:r>
                            <w:rPr>
                              <w:rFonts w:ascii="Times New Roman"/>
                            </w:rPr>
                            <w:t xml:space="preserve"> 88 -</w:t>
                          </w:r>
                          <w:r>
                            <w:rPr>
                              <w:rFonts w:ascii="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Y/ss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pp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WP7LNAIAAGUEAAAOAAAAAAAAAAEAIAAAAB8BAABkcnMvZTJvRG9jLnhtbFBL&#10;BQYAAAAABgAGAFkBAADFBQAAAAA=&#10;">
              <v:fill on="f" focussize="0,0"/>
              <v:stroke on="f" weight="0.5pt"/>
              <v:imagedata o:title=""/>
              <o:lock v:ext="edit" aspectratio="f"/>
              <v:textbox inset="0mm,0mm,0mm,0mm" style="mso-fit-shape-to-text:t;">
                <w:txbxContent>
                  <w:p>
                    <w:pPr>
                      <w:pStyle w:val="13"/>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w:t>
                    </w:r>
                    <w:r>
                      <w:rPr>
                        <w:rFonts w:ascii="Times New Roman"/>
                      </w:rPr>
                      <w:t xml:space="preserve"> 88 -</w:t>
                    </w:r>
                    <w:r>
                      <w:rPr>
                        <w:rFonts w:ascii="Times New Roman"/>
                      </w:rPr>
                      <w:fldChar w:fldCharType="end"/>
                    </w:r>
                  </w:p>
                </w:txbxContent>
              </v:textbox>
            </v:shape>
          </w:pict>
        </mc:Fallback>
      </mc:AlternateContent>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hxao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a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YcWqNAIAAGUEAAAOAAAAAAAAAAEAIAAAAB8BAABkcnMvZTJvRG9jLnhtbFBL&#10;BQYAAAAABgAGAFkBAADFBQAAAAA=&#10;">
              <v:fill on="f" focussize="0,0"/>
              <v:stroke on="f" weight="0.5pt"/>
              <v:imagedata o:title=""/>
              <o:lock v:ext="edit" aspectratio="f"/>
              <v:textbox inset="0mm,0mm,0mm,0mm" style="mso-fit-shape-to-text:t;">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131445</wp:posOffset>
              </wp:positionV>
              <wp:extent cx="464185" cy="178435"/>
              <wp:effectExtent l="0" t="0" r="12065" b="12065"/>
              <wp:wrapNone/>
              <wp:docPr id="359" name="文本框 3"/>
              <wp:cNvGraphicFramePr/>
              <a:graphic xmlns:a="http://schemas.openxmlformats.org/drawingml/2006/main">
                <a:graphicData uri="http://schemas.microsoft.com/office/word/2010/wordprocessingShape">
                  <wps:wsp>
                    <wps:cNvSpPr txBox="1">
                      <a:spLocks noChangeArrowheads="1"/>
                    </wps:cNvSpPr>
                    <wps:spPr bwMode="auto">
                      <a:xfrm>
                        <a:off x="0" y="0"/>
                        <a:ext cx="464185" cy="178435"/>
                      </a:xfrm>
                      <a:prstGeom prst="rect">
                        <a:avLst/>
                      </a:prstGeom>
                      <a:solidFill>
                        <a:srgbClr val="FFFFFF"/>
                      </a:solidFill>
                      <a:ln>
                        <a:noFill/>
                      </a:ln>
                      <a:effectLst/>
                    </wps:spPr>
                    <wps:txbx>
                      <w:txbxContent>
                        <w:p>
                          <w:pPr>
                            <w:snapToGrid w:val="0"/>
                            <w:rPr>
                              <w:rFonts w:ascii="Times New Roman" w:hAnsi="Times New Roman" w:cs="Times New Roman"/>
                            </w:rPr>
                          </w:pPr>
                          <w:r>
                            <w:rPr>
                              <w:rFonts w:ascii="Times New Roman" w:hAnsi="Times New Roman" w:cs="Times New Roman"/>
                              <w:sz w:val="18"/>
                            </w:rPr>
                            <w:fldChar w:fldCharType="begin"/>
                          </w:r>
                          <w:r>
                            <w:rPr>
                              <w:rFonts w:ascii="Times New Roman" w:hAnsi="Times New Roman" w:cs="Times New Roman"/>
                              <w:sz w:val="18"/>
                            </w:rPr>
                            <w:instrText xml:space="preserve"> PAGE </w:instrText>
                          </w:r>
                          <w:r>
                            <w:rPr>
                              <w:rFonts w:ascii="Times New Roman" w:hAnsi="Times New Roman" w:cs="Times New Roman"/>
                              <w:sz w:val="18"/>
                            </w:rPr>
                            <w:fldChar w:fldCharType="separate"/>
                          </w:r>
                          <w:r>
                            <w:rPr>
                              <w:rFonts w:ascii="Times New Roman" w:hAnsi="Times New Roman" w:cs="Times New Roman"/>
                              <w:sz w:val="18"/>
                            </w:rPr>
                            <w:t>- 115 -</w:t>
                          </w:r>
                          <w:r>
                            <w:rPr>
                              <w:rFonts w:ascii="Times New Roman" w:hAnsi="Times New Roman" w:cs="Times New Roman"/>
                              <w:sz w:val="18"/>
                            </w:rPr>
                            <w:fldChar w:fldCharType="end"/>
                          </w:r>
                        </w:p>
                      </w:txbxContent>
                    </wps:txbx>
                    <wps:bodyPr rot="0" vert="horz" wrap="square" lIns="635" tIns="635" rIns="635" bIns="635" anchor="t" anchorCtr="0" upright="1">
                      <a:noAutofit/>
                    </wps:bodyPr>
                  </wps:wsp>
                </a:graphicData>
              </a:graphic>
            </wp:anchor>
          </w:drawing>
        </mc:Choice>
        <mc:Fallback>
          <w:pict>
            <v:shape id="文本框 3" o:spid="_x0000_s1026" o:spt="202" type="#_x0000_t202" style="position:absolute;left:0pt;margin-top:10.35pt;height:14.05pt;width:36.55pt;mso-position-horizontal:center;mso-position-horizontal-relative:margin;z-index:251660288;mso-width-relative:page;mso-height-relative:page;" fillcolor="#FFFFFF" filled="t" stroked="f" coordsize="21600,21600" o:gfxdata="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IuEPk1AAAAAUBAAAPAAAAAAAAAAEAIAAAACIAAABkcnMvZG93bnJldi54bWxQSwECFAAUAAAA&#10;CACHTuJAtH620CsCAABFBAAADgAAAAAAAAABACAAAAAjAQAAZHJzL2Uyb0RvYy54bWxQSwUGAAAA&#10;AAYABgBZAQAAwAUAAAAA&#10;">
              <v:fill on="t" focussize="0,0"/>
              <v:stroke on="f"/>
              <v:imagedata o:title=""/>
              <o:lock v:ext="edit" aspectratio="f"/>
              <v:textbox inset="0.05pt,0.05pt,0.05pt,0.05pt">
                <w:txbxContent>
                  <w:p>
                    <w:pPr>
                      <w:snapToGrid w:val="0"/>
                      <w:rPr>
                        <w:rFonts w:ascii="Times New Roman" w:hAnsi="Times New Roman" w:cs="Times New Roman"/>
                      </w:rPr>
                    </w:pPr>
                    <w:r>
                      <w:rPr>
                        <w:rFonts w:ascii="Times New Roman" w:hAnsi="Times New Roman" w:cs="Times New Roman"/>
                        <w:sz w:val="18"/>
                      </w:rPr>
                      <w:fldChar w:fldCharType="begin"/>
                    </w:r>
                    <w:r>
                      <w:rPr>
                        <w:rFonts w:ascii="Times New Roman" w:hAnsi="Times New Roman" w:cs="Times New Roman"/>
                        <w:sz w:val="18"/>
                      </w:rPr>
                      <w:instrText xml:space="preserve"> PAGE </w:instrText>
                    </w:r>
                    <w:r>
                      <w:rPr>
                        <w:rFonts w:ascii="Times New Roman" w:hAnsi="Times New Roman" w:cs="Times New Roman"/>
                        <w:sz w:val="18"/>
                      </w:rPr>
                      <w:fldChar w:fldCharType="separate"/>
                    </w:r>
                    <w:r>
                      <w:rPr>
                        <w:rFonts w:ascii="Times New Roman" w:hAnsi="Times New Roman" w:cs="Times New Roman"/>
                        <w:sz w:val="18"/>
                      </w:rPr>
                      <w:t>- 115 -</w:t>
                    </w:r>
                    <w:r>
                      <w:rPr>
                        <w:rFonts w:ascii="Times New Roman" w:hAnsi="Times New Roman" w:cs="Times New Roman"/>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CXXXI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CXXXI</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19B97"/>
    <w:multiLevelType w:val="singleLevel"/>
    <w:tmpl w:val="81119B97"/>
    <w:lvl w:ilvl="0" w:tentative="0">
      <w:start w:val="3"/>
      <w:numFmt w:val="decimal"/>
      <w:suff w:val="nothing"/>
      <w:lvlText w:val="（%1）"/>
      <w:lvlJc w:val="left"/>
    </w:lvl>
  </w:abstractNum>
  <w:abstractNum w:abstractNumId="1">
    <w:nsid w:val="B3A05C1C"/>
    <w:multiLevelType w:val="singleLevel"/>
    <w:tmpl w:val="B3A05C1C"/>
    <w:lvl w:ilvl="0" w:tentative="0">
      <w:start w:val="2"/>
      <w:numFmt w:val="decimal"/>
      <w:suff w:val="nothing"/>
      <w:lvlText w:val="（%1）"/>
      <w:lvlJc w:val="left"/>
    </w:lvl>
  </w:abstractNum>
  <w:abstractNum w:abstractNumId="2">
    <w:nsid w:val="D4817C52"/>
    <w:multiLevelType w:val="singleLevel"/>
    <w:tmpl w:val="D4817C52"/>
    <w:lvl w:ilvl="0" w:tentative="0">
      <w:start w:val="5"/>
      <w:numFmt w:val="decimal"/>
      <w:suff w:val="nothing"/>
      <w:lvlText w:val="%1、"/>
      <w:lvlJc w:val="left"/>
    </w:lvl>
  </w:abstractNum>
  <w:abstractNum w:abstractNumId="3">
    <w:nsid w:val="0367229E"/>
    <w:multiLevelType w:val="singleLevel"/>
    <w:tmpl w:val="0367229E"/>
    <w:lvl w:ilvl="0" w:tentative="0">
      <w:start w:val="2"/>
      <w:numFmt w:val="decimal"/>
      <w:suff w:val="nothing"/>
      <w:lvlText w:val="（%1）"/>
      <w:lvlJc w:val="left"/>
    </w:lvl>
  </w:abstractNum>
  <w:abstractNum w:abstractNumId="4">
    <w:nsid w:val="44FCA5E9"/>
    <w:multiLevelType w:val="singleLevel"/>
    <w:tmpl w:val="44FCA5E9"/>
    <w:lvl w:ilvl="0" w:tentative="0">
      <w:start w:val="6"/>
      <w:numFmt w:val="decimal"/>
      <w:suff w:val="nothing"/>
      <w:lvlText w:val="（%1）"/>
      <w:lvlJc w:val="left"/>
    </w:lvl>
  </w:abstractNum>
  <w:abstractNum w:abstractNumId="5">
    <w:nsid w:val="5E57269B"/>
    <w:multiLevelType w:val="multilevel"/>
    <w:tmpl w:val="5E57269B"/>
    <w:lvl w:ilvl="0" w:tentative="0">
      <w:start w:val="1"/>
      <w:numFmt w:val="decimal"/>
      <w:pStyle w:val="2"/>
      <w:lvlText w:val="第%1章"/>
      <w:lvlJc w:val="left"/>
      <w:pPr>
        <w:ind w:left="3403" w:firstLine="0"/>
      </w:pPr>
      <w:rPr>
        <w:rFonts w:ascii="Times New Roman" w:hAnsi="Times New Roman" w:cs="微软雅黑"/>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pStyle w:val="4"/>
      <w:lvlText w:val="%1.%2"/>
      <w:lvlJc w:val="left"/>
      <w:pPr>
        <w:ind w:left="0" w:firstLine="0"/>
      </w:pPr>
      <w:rPr>
        <w:rFonts w:hint="eastAsia"/>
      </w:rPr>
    </w:lvl>
    <w:lvl w:ilvl="2" w:tentative="0">
      <w:start w:val="1"/>
      <w:numFmt w:val="decimal"/>
      <w:pStyle w:val="5"/>
      <w:lvlText w:val="%1.%2.%3"/>
      <w:lvlJc w:val="left"/>
      <w:pPr>
        <w:ind w:left="993" w:firstLine="0"/>
      </w:pPr>
      <w:rPr>
        <w:rFonts w:ascii="Times New Roman" w:hAnsi="Times New Roman" w:cs="微软雅黑"/>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6"/>
      <w:lvlText w:val="%1.%2.%3.%4"/>
      <w:lvlJc w:val="left"/>
      <w:pPr>
        <w:ind w:left="2412" w:hanging="568"/>
      </w:pPr>
      <w:rPr>
        <w:rFonts w:hint="eastAsia"/>
        <w:lang w:eastAsia="zh-CN"/>
      </w:rPr>
    </w:lvl>
    <w:lvl w:ilvl="4" w:tentative="0">
      <w:start w:val="1"/>
      <w:numFmt w:val="decimal"/>
      <w:pStyle w:val="7"/>
      <w:lvlText w:val="%1.%2.%3.%4.%5"/>
      <w:lvlJc w:val="left"/>
      <w:pPr>
        <w:ind w:left="0" w:firstLine="0"/>
      </w:pPr>
      <w:rPr>
        <w:rFonts w:hint="eastAsia" w:ascii="Times New Roman" w:hAnsi="Times New Roman" w:cs="微软雅黑"/>
        <w:b w:val="0"/>
        <w:bCs w:val="0"/>
        <w:i w:val="0"/>
        <w:iCs w:val="0"/>
        <w:caps w:val="0"/>
        <w:smallCaps w:val="0"/>
        <w:strike w:val="0"/>
        <w:dstrike w:val="0"/>
        <w:vanish w:val="0"/>
        <w:color w:val="000000"/>
        <w:spacing w:val="0"/>
        <w:position w:val="0"/>
        <w:u w:val="none"/>
        <w:vertAlign w:val="baseline"/>
      </w:rPr>
    </w:lvl>
    <w:lvl w:ilvl="5" w:tentative="0">
      <w:start w:val="1"/>
      <w:numFmt w:val="decimal"/>
      <w:lvlRestart w:val="2"/>
      <w:lvlText w:val="表%1.%2-%6"/>
      <w:lvlJc w:val="left"/>
      <w:pPr>
        <w:ind w:left="1702" w:firstLine="0"/>
      </w:pPr>
      <w:rPr>
        <w:rFonts w:ascii="Times New Roman" w:hAnsi="Times New Roman" w:cs="微软雅黑"/>
        <w:b w:val="0"/>
        <w:bCs w:val="0"/>
        <w:i w:val="0"/>
        <w:iCs w:val="0"/>
        <w:caps w:val="0"/>
        <w:smallCaps w:val="0"/>
        <w:strike w:val="0"/>
        <w:dstrike w:val="0"/>
        <w:outline w:val="0"/>
        <w:shadow w:val="0"/>
        <w:emboss w:val="0"/>
        <w:imprint w:val="0"/>
        <w:vanish w:val="0"/>
        <w:spacing w:val="0"/>
        <w:position w:val="0"/>
        <w:u w:val="none"/>
        <w:vertAlign w:val="baseline"/>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ascii="Times New Roman" w:hAnsi="Times New Roman" w:cs="微软雅黑"/>
        <w:b w:val="0"/>
        <w:bCs w:val="0"/>
        <w:i w:val="0"/>
        <w:iCs w:val="0"/>
        <w:caps w:val="0"/>
        <w:smallCaps w:val="0"/>
        <w:strike w:val="0"/>
        <w:dstrike w:val="0"/>
        <w:vanish w:val="0"/>
        <w:color w:val="000000"/>
        <w:spacing w:val="0"/>
        <w:position w:val="0"/>
        <w:u w:val="none"/>
        <w:vertAlign w:val="baseline"/>
      </w:rPr>
    </w:lvl>
    <w:lvl w:ilvl="8" w:tentative="0">
      <w:start w:val="1"/>
      <w:numFmt w:val="decimal"/>
      <w:lvlText w:val="%1.%2.%3.%4.%5.%6.%7.%8.%9"/>
      <w:lvlJc w:val="left"/>
      <w:pPr>
        <w:ind w:left="0" w:firstLine="0"/>
      </w:pPr>
      <w:rPr>
        <w:rFonts w:hint="eastAsia"/>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Y2IxY2U3NzVjM2I5YTZkNWI5MmM0OGU0MjY1YmIifQ=="/>
    <w:docVar w:name="KSO_WPS_MARK_KEY" w:val="1cc2042c-e2c8-4c16-99b9-ce087471821d"/>
  </w:docVars>
  <w:rsids>
    <w:rsidRoot w:val="00172A27"/>
    <w:rsid w:val="001823FC"/>
    <w:rsid w:val="007E3E1D"/>
    <w:rsid w:val="008B2419"/>
    <w:rsid w:val="00A120E7"/>
    <w:rsid w:val="00D434B4"/>
    <w:rsid w:val="01AF6873"/>
    <w:rsid w:val="01CD2CBF"/>
    <w:rsid w:val="01D04AC5"/>
    <w:rsid w:val="01D9350D"/>
    <w:rsid w:val="025E123E"/>
    <w:rsid w:val="02752723"/>
    <w:rsid w:val="02A37B43"/>
    <w:rsid w:val="02D14471"/>
    <w:rsid w:val="030D5083"/>
    <w:rsid w:val="033A48D3"/>
    <w:rsid w:val="036E32CF"/>
    <w:rsid w:val="03EE58A2"/>
    <w:rsid w:val="042C2CB4"/>
    <w:rsid w:val="04750E69"/>
    <w:rsid w:val="04C66A47"/>
    <w:rsid w:val="04C85D20"/>
    <w:rsid w:val="050226BA"/>
    <w:rsid w:val="05300CC7"/>
    <w:rsid w:val="053640A8"/>
    <w:rsid w:val="05776D80"/>
    <w:rsid w:val="05A951CD"/>
    <w:rsid w:val="05D745AE"/>
    <w:rsid w:val="060F2C30"/>
    <w:rsid w:val="061236DD"/>
    <w:rsid w:val="06724751"/>
    <w:rsid w:val="06812F28"/>
    <w:rsid w:val="06C1734E"/>
    <w:rsid w:val="06E563D4"/>
    <w:rsid w:val="07190724"/>
    <w:rsid w:val="075B750D"/>
    <w:rsid w:val="076F0D82"/>
    <w:rsid w:val="07961931"/>
    <w:rsid w:val="079E6670"/>
    <w:rsid w:val="07CB7F71"/>
    <w:rsid w:val="07EE2B3E"/>
    <w:rsid w:val="0864729B"/>
    <w:rsid w:val="088F1D51"/>
    <w:rsid w:val="08CE6EF9"/>
    <w:rsid w:val="08DF3876"/>
    <w:rsid w:val="08E40363"/>
    <w:rsid w:val="08E67C79"/>
    <w:rsid w:val="09153279"/>
    <w:rsid w:val="094B26B8"/>
    <w:rsid w:val="096400FB"/>
    <w:rsid w:val="09701933"/>
    <w:rsid w:val="09834F8B"/>
    <w:rsid w:val="09F4745D"/>
    <w:rsid w:val="0A1E1649"/>
    <w:rsid w:val="0AA76CB8"/>
    <w:rsid w:val="0AD1060E"/>
    <w:rsid w:val="0ADE77DC"/>
    <w:rsid w:val="0B180FF8"/>
    <w:rsid w:val="0B2340D9"/>
    <w:rsid w:val="0B4C7F16"/>
    <w:rsid w:val="0B905C9C"/>
    <w:rsid w:val="0BD1104E"/>
    <w:rsid w:val="0BEE3510"/>
    <w:rsid w:val="0BF43F15"/>
    <w:rsid w:val="0C0A2EB7"/>
    <w:rsid w:val="0CAC4291"/>
    <w:rsid w:val="0D595426"/>
    <w:rsid w:val="0DCC7CC2"/>
    <w:rsid w:val="0DD352B9"/>
    <w:rsid w:val="0DD555BE"/>
    <w:rsid w:val="0E554B59"/>
    <w:rsid w:val="0E5E27D7"/>
    <w:rsid w:val="0E644182"/>
    <w:rsid w:val="0E7A375A"/>
    <w:rsid w:val="0EFB4C1A"/>
    <w:rsid w:val="0F4C2329"/>
    <w:rsid w:val="0F815073"/>
    <w:rsid w:val="10065888"/>
    <w:rsid w:val="1007372E"/>
    <w:rsid w:val="100D2BE2"/>
    <w:rsid w:val="102368B0"/>
    <w:rsid w:val="103B6567"/>
    <w:rsid w:val="10482049"/>
    <w:rsid w:val="10601BF6"/>
    <w:rsid w:val="10EA1B61"/>
    <w:rsid w:val="11162194"/>
    <w:rsid w:val="111C2920"/>
    <w:rsid w:val="11493CCA"/>
    <w:rsid w:val="117A6F05"/>
    <w:rsid w:val="11A14C39"/>
    <w:rsid w:val="11AE63F1"/>
    <w:rsid w:val="11FE4D3E"/>
    <w:rsid w:val="1232098B"/>
    <w:rsid w:val="125372AC"/>
    <w:rsid w:val="12955D2B"/>
    <w:rsid w:val="12BA5C61"/>
    <w:rsid w:val="12D52F2F"/>
    <w:rsid w:val="12D937E4"/>
    <w:rsid w:val="13012E71"/>
    <w:rsid w:val="13503CE2"/>
    <w:rsid w:val="136F14A7"/>
    <w:rsid w:val="13CF1072"/>
    <w:rsid w:val="13DE4AB3"/>
    <w:rsid w:val="142C6182"/>
    <w:rsid w:val="14954BCB"/>
    <w:rsid w:val="14D0046A"/>
    <w:rsid w:val="14DB01E5"/>
    <w:rsid w:val="154817A1"/>
    <w:rsid w:val="15BC60DC"/>
    <w:rsid w:val="165E45AD"/>
    <w:rsid w:val="16650144"/>
    <w:rsid w:val="16C216FE"/>
    <w:rsid w:val="16C847F7"/>
    <w:rsid w:val="16D433AF"/>
    <w:rsid w:val="16DB0337"/>
    <w:rsid w:val="16FA168A"/>
    <w:rsid w:val="17030424"/>
    <w:rsid w:val="171D2541"/>
    <w:rsid w:val="17525C21"/>
    <w:rsid w:val="1764474B"/>
    <w:rsid w:val="17970249"/>
    <w:rsid w:val="17B25BF4"/>
    <w:rsid w:val="17DB7F05"/>
    <w:rsid w:val="17E413DC"/>
    <w:rsid w:val="18560418"/>
    <w:rsid w:val="187D31B4"/>
    <w:rsid w:val="188D1219"/>
    <w:rsid w:val="18CA4A4A"/>
    <w:rsid w:val="18DC5748"/>
    <w:rsid w:val="18E108CD"/>
    <w:rsid w:val="18EA7B15"/>
    <w:rsid w:val="19057D20"/>
    <w:rsid w:val="192A1541"/>
    <w:rsid w:val="198659C7"/>
    <w:rsid w:val="1A2F15D4"/>
    <w:rsid w:val="1A6A5203"/>
    <w:rsid w:val="1AA01E0D"/>
    <w:rsid w:val="1ABD59FF"/>
    <w:rsid w:val="1AF42465"/>
    <w:rsid w:val="1AF81172"/>
    <w:rsid w:val="1B146E6B"/>
    <w:rsid w:val="1B2077C0"/>
    <w:rsid w:val="1B485E96"/>
    <w:rsid w:val="1B7A3C4B"/>
    <w:rsid w:val="1BBA3147"/>
    <w:rsid w:val="1BD02901"/>
    <w:rsid w:val="1BF356A9"/>
    <w:rsid w:val="1C1E2A44"/>
    <w:rsid w:val="1C1E63B7"/>
    <w:rsid w:val="1C291DBF"/>
    <w:rsid w:val="1C563E90"/>
    <w:rsid w:val="1C6834A0"/>
    <w:rsid w:val="1C6C723A"/>
    <w:rsid w:val="1CC22935"/>
    <w:rsid w:val="1CE95793"/>
    <w:rsid w:val="1D42004A"/>
    <w:rsid w:val="1D7845E1"/>
    <w:rsid w:val="1D954480"/>
    <w:rsid w:val="1DC16188"/>
    <w:rsid w:val="1DD067CA"/>
    <w:rsid w:val="1DE13893"/>
    <w:rsid w:val="1DE90BE6"/>
    <w:rsid w:val="1DF3329B"/>
    <w:rsid w:val="1E007A31"/>
    <w:rsid w:val="1E6D4FC2"/>
    <w:rsid w:val="1EA4350D"/>
    <w:rsid w:val="1EDC110F"/>
    <w:rsid w:val="1F125843"/>
    <w:rsid w:val="1F1B42AE"/>
    <w:rsid w:val="1F51203E"/>
    <w:rsid w:val="1F6346BF"/>
    <w:rsid w:val="1F6C6DC6"/>
    <w:rsid w:val="1FC411AC"/>
    <w:rsid w:val="1FE74C85"/>
    <w:rsid w:val="20243CA9"/>
    <w:rsid w:val="2030056C"/>
    <w:rsid w:val="203D7F1D"/>
    <w:rsid w:val="206B3CD6"/>
    <w:rsid w:val="20D602C3"/>
    <w:rsid w:val="20D738FE"/>
    <w:rsid w:val="20F60749"/>
    <w:rsid w:val="2140777C"/>
    <w:rsid w:val="215C3318"/>
    <w:rsid w:val="21B40334"/>
    <w:rsid w:val="21D05274"/>
    <w:rsid w:val="21DB1110"/>
    <w:rsid w:val="21F735EA"/>
    <w:rsid w:val="220D34B9"/>
    <w:rsid w:val="221761ED"/>
    <w:rsid w:val="223E7905"/>
    <w:rsid w:val="228C68E2"/>
    <w:rsid w:val="2291450F"/>
    <w:rsid w:val="23987FA1"/>
    <w:rsid w:val="23CF2E3F"/>
    <w:rsid w:val="23D2145A"/>
    <w:rsid w:val="24104E4F"/>
    <w:rsid w:val="243F5731"/>
    <w:rsid w:val="245F1427"/>
    <w:rsid w:val="24DC7A91"/>
    <w:rsid w:val="250F2D0E"/>
    <w:rsid w:val="254001E2"/>
    <w:rsid w:val="25AD512A"/>
    <w:rsid w:val="25BE6D45"/>
    <w:rsid w:val="25CA789B"/>
    <w:rsid w:val="265B5F54"/>
    <w:rsid w:val="26A844EA"/>
    <w:rsid w:val="26BF776F"/>
    <w:rsid w:val="26F5703B"/>
    <w:rsid w:val="2703050C"/>
    <w:rsid w:val="271666AB"/>
    <w:rsid w:val="278643B9"/>
    <w:rsid w:val="279C0963"/>
    <w:rsid w:val="2829199F"/>
    <w:rsid w:val="2831158A"/>
    <w:rsid w:val="287C5001"/>
    <w:rsid w:val="287C5DB5"/>
    <w:rsid w:val="289473C1"/>
    <w:rsid w:val="28DC1720"/>
    <w:rsid w:val="290C05A3"/>
    <w:rsid w:val="29511868"/>
    <w:rsid w:val="29EC4535"/>
    <w:rsid w:val="2A135A72"/>
    <w:rsid w:val="2A1B68EA"/>
    <w:rsid w:val="2A230D2A"/>
    <w:rsid w:val="2A457DEB"/>
    <w:rsid w:val="2A4F6912"/>
    <w:rsid w:val="2A8C1662"/>
    <w:rsid w:val="2ABC76AB"/>
    <w:rsid w:val="2AE87580"/>
    <w:rsid w:val="2AED4F9D"/>
    <w:rsid w:val="2B136EF0"/>
    <w:rsid w:val="2B206D31"/>
    <w:rsid w:val="2B4B38A0"/>
    <w:rsid w:val="2B9A240F"/>
    <w:rsid w:val="2BA845C5"/>
    <w:rsid w:val="2BDE2A66"/>
    <w:rsid w:val="2C511046"/>
    <w:rsid w:val="2D0F4E22"/>
    <w:rsid w:val="2D2C1363"/>
    <w:rsid w:val="2D73049C"/>
    <w:rsid w:val="2D8D3B4D"/>
    <w:rsid w:val="2D9C7EA5"/>
    <w:rsid w:val="2DA0556D"/>
    <w:rsid w:val="2DB76971"/>
    <w:rsid w:val="2E383250"/>
    <w:rsid w:val="2E4725FD"/>
    <w:rsid w:val="2E5371A6"/>
    <w:rsid w:val="2E5E546B"/>
    <w:rsid w:val="2E9E2484"/>
    <w:rsid w:val="2EAD4D53"/>
    <w:rsid w:val="2EE709BA"/>
    <w:rsid w:val="2F2C4582"/>
    <w:rsid w:val="2F3948A3"/>
    <w:rsid w:val="2F5B4208"/>
    <w:rsid w:val="2F677A32"/>
    <w:rsid w:val="2F826420"/>
    <w:rsid w:val="2FAA4A14"/>
    <w:rsid w:val="2FC13FAE"/>
    <w:rsid w:val="30026E5B"/>
    <w:rsid w:val="30237751"/>
    <w:rsid w:val="302A5ADA"/>
    <w:rsid w:val="302B4749"/>
    <w:rsid w:val="305942A6"/>
    <w:rsid w:val="305C1E42"/>
    <w:rsid w:val="306B7335"/>
    <w:rsid w:val="306F2BFA"/>
    <w:rsid w:val="307D2391"/>
    <w:rsid w:val="30A32A62"/>
    <w:rsid w:val="30D55F56"/>
    <w:rsid w:val="31462C31"/>
    <w:rsid w:val="316516F6"/>
    <w:rsid w:val="31841C4D"/>
    <w:rsid w:val="319560C3"/>
    <w:rsid w:val="31BD2692"/>
    <w:rsid w:val="321E5310"/>
    <w:rsid w:val="323111DB"/>
    <w:rsid w:val="32CD3C18"/>
    <w:rsid w:val="32EB62F7"/>
    <w:rsid w:val="3331003E"/>
    <w:rsid w:val="33537E1B"/>
    <w:rsid w:val="345630CE"/>
    <w:rsid w:val="34730506"/>
    <w:rsid w:val="349C064D"/>
    <w:rsid w:val="35463704"/>
    <w:rsid w:val="364C142B"/>
    <w:rsid w:val="36641FCE"/>
    <w:rsid w:val="36B15E45"/>
    <w:rsid w:val="37066B4A"/>
    <w:rsid w:val="3709347D"/>
    <w:rsid w:val="3745165D"/>
    <w:rsid w:val="37945281"/>
    <w:rsid w:val="379A7B43"/>
    <w:rsid w:val="37CC40B9"/>
    <w:rsid w:val="37F11F3A"/>
    <w:rsid w:val="38933F85"/>
    <w:rsid w:val="38DA260F"/>
    <w:rsid w:val="38FE6B1F"/>
    <w:rsid w:val="39393405"/>
    <w:rsid w:val="394E4B96"/>
    <w:rsid w:val="39747BF0"/>
    <w:rsid w:val="39986033"/>
    <w:rsid w:val="39C71D4D"/>
    <w:rsid w:val="39D40F4C"/>
    <w:rsid w:val="39FF31D0"/>
    <w:rsid w:val="3A375EEB"/>
    <w:rsid w:val="3A3E6FE5"/>
    <w:rsid w:val="3A666BE9"/>
    <w:rsid w:val="3A7B2D17"/>
    <w:rsid w:val="3ABB7044"/>
    <w:rsid w:val="3AFA32D7"/>
    <w:rsid w:val="3B0A35E3"/>
    <w:rsid w:val="3B5434B0"/>
    <w:rsid w:val="3B767C43"/>
    <w:rsid w:val="3BF10A1F"/>
    <w:rsid w:val="3C9B404B"/>
    <w:rsid w:val="3D0B56FF"/>
    <w:rsid w:val="3D881D95"/>
    <w:rsid w:val="3D9D6415"/>
    <w:rsid w:val="3DB101A1"/>
    <w:rsid w:val="3DB37DD0"/>
    <w:rsid w:val="3E180BD7"/>
    <w:rsid w:val="3E6631C9"/>
    <w:rsid w:val="3E7E465C"/>
    <w:rsid w:val="3E886EE4"/>
    <w:rsid w:val="3E8B4813"/>
    <w:rsid w:val="3F075485"/>
    <w:rsid w:val="3F177078"/>
    <w:rsid w:val="3F247094"/>
    <w:rsid w:val="3F2F6321"/>
    <w:rsid w:val="3F8A2170"/>
    <w:rsid w:val="3FB95F88"/>
    <w:rsid w:val="3FDE1B19"/>
    <w:rsid w:val="40140AE5"/>
    <w:rsid w:val="402552C2"/>
    <w:rsid w:val="4062487D"/>
    <w:rsid w:val="40CD16AB"/>
    <w:rsid w:val="40F4772E"/>
    <w:rsid w:val="410745CF"/>
    <w:rsid w:val="41483599"/>
    <w:rsid w:val="41803039"/>
    <w:rsid w:val="41F37CC5"/>
    <w:rsid w:val="42185538"/>
    <w:rsid w:val="42244BF9"/>
    <w:rsid w:val="4242698E"/>
    <w:rsid w:val="42741955"/>
    <w:rsid w:val="42833074"/>
    <w:rsid w:val="42FC3995"/>
    <w:rsid w:val="43047A44"/>
    <w:rsid w:val="43225D3E"/>
    <w:rsid w:val="432752AF"/>
    <w:rsid w:val="43551B86"/>
    <w:rsid w:val="43586924"/>
    <w:rsid w:val="438C7372"/>
    <w:rsid w:val="43B2463B"/>
    <w:rsid w:val="440868BB"/>
    <w:rsid w:val="443664CB"/>
    <w:rsid w:val="448F41D3"/>
    <w:rsid w:val="44AF47B8"/>
    <w:rsid w:val="44FC7149"/>
    <w:rsid w:val="45765F82"/>
    <w:rsid w:val="4592308A"/>
    <w:rsid w:val="45C47A64"/>
    <w:rsid w:val="463169B4"/>
    <w:rsid w:val="464356EE"/>
    <w:rsid w:val="46564A77"/>
    <w:rsid w:val="46752328"/>
    <w:rsid w:val="46B013FB"/>
    <w:rsid w:val="46E93AE0"/>
    <w:rsid w:val="47301B15"/>
    <w:rsid w:val="47511BE2"/>
    <w:rsid w:val="47575C2E"/>
    <w:rsid w:val="479261F7"/>
    <w:rsid w:val="47A45C31"/>
    <w:rsid w:val="484764A5"/>
    <w:rsid w:val="4894211A"/>
    <w:rsid w:val="48973CC2"/>
    <w:rsid w:val="489C1145"/>
    <w:rsid w:val="48C43E73"/>
    <w:rsid w:val="48DB3F7E"/>
    <w:rsid w:val="48DE22CC"/>
    <w:rsid w:val="49064D53"/>
    <w:rsid w:val="49AC4D2E"/>
    <w:rsid w:val="4A0929F1"/>
    <w:rsid w:val="4A341F3F"/>
    <w:rsid w:val="4A3A3BD4"/>
    <w:rsid w:val="4A6757A3"/>
    <w:rsid w:val="4A8477F5"/>
    <w:rsid w:val="4AD76C1B"/>
    <w:rsid w:val="4AE20424"/>
    <w:rsid w:val="4B0169C2"/>
    <w:rsid w:val="4B4F0023"/>
    <w:rsid w:val="4B7F6A08"/>
    <w:rsid w:val="4B8035C0"/>
    <w:rsid w:val="4BA250A1"/>
    <w:rsid w:val="4C3B2F66"/>
    <w:rsid w:val="4C5D36F2"/>
    <w:rsid w:val="4C8B3A62"/>
    <w:rsid w:val="4CD57E11"/>
    <w:rsid w:val="4DA07CE4"/>
    <w:rsid w:val="4DCE1894"/>
    <w:rsid w:val="4DDF5E98"/>
    <w:rsid w:val="4DEC3487"/>
    <w:rsid w:val="4E3D770D"/>
    <w:rsid w:val="4E700581"/>
    <w:rsid w:val="4E96007F"/>
    <w:rsid w:val="4ECF2A9D"/>
    <w:rsid w:val="4EEE60FE"/>
    <w:rsid w:val="4F127DB5"/>
    <w:rsid w:val="4F8F169D"/>
    <w:rsid w:val="4FED30CC"/>
    <w:rsid w:val="4FF649A1"/>
    <w:rsid w:val="4FF93126"/>
    <w:rsid w:val="504424D9"/>
    <w:rsid w:val="504C5F8C"/>
    <w:rsid w:val="5075178B"/>
    <w:rsid w:val="50FB03B7"/>
    <w:rsid w:val="516769C6"/>
    <w:rsid w:val="51783784"/>
    <w:rsid w:val="51952069"/>
    <w:rsid w:val="51E15912"/>
    <w:rsid w:val="51EC6D0A"/>
    <w:rsid w:val="51ED30FC"/>
    <w:rsid w:val="524B7762"/>
    <w:rsid w:val="527A73D9"/>
    <w:rsid w:val="5288055B"/>
    <w:rsid w:val="52A819AA"/>
    <w:rsid w:val="52AA1E80"/>
    <w:rsid w:val="53243C31"/>
    <w:rsid w:val="5336592A"/>
    <w:rsid w:val="533C36C0"/>
    <w:rsid w:val="53C42DCF"/>
    <w:rsid w:val="53C70F05"/>
    <w:rsid w:val="543F2A1D"/>
    <w:rsid w:val="545C775A"/>
    <w:rsid w:val="5460574C"/>
    <w:rsid w:val="54734428"/>
    <w:rsid w:val="54A01D5E"/>
    <w:rsid w:val="54B70CED"/>
    <w:rsid w:val="54B75648"/>
    <w:rsid w:val="550A65FC"/>
    <w:rsid w:val="551B18DF"/>
    <w:rsid w:val="556A4A46"/>
    <w:rsid w:val="558A7053"/>
    <w:rsid w:val="55BD4EDD"/>
    <w:rsid w:val="563260BF"/>
    <w:rsid w:val="56814F62"/>
    <w:rsid w:val="569F3722"/>
    <w:rsid w:val="56BE75BD"/>
    <w:rsid w:val="56FC2323"/>
    <w:rsid w:val="57651D2E"/>
    <w:rsid w:val="576F173F"/>
    <w:rsid w:val="57E45D63"/>
    <w:rsid w:val="581F2B85"/>
    <w:rsid w:val="586472EE"/>
    <w:rsid w:val="58723D98"/>
    <w:rsid w:val="58E771BA"/>
    <w:rsid w:val="58F42BB2"/>
    <w:rsid w:val="599B0063"/>
    <w:rsid w:val="5A335824"/>
    <w:rsid w:val="5A776526"/>
    <w:rsid w:val="5A941427"/>
    <w:rsid w:val="5B1A3CF9"/>
    <w:rsid w:val="5B2C1316"/>
    <w:rsid w:val="5B660EF6"/>
    <w:rsid w:val="5B941EF6"/>
    <w:rsid w:val="5BA30DF7"/>
    <w:rsid w:val="5BA536C6"/>
    <w:rsid w:val="5BC07165"/>
    <w:rsid w:val="5C247B07"/>
    <w:rsid w:val="5C5B72EB"/>
    <w:rsid w:val="5C995266"/>
    <w:rsid w:val="5CDF3B68"/>
    <w:rsid w:val="5D005B9E"/>
    <w:rsid w:val="5D056277"/>
    <w:rsid w:val="5D220B72"/>
    <w:rsid w:val="5DFC2F44"/>
    <w:rsid w:val="5E116FA7"/>
    <w:rsid w:val="5E40372E"/>
    <w:rsid w:val="5E7745FE"/>
    <w:rsid w:val="5EDD7DC2"/>
    <w:rsid w:val="5EF70C33"/>
    <w:rsid w:val="5EFE7CC7"/>
    <w:rsid w:val="5EFF0DEB"/>
    <w:rsid w:val="5F9F4857"/>
    <w:rsid w:val="60593BCB"/>
    <w:rsid w:val="60727D23"/>
    <w:rsid w:val="607E3F86"/>
    <w:rsid w:val="609825E1"/>
    <w:rsid w:val="60F86606"/>
    <w:rsid w:val="61221ED6"/>
    <w:rsid w:val="614606C5"/>
    <w:rsid w:val="614A625F"/>
    <w:rsid w:val="61520908"/>
    <w:rsid w:val="61A84A37"/>
    <w:rsid w:val="61CB4284"/>
    <w:rsid w:val="61D447A3"/>
    <w:rsid w:val="61E664C3"/>
    <w:rsid w:val="6214093B"/>
    <w:rsid w:val="621E0FB3"/>
    <w:rsid w:val="621E484E"/>
    <w:rsid w:val="624271F9"/>
    <w:rsid w:val="62A0179E"/>
    <w:rsid w:val="62F333B0"/>
    <w:rsid w:val="63572AF3"/>
    <w:rsid w:val="636A532C"/>
    <w:rsid w:val="637C7B90"/>
    <w:rsid w:val="63B25B86"/>
    <w:rsid w:val="63CD0D2F"/>
    <w:rsid w:val="63EB29B0"/>
    <w:rsid w:val="6416318D"/>
    <w:rsid w:val="64261E64"/>
    <w:rsid w:val="642E2879"/>
    <w:rsid w:val="64465099"/>
    <w:rsid w:val="6464016A"/>
    <w:rsid w:val="64676994"/>
    <w:rsid w:val="646F3826"/>
    <w:rsid w:val="6499245D"/>
    <w:rsid w:val="64DF6941"/>
    <w:rsid w:val="64EA7F04"/>
    <w:rsid w:val="65041F18"/>
    <w:rsid w:val="65382DC7"/>
    <w:rsid w:val="655E06B7"/>
    <w:rsid w:val="65772F83"/>
    <w:rsid w:val="65916C2F"/>
    <w:rsid w:val="65A02653"/>
    <w:rsid w:val="65D06F05"/>
    <w:rsid w:val="66265F18"/>
    <w:rsid w:val="663B4711"/>
    <w:rsid w:val="665749DF"/>
    <w:rsid w:val="66725EBD"/>
    <w:rsid w:val="66861AB1"/>
    <w:rsid w:val="66BC5B67"/>
    <w:rsid w:val="6779246F"/>
    <w:rsid w:val="67AF653C"/>
    <w:rsid w:val="67EF0198"/>
    <w:rsid w:val="683B42DA"/>
    <w:rsid w:val="686327D9"/>
    <w:rsid w:val="68CC69F0"/>
    <w:rsid w:val="692026C3"/>
    <w:rsid w:val="695772F9"/>
    <w:rsid w:val="695B7001"/>
    <w:rsid w:val="697566D1"/>
    <w:rsid w:val="698165E0"/>
    <w:rsid w:val="69992C30"/>
    <w:rsid w:val="69A95A6F"/>
    <w:rsid w:val="69BA1F0C"/>
    <w:rsid w:val="69F059C7"/>
    <w:rsid w:val="6A473777"/>
    <w:rsid w:val="6A9C24E2"/>
    <w:rsid w:val="6B25235C"/>
    <w:rsid w:val="6B28044A"/>
    <w:rsid w:val="6B3E470F"/>
    <w:rsid w:val="6B474440"/>
    <w:rsid w:val="6BBD267E"/>
    <w:rsid w:val="6C2F7929"/>
    <w:rsid w:val="6C3224AF"/>
    <w:rsid w:val="6C3F31BB"/>
    <w:rsid w:val="6CA82329"/>
    <w:rsid w:val="6D0E3151"/>
    <w:rsid w:val="6D49253D"/>
    <w:rsid w:val="6D6D513C"/>
    <w:rsid w:val="6DA57D61"/>
    <w:rsid w:val="6DF120F3"/>
    <w:rsid w:val="6DFF6D38"/>
    <w:rsid w:val="6E0E5F10"/>
    <w:rsid w:val="6E104B56"/>
    <w:rsid w:val="6E77454D"/>
    <w:rsid w:val="6E8A7BB2"/>
    <w:rsid w:val="6EF83A6D"/>
    <w:rsid w:val="6F307C0A"/>
    <w:rsid w:val="6F3D3189"/>
    <w:rsid w:val="6F4157E9"/>
    <w:rsid w:val="6F6142CA"/>
    <w:rsid w:val="6F750DA0"/>
    <w:rsid w:val="6FC67F0A"/>
    <w:rsid w:val="706255D1"/>
    <w:rsid w:val="70E23776"/>
    <w:rsid w:val="70EF08DC"/>
    <w:rsid w:val="70FC1DCB"/>
    <w:rsid w:val="712A614F"/>
    <w:rsid w:val="71C70375"/>
    <w:rsid w:val="71C91732"/>
    <w:rsid w:val="71EC04F2"/>
    <w:rsid w:val="71F75B96"/>
    <w:rsid w:val="7208655D"/>
    <w:rsid w:val="723812B5"/>
    <w:rsid w:val="724D78A2"/>
    <w:rsid w:val="725114CF"/>
    <w:rsid w:val="727F4F7B"/>
    <w:rsid w:val="72A46534"/>
    <w:rsid w:val="72B953F9"/>
    <w:rsid w:val="72D373C7"/>
    <w:rsid w:val="72E4714B"/>
    <w:rsid w:val="72F60C37"/>
    <w:rsid w:val="72F66AF1"/>
    <w:rsid w:val="73C05F77"/>
    <w:rsid w:val="73C10D1A"/>
    <w:rsid w:val="73F425FB"/>
    <w:rsid w:val="73FE5EB8"/>
    <w:rsid w:val="744705FC"/>
    <w:rsid w:val="7456674D"/>
    <w:rsid w:val="745D7C7C"/>
    <w:rsid w:val="74C456E0"/>
    <w:rsid w:val="74D011B9"/>
    <w:rsid w:val="75262F3E"/>
    <w:rsid w:val="7555502A"/>
    <w:rsid w:val="75D004D4"/>
    <w:rsid w:val="75D26BA3"/>
    <w:rsid w:val="75FE54C8"/>
    <w:rsid w:val="764B2F2C"/>
    <w:rsid w:val="76772B7B"/>
    <w:rsid w:val="76AC556E"/>
    <w:rsid w:val="76D947EE"/>
    <w:rsid w:val="76E17C86"/>
    <w:rsid w:val="76F45AD0"/>
    <w:rsid w:val="76F505A3"/>
    <w:rsid w:val="772B1196"/>
    <w:rsid w:val="77D27844"/>
    <w:rsid w:val="77DB7CDB"/>
    <w:rsid w:val="77DF2581"/>
    <w:rsid w:val="7816731F"/>
    <w:rsid w:val="787C16FA"/>
    <w:rsid w:val="789B4516"/>
    <w:rsid w:val="78EF503B"/>
    <w:rsid w:val="79200B5C"/>
    <w:rsid w:val="79306DB0"/>
    <w:rsid w:val="793662C8"/>
    <w:rsid w:val="793B029B"/>
    <w:rsid w:val="79714A46"/>
    <w:rsid w:val="797C612E"/>
    <w:rsid w:val="79A84CFE"/>
    <w:rsid w:val="79AE2170"/>
    <w:rsid w:val="79FC2E46"/>
    <w:rsid w:val="79FD3762"/>
    <w:rsid w:val="7A242C4E"/>
    <w:rsid w:val="7A62420A"/>
    <w:rsid w:val="7A8C5AF3"/>
    <w:rsid w:val="7A8E151B"/>
    <w:rsid w:val="7AAA7E21"/>
    <w:rsid w:val="7B1C5368"/>
    <w:rsid w:val="7B61402C"/>
    <w:rsid w:val="7BB83D1E"/>
    <w:rsid w:val="7BC42397"/>
    <w:rsid w:val="7C006DE5"/>
    <w:rsid w:val="7C077568"/>
    <w:rsid w:val="7C4A4589"/>
    <w:rsid w:val="7C526A59"/>
    <w:rsid w:val="7CA20CBA"/>
    <w:rsid w:val="7CB063BC"/>
    <w:rsid w:val="7D397691"/>
    <w:rsid w:val="7D741162"/>
    <w:rsid w:val="7DD10EE7"/>
    <w:rsid w:val="7E2C7F37"/>
    <w:rsid w:val="7E355F79"/>
    <w:rsid w:val="7E7436B8"/>
    <w:rsid w:val="7E7B649C"/>
    <w:rsid w:val="7EA30BA5"/>
    <w:rsid w:val="7EA770E6"/>
    <w:rsid w:val="7F3A70F4"/>
    <w:rsid w:val="7F650D00"/>
    <w:rsid w:val="7F7B1996"/>
    <w:rsid w:val="7FA0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2" w:firstLineChars="200"/>
      <w:jc w:val="both"/>
    </w:pPr>
    <w:rPr>
      <w:rFonts w:ascii="Times New Roman" w:hAnsi="Times New Roman" w:eastAsiaTheme="minorEastAsia" w:cstheme="minorBidi"/>
      <w:kern w:val="2"/>
      <w:sz w:val="24"/>
      <w:szCs w:val="24"/>
      <w:lang w:val="en-US" w:eastAsia="zh-CN" w:bidi="ar-SA"/>
    </w:rPr>
  </w:style>
  <w:style w:type="paragraph" w:styleId="2">
    <w:name w:val="heading 1"/>
    <w:basedOn w:val="3"/>
    <w:next w:val="1"/>
    <w:qFormat/>
    <w:uiPriority w:val="0"/>
    <w:pPr>
      <w:keepNext/>
      <w:keepLines/>
      <w:numPr>
        <w:ilvl w:val="0"/>
        <w:numId w:val="1"/>
      </w:numPr>
      <w:spacing w:beforeLines="0" w:beforeAutospacing="0" w:afterLines="0" w:afterAutospacing="0" w:line="576" w:lineRule="auto"/>
      <w:ind w:left="0" w:firstLineChars="0"/>
      <w:jc w:val="center"/>
      <w:outlineLvl w:val="0"/>
    </w:pPr>
    <w:rPr>
      <w:rFonts w:ascii="Times New Roman" w:hAnsi="Times New Roman" w:eastAsiaTheme="majorEastAsia"/>
      <w:kern w:val="44"/>
    </w:rPr>
  </w:style>
  <w:style w:type="paragraph" w:styleId="4">
    <w:name w:val="heading 2"/>
    <w:basedOn w:val="1"/>
    <w:next w:val="1"/>
    <w:link w:val="26"/>
    <w:unhideWhenUsed/>
    <w:qFormat/>
    <w:uiPriority w:val="0"/>
    <w:pPr>
      <w:keepNext/>
      <w:keepLines/>
      <w:numPr>
        <w:ilvl w:val="1"/>
        <w:numId w:val="1"/>
      </w:numPr>
      <w:spacing w:before="20" w:beforeLines="20" w:beforeAutospacing="0" w:after="20" w:afterLines="20" w:afterAutospacing="0" w:line="360" w:lineRule="auto"/>
      <w:ind w:left="0" w:firstLine="0" w:firstLineChars="0"/>
      <w:jc w:val="left"/>
      <w:outlineLvl w:val="1"/>
    </w:pPr>
    <w:rPr>
      <w:rFonts w:ascii="Times New Roman" w:hAnsi="Times New Roman" w:eastAsia="宋体"/>
      <w:b/>
      <w:sz w:val="30"/>
    </w:rPr>
  </w:style>
  <w:style w:type="paragraph" w:styleId="5">
    <w:name w:val="heading 3"/>
    <w:basedOn w:val="1"/>
    <w:next w:val="1"/>
    <w:link w:val="25"/>
    <w:unhideWhenUsed/>
    <w:qFormat/>
    <w:uiPriority w:val="0"/>
    <w:pPr>
      <w:keepNext/>
      <w:keepLines/>
      <w:numPr>
        <w:ilvl w:val="2"/>
        <w:numId w:val="1"/>
      </w:numPr>
      <w:spacing w:before="20" w:beforeLines="20" w:beforeAutospacing="0" w:after="20" w:afterLines="20" w:afterAutospacing="0" w:line="360" w:lineRule="auto"/>
      <w:ind w:left="0" w:firstLine="0" w:firstLineChars="0"/>
      <w:jc w:val="left"/>
      <w:outlineLvl w:val="2"/>
    </w:pPr>
    <w:rPr>
      <w:rFonts w:ascii="Times New Roman" w:hAnsi="Times New Roman"/>
      <w:b/>
      <w:sz w:val="28"/>
    </w:rPr>
  </w:style>
  <w:style w:type="paragraph" w:styleId="6">
    <w:name w:val="heading 4"/>
    <w:basedOn w:val="1"/>
    <w:next w:val="1"/>
    <w:link w:val="27"/>
    <w:unhideWhenUsed/>
    <w:qFormat/>
    <w:uiPriority w:val="0"/>
    <w:pPr>
      <w:keepNext/>
      <w:keepLines/>
      <w:numPr>
        <w:ilvl w:val="3"/>
        <w:numId w:val="1"/>
      </w:numPr>
      <w:spacing w:beforeLines="0" w:beforeAutospacing="0" w:afterLines="0" w:afterAutospacing="0" w:line="360" w:lineRule="auto"/>
      <w:ind w:left="0" w:firstLine="480" w:firstLineChars="200"/>
      <w:jc w:val="left"/>
      <w:outlineLvl w:val="3"/>
    </w:pPr>
    <w:rPr>
      <w:rFonts w:ascii="Times New Roman" w:hAnsi="Times New Roman" w:eastAsia="宋体"/>
    </w:rPr>
  </w:style>
  <w:style w:type="paragraph" w:styleId="7">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firstLine="0" w:firstLineChars="0"/>
      <w:outlineLvl w:val="4"/>
    </w:pPr>
    <w:rPr>
      <w:b/>
      <w:sz w:val="28"/>
    </w:rPr>
  </w:style>
  <w:style w:type="paragraph" w:styleId="8">
    <w:name w:val="heading 6"/>
    <w:basedOn w:val="1"/>
    <w:next w:val="1"/>
    <w:link w:val="24"/>
    <w:unhideWhenUsed/>
    <w:qFormat/>
    <w:uiPriority w:val="0"/>
    <w:pPr>
      <w:keepNext w:val="0"/>
      <w:keepLines/>
      <w:numPr>
        <w:ilvl w:val="5"/>
        <w:numId w:val="0"/>
      </w:numPr>
      <w:overflowPunct w:val="0"/>
      <w:spacing w:line="240" w:lineRule="auto"/>
      <w:ind w:firstLine="0" w:firstLineChars="0"/>
      <w:jc w:val="center"/>
      <w:textAlignment w:val="baseline"/>
      <w:outlineLvl w:val="5"/>
    </w:pPr>
    <w:rPr>
      <w:kern w:val="20"/>
      <w:sz w:val="21"/>
      <w:szCs w:val="20"/>
    </w:rPr>
  </w:style>
  <w:style w:type="paragraph" w:styleId="9">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11">
    <w:name w:val="caption"/>
    <w:basedOn w:val="1"/>
    <w:next w:val="1"/>
    <w:link w:val="23"/>
    <w:unhideWhenUsed/>
    <w:qFormat/>
    <w:uiPriority w:val="0"/>
    <w:pPr>
      <w:spacing w:before="6" w:after="6" w:line="360" w:lineRule="auto"/>
      <w:ind w:left="120" w:leftChars="50" w:firstLine="0" w:firstLineChars="0"/>
      <w:jc w:val="center"/>
    </w:pPr>
    <w:rPr>
      <w:rFonts w:cs="Times New Roman"/>
      <w:b/>
      <w:kern w:val="24"/>
      <w:sz w:val="21"/>
      <w:szCs w:val="21"/>
    </w:rPr>
  </w:style>
  <w:style w:type="paragraph" w:styleId="12">
    <w:name w:val="annotation text"/>
    <w:basedOn w:val="1"/>
    <w:qFormat/>
    <w:uiPriority w:val="0"/>
    <w:pPr>
      <w:jc w:val="left"/>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qFormat/>
    <w:uiPriority w:val="0"/>
    <w:rPr>
      <w:color w:val="800080"/>
      <w:u w:val="single"/>
    </w:rPr>
  </w:style>
  <w:style w:type="character" w:styleId="21">
    <w:name w:val="Hyperlink"/>
    <w:basedOn w:val="19"/>
    <w:qFormat/>
    <w:uiPriority w:val="0"/>
    <w:rPr>
      <w:color w:val="0000FF"/>
      <w:u w:val="single"/>
    </w:rPr>
  </w:style>
  <w:style w:type="character" w:customStyle="1" w:styleId="22">
    <w:name w:val="标题 6 字符1"/>
    <w:link w:val="8"/>
    <w:qFormat/>
    <w:uiPriority w:val="0"/>
    <w:rPr>
      <w:rFonts w:ascii="Times New Roman" w:hAnsi="Times New Roman" w:eastAsiaTheme="minorEastAsia"/>
      <w:kern w:val="20"/>
      <w:sz w:val="21"/>
      <w:szCs w:val="20"/>
    </w:rPr>
  </w:style>
  <w:style w:type="character" w:customStyle="1" w:styleId="23">
    <w:name w:val="题注 Char"/>
    <w:link w:val="11"/>
    <w:qFormat/>
    <w:uiPriority w:val="0"/>
    <w:rPr>
      <w:rFonts w:ascii="Times New Roman" w:hAnsi="Times New Roman" w:cs="Times New Roman" w:eastAsiaTheme="minorEastAsia"/>
      <w:b/>
      <w:kern w:val="24"/>
      <w:sz w:val="21"/>
      <w:szCs w:val="21"/>
    </w:rPr>
  </w:style>
  <w:style w:type="character" w:customStyle="1" w:styleId="24">
    <w:name w:val="标题 6 Char1"/>
    <w:link w:val="8"/>
    <w:qFormat/>
    <w:uiPriority w:val="0"/>
    <w:rPr>
      <w:rFonts w:ascii="Arial" w:hAnsi="Arial" w:cs="宋体"/>
      <w:b/>
      <w:kern w:val="20"/>
      <w:sz w:val="24"/>
    </w:rPr>
  </w:style>
  <w:style w:type="character" w:customStyle="1" w:styleId="25">
    <w:name w:val="标题 3 Char"/>
    <w:link w:val="5"/>
    <w:qFormat/>
    <w:uiPriority w:val="0"/>
    <w:rPr>
      <w:rFonts w:ascii="Times New Roman" w:hAnsi="Times New Roman" w:eastAsiaTheme="minorEastAsia"/>
      <w:b/>
      <w:sz w:val="28"/>
    </w:rPr>
  </w:style>
  <w:style w:type="character" w:customStyle="1" w:styleId="26">
    <w:name w:val="标题 2 Char"/>
    <w:link w:val="4"/>
    <w:qFormat/>
    <w:uiPriority w:val="0"/>
    <w:rPr>
      <w:rFonts w:ascii="Times New Roman" w:hAnsi="Times New Roman" w:eastAsia="宋体"/>
      <w:b/>
      <w:sz w:val="30"/>
    </w:rPr>
  </w:style>
  <w:style w:type="character" w:customStyle="1" w:styleId="27">
    <w:name w:val="标题 4 Char"/>
    <w:link w:val="6"/>
    <w:qFormat/>
    <w:uiPriority w:val="0"/>
    <w:rPr>
      <w:rFonts w:ascii="Times New Roman" w:hAnsi="Times New Roman" w:eastAsia="宋体"/>
    </w:rPr>
  </w:style>
  <w:style w:type="paragraph" w:customStyle="1" w:styleId="28">
    <w:name w:val="表格"/>
    <w:basedOn w:val="1"/>
    <w:qFormat/>
    <w:uiPriority w:val="0"/>
    <w:pPr>
      <w:jc w:val="center"/>
    </w:pPr>
    <w:rPr>
      <w:rFonts w:ascii="Times New Roman" w:hAnsi="Times New Roman" w:cs="Times New Roman"/>
      <w:kern w:val="2"/>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header" Target="header1.xml"/><Relationship Id="rId49" Type="http://schemas.openxmlformats.org/officeDocument/2006/relationships/image" Target="media/image21.jpeg"/><Relationship Id="rId48" Type="http://schemas.openxmlformats.org/officeDocument/2006/relationships/image" Target="media/image20.jpeg"/><Relationship Id="rId47" Type="http://schemas.openxmlformats.org/officeDocument/2006/relationships/image" Target="media/image19.jpeg"/><Relationship Id="rId46" Type="http://schemas.openxmlformats.org/officeDocument/2006/relationships/image" Target="media/image18.emf"/><Relationship Id="rId45" Type="http://schemas.openxmlformats.org/officeDocument/2006/relationships/oleObject" Target="embeddings/oleObject9.bin"/><Relationship Id="rId44" Type="http://schemas.openxmlformats.org/officeDocument/2006/relationships/image" Target="media/image17.png"/><Relationship Id="rId43" Type="http://schemas.openxmlformats.org/officeDocument/2006/relationships/image" Target="media/image16.wmf"/><Relationship Id="rId42" Type="http://schemas.openxmlformats.org/officeDocument/2006/relationships/oleObject" Target="embeddings/oleObject8.bin"/><Relationship Id="rId41" Type="http://schemas.openxmlformats.org/officeDocument/2006/relationships/image" Target="media/image15.wmf"/><Relationship Id="rId40" Type="http://schemas.openxmlformats.org/officeDocument/2006/relationships/oleObject" Target="embeddings/oleObject7.bin"/><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wmf"/><Relationship Id="rId31" Type="http://schemas.openxmlformats.org/officeDocument/2006/relationships/oleObject" Target="embeddings/oleObject6.bin"/><Relationship Id="rId30" Type="http://schemas.openxmlformats.org/officeDocument/2006/relationships/image" Target="media/image6.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5.emf"/><Relationship Id="rId27" Type="http://schemas.openxmlformats.org/officeDocument/2006/relationships/oleObject" Target="embeddings/oleObject4.bin"/><Relationship Id="rId26" Type="http://schemas.openxmlformats.org/officeDocument/2006/relationships/image" Target="media/image4.emf"/><Relationship Id="rId25" Type="http://schemas.openxmlformats.org/officeDocument/2006/relationships/oleObject" Target="embeddings/oleObject3.bin"/><Relationship Id="rId24" Type="http://schemas.openxmlformats.org/officeDocument/2006/relationships/image" Target="media/image3.emf"/><Relationship Id="rId23" Type="http://schemas.openxmlformats.org/officeDocument/2006/relationships/oleObject" Target="embeddings/oleObject2.bin"/><Relationship Id="rId22" Type="http://schemas.openxmlformats.org/officeDocument/2006/relationships/image" Target="media/image2.wmf"/><Relationship Id="rId21" Type="http://schemas.openxmlformats.org/officeDocument/2006/relationships/oleObject" Target="embeddings/oleObject1.bin"/><Relationship Id="rId20" Type="http://schemas.openxmlformats.org/officeDocument/2006/relationships/image" Target="file:///C:\DOCUME~1\ADMINI~1\LOCALS~1\Temp\ksohtml\wps_clip_image-4427.png" TargetMode="External"/><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58"/>
    <customShpInfo spid="_x0000_s2060"/>
    <customShpInfo spid="_x0000_s2061"/>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150</Pages>
  <Words>97296</Words>
  <Characters>109886</Characters>
  <Lines>0</Lines>
  <Paragraphs>0</Paragraphs>
  <TotalTime>2</TotalTime>
  <ScaleCrop>false</ScaleCrop>
  <LinksUpToDate>false</LinksUpToDate>
  <CharactersWithSpaces>110716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2020-02-26T07:28:00Z</dcterms:created>
  <dc:creator>tt</dc:creator>
  <cp:lastModifiedBy>陈木沐</cp:lastModifiedBy>
  <dcterms:modified xsi:type="dcterms:W3CDTF">2024-08-15T02:18:05Z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C25FF20DA72542C0ADD961724DED67B1_12</vt:lpwstr>
  </property>
</Properties>
</file>