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249" w:beforeLines="8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outlineLvl w:val="0"/>
        <w:rPr>
          <w:rFonts w:ascii="华文仿宋" w:hAnsi="华文仿宋" w:eastAsia="华文仿宋" w:cs="华文仿宋"/>
          <w:color w:val="000000"/>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ind w:left="420" w:leftChars="200"/>
        <w:rPr>
          <w:rFonts w:ascii="仿宋_GB2312" w:eastAsia="仿宋_GB2312"/>
          <w:sz w:val="36"/>
          <w:szCs w:val="36"/>
          <w:u w:val="single"/>
        </w:rPr>
      </w:pPr>
      <w:r>
        <w:rPr>
          <w:rFonts w:hint="eastAsia" w:ascii="仿宋_GB2312" w:eastAsia="仿宋_GB2312"/>
          <w:sz w:val="36"/>
          <w:szCs w:val="36"/>
        </w:rPr>
        <w:t xml:space="preserve">项目名称： </w:t>
      </w:r>
      <w:r>
        <w:rPr>
          <w:rFonts w:hint="eastAsia" w:ascii="仿宋_GB2312" w:eastAsia="仿宋_GB2312"/>
          <w:kern w:val="10"/>
          <w:sz w:val="32"/>
          <w:szCs w:val="32"/>
          <w:u w:val="single"/>
        </w:rPr>
        <w:t>澧县澧浦街道社区卫生服务中心建设项目</w:t>
      </w:r>
    </w:p>
    <w:p>
      <w:pPr>
        <w:adjustRightInd w:val="0"/>
        <w:snapToGrid w:val="0"/>
        <w:spacing w:line="288" w:lineRule="auto"/>
        <w:ind w:firstLine="360" w:firstLineChars="10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澧县澧浦街道社区卫生服务中心</w:t>
      </w:r>
      <w:r>
        <w:rPr>
          <w:rFonts w:ascii="仿宋_GB2312" w:eastAsia="仿宋_GB2312"/>
          <w:sz w:val="36"/>
          <w:szCs w:val="36"/>
          <w:u w:val="single"/>
        </w:rPr>
        <w:t xml:space="preserve"> </w:t>
      </w:r>
    </w:p>
    <w:p>
      <w:pPr>
        <w:adjustRightInd w:val="0"/>
        <w:snapToGrid w:val="0"/>
        <w:spacing w:line="288" w:lineRule="auto"/>
        <w:ind w:firstLine="720" w:firstLineChars="20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202</w:t>
      </w:r>
      <w:r>
        <w:rPr>
          <w:rFonts w:hint="eastAsia" w:ascii="仿宋_GB2312" w:eastAsia="仿宋_GB2312"/>
          <w:sz w:val="36"/>
          <w:szCs w:val="36"/>
          <w:u w:val="single"/>
        </w:rPr>
        <w:t>4年</w:t>
      </w:r>
      <w:r>
        <w:rPr>
          <w:rFonts w:ascii="仿宋_GB2312" w:eastAsia="仿宋_GB2312"/>
          <w:sz w:val="36"/>
          <w:szCs w:val="36"/>
          <w:u w:val="single"/>
        </w:rPr>
        <w:t>6</w:t>
      </w:r>
      <w:r>
        <w:rPr>
          <w:rFonts w:hint="eastAsia" w:ascii="仿宋_GB2312" w:eastAsia="仿宋_GB2312"/>
          <w:sz w:val="36"/>
          <w:szCs w:val="36"/>
          <w:u w:val="single"/>
        </w:rPr>
        <w:t>月</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u w:val="single"/>
        </w:rPr>
      </w:pPr>
    </w:p>
    <w:p>
      <w:pPr>
        <w:adjustRightInd w:val="0"/>
        <w:snapToGrid w:val="0"/>
        <w:spacing w:line="288" w:lineRule="auto"/>
        <w:ind w:firstLine="1040"/>
        <w:rPr>
          <w:rFonts w:ascii="仿宋_GB2312" w:eastAsia="仿宋_GB2312"/>
          <w:sz w:val="36"/>
          <w:szCs w:val="36"/>
        </w:rPr>
      </w:pPr>
    </w:p>
    <w:bookmarkEnd w:id="0"/>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jc w:val="center"/>
        <w:rPr>
          <w:rFonts w:ascii="楷体_GB2312" w:eastAsia="楷体_GB2312"/>
          <w:sz w:val="36"/>
          <w:szCs w:val="36"/>
        </w:rPr>
      </w:pPr>
    </w:p>
    <w:p>
      <w:pPr>
        <w:adjustRightInd w:val="0"/>
        <w:snapToGrid w:val="0"/>
        <w:spacing w:line="288" w:lineRule="auto"/>
        <w:jc w:val="center"/>
        <w:rPr>
          <w:rFonts w:ascii="楷体_GB2312" w:eastAsia="楷体_GB2312"/>
          <w:sz w:val="36"/>
          <w:szCs w:val="36"/>
        </w:rPr>
      </w:pPr>
    </w:p>
    <w:p>
      <w:pPr>
        <w:adjustRightInd w:val="0"/>
        <w:snapToGrid w:val="0"/>
        <w:spacing w:line="288" w:lineRule="auto"/>
        <w:jc w:val="center"/>
        <w:rPr>
          <w:rFonts w:ascii="楷体_GB2312" w:eastAsia="楷体_GB2312"/>
          <w:sz w:val="36"/>
          <w:szCs w:val="36"/>
        </w:rPr>
      </w:pPr>
    </w:p>
    <w:p>
      <w:pPr>
        <w:adjustRightInd w:val="0"/>
        <w:snapToGrid w:val="0"/>
        <w:spacing w:line="288" w:lineRule="auto"/>
        <w:jc w:val="center"/>
        <w:rPr>
          <w:rFonts w:ascii="楷体_GB2312" w:eastAsia="楷体_GB2312"/>
          <w:sz w:val="36"/>
          <w:szCs w:val="36"/>
        </w:rPr>
      </w:pPr>
    </w:p>
    <w:p>
      <w:pPr>
        <w:adjustRightInd w:val="0"/>
        <w:snapToGrid w:val="0"/>
        <w:spacing w:line="288" w:lineRule="auto"/>
        <w:jc w:val="center"/>
        <w:rPr>
          <w:rFonts w:ascii="楷体_GB2312" w:eastAsia="楷体_GB2312"/>
          <w:sz w:val="36"/>
          <w:szCs w:val="36"/>
        </w:rPr>
      </w:pPr>
    </w:p>
    <w:p>
      <w:pPr>
        <w:sectPr>
          <w:pgSz w:w="11906" w:h="16838"/>
          <w:pgMar w:top="1440" w:right="1800" w:bottom="1440" w:left="1800" w:header="851" w:footer="992" w:gutter="0"/>
          <w:cols w:space="425" w:num="1"/>
          <w:docGrid w:type="lines" w:linePitch="312" w:charSpace="0"/>
        </w:sectPr>
      </w:pPr>
    </w:p>
    <w:p>
      <w:pPr>
        <w:pStyle w:val="9"/>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13"/>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88"/>
        <w:gridCol w:w="1866"/>
        <w:gridCol w:w="1841"/>
        <w:gridCol w:w="28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建设项目名称</w:t>
            </w:r>
          </w:p>
        </w:tc>
        <w:tc>
          <w:tcPr>
            <w:tcW w:w="6488" w:type="dxa"/>
            <w:gridSpan w:val="3"/>
            <w:vAlign w:val="center"/>
          </w:tcPr>
          <w:p>
            <w:pPr>
              <w:adjustRightInd w:val="0"/>
              <w:snapToGrid w:val="0"/>
              <w:jc w:val="center"/>
              <w:rPr>
                <w:sz w:val="24"/>
              </w:rPr>
            </w:pPr>
            <w:r>
              <w:rPr>
                <w:rFonts w:hint="eastAsia"/>
                <w:sz w:val="24"/>
              </w:rPr>
              <w:t>澧县澧浦街道社区卫生服务中心建设项目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项目代码</w:t>
            </w:r>
          </w:p>
        </w:tc>
        <w:tc>
          <w:tcPr>
            <w:tcW w:w="6488" w:type="dxa"/>
            <w:gridSpan w:val="3"/>
            <w:vAlign w:val="center"/>
          </w:tcPr>
          <w:p>
            <w:pPr>
              <w:adjustRightInd w:val="0"/>
              <w:snapToGrid w:val="0"/>
              <w:jc w:val="center"/>
              <w:rPr>
                <w:sz w:val="24"/>
              </w:rPr>
            </w:pP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建设单位联系人</w:t>
            </w:r>
          </w:p>
        </w:tc>
        <w:tc>
          <w:tcPr>
            <w:tcW w:w="1869" w:type="dxa"/>
            <w:vAlign w:val="center"/>
          </w:tcPr>
          <w:p>
            <w:pPr>
              <w:adjustRightInd w:val="0"/>
              <w:snapToGrid w:val="0"/>
              <w:jc w:val="center"/>
              <w:rPr>
                <w:sz w:val="24"/>
              </w:rPr>
            </w:pPr>
            <w:r>
              <w:rPr>
                <w:rFonts w:hint="eastAsia"/>
                <w:sz w:val="24"/>
              </w:rPr>
              <w:t>谭霞</w:t>
            </w:r>
          </w:p>
        </w:tc>
        <w:tc>
          <w:tcPr>
            <w:tcW w:w="1843" w:type="dxa"/>
            <w:vAlign w:val="center"/>
          </w:tcPr>
          <w:p>
            <w:pPr>
              <w:adjustRightInd w:val="0"/>
              <w:snapToGrid w:val="0"/>
              <w:jc w:val="center"/>
              <w:rPr>
                <w:sz w:val="24"/>
              </w:rPr>
            </w:pPr>
            <w:r>
              <w:rPr>
                <w:sz w:val="24"/>
              </w:rPr>
              <w:t>联系方式</w:t>
            </w:r>
          </w:p>
        </w:tc>
        <w:tc>
          <w:tcPr>
            <w:tcW w:w="2776" w:type="dxa"/>
            <w:vAlign w:val="center"/>
          </w:tcPr>
          <w:p>
            <w:pPr>
              <w:adjustRightInd w:val="0"/>
              <w:snapToGrid w:val="0"/>
              <w:jc w:val="center"/>
              <w:rPr>
                <w:sz w:val="24"/>
              </w:rPr>
            </w:pPr>
            <w:r>
              <w:rPr>
                <w:sz w:val="24"/>
              </w:rPr>
              <w:t>15200662230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建设地点</w:t>
            </w:r>
          </w:p>
        </w:tc>
        <w:tc>
          <w:tcPr>
            <w:tcW w:w="6488" w:type="dxa"/>
            <w:gridSpan w:val="3"/>
            <w:vAlign w:val="center"/>
          </w:tcPr>
          <w:p>
            <w:pPr>
              <w:adjustRightInd w:val="0"/>
              <w:snapToGrid w:val="0"/>
              <w:jc w:val="center"/>
              <w:rPr>
                <w:sz w:val="24"/>
              </w:rPr>
            </w:pPr>
            <w:r>
              <w:rPr>
                <w:sz w:val="24"/>
                <w:u w:val="single"/>
              </w:rPr>
              <w:t xml:space="preserve">湖南 </w:t>
            </w:r>
            <w:r>
              <w:rPr>
                <w:sz w:val="24"/>
              </w:rPr>
              <w:t>省（自治区）</w:t>
            </w:r>
            <w:r>
              <w:rPr>
                <w:sz w:val="24"/>
                <w:u w:val="single"/>
              </w:rPr>
              <w:t xml:space="preserve"> 常德 </w:t>
            </w:r>
            <w:r>
              <w:rPr>
                <w:sz w:val="24"/>
              </w:rPr>
              <w:t>市</w:t>
            </w:r>
            <w:r>
              <w:rPr>
                <w:sz w:val="24"/>
                <w:u w:val="single"/>
              </w:rPr>
              <w:t xml:space="preserve"> </w:t>
            </w:r>
            <w:r>
              <w:rPr>
                <w:rFonts w:hint="eastAsia"/>
                <w:sz w:val="24"/>
                <w:u w:val="single"/>
              </w:rPr>
              <w:t>澧</w:t>
            </w:r>
            <w:r>
              <w:rPr>
                <w:sz w:val="24"/>
                <w:u w:val="single"/>
              </w:rPr>
              <w:t xml:space="preserve"> </w:t>
            </w:r>
            <w:r>
              <w:rPr>
                <w:sz w:val="24"/>
              </w:rPr>
              <w:t>县</w:t>
            </w:r>
            <w:r>
              <w:rPr>
                <w:rFonts w:hint="eastAsia"/>
                <w:sz w:val="24"/>
              </w:rPr>
              <w:t xml:space="preserve"> </w:t>
            </w:r>
            <w:r>
              <w:rPr>
                <w:rFonts w:hint="eastAsia"/>
                <w:sz w:val="24"/>
                <w:u w:val="single"/>
              </w:rPr>
              <w:t xml:space="preserve">澧浦 </w:t>
            </w:r>
            <w:r>
              <w:rPr>
                <w:rFonts w:hint="eastAsia"/>
                <w:sz w:val="24"/>
              </w:rPr>
              <w:t>街道</w:t>
            </w:r>
            <w:r>
              <w:rPr>
                <w:rFonts w:hint="eastAsia"/>
                <w:sz w:val="24"/>
                <w:u w:val="single"/>
              </w:rPr>
              <w:t xml:space="preserve"> 羊古 </w:t>
            </w:r>
            <w:r>
              <w:rPr>
                <w:rFonts w:hint="eastAsia"/>
                <w:sz w:val="24"/>
              </w:rPr>
              <w:t>社区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地理坐标</w:t>
            </w:r>
          </w:p>
        </w:tc>
        <w:tc>
          <w:tcPr>
            <w:tcW w:w="6488" w:type="dxa"/>
            <w:gridSpan w:val="3"/>
            <w:vAlign w:val="center"/>
          </w:tcPr>
          <w:p>
            <w:pPr>
              <w:jc w:val="center"/>
              <w:rPr>
                <w:sz w:val="24"/>
              </w:rPr>
            </w:pPr>
            <w:r>
              <w:rPr>
                <w:sz w:val="24"/>
              </w:rPr>
              <w:t>（</w:t>
            </w:r>
            <w:r>
              <w:rPr>
                <w:sz w:val="24"/>
                <w:u w:val="single"/>
              </w:rPr>
              <w:t xml:space="preserve"> 29 </w:t>
            </w:r>
            <w:r>
              <w:rPr>
                <w:sz w:val="24"/>
              </w:rPr>
              <w:t>度</w:t>
            </w:r>
            <w:r>
              <w:rPr>
                <w:sz w:val="24"/>
                <w:u w:val="single"/>
              </w:rPr>
              <w:t xml:space="preserve"> 3</w:t>
            </w:r>
            <w:r>
              <w:rPr>
                <w:rFonts w:hint="eastAsia"/>
                <w:sz w:val="24"/>
                <w:u w:val="single"/>
              </w:rPr>
              <w:t>8</w:t>
            </w:r>
            <w:r>
              <w:rPr>
                <w:sz w:val="24"/>
                <w:u w:val="single"/>
              </w:rPr>
              <w:t xml:space="preserve"> </w:t>
            </w:r>
            <w:r>
              <w:rPr>
                <w:sz w:val="24"/>
              </w:rPr>
              <w:t>分</w:t>
            </w:r>
            <w:r>
              <w:rPr>
                <w:sz w:val="24"/>
                <w:u w:val="single"/>
              </w:rPr>
              <w:t xml:space="preserve"> 41.132 </w:t>
            </w:r>
            <w:r>
              <w:rPr>
                <w:sz w:val="24"/>
              </w:rPr>
              <w:t>秒，</w:t>
            </w:r>
            <w:r>
              <w:rPr>
                <w:sz w:val="24"/>
                <w:u w:val="single"/>
              </w:rPr>
              <w:t xml:space="preserve"> </w:t>
            </w:r>
            <w:r>
              <w:rPr>
                <w:rFonts w:hint="eastAsia"/>
                <w:sz w:val="24"/>
                <w:u w:val="single"/>
              </w:rPr>
              <w:t>11</w:t>
            </w:r>
            <w:r>
              <w:rPr>
                <w:sz w:val="24"/>
                <w:u w:val="single"/>
              </w:rPr>
              <w:t xml:space="preserve">1 </w:t>
            </w:r>
            <w:r>
              <w:rPr>
                <w:sz w:val="24"/>
              </w:rPr>
              <w:t>度</w:t>
            </w:r>
            <w:r>
              <w:rPr>
                <w:sz w:val="24"/>
                <w:u w:val="single"/>
              </w:rPr>
              <w:t xml:space="preserve"> 46 </w:t>
            </w:r>
            <w:r>
              <w:rPr>
                <w:sz w:val="24"/>
              </w:rPr>
              <w:t>分</w:t>
            </w:r>
            <w:r>
              <w:rPr>
                <w:sz w:val="24"/>
                <w:u w:val="single"/>
              </w:rPr>
              <w:t xml:space="preserve"> 18.969 </w:t>
            </w:r>
            <w:r>
              <w:rPr>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国民经济</w:t>
            </w:r>
          </w:p>
          <w:p>
            <w:pPr>
              <w:adjustRightInd w:val="0"/>
              <w:snapToGrid w:val="0"/>
              <w:jc w:val="center"/>
              <w:rPr>
                <w:sz w:val="24"/>
              </w:rPr>
            </w:pPr>
            <w:r>
              <w:rPr>
                <w:sz w:val="24"/>
              </w:rPr>
              <w:t>行业类别</w:t>
            </w:r>
          </w:p>
        </w:tc>
        <w:tc>
          <w:tcPr>
            <w:tcW w:w="1869" w:type="dxa"/>
            <w:vAlign w:val="center"/>
          </w:tcPr>
          <w:p>
            <w:pPr>
              <w:adjustRightInd w:val="0"/>
              <w:snapToGrid w:val="0"/>
              <w:jc w:val="center"/>
              <w:rPr>
                <w:sz w:val="24"/>
              </w:rPr>
            </w:pPr>
            <w:r>
              <w:rPr>
                <w:rFonts w:hint="eastAsia"/>
                <w:sz w:val="24"/>
              </w:rPr>
              <w:t>Q842</w:t>
            </w:r>
            <w:r>
              <w:rPr>
                <w:sz w:val="24"/>
              </w:rPr>
              <w:t>1</w:t>
            </w:r>
            <w:r>
              <w:rPr>
                <w:rFonts w:hint="eastAsia"/>
                <w:sz w:val="24"/>
              </w:rPr>
              <w:t>社区卫服务中心（站）</w:t>
            </w:r>
          </w:p>
        </w:tc>
        <w:tc>
          <w:tcPr>
            <w:tcW w:w="1843" w:type="dxa"/>
            <w:vAlign w:val="center"/>
          </w:tcPr>
          <w:p>
            <w:pPr>
              <w:adjustRightInd w:val="0"/>
              <w:snapToGrid w:val="0"/>
              <w:jc w:val="center"/>
              <w:rPr>
                <w:sz w:val="24"/>
              </w:rPr>
            </w:pPr>
            <w:bookmarkStart w:id="1" w:name="_Hlk49843745"/>
            <w:r>
              <w:rPr>
                <w:sz w:val="24"/>
              </w:rPr>
              <w:t>建设项目</w:t>
            </w:r>
          </w:p>
          <w:p>
            <w:pPr>
              <w:adjustRightInd w:val="0"/>
              <w:snapToGrid w:val="0"/>
              <w:jc w:val="center"/>
              <w:rPr>
                <w:sz w:val="24"/>
              </w:rPr>
            </w:pPr>
            <w:r>
              <w:rPr>
                <w:sz w:val="24"/>
              </w:rPr>
              <w:t>行业类别</w:t>
            </w:r>
            <w:bookmarkEnd w:id="1"/>
          </w:p>
        </w:tc>
        <w:tc>
          <w:tcPr>
            <w:tcW w:w="2776" w:type="dxa"/>
            <w:vAlign w:val="center"/>
          </w:tcPr>
          <w:p>
            <w:pPr>
              <w:adjustRightInd w:val="0"/>
              <w:snapToGrid w:val="0"/>
              <w:jc w:val="center"/>
              <w:rPr>
                <w:sz w:val="24"/>
              </w:rPr>
            </w:pPr>
            <w:r>
              <w:rPr>
                <w:rFonts w:hint="eastAsia"/>
                <w:sz w:val="24"/>
              </w:rPr>
              <w:t>四十九、卫生84 108.医院841 其他（住院病床20张床位以下的除外）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建设性质</w:t>
            </w:r>
          </w:p>
        </w:tc>
        <w:tc>
          <w:tcPr>
            <w:tcW w:w="1869" w:type="dxa"/>
            <w:vAlign w:val="center"/>
          </w:tcPr>
          <w:p>
            <w:pPr>
              <w:jc w:val="left"/>
              <w:rPr>
                <w:sz w:val="24"/>
              </w:rPr>
            </w:pPr>
            <w:r>
              <w:rPr>
                <w:rFonts w:hint="eastAsia"/>
                <w:sz w:val="24"/>
              </w:rPr>
              <w:t>√</w:t>
            </w:r>
            <w:r>
              <w:rPr>
                <w:sz w:val="24"/>
              </w:rPr>
              <w:sym w:font="Wingdings 2" w:char="00A3"/>
            </w:r>
            <w:r>
              <w:rPr>
                <w:sz w:val="24"/>
              </w:rPr>
              <w:t>新建（迁建）</w:t>
            </w:r>
          </w:p>
          <w:p>
            <w:pPr>
              <w:jc w:val="left"/>
              <w:rPr>
                <w:sz w:val="24"/>
              </w:rPr>
            </w:pPr>
            <w:r>
              <w:rPr>
                <w:sz w:val="24"/>
              </w:rPr>
              <w:sym w:font="Wingdings 2" w:char="00A3"/>
            </w:r>
            <w:r>
              <w:rPr>
                <w:sz w:val="24"/>
              </w:rPr>
              <w:t>改建</w:t>
            </w:r>
          </w:p>
          <w:p>
            <w:pPr>
              <w:jc w:val="left"/>
              <w:rPr>
                <w:sz w:val="24"/>
              </w:rPr>
            </w:pPr>
            <w:r>
              <w:rPr>
                <w:sz w:val="24"/>
              </w:rPr>
              <w:sym w:font="Wingdings 2" w:char="00A3"/>
            </w:r>
            <w:r>
              <w:rPr>
                <w:sz w:val="24"/>
              </w:rPr>
              <w:t>扩建</w:t>
            </w:r>
          </w:p>
          <w:p>
            <w:pPr>
              <w:jc w:val="left"/>
              <w:rPr>
                <w:sz w:val="24"/>
              </w:rPr>
            </w:pPr>
            <w:r>
              <w:rPr>
                <w:sz w:val="24"/>
              </w:rPr>
              <w:sym w:font="Wingdings 2" w:char="00A3"/>
            </w:r>
            <w:r>
              <w:rPr>
                <w:sz w:val="24"/>
              </w:rPr>
              <w:t>技术改造</w:t>
            </w:r>
          </w:p>
        </w:tc>
        <w:tc>
          <w:tcPr>
            <w:tcW w:w="1843" w:type="dxa"/>
            <w:vAlign w:val="center"/>
          </w:tcPr>
          <w:p>
            <w:pPr>
              <w:adjustRightInd w:val="0"/>
              <w:snapToGrid w:val="0"/>
              <w:jc w:val="center"/>
              <w:rPr>
                <w:sz w:val="24"/>
              </w:rPr>
            </w:pPr>
            <w:r>
              <w:rPr>
                <w:sz w:val="24"/>
              </w:rPr>
              <w:t>建设项目</w:t>
            </w:r>
          </w:p>
          <w:p>
            <w:pPr>
              <w:adjustRightInd w:val="0"/>
              <w:snapToGrid w:val="0"/>
              <w:jc w:val="center"/>
              <w:rPr>
                <w:sz w:val="24"/>
              </w:rPr>
            </w:pPr>
            <w:r>
              <w:rPr>
                <w:sz w:val="24"/>
              </w:rPr>
              <w:t>申报情形</w:t>
            </w:r>
          </w:p>
        </w:tc>
        <w:tc>
          <w:tcPr>
            <w:tcW w:w="2776" w:type="dxa"/>
            <w:vAlign w:val="center"/>
          </w:tcPr>
          <w:p>
            <w:pPr>
              <w:jc w:val="left"/>
              <w:rPr>
                <w:sz w:val="24"/>
              </w:rPr>
            </w:pPr>
            <w:r>
              <w:rPr>
                <w:rFonts w:hint="eastAsia"/>
                <w:sz w:val="24"/>
              </w:rPr>
              <w:t>√</w:t>
            </w:r>
            <w:r>
              <w:rPr>
                <w:sz w:val="24"/>
              </w:rPr>
              <w:sym w:font="Wingdings 2" w:char="00A3"/>
            </w:r>
            <w:r>
              <w:rPr>
                <w:sz w:val="24"/>
              </w:rPr>
              <w:t xml:space="preserve">首次申报项目             </w:t>
            </w:r>
          </w:p>
          <w:p>
            <w:pPr>
              <w:jc w:val="left"/>
              <w:rPr>
                <w:sz w:val="24"/>
              </w:rPr>
            </w:pPr>
            <w:r>
              <w:rPr>
                <w:sz w:val="24"/>
              </w:rPr>
              <w:t>□不予批准后再次申报项目</w:t>
            </w:r>
          </w:p>
          <w:p>
            <w:pPr>
              <w:jc w:val="left"/>
              <w:rPr>
                <w:sz w:val="24"/>
              </w:rPr>
            </w:pPr>
            <w:r>
              <w:rPr>
                <w:sz w:val="24"/>
              </w:rPr>
              <w:sym w:font="Wingdings 2" w:char="00A3"/>
            </w:r>
            <w:r>
              <w:rPr>
                <w:sz w:val="24"/>
              </w:rPr>
              <w:t xml:space="preserve">超五年重新审核项目     </w:t>
            </w:r>
          </w:p>
          <w:p>
            <w:pPr>
              <w:jc w:val="left"/>
              <w:rPr>
                <w:sz w:val="24"/>
              </w:rPr>
            </w:pP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备案）部门（选填）</w:t>
            </w:r>
          </w:p>
        </w:tc>
        <w:tc>
          <w:tcPr>
            <w:tcW w:w="1869" w:type="dxa"/>
            <w:vAlign w:val="center"/>
          </w:tcPr>
          <w:p>
            <w:pPr>
              <w:adjustRightInd w:val="0"/>
              <w:snapToGrid w:val="0"/>
              <w:jc w:val="center"/>
              <w:rPr>
                <w:sz w:val="24"/>
              </w:rPr>
            </w:pPr>
            <w:r>
              <w:rPr>
                <w:sz w:val="24"/>
              </w:rPr>
              <w:t>/</w:t>
            </w:r>
          </w:p>
        </w:tc>
        <w:tc>
          <w:tcPr>
            <w:tcW w:w="1843" w:type="dxa"/>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备案）文号（选填）</w:t>
            </w:r>
          </w:p>
        </w:tc>
        <w:tc>
          <w:tcPr>
            <w:tcW w:w="2776" w:type="dxa"/>
            <w:vAlign w:val="center"/>
          </w:tcPr>
          <w:p>
            <w:pPr>
              <w:adjustRightInd w:val="0"/>
              <w:snapToGrid w:val="0"/>
              <w:jc w:val="center"/>
              <w:rPr>
                <w:sz w:val="24"/>
                <w:highlight w:val="yellow"/>
              </w:rPr>
            </w:pP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总投资（万元）</w:t>
            </w:r>
          </w:p>
        </w:tc>
        <w:tc>
          <w:tcPr>
            <w:tcW w:w="1869" w:type="dxa"/>
            <w:vAlign w:val="center"/>
          </w:tcPr>
          <w:p>
            <w:pPr>
              <w:adjustRightInd w:val="0"/>
              <w:snapToGrid w:val="0"/>
              <w:jc w:val="center"/>
              <w:rPr>
                <w:sz w:val="24"/>
              </w:rPr>
            </w:pPr>
            <w:r>
              <w:rPr>
                <w:rFonts w:hint="eastAsia"/>
                <w:sz w:val="24"/>
              </w:rPr>
              <w:t>400</w:t>
            </w:r>
          </w:p>
        </w:tc>
        <w:tc>
          <w:tcPr>
            <w:tcW w:w="1843" w:type="dxa"/>
            <w:tcMar>
              <w:top w:w="16" w:type="dxa"/>
              <w:left w:w="16" w:type="dxa"/>
              <w:right w:w="16" w:type="dxa"/>
            </w:tcMar>
            <w:vAlign w:val="center"/>
          </w:tcPr>
          <w:p>
            <w:pPr>
              <w:adjustRightInd w:val="0"/>
              <w:snapToGrid w:val="0"/>
              <w:jc w:val="center"/>
              <w:rPr>
                <w:sz w:val="24"/>
              </w:rPr>
            </w:pPr>
            <w:r>
              <w:rPr>
                <w:sz w:val="24"/>
              </w:rPr>
              <w:t>环保投资（万元）</w:t>
            </w:r>
          </w:p>
        </w:tc>
        <w:tc>
          <w:tcPr>
            <w:tcW w:w="2776" w:type="dxa"/>
            <w:vAlign w:val="center"/>
          </w:tcPr>
          <w:p>
            <w:pPr>
              <w:adjustRightInd w:val="0"/>
              <w:snapToGrid w:val="0"/>
              <w:jc w:val="center"/>
              <w:rPr>
                <w:sz w:val="24"/>
              </w:rPr>
            </w:pPr>
            <w:r>
              <w:rPr>
                <w:rFonts w:hint="eastAsia"/>
                <w:sz w:val="24"/>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环保投资占比（%）</w:t>
            </w:r>
          </w:p>
        </w:tc>
        <w:tc>
          <w:tcPr>
            <w:tcW w:w="1869" w:type="dxa"/>
            <w:vAlign w:val="center"/>
          </w:tcPr>
          <w:p>
            <w:pPr>
              <w:adjustRightInd w:val="0"/>
              <w:snapToGrid w:val="0"/>
              <w:jc w:val="center"/>
              <w:rPr>
                <w:sz w:val="24"/>
              </w:rPr>
            </w:pPr>
            <w:r>
              <w:rPr>
                <w:rFonts w:hint="eastAsia"/>
                <w:sz w:val="24"/>
              </w:rPr>
              <w:t>2.5</w:t>
            </w:r>
          </w:p>
        </w:tc>
        <w:tc>
          <w:tcPr>
            <w:tcW w:w="1843" w:type="dxa"/>
            <w:tcMar>
              <w:top w:w="16" w:type="dxa"/>
              <w:left w:w="16" w:type="dxa"/>
              <w:right w:w="16" w:type="dxa"/>
            </w:tcMar>
            <w:vAlign w:val="center"/>
          </w:tcPr>
          <w:p>
            <w:pPr>
              <w:adjustRightInd w:val="0"/>
              <w:snapToGrid w:val="0"/>
              <w:jc w:val="center"/>
              <w:rPr>
                <w:sz w:val="24"/>
              </w:rPr>
            </w:pPr>
            <w:r>
              <w:rPr>
                <w:sz w:val="24"/>
              </w:rPr>
              <w:t>施工工期</w:t>
            </w:r>
          </w:p>
        </w:tc>
        <w:tc>
          <w:tcPr>
            <w:tcW w:w="2776" w:type="dxa"/>
            <w:vAlign w:val="center"/>
          </w:tcPr>
          <w:p>
            <w:pPr>
              <w:adjustRightInd w:val="0"/>
              <w:snapToGrid w:val="0"/>
              <w:jc w:val="center"/>
              <w:rPr>
                <w:sz w:val="24"/>
              </w:rPr>
            </w:pP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是否开工建设</w:t>
            </w:r>
          </w:p>
        </w:tc>
        <w:tc>
          <w:tcPr>
            <w:tcW w:w="1869" w:type="dxa"/>
            <w:vAlign w:val="center"/>
          </w:tcPr>
          <w:p>
            <w:pPr>
              <w:adjustRightInd w:val="0"/>
              <w:snapToGrid w:val="0"/>
              <w:rPr>
                <w:sz w:val="24"/>
              </w:rPr>
            </w:pPr>
            <w:r>
              <w:rPr>
                <w:sz w:val="24"/>
              </w:rPr>
              <w:sym w:font="Wingdings 2" w:char="00A3"/>
            </w:r>
            <w:r>
              <w:rPr>
                <w:sz w:val="24"/>
              </w:rPr>
              <w:t>否</w:t>
            </w:r>
          </w:p>
          <w:p>
            <w:pPr>
              <w:adjustRightInd w:val="0"/>
              <w:snapToGrid w:val="0"/>
              <w:rPr>
                <w:sz w:val="24"/>
              </w:rPr>
            </w:pPr>
            <w:r>
              <w:rPr>
                <w:rFonts w:hint="eastAsia"/>
                <w:sz w:val="24"/>
              </w:rPr>
              <w:t>√</w:t>
            </w:r>
            <w:r>
              <w:rPr>
                <w:sz w:val="24"/>
              </w:rPr>
              <w:sym w:font="Wingdings 2" w:char="00A3"/>
            </w:r>
            <w:r>
              <w:rPr>
                <w:sz w:val="24"/>
              </w:rPr>
              <w:t>是：</w:t>
            </w:r>
            <w:r>
              <w:rPr>
                <w:sz w:val="24"/>
                <w:u w:val="single"/>
              </w:rPr>
              <w:t xml:space="preserve"> </w:t>
            </w:r>
            <w:r>
              <w:rPr>
                <w:rFonts w:hint="eastAsia"/>
                <w:sz w:val="24"/>
                <w:u w:val="single"/>
              </w:rPr>
              <w:t>项目于2</w:t>
            </w:r>
            <w:r>
              <w:rPr>
                <w:sz w:val="24"/>
                <w:u w:val="single"/>
              </w:rPr>
              <w:t>017</w:t>
            </w:r>
            <w:r>
              <w:rPr>
                <w:rFonts w:hint="eastAsia"/>
                <w:sz w:val="24"/>
                <w:u w:val="single"/>
              </w:rPr>
              <w:t>年建成，一直未办理相关环保手续，但未与周边居民发生环境污染纠纷，且无任何环保投诉，未受到生态环境主管部门处罚</w:t>
            </w:r>
          </w:p>
        </w:tc>
        <w:tc>
          <w:tcPr>
            <w:tcW w:w="1843" w:type="dxa"/>
            <w:tcMar>
              <w:top w:w="16" w:type="dxa"/>
              <w:left w:w="16" w:type="dxa"/>
              <w:right w:w="16" w:type="dxa"/>
            </w:tcMar>
            <w:vAlign w:val="center"/>
          </w:tcPr>
          <w:p>
            <w:pPr>
              <w:adjustRightInd w:val="0"/>
              <w:snapToGrid w:val="0"/>
              <w:jc w:val="center"/>
              <w:rPr>
                <w:spacing w:val="-6"/>
                <w:sz w:val="24"/>
              </w:rPr>
            </w:pPr>
            <w:r>
              <w:rPr>
                <w:spacing w:val="-6"/>
                <w:sz w:val="24"/>
              </w:rPr>
              <w:t>用地（用海）</w:t>
            </w:r>
          </w:p>
          <w:p>
            <w:pPr>
              <w:adjustRightInd w:val="0"/>
              <w:snapToGrid w:val="0"/>
              <w:jc w:val="center"/>
              <w:rPr>
                <w:sz w:val="24"/>
              </w:rPr>
            </w:pPr>
            <w:r>
              <w:rPr>
                <w:spacing w:val="-6"/>
                <w:sz w:val="24"/>
              </w:rPr>
              <w:t>面积（m</w:t>
            </w:r>
            <w:r>
              <w:rPr>
                <w:spacing w:val="-6"/>
                <w:sz w:val="24"/>
                <w:vertAlign w:val="superscript"/>
              </w:rPr>
              <w:t>2</w:t>
            </w:r>
            <w:r>
              <w:rPr>
                <w:spacing w:val="-6"/>
                <w:sz w:val="24"/>
              </w:rPr>
              <w:t>）</w:t>
            </w:r>
          </w:p>
        </w:tc>
        <w:tc>
          <w:tcPr>
            <w:tcW w:w="2776" w:type="dxa"/>
            <w:vAlign w:val="center"/>
          </w:tcPr>
          <w:p>
            <w:pPr>
              <w:adjustRightInd w:val="0"/>
              <w:snapToGrid w:val="0"/>
              <w:jc w:val="center"/>
              <w:rPr>
                <w:sz w:val="24"/>
              </w:rPr>
            </w:pPr>
            <w:r>
              <w:rPr>
                <w:sz w:val="24"/>
              </w:rPr>
              <w:t>3852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kern w:val="0"/>
                <w:sz w:val="24"/>
              </w:rPr>
            </w:pPr>
            <w:r>
              <w:rPr>
                <w:kern w:val="0"/>
                <w:sz w:val="24"/>
              </w:rPr>
              <w:t>专项评价设置情况</w:t>
            </w:r>
          </w:p>
        </w:tc>
        <w:tc>
          <w:tcPr>
            <w:tcW w:w="6488" w:type="dxa"/>
            <w:gridSpan w:val="3"/>
            <w:vAlign w:val="center"/>
          </w:tcPr>
          <w:p>
            <w:pPr>
              <w:autoSpaceDE w:val="0"/>
              <w:autoSpaceDN w:val="0"/>
              <w:adjustRightInd w:val="0"/>
              <w:snapToGrid w:val="0"/>
              <w:jc w:val="center"/>
              <w:rPr>
                <w:sz w:val="24"/>
              </w:rPr>
            </w:pPr>
            <w:r>
              <w:rPr>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kern w:val="0"/>
                <w:sz w:val="24"/>
              </w:rPr>
            </w:pPr>
            <w:r>
              <w:rPr>
                <w:sz w:val="24"/>
              </w:rPr>
              <w:t>规划情况</w:t>
            </w:r>
          </w:p>
        </w:tc>
        <w:tc>
          <w:tcPr>
            <w:tcW w:w="6488" w:type="dxa"/>
            <w:gridSpan w:val="3"/>
            <w:vAlign w:val="center"/>
          </w:tcPr>
          <w:p>
            <w:pPr>
              <w:autoSpaceDE w:val="0"/>
              <w:autoSpaceDN w:val="0"/>
              <w:adjustRightInd w:val="0"/>
              <w:snapToGrid w:val="0"/>
              <w:spacing w:line="360" w:lineRule="auto"/>
              <w:jc w:val="center"/>
              <w:rPr>
                <w:sz w:val="24"/>
              </w:rPr>
            </w:pPr>
            <w:r>
              <w:rPr>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djustRightInd w:val="0"/>
              <w:snapToGrid w:val="0"/>
              <w:jc w:val="center"/>
              <w:rPr>
                <w:sz w:val="24"/>
              </w:rPr>
            </w:pPr>
            <w:r>
              <w:rPr>
                <w:sz w:val="24"/>
              </w:rPr>
              <w:t>规划环境影响</w:t>
            </w:r>
          </w:p>
          <w:p>
            <w:pPr>
              <w:adjustRightInd w:val="0"/>
              <w:snapToGrid w:val="0"/>
              <w:jc w:val="center"/>
              <w:rPr>
                <w:kern w:val="0"/>
                <w:sz w:val="24"/>
              </w:rPr>
            </w:pPr>
            <w:r>
              <w:rPr>
                <w:sz w:val="24"/>
              </w:rPr>
              <w:t>评价情况</w:t>
            </w:r>
          </w:p>
        </w:tc>
        <w:tc>
          <w:tcPr>
            <w:tcW w:w="6488" w:type="dxa"/>
            <w:gridSpan w:val="3"/>
            <w:vAlign w:val="center"/>
          </w:tcPr>
          <w:p>
            <w:pPr>
              <w:adjustRightInd w:val="0"/>
              <w:snapToGrid w:val="0"/>
              <w:spacing w:line="360" w:lineRule="auto"/>
              <w:jc w:val="center"/>
              <w:rPr>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kern w:val="0"/>
                <w:sz w:val="24"/>
              </w:rPr>
            </w:pPr>
            <w:r>
              <w:rPr>
                <w:kern w:val="0"/>
                <w:sz w:val="24"/>
              </w:rPr>
              <w:t>规划及规划环境</w:t>
            </w:r>
          </w:p>
          <w:p>
            <w:pPr>
              <w:autoSpaceDE w:val="0"/>
              <w:autoSpaceDN w:val="0"/>
              <w:adjustRightInd w:val="0"/>
              <w:snapToGrid w:val="0"/>
              <w:jc w:val="center"/>
              <w:rPr>
                <w:kern w:val="0"/>
                <w:sz w:val="24"/>
              </w:rPr>
            </w:pPr>
            <w:r>
              <w:rPr>
                <w:kern w:val="0"/>
                <w:sz w:val="24"/>
              </w:rPr>
              <w:t>影响评价符合性分析</w:t>
            </w:r>
          </w:p>
        </w:tc>
        <w:tc>
          <w:tcPr>
            <w:tcW w:w="6488" w:type="dxa"/>
            <w:gridSpan w:val="3"/>
            <w:vAlign w:val="center"/>
          </w:tcPr>
          <w:p>
            <w:pPr>
              <w:autoSpaceDE w:val="0"/>
              <w:autoSpaceDN w:val="0"/>
              <w:adjustRightInd w:val="0"/>
              <w:snapToGrid w:val="0"/>
              <w:spacing w:line="360" w:lineRule="auto"/>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kern w:val="0"/>
                <w:sz w:val="24"/>
              </w:rPr>
            </w:pPr>
            <w:r>
              <w:rPr>
                <w:kern w:val="0"/>
                <w:sz w:val="24"/>
              </w:rPr>
              <w:t>其他符合性分析</w:t>
            </w:r>
          </w:p>
        </w:tc>
        <w:tc>
          <w:tcPr>
            <w:tcW w:w="6488" w:type="dxa"/>
            <w:gridSpan w:val="3"/>
            <w:vAlign w:val="center"/>
          </w:tcPr>
          <w:p>
            <w:pPr>
              <w:autoSpaceDE w:val="0"/>
              <w:autoSpaceDN w:val="0"/>
              <w:adjustRightInd w:val="0"/>
              <w:snapToGrid w:val="0"/>
              <w:spacing w:line="360" w:lineRule="auto"/>
              <w:ind w:firstLine="480" w:firstLineChars="200"/>
              <w:rPr>
                <w:kern w:val="0"/>
                <w:sz w:val="24"/>
              </w:rPr>
            </w:pPr>
            <w:r>
              <w:rPr>
                <w:kern w:val="0"/>
                <w:sz w:val="24"/>
              </w:rPr>
              <w:t>1、产业政策相符性分析</w:t>
            </w:r>
          </w:p>
          <w:p>
            <w:pPr>
              <w:autoSpaceDE w:val="0"/>
              <w:autoSpaceDN w:val="0"/>
              <w:adjustRightInd w:val="0"/>
              <w:snapToGrid w:val="0"/>
              <w:spacing w:line="360" w:lineRule="auto"/>
              <w:ind w:firstLine="480" w:firstLineChars="200"/>
              <w:rPr>
                <w:kern w:val="0"/>
                <w:sz w:val="24"/>
              </w:rPr>
            </w:pPr>
            <w:r>
              <w:rPr>
                <w:kern w:val="0"/>
                <w:sz w:val="24"/>
              </w:rPr>
              <w:t>根据国家发展和改革委员会发布的《产业结构调整指导目录（20</w:t>
            </w:r>
            <w:r>
              <w:rPr>
                <w:rFonts w:hint="eastAsia"/>
                <w:kern w:val="0"/>
                <w:sz w:val="24"/>
              </w:rPr>
              <w:t>24</w:t>
            </w:r>
            <w:r>
              <w:rPr>
                <w:kern w:val="0"/>
                <w:sz w:val="24"/>
              </w:rPr>
              <w:t>年本）》，</w:t>
            </w:r>
            <w:r>
              <w:rPr>
                <w:rFonts w:hint="eastAsia"/>
                <w:kern w:val="0"/>
                <w:sz w:val="24"/>
              </w:rPr>
              <w:t>本项目属于</w:t>
            </w:r>
            <w:bookmarkStart w:id="2" w:name="_Hlk170972735"/>
            <w:r>
              <w:rPr>
                <w:rFonts w:hint="eastAsia"/>
                <w:kern w:val="0"/>
                <w:sz w:val="24"/>
              </w:rPr>
              <w:t>第一类 鼓励类：三十七、卫生健康 第1．医疗服务设施建设：预防保健、卫生应急、卫生监督服务 设施建设，医疗卫生服务设施建设，传染病、儿童、精神卫生专科医院和康复医院（中心）、护理院（中心）、安宁疗护中心、全科医疗设施与服务，医养结合设施与服务</w:t>
            </w:r>
            <w:bookmarkEnd w:id="2"/>
            <w:r>
              <w:rPr>
                <w:rFonts w:hint="eastAsia"/>
                <w:kern w:val="0"/>
                <w:sz w:val="24"/>
              </w:rPr>
              <w:t>。</w:t>
            </w:r>
          </w:p>
          <w:p>
            <w:pPr>
              <w:autoSpaceDE w:val="0"/>
              <w:autoSpaceDN w:val="0"/>
              <w:adjustRightInd w:val="0"/>
              <w:snapToGrid w:val="0"/>
              <w:spacing w:line="360" w:lineRule="auto"/>
              <w:ind w:firstLine="480" w:firstLineChars="200"/>
              <w:rPr>
                <w:kern w:val="0"/>
                <w:sz w:val="24"/>
              </w:rPr>
            </w:pPr>
            <w:r>
              <w:rPr>
                <w:kern w:val="0"/>
                <w:sz w:val="24"/>
              </w:rPr>
              <w:t>综上，本项目符合相关的产业政策。</w:t>
            </w:r>
          </w:p>
          <w:p>
            <w:pPr>
              <w:autoSpaceDE w:val="0"/>
              <w:autoSpaceDN w:val="0"/>
              <w:adjustRightInd w:val="0"/>
              <w:snapToGrid w:val="0"/>
              <w:spacing w:line="360" w:lineRule="auto"/>
              <w:ind w:firstLine="480" w:firstLineChars="200"/>
              <w:rPr>
                <w:kern w:val="0"/>
                <w:sz w:val="24"/>
              </w:rPr>
            </w:pPr>
            <w:r>
              <w:rPr>
                <w:rFonts w:hint="eastAsia"/>
                <w:kern w:val="0"/>
                <w:sz w:val="24"/>
              </w:rPr>
              <w:t>2</w:t>
            </w:r>
            <w:r>
              <w:rPr>
                <w:kern w:val="0"/>
                <w:sz w:val="24"/>
              </w:rPr>
              <w:t>、</w:t>
            </w:r>
            <w:r>
              <w:rPr>
                <w:rFonts w:hint="eastAsia"/>
                <w:kern w:val="0"/>
                <w:sz w:val="24"/>
              </w:rPr>
              <w:t>与“三线一单”符合性分析</w:t>
            </w:r>
          </w:p>
          <w:p>
            <w:pPr>
              <w:autoSpaceDE w:val="0"/>
              <w:autoSpaceDN w:val="0"/>
              <w:adjustRightInd w:val="0"/>
              <w:snapToGrid w:val="0"/>
              <w:spacing w:line="360" w:lineRule="auto"/>
              <w:ind w:firstLine="480" w:firstLineChars="200"/>
              <w:rPr>
                <w:kern w:val="0"/>
                <w:sz w:val="24"/>
              </w:rPr>
            </w:pPr>
            <w:r>
              <w:rPr>
                <w:kern w:val="0"/>
                <w:sz w:val="24"/>
              </w:rPr>
              <w:t>（1）生态保护红线</w:t>
            </w:r>
          </w:p>
          <w:p>
            <w:pPr>
              <w:autoSpaceDE w:val="0"/>
              <w:autoSpaceDN w:val="0"/>
              <w:adjustRightInd w:val="0"/>
              <w:snapToGrid w:val="0"/>
              <w:spacing w:line="360" w:lineRule="auto"/>
              <w:ind w:firstLine="480" w:firstLineChars="200"/>
              <w:rPr>
                <w:kern w:val="0"/>
                <w:sz w:val="24"/>
              </w:rPr>
            </w:pPr>
            <w:r>
              <w:rPr>
                <w:kern w:val="0"/>
                <w:sz w:val="24"/>
              </w:rPr>
              <w:t>本项目位于</w:t>
            </w:r>
            <w:r>
              <w:rPr>
                <w:rFonts w:hint="eastAsia"/>
                <w:sz w:val="24"/>
              </w:rPr>
              <w:t>常德市澧县澧浦街道羊古社区</w:t>
            </w:r>
            <w:r>
              <w:rPr>
                <w:kern w:val="0"/>
                <w:sz w:val="24"/>
              </w:rPr>
              <w:t>，</w:t>
            </w:r>
            <w:r>
              <w:rPr>
                <w:rFonts w:hint="eastAsia"/>
                <w:kern w:val="0"/>
                <w:sz w:val="24"/>
              </w:rPr>
              <w:t>根据《常德市“三线一单”生态环境管控基本要求暨环境管控单元生态环境准入清单》（2020年12月25日）的规定，本项目不在自然保护区、风景名胜区、饮用水水源保护区、森林公园、地质公园等重要生态功能区、生态敏感区和脆弱区以及其他要求禁止建设的环境敏感区内，符合生态保护红线的划定原则。具体位置见附图。</w:t>
            </w:r>
          </w:p>
          <w:p>
            <w:pPr>
              <w:autoSpaceDE w:val="0"/>
              <w:autoSpaceDN w:val="0"/>
              <w:adjustRightInd w:val="0"/>
              <w:snapToGrid w:val="0"/>
              <w:spacing w:line="360" w:lineRule="auto"/>
              <w:ind w:firstLine="480" w:firstLineChars="200"/>
              <w:rPr>
                <w:kern w:val="0"/>
                <w:sz w:val="24"/>
              </w:rPr>
            </w:pPr>
            <w:r>
              <w:rPr>
                <w:kern w:val="0"/>
                <w:sz w:val="24"/>
              </w:rPr>
              <w:t>（2）环境质量底线</w:t>
            </w:r>
          </w:p>
          <w:p>
            <w:pPr>
              <w:autoSpaceDE w:val="0"/>
              <w:autoSpaceDN w:val="0"/>
              <w:adjustRightInd w:val="0"/>
              <w:snapToGrid w:val="0"/>
              <w:spacing w:line="360" w:lineRule="auto"/>
              <w:ind w:firstLine="480" w:firstLineChars="200"/>
              <w:rPr>
                <w:kern w:val="0"/>
                <w:sz w:val="24"/>
              </w:rPr>
            </w:pPr>
            <w:r>
              <w:rPr>
                <w:rFonts w:hint="eastAsia"/>
                <w:kern w:val="0"/>
                <w:sz w:val="24"/>
              </w:rPr>
              <w:t>根据</w:t>
            </w:r>
            <w:r>
              <w:rPr>
                <w:rFonts w:hint="eastAsia"/>
                <w:sz w:val="24"/>
              </w:rPr>
              <w:t>《2023年1~12月常德市环境空气质量状况》</w:t>
            </w:r>
            <w:r>
              <w:rPr>
                <w:rFonts w:hint="eastAsia"/>
                <w:kern w:val="0"/>
                <w:sz w:val="24"/>
              </w:rPr>
              <w:t>中有关监测内容，</w:t>
            </w:r>
            <w:r>
              <w:rPr>
                <w:rFonts w:hint="eastAsia"/>
                <w:spacing w:val="3"/>
                <w:sz w:val="24"/>
              </w:rPr>
              <w:t>项目所在区域六项基本因子，均</w:t>
            </w:r>
            <w:r>
              <w:rPr>
                <w:kern w:val="0"/>
                <w:sz w:val="24"/>
              </w:rPr>
              <w:t>符合《环境空气质量标准》（GB3095-2012）中二级标准，本项目所在区域为环境空气质量达标区。</w:t>
            </w:r>
          </w:p>
          <w:p>
            <w:pPr>
              <w:autoSpaceDE w:val="0"/>
              <w:autoSpaceDN w:val="0"/>
              <w:adjustRightInd w:val="0"/>
              <w:snapToGrid w:val="0"/>
              <w:spacing w:line="360" w:lineRule="auto"/>
              <w:ind w:firstLine="480" w:firstLineChars="200"/>
              <w:rPr>
                <w:kern w:val="0"/>
                <w:sz w:val="24"/>
              </w:rPr>
            </w:pPr>
            <w:r>
              <w:rPr>
                <w:rFonts w:hint="eastAsia"/>
                <w:kern w:val="0"/>
                <w:sz w:val="24"/>
              </w:rPr>
              <w:t>根据其他因子实测结果，项目周边补充监测环境空气、噪声等监测因子均满足相应标准要求。本项目生产废水、废气达标排放，噪声厂界达标，固废能合理处置零排放。项目各污染物经治理后对周边环境影响较小，不会改变区域的环境质量，因此本项目符合环境质量底线要求。</w:t>
            </w:r>
          </w:p>
          <w:p>
            <w:pPr>
              <w:autoSpaceDE w:val="0"/>
              <w:autoSpaceDN w:val="0"/>
              <w:adjustRightInd w:val="0"/>
              <w:snapToGrid w:val="0"/>
              <w:spacing w:line="360" w:lineRule="auto"/>
              <w:ind w:firstLine="480" w:firstLineChars="200"/>
              <w:rPr>
                <w:kern w:val="0"/>
                <w:sz w:val="24"/>
              </w:rPr>
            </w:pPr>
            <w:r>
              <w:rPr>
                <w:kern w:val="0"/>
                <w:sz w:val="24"/>
              </w:rPr>
              <w:t>（3）资源利用上线</w:t>
            </w:r>
          </w:p>
          <w:p>
            <w:pPr>
              <w:autoSpaceDE w:val="0"/>
              <w:autoSpaceDN w:val="0"/>
              <w:adjustRightInd w:val="0"/>
              <w:snapToGrid w:val="0"/>
              <w:spacing w:line="360" w:lineRule="auto"/>
              <w:ind w:firstLine="480" w:firstLineChars="200"/>
              <w:rPr>
                <w:kern w:val="0"/>
                <w:sz w:val="24"/>
              </w:rPr>
            </w:pPr>
            <w:r>
              <w:rPr>
                <w:kern w:val="0"/>
                <w:sz w:val="24"/>
              </w:rPr>
              <w:t>本项目所使用的能源主要为</w:t>
            </w:r>
            <w:r>
              <w:rPr>
                <w:rFonts w:hint="eastAsia"/>
                <w:kern w:val="0"/>
                <w:sz w:val="24"/>
              </w:rPr>
              <w:t>电能，</w:t>
            </w:r>
            <w:r>
              <w:rPr>
                <w:kern w:val="0"/>
                <w:sz w:val="24"/>
              </w:rPr>
              <w:t>项目选用了高效、先进的设备，自动化程度较高，提高了生产效率，减少了产品的损耗率，减少了原料的用量和废料的产生量，减少了物流运输次数和运输量，节省了能源。综上，本项目的建设符合资源利用上线的要求。</w:t>
            </w:r>
          </w:p>
          <w:p>
            <w:pPr>
              <w:autoSpaceDE w:val="0"/>
              <w:autoSpaceDN w:val="0"/>
              <w:adjustRightInd w:val="0"/>
              <w:snapToGrid w:val="0"/>
              <w:spacing w:line="360" w:lineRule="auto"/>
              <w:ind w:firstLine="480" w:firstLineChars="200"/>
              <w:rPr>
                <w:kern w:val="0"/>
                <w:sz w:val="24"/>
              </w:rPr>
            </w:pPr>
            <w:r>
              <w:rPr>
                <w:kern w:val="0"/>
                <w:sz w:val="24"/>
              </w:rPr>
              <w:t>（4）环境准入负面清单</w:t>
            </w:r>
          </w:p>
          <w:p>
            <w:pPr>
              <w:autoSpaceDE w:val="0"/>
              <w:autoSpaceDN w:val="0"/>
              <w:adjustRightInd w:val="0"/>
              <w:snapToGrid w:val="0"/>
              <w:spacing w:line="360" w:lineRule="auto"/>
              <w:ind w:firstLine="480" w:firstLineChars="200"/>
              <w:rPr>
                <w:kern w:val="0"/>
                <w:sz w:val="24"/>
              </w:rPr>
            </w:pPr>
            <w:r>
              <w:rPr>
                <w:rFonts w:hint="eastAsia"/>
                <w:kern w:val="0"/>
                <w:sz w:val="24"/>
              </w:rPr>
              <w:t>根据《产业结构调整指导目录（2024年本）》，本项目不在淘汰类、限制类之列。本项目建设符合国家产业政策要求。</w:t>
            </w:r>
          </w:p>
          <w:p>
            <w:pPr>
              <w:autoSpaceDE w:val="0"/>
              <w:autoSpaceDN w:val="0"/>
              <w:adjustRightInd w:val="0"/>
              <w:snapToGrid w:val="0"/>
              <w:spacing w:line="360" w:lineRule="auto"/>
              <w:ind w:firstLine="480" w:firstLineChars="200"/>
              <w:rPr>
                <w:kern w:val="0"/>
                <w:sz w:val="24"/>
              </w:rPr>
            </w:pPr>
            <w:r>
              <w:rPr>
                <w:kern w:val="0"/>
                <w:sz w:val="24"/>
              </w:rPr>
              <w:t>2020年12月</w:t>
            </w:r>
            <w:r>
              <w:rPr>
                <w:rFonts w:hint="eastAsia"/>
                <w:kern w:val="0"/>
                <w:sz w:val="24"/>
              </w:rPr>
              <w:t>常德市人民政府发布《常德市“三线一单”生态环境管控基本要求暨环境管控单元生态环境准入清单》，根据清单管控要求，项目建设情况符合性如下表所示：</w:t>
            </w:r>
          </w:p>
          <w:p>
            <w:pPr>
              <w:autoSpaceDE w:val="0"/>
              <w:autoSpaceDN w:val="0"/>
              <w:adjustRightInd w:val="0"/>
              <w:snapToGrid w:val="0"/>
              <w:spacing w:line="360" w:lineRule="auto"/>
              <w:ind w:firstLine="442" w:firstLineChars="200"/>
              <w:jc w:val="center"/>
              <w:rPr>
                <w:b/>
                <w:bCs/>
                <w:kern w:val="0"/>
                <w:sz w:val="22"/>
                <w:szCs w:val="22"/>
              </w:rPr>
            </w:pPr>
            <w:r>
              <w:rPr>
                <w:b/>
                <w:bCs/>
                <w:kern w:val="0"/>
                <w:sz w:val="22"/>
                <w:szCs w:val="22"/>
              </w:rPr>
              <w:t>表1-</w:t>
            </w:r>
            <w:r>
              <w:rPr>
                <w:rFonts w:hint="eastAsia"/>
                <w:b/>
                <w:bCs/>
                <w:kern w:val="0"/>
                <w:sz w:val="22"/>
                <w:szCs w:val="22"/>
              </w:rPr>
              <w:t>2</w:t>
            </w:r>
            <w:r>
              <w:rPr>
                <w:b/>
                <w:bCs/>
                <w:kern w:val="0"/>
                <w:sz w:val="22"/>
                <w:szCs w:val="22"/>
              </w:rPr>
              <w:t xml:space="preserve">  </w:t>
            </w:r>
            <w:r>
              <w:rPr>
                <w:rFonts w:hint="eastAsia"/>
                <w:b/>
                <w:bCs/>
                <w:kern w:val="0"/>
                <w:sz w:val="22"/>
                <w:szCs w:val="22"/>
              </w:rPr>
              <w:t>项目建设情况与</w:t>
            </w:r>
            <w:r>
              <w:rPr>
                <w:b/>
                <w:bCs/>
                <w:kern w:val="0"/>
                <w:sz w:val="22"/>
                <w:szCs w:val="22"/>
              </w:rPr>
              <w:t>ZH43072330004</w:t>
            </w:r>
            <w:r>
              <w:rPr>
                <w:rFonts w:hint="eastAsia"/>
                <w:b/>
                <w:bCs/>
                <w:kern w:val="0"/>
                <w:sz w:val="22"/>
                <w:szCs w:val="22"/>
              </w:rPr>
              <w:t>单元管控要求对照表</w:t>
            </w:r>
          </w:p>
          <w:tbl>
            <w:tblPr>
              <w:tblStyle w:val="14"/>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4050"/>
              <w:gridCol w:w="1170"/>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autoSpaceDE w:val="0"/>
                    <w:autoSpaceDN w:val="0"/>
                    <w:adjustRightInd w:val="0"/>
                    <w:snapToGrid w:val="0"/>
                    <w:jc w:val="center"/>
                    <w:rPr>
                      <w:kern w:val="0"/>
                      <w:sz w:val="22"/>
                      <w:szCs w:val="22"/>
                    </w:rPr>
                  </w:pPr>
                  <w:r>
                    <w:rPr>
                      <w:rFonts w:hint="eastAsia"/>
                      <w:kern w:val="0"/>
                      <w:sz w:val="22"/>
                      <w:szCs w:val="22"/>
                    </w:rPr>
                    <w:t>管控维度</w:t>
                  </w:r>
                </w:p>
              </w:tc>
              <w:tc>
                <w:tcPr>
                  <w:tcW w:w="4050" w:type="dxa"/>
                  <w:vAlign w:val="center"/>
                </w:tcPr>
                <w:p>
                  <w:pPr>
                    <w:autoSpaceDE w:val="0"/>
                    <w:autoSpaceDN w:val="0"/>
                    <w:adjustRightInd w:val="0"/>
                    <w:snapToGrid w:val="0"/>
                    <w:jc w:val="center"/>
                    <w:rPr>
                      <w:kern w:val="0"/>
                      <w:sz w:val="22"/>
                      <w:szCs w:val="22"/>
                    </w:rPr>
                  </w:pPr>
                  <w:r>
                    <w:rPr>
                      <w:rFonts w:hint="eastAsia"/>
                      <w:kern w:val="0"/>
                      <w:sz w:val="22"/>
                      <w:szCs w:val="22"/>
                    </w:rPr>
                    <w:t>管控要求</w:t>
                  </w:r>
                </w:p>
              </w:tc>
              <w:tc>
                <w:tcPr>
                  <w:tcW w:w="1170" w:type="dxa"/>
                  <w:vAlign w:val="center"/>
                </w:tcPr>
                <w:p>
                  <w:pPr>
                    <w:autoSpaceDE w:val="0"/>
                    <w:autoSpaceDN w:val="0"/>
                    <w:adjustRightInd w:val="0"/>
                    <w:snapToGrid w:val="0"/>
                    <w:jc w:val="center"/>
                    <w:rPr>
                      <w:kern w:val="0"/>
                      <w:sz w:val="22"/>
                      <w:szCs w:val="22"/>
                    </w:rPr>
                  </w:pPr>
                  <w:r>
                    <w:rPr>
                      <w:rFonts w:hint="eastAsia"/>
                      <w:kern w:val="0"/>
                      <w:sz w:val="22"/>
                      <w:szCs w:val="22"/>
                    </w:rPr>
                    <w:t>本项目情况</w:t>
                  </w:r>
                </w:p>
              </w:tc>
              <w:tc>
                <w:tcPr>
                  <w:tcW w:w="454" w:type="dxa"/>
                  <w:vAlign w:val="center"/>
                </w:tcPr>
                <w:p>
                  <w:pPr>
                    <w:autoSpaceDE w:val="0"/>
                    <w:autoSpaceDN w:val="0"/>
                    <w:adjustRightInd w:val="0"/>
                    <w:snapToGrid w:val="0"/>
                    <w:jc w:val="center"/>
                    <w:rPr>
                      <w:kern w:val="0"/>
                      <w:sz w:val="22"/>
                      <w:szCs w:val="22"/>
                    </w:rPr>
                  </w:pPr>
                  <w:r>
                    <w:rPr>
                      <w:rFonts w:hint="eastAsia"/>
                      <w:kern w:val="0"/>
                      <w:sz w:val="22"/>
                      <w:szCs w:val="22"/>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autoSpaceDE w:val="0"/>
                    <w:autoSpaceDN w:val="0"/>
                    <w:adjustRightInd w:val="0"/>
                    <w:snapToGrid w:val="0"/>
                    <w:jc w:val="center"/>
                    <w:rPr>
                      <w:kern w:val="0"/>
                      <w:sz w:val="22"/>
                      <w:szCs w:val="22"/>
                    </w:rPr>
                  </w:pPr>
                  <w:r>
                    <w:rPr>
                      <w:rFonts w:hint="eastAsia"/>
                      <w:kern w:val="0"/>
                      <w:sz w:val="22"/>
                      <w:szCs w:val="22"/>
                    </w:rPr>
                    <w:t>空间布局约束</w:t>
                  </w:r>
                </w:p>
              </w:tc>
              <w:tc>
                <w:tcPr>
                  <w:tcW w:w="4050" w:type="dxa"/>
                  <w:vAlign w:val="center"/>
                </w:tcPr>
                <w:p>
                  <w:pPr>
                    <w:autoSpaceDE w:val="0"/>
                    <w:autoSpaceDN w:val="0"/>
                    <w:adjustRightInd w:val="0"/>
                    <w:snapToGrid w:val="0"/>
                    <w:rPr>
                      <w:kern w:val="0"/>
                      <w:sz w:val="22"/>
                      <w:szCs w:val="22"/>
                    </w:rPr>
                  </w:pPr>
                  <w:r>
                    <w:rPr>
                      <w:rFonts w:hint="eastAsia"/>
                      <w:kern w:val="0"/>
                      <w:sz w:val="22"/>
                      <w:szCs w:val="22"/>
                    </w:rPr>
                    <w:t>（1.1）城头山省级地质公园依法加强地质公园管理。</w:t>
                  </w:r>
                </w:p>
                <w:p>
                  <w:pPr>
                    <w:autoSpaceDE w:val="0"/>
                    <w:autoSpaceDN w:val="0"/>
                    <w:adjustRightInd w:val="0"/>
                    <w:snapToGrid w:val="0"/>
                    <w:rPr>
                      <w:kern w:val="0"/>
                      <w:sz w:val="22"/>
                      <w:szCs w:val="22"/>
                    </w:rPr>
                  </w:pPr>
                  <w:r>
                    <w:rPr>
                      <w:rFonts w:hint="eastAsia"/>
                      <w:kern w:val="0"/>
                      <w:sz w:val="22"/>
                      <w:szCs w:val="22"/>
                    </w:rPr>
                    <w:t>（1.2）严格执行相关行业企业布局选址要求，禁止在居住、商业、学校、医疗、养老机构、人口密集区和公共服务设施等周边新建有色金属冶炼、化工等行业企业。</w:t>
                  </w:r>
                </w:p>
                <w:p>
                  <w:pPr>
                    <w:autoSpaceDE w:val="0"/>
                    <w:autoSpaceDN w:val="0"/>
                    <w:adjustRightInd w:val="0"/>
                    <w:snapToGrid w:val="0"/>
                    <w:rPr>
                      <w:kern w:val="0"/>
                      <w:sz w:val="22"/>
                      <w:szCs w:val="22"/>
                    </w:rPr>
                  </w:pPr>
                  <w:r>
                    <w:rPr>
                      <w:rFonts w:hint="eastAsia"/>
                      <w:kern w:val="0"/>
                      <w:sz w:val="22"/>
                      <w:szCs w:val="22"/>
                    </w:rPr>
                    <w:t>（1.3）加快清洁能源替代利用。推进热电联产、集中供热和工业余热利用。</w:t>
                  </w:r>
                </w:p>
                <w:p>
                  <w:pPr>
                    <w:autoSpaceDE w:val="0"/>
                    <w:autoSpaceDN w:val="0"/>
                    <w:adjustRightInd w:val="0"/>
                    <w:snapToGrid w:val="0"/>
                    <w:rPr>
                      <w:kern w:val="0"/>
                      <w:sz w:val="22"/>
                      <w:szCs w:val="22"/>
                    </w:rPr>
                  </w:pPr>
                  <w:r>
                    <w:rPr>
                      <w:rFonts w:hint="eastAsia"/>
                      <w:kern w:val="0"/>
                      <w:sz w:val="22"/>
                      <w:szCs w:val="22"/>
                    </w:rPr>
                    <w:t>（1.4）生态保护红线原则上按禁止开发区域的要求进行管理，严禁不符合主体功能定位的各类开发活动，严禁任意改变用途。明确属地管理责任，实行严格管控，加大生态保护补偿力度，加强生态保护与修复，建立监测网络和监管平台。</w:t>
                  </w:r>
                </w:p>
              </w:tc>
              <w:tc>
                <w:tcPr>
                  <w:tcW w:w="1170" w:type="dxa"/>
                  <w:vAlign w:val="center"/>
                </w:tcPr>
                <w:p>
                  <w:pPr>
                    <w:autoSpaceDE w:val="0"/>
                    <w:autoSpaceDN w:val="0"/>
                    <w:adjustRightInd w:val="0"/>
                    <w:snapToGrid w:val="0"/>
                    <w:jc w:val="left"/>
                    <w:rPr>
                      <w:kern w:val="0"/>
                      <w:sz w:val="22"/>
                      <w:szCs w:val="22"/>
                    </w:rPr>
                  </w:pPr>
                  <w:r>
                    <w:rPr>
                      <w:rFonts w:hint="eastAsia"/>
                      <w:kern w:val="0"/>
                      <w:sz w:val="22"/>
                      <w:szCs w:val="22"/>
                    </w:rPr>
                    <w:t>本项目属于医疗基础设施建设，建设地不涉及生态红线</w:t>
                  </w:r>
                </w:p>
              </w:tc>
              <w:tc>
                <w:tcPr>
                  <w:tcW w:w="454" w:type="dxa"/>
                  <w:vAlign w:val="center"/>
                </w:tcPr>
                <w:p>
                  <w:pPr>
                    <w:autoSpaceDE w:val="0"/>
                    <w:autoSpaceDN w:val="0"/>
                    <w:adjustRightInd w:val="0"/>
                    <w:snapToGrid w:val="0"/>
                    <w:jc w:val="center"/>
                    <w:rPr>
                      <w:kern w:val="0"/>
                      <w:sz w:val="22"/>
                      <w:szCs w:val="22"/>
                    </w:rPr>
                  </w:pPr>
                  <w:r>
                    <w:rPr>
                      <w:rFonts w:hint="eastAsia"/>
                      <w:kern w:val="0"/>
                      <w:sz w:val="22"/>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autoSpaceDE w:val="0"/>
                    <w:autoSpaceDN w:val="0"/>
                    <w:adjustRightInd w:val="0"/>
                    <w:snapToGrid w:val="0"/>
                    <w:jc w:val="center"/>
                    <w:rPr>
                      <w:kern w:val="0"/>
                      <w:sz w:val="22"/>
                      <w:szCs w:val="22"/>
                    </w:rPr>
                  </w:pPr>
                  <w:r>
                    <w:rPr>
                      <w:rFonts w:hint="eastAsia"/>
                      <w:kern w:val="0"/>
                      <w:sz w:val="22"/>
                      <w:szCs w:val="22"/>
                    </w:rPr>
                    <w:t>污染物排放管控</w:t>
                  </w:r>
                </w:p>
              </w:tc>
              <w:tc>
                <w:tcPr>
                  <w:tcW w:w="4050" w:type="dxa"/>
                  <w:vAlign w:val="center"/>
                </w:tcPr>
                <w:p>
                  <w:pPr>
                    <w:autoSpaceDE w:val="0"/>
                    <w:autoSpaceDN w:val="0"/>
                    <w:adjustRightInd w:val="0"/>
                    <w:snapToGrid w:val="0"/>
                    <w:rPr>
                      <w:kern w:val="0"/>
                      <w:sz w:val="22"/>
                      <w:szCs w:val="22"/>
                    </w:rPr>
                  </w:pPr>
                  <w:r>
                    <w:rPr>
                      <w:rFonts w:hint="eastAsia"/>
                      <w:kern w:val="0"/>
                      <w:sz w:val="22"/>
                      <w:szCs w:val="22"/>
                    </w:rPr>
                    <w:t>（2.1）开展土壤污染综合防治先行区建设，建立土壤污染防治长效机制。将建设用地土壤环境管理要求纳入城市规划和供地管理，强化土壤污染治理和修复。</w:t>
                  </w:r>
                </w:p>
                <w:p>
                  <w:pPr>
                    <w:autoSpaceDE w:val="0"/>
                    <w:autoSpaceDN w:val="0"/>
                    <w:adjustRightInd w:val="0"/>
                    <w:snapToGrid w:val="0"/>
                    <w:rPr>
                      <w:kern w:val="0"/>
                      <w:sz w:val="22"/>
                      <w:szCs w:val="22"/>
                    </w:rPr>
                  </w:pPr>
                  <w:r>
                    <w:rPr>
                      <w:rFonts w:hint="eastAsia"/>
                      <w:kern w:val="0"/>
                      <w:sz w:val="22"/>
                      <w:szCs w:val="22"/>
                    </w:rPr>
                    <w:t>（2.2）推进工业集聚区工业废水集中治理。建设工业污水集中处理设施及配套管网，集聚区内工业企业废水必须经预处理达到集中处理要求，方可进入污水集中处理设施。新建、升级工业集聚区应同步规划、建设污水、垃圾集中处理等污染治理设施。</w:t>
                  </w:r>
                </w:p>
                <w:p>
                  <w:pPr>
                    <w:autoSpaceDE w:val="0"/>
                    <w:autoSpaceDN w:val="0"/>
                    <w:adjustRightInd w:val="0"/>
                    <w:snapToGrid w:val="0"/>
                    <w:rPr>
                      <w:kern w:val="0"/>
                      <w:sz w:val="22"/>
                      <w:szCs w:val="22"/>
                    </w:rPr>
                  </w:pPr>
                  <w:r>
                    <w:rPr>
                      <w:rFonts w:hint="eastAsia"/>
                      <w:kern w:val="0"/>
                      <w:sz w:val="22"/>
                      <w:szCs w:val="22"/>
                    </w:rPr>
                    <w:t>（2.3）禁燃区内禁止燃用、销售高污染燃料；禁止新建、改建、扩建燃用高污染燃料的锅炉、炉窑、工业及经营性炉灶等燃烧设施（热电联产、电厂锅炉除外）。</w:t>
                  </w:r>
                </w:p>
                <w:p>
                  <w:pPr>
                    <w:autoSpaceDE w:val="0"/>
                    <w:autoSpaceDN w:val="0"/>
                    <w:adjustRightInd w:val="0"/>
                    <w:snapToGrid w:val="0"/>
                    <w:rPr>
                      <w:kern w:val="0"/>
                      <w:sz w:val="22"/>
                      <w:szCs w:val="22"/>
                    </w:rPr>
                  </w:pPr>
                  <w:r>
                    <w:rPr>
                      <w:rFonts w:hint="eastAsia"/>
                      <w:kern w:val="0"/>
                      <w:sz w:val="22"/>
                      <w:szCs w:val="22"/>
                    </w:rPr>
                    <w:t>（2.4）治理船舶污染。依法强制报废超过使用年限的船舶，严格执行船舶污染物排放标准，限期淘汰不能达标排放的船舶，严禁新建不达标船舶进入运输市场。规范拆船行为，禁止冲滩拆解。禁止生活污水排放达不到要求的内河运输船舶以及单壳化学品船、600载重吨以上的单壳油船进入洞庭湖水域航行，加强港口码头污染防治。</w:t>
                  </w:r>
                </w:p>
                <w:p>
                  <w:pPr>
                    <w:autoSpaceDE w:val="0"/>
                    <w:autoSpaceDN w:val="0"/>
                    <w:adjustRightInd w:val="0"/>
                    <w:snapToGrid w:val="0"/>
                    <w:rPr>
                      <w:kern w:val="0"/>
                      <w:sz w:val="22"/>
                      <w:szCs w:val="22"/>
                    </w:rPr>
                  </w:pPr>
                  <w:r>
                    <w:rPr>
                      <w:rFonts w:hint="eastAsia"/>
                      <w:kern w:val="0"/>
                      <w:sz w:val="22"/>
                      <w:szCs w:val="22"/>
                    </w:rPr>
                    <w:t>（2.5）防控企业污染。禁止在优先保护类耕地集中区域新建有色金属冶炼、化工、电镀、制革、危险废物经营等行业企业。</w:t>
                  </w:r>
                </w:p>
                <w:p>
                  <w:pPr>
                    <w:autoSpaceDE w:val="0"/>
                    <w:autoSpaceDN w:val="0"/>
                    <w:adjustRightInd w:val="0"/>
                    <w:snapToGrid w:val="0"/>
                    <w:rPr>
                      <w:kern w:val="0"/>
                      <w:sz w:val="22"/>
                      <w:szCs w:val="22"/>
                    </w:rPr>
                  </w:pPr>
                  <w:r>
                    <w:rPr>
                      <w:rFonts w:hint="eastAsia"/>
                      <w:kern w:val="0"/>
                      <w:sz w:val="22"/>
                      <w:szCs w:val="22"/>
                    </w:rPr>
                    <w:t>（2.6）加强畜禽养殖污染防治。严格规范兽药、饲料添加剂的生产和使用，杜绝过量使用。合理布局畜禽养殖企业，已建成的相关企业应当按照有关标准、规定采取措施，防止对耕地造成污染。</w:t>
                  </w:r>
                </w:p>
              </w:tc>
              <w:tc>
                <w:tcPr>
                  <w:tcW w:w="1170" w:type="dxa"/>
                  <w:vAlign w:val="center"/>
                </w:tcPr>
                <w:p>
                  <w:pPr>
                    <w:autoSpaceDE w:val="0"/>
                    <w:autoSpaceDN w:val="0"/>
                    <w:adjustRightInd w:val="0"/>
                    <w:snapToGrid w:val="0"/>
                    <w:jc w:val="center"/>
                    <w:rPr>
                      <w:kern w:val="0"/>
                      <w:sz w:val="22"/>
                      <w:szCs w:val="22"/>
                    </w:rPr>
                  </w:pPr>
                  <w:r>
                    <w:rPr>
                      <w:rFonts w:hint="eastAsia"/>
                      <w:kern w:val="0"/>
                      <w:sz w:val="22"/>
                      <w:szCs w:val="22"/>
                    </w:rPr>
                    <w:t>不涉及</w:t>
                  </w:r>
                </w:p>
              </w:tc>
              <w:tc>
                <w:tcPr>
                  <w:tcW w:w="454" w:type="dxa"/>
                  <w:vAlign w:val="center"/>
                </w:tcPr>
                <w:p>
                  <w:pPr>
                    <w:autoSpaceDE w:val="0"/>
                    <w:autoSpaceDN w:val="0"/>
                    <w:adjustRightInd w:val="0"/>
                    <w:snapToGrid w:val="0"/>
                    <w:jc w:val="center"/>
                    <w:rPr>
                      <w:kern w:val="0"/>
                      <w:sz w:val="22"/>
                      <w:szCs w:val="22"/>
                    </w:rPr>
                  </w:pPr>
                  <w:r>
                    <w:rPr>
                      <w:rFonts w:hint="eastAsia"/>
                      <w:kern w:val="0"/>
                      <w:sz w:val="22"/>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autoSpaceDE w:val="0"/>
                    <w:autoSpaceDN w:val="0"/>
                    <w:adjustRightInd w:val="0"/>
                    <w:snapToGrid w:val="0"/>
                    <w:jc w:val="center"/>
                    <w:rPr>
                      <w:kern w:val="0"/>
                      <w:sz w:val="22"/>
                      <w:szCs w:val="22"/>
                    </w:rPr>
                  </w:pPr>
                  <w:r>
                    <w:rPr>
                      <w:rFonts w:hint="eastAsia"/>
                      <w:kern w:val="0"/>
                      <w:sz w:val="22"/>
                      <w:szCs w:val="22"/>
                    </w:rPr>
                    <w:t>环境风险防控</w:t>
                  </w:r>
                </w:p>
              </w:tc>
              <w:tc>
                <w:tcPr>
                  <w:tcW w:w="4050" w:type="dxa"/>
                  <w:vAlign w:val="center"/>
                </w:tcPr>
                <w:p>
                  <w:pPr>
                    <w:autoSpaceDE w:val="0"/>
                    <w:autoSpaceDN w:val="0"/>
                    <w:adjustRightInd w:val="0"/>
                    <w:snapToGrid w:val="0"/>
                    <w:rPr>
                      <w:kern w:val="0"/>
                      <w:sz w:val="22"/>
                      <w:szCs w:val="22"/>
                    </w:rPr>
                  </w:pPr>
                  <w:r>
                    <w:rPr>
                      <w:rFonts w:hint="eastAsia"/>
                      <w:kern w:val="0"/>
                      <w:sz w:val="22"/>
                      <w:szCs w:val="22"/>
                    </w:rPr>
                    <w:t>（3.1）防治地下水污染。对地下水自来水厂进行提质改造，化工生产存贮销售企业和工业园区、矿山开采区、垃圾填埋场等区域应进行必要的防渗处理。加油站地下油罐应全部更新为双层罐或完成防渗池设置。报废矿井、钻井、取水井应实施封井回填。制订地下水污染场地清单，积极推进地下水修复治理试点工作。</w:t>
                  </w:r>
                </w:p>
                <w:p>
                  <w:pPr>
                    <w:autoSpaceDE w:val="0"/>
                    <w:autoSpaceDN w:val="0"/>
                    <w:adjustRightInd w:val="0"/>
                    <w:snapToGrid w:val="0"/>
                    <w:rPr>
                      <w:kern w:val="0"/>
                      <w:sz w:val="22"/>
                      <w:szCs w:val="22"/>
                    </w:rPr>
                  </w:pPr>
                  <w:r>
                    <w:rPr>
                      <w:rFonts w:hint="eastAsia"/>
                      <w:kern w:val="0"/>
                      <w:sz w:val="22"/>
                      <w:szCs w:val="22"/>
                    </w:rPr>
                    <w:t>（3.2）定期评估沿江河湖库工业企业、工业集聚区环境，落实防控措施。制定和完善突发环境事件处置应急预案，确定责任主体，明确预警预报与响应程序、应急处置及保障措施等内容，依法及时公布预警信息。依据国家相关规定，工业企业进一步提升风险防控和突发环境事件应急处理处置能力。</w:t>
                  </w:r>
                </w:p>
                <w:p>
                  <w:pPr>
                    <w:autoSpaceDE w:val="0"/>
                    <w:autoSpaceDN w:val="0"/>
                    <w:adjustRightInd w:val="0"/>
                    <w:snapToGrid w:val="0"/>
                    <w:rPr>
                      <w:kern w:val="0"/>
                      <w:sz w:val="22"/>
                      <w:szCs w:val="22"/>
                    </w:rPr>
                  </w:pPr>
                  <w:r>
                    <w:rPr>
                      <w:rFonts w:hint="eastAsia"/>
                      <w:kern w:val="0"/>
                      <w:sz w:val="22"/>
                      <w:szCs w:val="22"/>
                    </w:rPr>
                    <w:t>（3.3）加强水源地污染整治。关闭饮用水水源保护区入河排污口，完成县级城市集中式饮用水水源保护区违规建设项目清理。严格执行供水单位卫生许可证制度。加强农村饮用水水质监测能力建设，建立健全群众和社会舆论监督机制。</w:t>
                  </w:r>
                </w:p>
                <w:p>
                  <w:pPr>
                    <w:autoSpaceDE w:val="0"/>
                    <w:autoSpaceDN w:val="0"/>
                    <w:adjustRightInd w:val="0"/>
                    <w:snapToGrid w:val="0"/>
                    <w:rPr>
                      <w:kern w:val="0"/>
                      <w:sz w:val="22"/>
                      <w:szCs w:val="22"/>
                    </w:rPr>
                  </w:pPr>
                  <w:r>
                    <w:rPr>
                      <w:rFonts w:hint="eastAsia"/>
                      <w:kern w:val="0"/>
                      <w:sz w:val="22"/>
                      <w:szCs w:val="22"/>
                    </w:rPr>
                    <w:t>（3.4）采用农艺调控、化学阻控、替代种植等措施，降低农产品重金属超标风险。</w:t>
                  </w:r>
                </w:p>
              </w:tc>
              <w:tc>
                <w:tcPr>
                  <w:tcW w:w="1170" w:type="dxa"/>
                  <w:vAlign w:val="center"/>
                </w:tcPr>
                <w:p>
                  <w:pPr>
                    <w:autoSpaceDE w:val="0"/>
                    <w:autoSpaceDN w:val="0"/>
                    <w:adjustRightInd w:val="0"/>
                    <w:snapToGrid w:val="0"/>
                    <w:jc w:val="left"/>
                    <w:rPr>
                      <w:kern w:val="0"/>
                      <w:sz w:val="22"/>
                      <w:szCs w:val="22"/>
                    </w:rPr>
                  </w:pPr>
                  <w:r>
                    <w:rPr>
                      <w:rFonts w:hint="eastAsia"/>
                      <w:kern w:val="0"/>
                      <w:sz w:val="22"/>
                      <w:szCs w:val="22"/>
                    </w:rPr>
                    <w:t>不涉及</w:t>
                  </w:r>
                </w:p>
              </w:tc>
              <w:tc>
                <w:tcPr>
                  <w:tcW w:w="454" w:type="dxa"/>
                  <w:vAlign w:val="center"/>
                </w:tcPr>
                <w:p>
                  <w:pPr>
                    <w:autoSpaceDE w:val="0"/>
                    <w:autoSpaceDN w:val="0"/>
                    <w:adjustRightInd w:val="0"/>
                    <w:snapToGrid w:val="0"/>
                    <w:jc w:val="center"/>
                    <w:rPr>
                      <w:kern w:val="0"/>
                      <w:sz w:val="22"/>
                      <w:szCs w:val="22"/>
                    </w:rPr>
                  </w:pPr>
                  <w:r>
                    <w:rPr>
                      <w:rFonts w:hint="eastAsia"/>
                      <w:kern w:val="0"/>
                      <w:sz w:val="22"/>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autoSpaceDE w:val="0"/>
                    <w:autoSpaceDN w:val="0"/>
                    <w:adjustRightInd w:val="0"/>
                    <w:snapToGrid w:val="0"/>
                    <w:jc w:val="center"/>
                    <w:rPr>
                      <w:kern w:val="0"/>
                      <w:sz w:val="22"/>
                      <w:szCs w:val="22"/>
                    </w:rPr>
                  </w:pPr>
                  <w:r>
                    <w:rPr>
                      <w:rFonts w:hint="eastAsia"/>
                      <w:kern w:val="0"/>
                      <w:sz w:val="22"/>
                      <w:szCs w:val="22"/>
                    </w:rPr>
                    <w:t>资源开发 效率要求</w:t>
                  </w:r>
                </w:p>
              </w:tc>
              <w:tc>
                <w:tcPr>
                  <w:tcW w:w="4050" w:type="dxa"/>
                  <w:vAlign w:val="center"/>
                </w:tcPr>
                <w:p>
                  <w:pPr>
                    <w:autoSpaceDE w:val="0"/>
                    <w:autoSpaceDN w:val="0"/>
                    <w:adjustRightInd w:val="0"/>
                    <w:snapToGrid w:val="0"/>
                    <w:rPr>
                      <w:kern w:val="0"/>
                      <w:sz w:val="22"/>
                      <w:szCs w:val="22"/>
                    </w:rPr>
                  </w:pPr>
                  <w:r>
                    <w:rPr>
                      <w:rFonts w:hint="eastAsia"/>
                      <w:kern w:val="0"/>
                      <w:sz w:val="22"/>
                      <w:szCs w:val="22"/>
                    </w:rPr>
                    <w:t>（4.1）水资源</w:t>
                  </w:r>
                </w:p>
                <w:p>
                  <w:pPr>
                    <w:autoSpaceDE w:val="0"/>
                    <w:autoSpaceDN w:val="0"/>
                    <w:adjustRightInd w:val="0"/>
                    <w:snapToGrid w:val="0"/>
                    <w:rPr>
                      <w:kern w:val="0"/>
                      <w:sz w:val="22"/>
                      <w:szCs w:val="22"/>
                    </w:rPr>
                  </w:pPr>
                  <w:r>
                    <w:rPr>
                      <w:rFonts w:hint="eastAsia"/>
                      <w:kern w:val="0"/>
                      <w:sz w:val="22"/>
                      <w:szCs w:val="22"/>
                    </w:rPr>
                    <w:t>（4.1.1）建立预警体系，发布预警信息，强化水资源承载能力对经济社会发展的刚性约束，推进重大产业布局和各类开发区规划水资源论证，严格建设项目水资源论证，对未依法完成水资源论证工作的建设项目，建设单位不得擅自开工建设和投产使用。推广喷灌、微灌、集雨补灌、低压管道输水灌溉、水田控制灌溉和水肥一体化等高效节水技术，推进学校、医院、宾馆、洗浴等重点行业节水技术改造，全面开展节水型公共机构、居民小区建设。限期关闭未批准的和公共供水管网覆盖范围内的自备水井。</w:t>
                  </w:r>
                </w:p>
                <w:p>
                  <w:pPr>
                    <w:autoSpaceDE w:val="0"/>
                    <w:autoSpaceDN w:val="0"/>
                    <w:adjustRightInd w:val="0"/>
                    <w:snapToGrid w:val="0"/>
                    <w:rPr>
                      <w:kern w:val="0"/>
                      <w:sz w:val="22"/>
                      <w:szCs w:val="22"/>
                    </w:rPr>
                  </w:pPr>
                  <w:r>
                    <w:rPr>
                      <w:rFonts w:hint="eastAsia"/>
                      <w:kern w:val="0"/>
                      <w:sz w:val="22"/>
                      <w:szCs w:val="22"/>
                    </w:rPr>
                    <w:t>（4.1.2）到2020年，全县农田灌溉水有效利用系数达到0.591。</w:t>
                  </w:r>
                </w:p>
                <w:p>
                  <w:pPr>
                    <w:autoSpaceDE w:val="0"/>
                    <w:autoSpaceDN w:val="0"/>
                    <w:adjustRightInd w:val="0"/>
                    <w:snapToGrid w:val="0"/>
                    <w:rPr>
                      <w:kern w:val="0"/>
                      <w:sz w:val="22"/>
                      <w:szCs w:val="22"/>
                    </w:rPr>
                  </w:pPr>
                  <w:r>
                    <w:rPr>
                      <w:rFonts w:hint="eastAsia"/>
                      <w:kern w:val="0"/>
                      <w:sz w:val="22"/>
                      <w:szCs w:val="22"/>
                    </w:rPr>
                    <w:t>（4.2）土地资源</w:t>
                  </w:r>
                </w:p>
                <w:p>
                  <w:pPr>
                    <w:autoSpaceDE w:val="0"/>
                    <w:autoSpaceDN w:val="0"/>
                    <w:adjustRightInd w:val="0"/>
                    <w:snapToGrid w:val="0"/>
                    <w:rPr>
                      <w:kern w:val="0"/>
                      <w:sz w:val="22"/>
                      <w:szCs w:val="22"/>
                    </w:rPr>
                  </w:pPr>
                  <w:r>
                    <w:rPr>
                      <w:rFonts w:hint="eastAsia"/>
                      <w:kern w:val="0"/>
                      <w:sz w:val="22"/>
                      <w:szCs w:val="22"/>
                    </w:rPr>
                    <w:t>（4.2.1）城市、村庄和集镇建设不得占用基本农田，交通、水利、能源等基础设施项目，因选址特殊，无法避让基本农田的，必须报国务院批准。禁止违法占用基本农田进行绿色通道、绿化隔离带和防护林建设，禁止改变基本农田土壤性状发展林果业和挖塘养鱼，禁止开展对基本农田耕作层造成永久性破坏的临时工程和其他各项活动。</w:t>
                  </w:r>
                </w:p>
                <w:p>
                  <w:pPr>
                    <w:autoSpaceDE w:val="0"/>
                    <w:autoSpaceDN w:val="0"/>
                    <w:adjustRightInd w:val="0"/>
                    <w:snapToGrid w:val="0"/>
                    <w:rPr>
                      <w:kern w:val="0"/>
                      <w:sz w:val="22"/>
                      <w:szCs w:val="22"/>
                    </w:rPr>
                  </w:pPr>
                  <w:r>
                    <w:rPr>
                      <w:rFonts w:hint="eastAsia"/>
                      <w:kern w:val="0"/>
                      <w:sz w:val="22"/>
                      <w:szCs w:val="22"/>
                    </w:rPr>
                    <w:t>（4.2.2）到2020年，城头山镇基本农田保护区不低于5843.60公顷，一般农地区不低于1159.31公顷，城镇建设用地区控制在79.15公顷以内，村镇建设用地区控制在1308.48公顷以内，独立工矿区控制在50.82公顷以内。澧澹街道基本农田保护区不低于1208.75公顷，一般农地区不低于897.20公顷，城镇建设用地区控制在749.02公顷以内，村镇建设用地区控制在490.19公顷以内，独立工矿区控制在15.75公顷以内。澧浦街道基本农田保护区不低于389.35公顷，一般农地区不低于408.91公顷，城镇建设用地区控制在900.77公顷以内，村镇建设用地区控制在234.83公顷以内，独立工矿区控制在17.73公顷以内。澧西街道基本农田保护区不低于1672.15公顷，一般农地区不低于462.00公顷，城镇建设用地区控制在985.63公顷以内，村镇建设用地区控制在489.98公顷以内，独立工矿区控制在35.96公顷以内。澧阳街道基本农田保护区不低于542.89公顷，一般农地区不低于157.15公顷，城镇建设用地区控制在764.46公顷以内，村镇建设用地区控制在172.79公顷以内，独立工矿区控制在9.06公顷以内。</w:t>
                  </w:r>
                </w:p>
                <w:p>
                  <w:pPr>
                    <w:autoSpaceDE w:val="0"/>
                    <w:autoSpaceDN w:val="0"/>
                    <w:adjustRightInd w:val="0"/>
                    <w:snapToGrid w:val="0"/>
                    <w:rPr>
                      <w:kern w:val="0"/>
                      <w:sz w:val="22"/>
                      <w:szCs w:val="22"/>
                    </w:rPr>
                  </w:pPr>
                  <w:r>
                    <w:rPr>
                      <w:rFonts w:hint="eastAsia"/>
                      <w:kern w:val="0"/>
                      <w:sz w:val="22"/>
                      <w:szCs w:val="22"/>
                    </w:rPr>
                    <w:t>（4.3）能源</w:t>
                  </w:r>
                </w:p>
                <w:p>
                  <w:pPr>
                    <w:autoSpaceDE w:val="0"/>
                    <w:autoSpaceDN w:val="0"/>
                    <w:adjustRightInd w:val="0"/>
                    <w:snapToGrid w:val="0"/>
                    <w:rPr>
                      <w:kern w:val="0"/>
                      <w:sz w:val="22"/>
                      <w:szCs w:val="22"/>
                    </w:rPr>
                  </w:pPr>
                  <w:r>
                    <w:rPr>
                      <w:rFonts w:hint="eastAsia"/>
                      <w:kern w:val="0"/>
                      <w:sz w:val="22"/>
                      <w:szCs w:val="22"/>
                    </w:rPr>
                    <w:t>（4.3.1）坚持高能效、低污染、低排放、多种能源并举互补的发展目标，加快推进能源结构调整，提高能源利用效率，使用清洁能源，扩大本地可再生能源利用，推进绿色能源示范性建设。同时提升能源储备能力，形成可靠、经济、清洁、低碳的多元化能源保障体系。</w:t>
                  </w:r>
                </w:p>
              </w:tc>
              <w:tc>
                <w:tcPr>
                  <w:tcW w:w="1170" w:type="dxa"/>
                  <w:vAlign w:val="center"/>
                </w:tcPr>
                <w:p>
                  <w:pPr>
                    <w:autoSpaceDE w:val="0"/>
                    <w:autoSpaceDN w:val="0"/>
                    <w:adjustRightInd w:val="0"/>
                    <w:snapToGrid w:val="0"/>
                    <w:jc w:val="left"/>
                    <w:rPr>
                      <w:kern w:val="0"/>
                      <w:sz w:val="22"/>
                      <w:szCs w:val="22"/>
                    </w:rPr>
                  </w:pPr>
                  <w:r>
                    <w:rPr>
                      <w:rFonts w:hint="eastAsia"/>
                      <w:kern w:val="0"/>
                      <w:sz w:val="22"/>
                      <w:szCs w:val="22"/>
                    </w:rPr>
                    <w:t>本项目所使用的能源主要为电能与水，物耗及能耗水平均较低</w:t>
                  </w:r>
                </w:p>
              </w:tc>
              <w:tc>
                <w:tcPr>
                  <w:tcW w:w="454" w:type="dxa"/>
                  <w:vAlign w:val="center"/>
                </w:tcPr>
                <w:p>
                  <w:pPr>
                    <w:autoSpaceDE w:val="0"/>
                    <w:autoSpaceDN w:val="0"/>
                    <w:adjustRightInd w:val="0"/>
                    <w:snapToGrid w:val="0"/>
                    <w:jc w:val="center"/>
                    <w:rPr>
                      <w:kern w:val="0"/>
                      <w:sz w:val="22"/>
                      <w:szCs w:val="22"/>
                    </w:rPr>
                  </w:pPr>
                  <w:r>
                    <w:rPr>
                      <w:rFonts w:hint="eastAsia"/>
                      <w:kern w:val="0"/>
                      <w:sz w:val="22"/>
                      <w:szCs w:val="22"/>
                    </w:rPr>
                    <w:t>符合</w:t>
                  </w:r>
                </w:p>
              </w:tc>
            </w:tr>
          </w:tbl>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r>
              <w:rPr>
                <w:rFonts w:hint="eastAsia"/>
                <w:kern w:val="0"/>
                <w:sz w:val="24"/>
              </w:rPr>
              <w:t>3、与</w:t>
            </w:r>
            <w:bookmarkStart w:id="3" w:name="_Hlk170972766"/>
            <w:r>
              <w:rPr>
                <w:rFonts w:hint="eastAsia"/>
                <w:kern w:val="0"/>
                <w:sz w:val="24"/>
              </w:rPr>
              <w:t>《医院污水处理工程技术规范》（HJ2029-2013）</w:t>
            </w:r>
            <w:bookmarkEnd w:id="3"/>
            <w:r>
              <w:rPr>
                <w:rFonts w:hint="eastAsia"/>
                <w:kern w:val="0"/>
                <w:sz w:val="24"/>
              </w:rPr>
              <w:t>的符合性分析</w:t>
            </w:r>
          </w:p>
          <w:p>
            <w:pPr>
              <w:autoSpaceDE w:val="0"/>
              <w:autoSpaceDN w:val="0"/>
              <w:adjustRightInd w:val="0"/>
              <w:snapToGrid w:val="0"/>
              <w:spacing w:line="360" w:lineRule="auto"/>
              <w:ind w:firstLine="442" w:firstLineChars="200"/>
              <w:jc w:val="center"/>
              <w:rPr>
                <w:b/>
                <w:bCs/>
                <w:kern w:val="0"/>
                <w:sz w:val="22"/>
                <w:szCs w:val="22"/>
              </w:rPr>
            </w:pPr>
            <w:r>
              <w:rPr>
                <w:rFonts w:hint="eastAsia"/>
                <w:b/>
                <w:bCs/>
                <w:kern w:val="0"/>
                <w:sz w:val="22"/>
                <w:szCs w:val="22"/>
              </w:rPr>
              <w:t>表1-3   项目与《医院污水处理工程技术规范》符合性分析</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2253"/>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vAlign w:val="center"/>
                </w:tcPr>
                <w:p>
                  <w:pPr>
                    <w:jc w:val="center"/>
                    <w:rPr>
                      <w:szCs w:val="21"/>
                    </w:rPr>
                  </w:pPr>
                  <w:r>
                    <w:rPr>
                      <w:szCs w:val="21"/>
                    </w:rPr>
                    <w:t>《医院污水处理工程技术规范》</w:t>
                  </w:r>
                </w:p>
              </w:tc>
              <w:tc>
                <w:tcPr>
                  <w:tcW w:w="1773" w:type="pct"/>
                  <w:vAlign w:val="center"/>
                </w:tcPr>
                <w:p>
                  <w:pPr>
                    <w:jc w:val="center"/>
                    <w:rPr>
                      <w:szCs w:val="21"/>
                    </w:rPr>
                  </w:pPr>
                  <w:r>
                    <w:rPr>
                      <w:szCs w:val="21"/>
                    </w:rPr>
                    <w:t>本项目情况</w:t>
                  </w:r>
                </w:p>
              </w:tc>
              <w:tc>
                <w:tcPr>
                  <w:tcW w:w="668" w:type="pct"/>
                  <w:vAlign w:val="center"/>
                </w:tcPr>
                <w:p>
                  <w:pPr>
                    <w:jc w:val="center"/>
                    <w:rPr>
                      <w:szCs w:val="21"/>
                    </w:rPr>
                  </w:pPr>
                  <w:r>
                    <w:rPr>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vAlign w:val="center"/>
                </w:tcPr>
                <w:p>
                  <w:pPr>
                    <w:rPr>
                      <w:szCs w:val="21"/>
                    </w:rPr>
                  </w:pPr>
                  <w:r>
                    <w:rPr>
                      <w:szCs w:val="21"/>
                    </w:rPr>
                    <w:t>第5.1.6条：医院污水处理构筑物应采取防腐蚀、防渗漏、防冻等技术措施，各种构筑物宜加盖密闭，并设通气装置</w:t>
                  </w:r>
                  <w:r>
                    <w:rPr>
                      <w:rFonts w:hint="eastAsia"/>
                      <w:szCs w:val="21"/>
                    </w:rPr>
                    <w:t>。</w:t>
                  </w:r>
                </w:p>
              </w:tc>
              <w:tc>
                <w:tcPr>
                  <w:tcW w:w="1773" w:type="pct"/>
                  <w:vAlign w:val="center"/>
                </w:tcPr>
                <w:p>
                  <w:pPr>
                    <w:rPr>
                      <w:szCs w:val="21"/>
                    </w:rPr>
                  </w:pPr>
                  <w:r>
                    <w:rPr>
                      <w:szCs w:val="21"/>
                    </w:rPr>
                    <w:t>本项目污水处理站采用</w:t>
                  </w:r>
                  <w:r>
                    <w:rPr>
                      <w:rFonts w:hint="eastAsia"/>
                      <w:szCs w:val="21"/>
                    </w:rPr>
                    <w:t>“A</w:t>
                  </w:r>
                  <w:r>
                    <w:rPr>
                      <w:szCs w:val="21"/>
                    </w:rPr>
                    <w:t>O</w:t>
                  </w:r>
                  <w:r>
                    <w:rPr>
                      <w:rFonts w:hint="eastAsia"/>
                      <w:szCs w:val="21"/>
                    </w:rPr>
                    <w:t>+二氧化氯消毒”</w:t>
                  </w:r>
                  <w:r>
                    <w:rPr>
                      <w:szCs w:val="21"/>
                    </w:rPr>
                    <w:t>，并进行防腐防渗设计，各种构筑物加盖密闭</w:t>
                  </w:r>
                  <w:r>
                    <w:rPr>
                      <w:rFonts w:hint="eastAsia"/>
                      <w:szCs w:val="21"/>
                    </w:rPr>
                    <w:t>。</w:t>
                  </w:r>
                </w:p>
              </w:tc>
              <w:tc>
                <w:tcPr>
                  <w:tcW w:w="668" w:type="pct"/>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vAlign w:val="center"/>
                </w:tcPr>
                <w:p>
                  <w:pPr>
                    <w:rPr>
                      <w:szCs w:val="21"/>
                    </w:rPr>
                  </w:pPr>
                  <w:r>
                    <w:rPr>
                      <w:szCs w:val="21"/>
                    </w:rPr>
                    <w:t>第5.1.8条：医院污水处理工程污染物排放应满足GB18466和地方污染物排放标准的有关要求</w:t>
                  </w:r>
                  <w:r>
                    <w:rPr>
                      <w:rFonts w:hint="eastAsia"/>
                      <w:szCs w:val="21"/>
                    </w:rPr>
                    <w:t>。</w:t>
                  </w:r>
                </w:p>
              </w:tc>
              <w:tc>
                <w:tcPr>
                  <w:tcW w:w="1773" w:type="pct"/>
                  <w:vAlign w:val="center"/>
                </w:tcPr>
                <w:p>
                  <w:pPr>
                    <w:rPr>
                      <w:szCs w:val="21"/>
                    </w:rPr>
                  </w:pPr>
                  <w:r>
                    <w:rPr>
                      <w:szCs w:val="21"/>
                    </w:rPr>
                    <w:t>本项目污水处理达到《医疗机构水污染物排放标准》</w:t>
                  </w:r>
                  <w:r>
                    <w:rPr>
                      <w:rFonts w:hint="eastAsia"/>
                      <w:szCs w:val="21"/>
                    </w:rPr>
                    <w:t>（</w:t>
                  </w:r>
                  <w:r>
                    <w:rPr>
                      <w:szCs w:val="21"/>
                    </w:rPr>
                    <w:t>GB18466-2005</w:t>
                  </w:r>
                  <w:r>
                    <w:rPr>
                      <w:rFonts w:hint="eastAsia"/>
                      <w:szCs w:val="21"/>
                    </w:rPr>
                    <w:t>）</w:t>
                  </w:r>
                  <w:r>
                    <w:rPr>
                      <w:szCs w:val="21"/>
                    </w:rPr>
                    <w:t>中表2预处理标准和</w:t>
                  </w:r>
                  <w:r>
                    <w:rPr>
                      <w:rFonts w:hint="eastAsia"/>
                      <w:szCs w:val="21"/>
                    </w:rPr>
                    <w:t>澧县污水处理厂进水水质要求。</w:t>
                  </w:r>
                </w:p>
              </w:tc>
              <w:tc>
                <w:tcPr>
                  <w:tcW w:w="668" w:type="pct"/>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vAlign w:val="center"/>
                </w:tcPr>
                <w:p>
                  <w:pPr>
                    <w:rPr>
                      <w:szCs w:val="21"/>
                    </w:rPr>
                  </w:pPr>
                  <w:r>
                    <w:rPr>
                      <w:szCs w:val="21"/>
                    </w:rPr>
                    <w:t>第6.1.3条：非传染病医院污水，若处理出水排入终端已建有正常运行的二级污水处理厂的城市污水管网时，可采用一级强化处理+消毒工艺。</w:t>
                  </w:r>
                </w:p>
              </w:tc>
              <w:tc>
                <w:tcPr>
                  <w:tcW w:w="1773" w:type="pct"/>
                  <w:vAlign w:val="center"/>
                </w:tcPr>
                <w:p>
                  <w:pPr>
                    <w:rPr>
                      <w:szCs w:val="21"/>
                    </w:rPr>
                  </w:pPr>
                  <w:r>
                    <w:rPr>
                      <w:szCs w:val="21"/>
                    </w:rPr>
                    <w:t>本项目污水处理站采用</w:t>
                  </w:r>
                  <w:r>
                    <w:rPr>
                      <w:rFonts w:hint="eastAsia"/>
                      <w:szCs w:val="21"/>
                    </w:rPr>
                    <w:t>“A</w:t>
                  </w:r>
                  <w:r>
                    <w:rPr>
                      <w:szCs w:val="21"/>
                    </w:rPr>
                    <w:t>O</w:t>
                  </w:r>
                  <w:r>
                    <w:rPr>
                      <w:rFonts w:hint="eastAsia"/>
                      <w:szCs w:val="21"/>
                    </w:rPr>
                    <w:t>+二氧化氯消毒”</w:t>
                  </w:r>
                  <w:r>
                    <w:rPr>
                      <w:szCs w:val="21"/>
                      <w:lang w:val="zh-CN"/>
                    </w:rPr>
                    <w:t>的处理工艺</w:t>
                  </w:r>
                  <w:r>
                    <w:rPr>
                      <w:rFonts w:hint="eastAsia"/>
                      <w:szCs w:val="21"/>
                      <w:lang w:val="zh-CN"/>
                    </w:rPr>
                    <w:t>。</w:t>
                  </w:r>
                </w:p>
              </w:tc>
              <w:tc>
                <w:tcPr>
                  <w:tcW w:w="668" w:type="pct"/>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vAlign w:val="center"/>
                </w:tcPr>
                <w:p>
                  <w:pPr>
                    <w:rPr>
                      <w:szCs w:val="21"/>
                    </w:rPr>
                  </w:pPr>
                  <w:r>
                    <w:rPr>
                      <w:szCs w:val="21"/>
                    </w:rPr>
                    <w:t>第12.4.1条：医院污水处理工程应设应急事故池，以贮存处理系统事故或其它突发事件时医疗废水。非传染病医院污水处理工程应急事故池容积不小于日排放量的30%</w:t>
                  </w:r>
                  <w:r>
                    <w:rPr>
                      <w:rFonts w:hint="eastAsia"/>
                      <w:szCs w:val="21"/>
                    </w:rPr>
                    <w:t>。</w:t>
                  </w:r>
                </w:p>
              </w:tc>
              <w:tc>
                <w:tcPr>
                  <w:tcW w:w="1773" w:type="pct"/>
                  <w:vAlign w:val="center"/>
                </w:tcPr>
                <w:p>
                  <w:pPr>
                    <w:rPr>
                      <w:szCs w:val="21"/>
                    </w:rPr>
                  </w:pPr>
                  <w:r>
                    <w:rPr>
                      <w:szCs w:val="21"/>
                    </w:rPr>
                    <w:t>本项目属于非传染病医院，</w:t>
                  </w:r>
                  <w:r>
                    <w:rPr>
                      <w:rFonts w:hint="eastAsia"/>
                      <w:szCs w:val="21"/>
                    </w:rPr>
                    <w:t>院区内自建污水站配套建设的调节池</w:t>
                  </w:r>
                  <w:r>
                    <w:rPr>
                      <w:szCs w:val="21"/>
                    </w:rPr>
                    <w:t>，</w:t>
                  </w:r>
                  <w:r>
                    <w:rPr>
                      <w:rFonts w:hint="eastAsia"/>
                      <w:szCs w:val="21"/>
                    </w:rPr>
                    <w:t>可兼</w:t>
                  </w:r>
                  <w:r>
                    <w:rPr>
                      <w:szCs w:val="21"/>
                    </w:rPr>
                    <w:t>用于贮存事故和突发事件时排放的污水</w:t>
                  </w:r>
                  <w:r>
                    <w:rPr>
                      <w:rFonts w:hint="eastAsia"/>
                      <w:szCs w:val="21"/>
                    </w:rPr>
                    <w:t>。</w:t>
                  </w:r>
                </w:p>
              </w:tc>
              <w:tc>
                <w:tcPr>
                  <w:tcW w:w="668" w:type="pct"/>
                  <w:vAlign w:val="center"/>
                </w:tcPr>
                <w:p>
                  <w:pPr>
                    <w:jc w:val="center"/>
                    <w:rPr>
                      <w:szCs w:val="21"/>
                    </w:rPr>
                  </w:pPr>
                  <w:r>
                    <w:rPr>
                      <w:szCs w:val="21"/>
                    </w:rPr>
                    <w:t>符合</w:t>
                  </w:r>
                </w:p>
              </w:tc>
            </w:tr>
          </w:tbl>
          <w:p>
            <w:pPr>
              <w:autoSpaceDE w:val="0"/>
              <w:autoSpaceDN w:val="0"/>
              <w:adjustRightInd w:val="0"/>
              <w:snapToGrid w:val="0"/>
              <w:spacing w:line="360" w:lineRule="auto"/>
              <w:ind w:firstLine="480" w:firstLineChars="200"/>
              <w:rPr>
                <w:kern w:val="0"/>
                <w:sz w:val="24"/>
              </w:rPr>
            </w:pPr>
            <w:r>
              <w:rPr>
                <w:rFonts w:hint="eastAsia"/>
                <w:kern w:val="0"/>
                <w:sz w:val="24"/>
              </w:rPr>
              <w:t>4、与</w:t>
            </w:r>
            <w:bookmarkStart w:id="4" w:name="_Hlk170972775"/>
            <w:r>
              <w:rPr>
                <w:rFonts w:hint="eastAsia"/>
                <w:kern w:val="0"/>
                <w:sz w:val="24"/>
              </w:rPr>
              <w:t>《医疗废物管理条例》</w:t>
            </w:r>
            <w:bookmarkEnd w:id="4"/>
            <w:r>
              <w:rPr>
                <w:rFonts w:hint="eastAsia"/>
                <w:kern w:val="0"/>
                <w:sz w:val="24"/>
              </w:rPr>
              <w:t>符合性分析</w:t>
            </w:r>
          </w:p>
          <w:p>
            <w:pPr>
              <w:spacing w:line="360" w:lineRule="auto"/>
              <w:ind w:firstLine="480" w:firstLineChars="200"/>
              <w:rPr>
                <w:b/>
                <w:bCs/>
                <w:kern w:val="0"/>
                <w:szCs w:val="21"/>
                <w:lang w:bidi="ar"/>
              </w:rPr>
            </w:pPr>
            <w:r>
              <w:rPr>
                <w:rFonts w:hint="eastAsia"/>
                <w:sz w:val="24"/>
              </w:rPr>
              <w:t>2003年国务院颁布的第</w:t>
            </w:r>
            <w:r>
              <w:rPr>
                <w:sz w:val="24"/>
              </w:rPr>
              <w:t>380</w:t>
            </w:r>
            <w:r>
              <w:rPr>
                <w:rFonts w:hint="eastAsia"/>
                <w:sz w:val="24"/>
              </w:rPr>
              <w:t>号令《医疗废物管理条例》是为加强医疗废物的安全管理，防止疾病传播，保护环境，保障人体健康，根据《中华人民共和国传染病防治法》和《中华人民共和国固体废物污染环境防治法》制定。本项目与该条例相符性分析见下表</w:t>
            </w:r>
            <w:r>
              <w:rPr>
                <w:sz w:val="24"/>
              </w:rPr>
              <w:t>1-</w:t>
            </w:r>
            <w:r>
              <w:rPr>
                <w:rFonts w:hint="eastAsia"/>
                <w:sz w:val="24"/>
              </w:rPr>
              <w:t>4。</w:t>
            </w:r>
          </w:p>
          <w:p>
            <w:pPr>
              <w:widowControl/>
              <w:jc w:val="center"/>
              <w:rPr>
                <w:b/>
                <w:bCs/>
                <w:kern w:val="0"/>
                <w:szCs w:val="21"/>
                <w:lang w:bidi="ar"/>
              </w:rPr>
            </w:pPr>
            <w:r>
              <w:rPr>
                <w:b/>
                <w:bCs/>
                <w:kern w:val="0"/>
                <w:szCs w:val="21"/>
                <w:lang w:bidi="ar"/>
              </w:rPr>
              <w:t>表1-</w:t>
            </w:r>
            <w:r>
              <w:rPr>
                <w:rFonts w:hint="eastAsia"/>
                <w:b/>
                <w:bCs/>
                <w:kern w:val="0"/>
                <w:szCs w:val="21"/>
                <w:lang w:bidi="ar"/>
              </w:rPr>
              <w:t>4</w:t>
            </w:r>
            <w:r>
              <w:rPr>
                <w:b/>
                <w:bCs/>
                <w:kern w:val="0"/>
                <w:szCs w:val="21"/>
                <w:lang w:bidi="ar"/>
              </w:rPr>
              <w:t xml:space="preserve">   与《医疗废物管理条例》相符性</w:t>
            </w:r>
            <w:r>
              <w:rPr>
                <w:rFonts w:hint="eastAsia"/>
                <w:b/>
                <w:bCs/>
                <w:kern w:val="0"/>
                <w:szCs w:val="21"/>
                <w:lang w:bidi="ar"/>
              </w:rPr>
              <w:t>分析</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9"/>
              <w:gridCol w:w="248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pct"/>
                  <w:vAlign w:val="center"/>
                </w:tcPr>
                <w:p>
                  <w:pPr>
                    <w:jc w:val="center"/>
                    <w:rPr>
                      <w:szCs w:val="21"/>
                    </w:rPr>
                  </w:pPr>
                  <w:r>
                    <w:rPr>
                      <w:szCs w:val="21"/>
                    </w:rPr>
                    <w:t>《医疗废物管理条例》中要求</w:t>
                  </w:r>
                </w:p>
              </w:tc>
              <w:tc>
                <w:tcPr>
                  <w:tcW w:w="1951" w:type="pct"/>
                  <w:vAlign w:val="center"/>
                </w:tcPr>
                <w:p>
                  <w:pPr>
                    <w:jc w:val="center"/>
                    <w:rPr>
                      <w:szCs w:val="21"/>
                    </w:rPr>
                  </w:pPr>
                  <w:r>
                    <w:rPr>
                      <w:szCs w:val="21"/>
                    </w:rPr>
                    <w:t>本项目情况</w:t>
                  </w:r>
                </w:p>
              </w:tc>
              <w:tc>
                <w:tcPr>
                  <w:tcW w:w="640" w:type="pct"/>
                  <w:vAlign w:val="center"/>
                </w:tcPr>
                <w:p>
                  <w:pPr>
                    <w:jc w:val="center"/>
                    <w:rPr>
                      <w:szCs w:val="21"/>
                    </w:rPr>
                  </w:pPr>
                  <w:r>
                    <w:rPr>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pct"/>
                  <w:vAlign w:val="center"/>
                </w:tcPr>
                <w:p>
                  <w:pPr>
                    <w:rPr>
                      <w:szCs w:val="21"/>
                    </w:rPr>
                  </w:pPr>
                  <w:r>
                    <w:rPr>
                      <w:szCs w:val="21"/>
                    </w:rPr>
                    <w:t>第七条</w:t>
                  </w:r>
                  <w:r>
                    <w:rPr>
                      <w:rFonts w:hint="eastAsia"/>
                      <w:szCs w:val="21"/>
                    </w:rPr>
                    <w:t xml:space="preserve"> </w:t>
                  </w:r>
                  <w:r>
                    <w:rPr>
                      <w:szCs w:val="21"/>
                    </w:rPr>
                    <w:t>医疗卫生机构和医疗废物集中处置单位，应当建立、健全</w:t>
                  </w:r>
                  <w:r>
                    <w:rPr>
                      <w:rFonts w:hint="eastAsia"/>
                      <w:szCs w:val="21"/>
                    </w:rPr>
                    <w:t>医</w:t>
                  </w:r>
                  <w:r>
                    <w:rPr>
                      <w:szCs w:val="21"/>
                    </w:rPr>
                    <w:t>疗废物管理责任制，其法定代表人为第一责任人，切实履行职责，防止因医疗废物导致传染病传播和环境污染事故。</w:t>
                  </w:r>
                </w:p>
              </w:tc>
              <w:tc>
                <w:tcPr>
                  <w:tcW w:w="1951" w:type="pct"/>
                  <w:vAlign w:val="center"/>
                </w:tcPr>
                <w:p>
                  <w:pPr>
                    <w:rPr>
                      <w:szCs w:val="21"/>
                    </w:rPr>
                  </w:pPr>
                  <w:r>
                    <w:rPr>
                      <w:rFonts w:hint="eastAsia" w:cs="宋体"/>
                      <w:szCs w:val="21"/>
                    </w:rPr>
                    <w:t>本项目将严格按照条例规定建立</w:t>
                  </w:r>
                  <w:r>
                    <w:rPr>
                      <w:szCs w:val="21"/>
                    </w:rPr>
                    <w:t>医疗废物管理责任制，确定法定代表人为第一责任人</w:t>
                  </w:r>
                  <w:r>
                    <w:rPr>
                      <w:rFonts w:hint="eastAsia"/>
                      <w:szCs w:val="21"/>
                    </w:rPr>
                    <w:t>，</w:t>
                  </w:r>
                  <w:r>
                    <w:rPr>
                      <w:rFonts w:hint="eastAsia" w:cs="宋体"/>
                      <w:szCs w:val="21"/>
                    </w:rPr>
                    <w:t>明确责任划分，安排专人负责日常管理工作。</w:t>
                  </w:r>
                </w:p>
              </w:tc>
              <w:tc>
                <w:tcPr>
                  <w:tcW w:w="640" w:type="pct"/>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pct"/>
                  <w:vAlign w:val="center"/>
                </w:tcPr>
                <w:p>
                  <w:pPr>
                    <w:rPr>
                      <w:szCs w:val="21"/>
                    </w:rPr>
                  </w:pPr>
                  <w:r>
                    <w:rPr>
                      <w:szCs w:val="21"/>
                    </w:rPr>
                    <w:t>第八条</w:t>
                  </w:r>
                  <w:r>
                    <w:rPr>
                      <w:rFonts w:hint="eastAsia"/>
                      <w:szCs w:val="21"/>
                    </w:rPr>
                    <w:t xml:space="preserve"> </w:t>
                  </w:r>
                  <w:r>
                    <w:rPr>
                      <w:szCs w:val="21"/>
                    </w:rPr>
                    <w:t>医疗卫生机构和医疗废物集中处置单位，应当制定与医疗废物安全处置有关的规章制度和在发生意外事故时的应急方案；设置监控部门或者专（兼）职人员，负责检查、督促、落实本单位医疗废物的管理工作，防止违反本条例的行为发生。</w:t>
                  </w:r>
                </w:p>
              </w:tc>
              <w:tc>
                <w:tcPr>
                  <w:tcW w:w="1951" w:type="pct"/>
                  <w:vAlign w:val="center"/>
                </w:tcPr>
                <w:p>
                  <w:pPr>
                    <w:rPr>
                      <w:szCs w:val="21"/>
                    </w:rPr>
                  </w:pPr>
                  <w:r>
                    <w:rPr>
                      <w:rFonts w:hint="eastAsia" w:cs="宋体"/>
                      <w:szCs w:val="21"/>
                    </w:rPr>
                    <w:t>按照规定</w:t>
                  </w:r>
                  <w:r>
                    <w:rPr>
                      <w:rFonts w:cs="宋体"/>
                      <w:szCs w:val="21"/>
                    </w:rPr>
                    <w:t>制定医疗废物全过程管理规章制度，制订医疗废物泄漏应急方案，设置医疗废物管理专（兼）职人员</w:t>
                  </w:r>
                  <w:r>
                    <w:rPr>
                      <w:rFonts w:hint="eastAsia" w:cs="宋体"/>
                      <w:szCs w:val="21"/>
                    </w:rPr>
                    <w:t>。</w:t>
                  </w:r>
                </w:p>
              </w:tc>
              <w:tc>
                <w:tcPr>
                  <w:tcW w:w="640" w:type="pct"/>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pct"/>
                  <w:vAlign w:val="center"/>
                </w:tcPr>
                <w:p>
                  <w:pPr>
                    <w:rPr>
                      <w:szCs w:val="21"/>
                    </w:rPr>
                  </w:pPr>
                  <w:r>
                    <w:rPr>
                      <w:szCs w:val="21"/>
                    </w:rPr>
                    <w:t>第九条</w:t>
                  </w:r>
                  <w:r>
                    <w:rPr>
                      <w:rFonts w:hint="eastAsia"/>
                      <w:szCs w:val="21"/>
                    </w:rPr>
                    <w:t xml:space="preserve"> </w:t>
                  </w:r>
                  <w:r>
                    <w:rPr>
                      <w:szCs w:val="21"/>
                    </w:rPr>
                    <w:t>医疗卫生机构和医疗废物集中处置单位，应当对本单位从事医疗废物收集、运送、贮存、处置等工作的人员和管理人员，进行相关法律和专业技术、安全防护以及紧急处理等知识的培训。</w:t>
                  </w:r>
                </w:p>
              </w:tc>
              <w:tc>
                <w:tcPr>
                  <w:tcW w:w="1951" w:type="pct"/>
                  <w:vAlign w:val="center"/>
                </w:tcPr>
                <w:p>
                  <w:pPr>
                    <w:rPr>
                      <w:szCs w:val="21"/>
                    </w:rPr>
                  </w:pPr>
                  <w:r>
                    <w:rPr>
                      <w:rFonts w:hint="eastAsia" w:cs="宋体"/>
                      <w:szCs w:val="21"/>
                    </w:rPr>
                    <w:t>本项目将定期组织对相关工作人员及管理人员的专业培训及应急演练。</w:t>
                  </w:r>
                </w:p>
              </w:tc>
              <w:tc>
                <w:tcPr>
                  <w:tcW w:w="640" w:type="pct"/>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pct"/>
                  <w:vAlign w:val="center"/>
                </w:tcPr>
                <w:p>
                  <w:pPr>
                    <w:rPr>
                      <w:szCs w:val="21"/>
                    </w:rPr>
                  </w:pPr>
                  <w:r>
                    <w:rPr>
                      <w:szCs w:val="21"/>
                    </w:rPr>
                    <w:t>第十条</w:t>
                  </w:r>
                  <w:r>
                    <w:rPr>
                      <w:rFonts w:hint="eastAsia"/>
                      <w:szCs w:val="21"/>
                    </w:rPr>
                    <w:t xml:space="preserve"> </w:t>
                  </w:r>
                  <w:r>
                    <w:rPr>
                      <w:szCs w:val="21"/>
                    </w:rPr>
                    <w:t>医疗卫生机构和医疗废物集中处置单位，应当采取有效的职业卫生防护措施，为从事医疗废物收集、运送、贮存、处置等工作的人员和管理人员，配备必要的防护用品，定期进行健康检查；必要时，对有关人员进行免疫接种，防止其受到健康损害。</w:t>
                  </w:r>
                </w:p>
              </w:tc>
              <w:tc>
                <w:tcPr>
                  <w:tcW w:w="1951" w:type="pct"/>
                  <w:vAlign w:val="center"/>
                </w:tcPr>
                <w:p>
                  <w:pPr>
                    <w:rPr>
                      <w:szCs w:val="21"/>
                    </w:rPr>
                  </w:pPr>
                  <w:r>
                    <w:rPr>
                      <w:szCs w:val="21"/>
                    </w:rPr>
                    <w:t>建设项目实施后，为从事医疗废物收集、运送、贮存、处置等工作的人员和管理人员，配备特制成套工作服，并定期进行健康检查</w:t>
                  </w:r>
                  <w:r>
                    <w:rPr>
                      <w:rFonts w:hint="eastAsia"/>
                      <w:szCs w:val="21"/>
                    </w:rPr>
                    <w:t>。</w:t>
                  </w:r>
                </w:p>
              </w:tc>
              <w:tc>
                <w:tcPr>
                  <w:tcW w:w="640" w:type="pct"/>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pct"/>
                  <w:vAlign w:val="center"/>
                </w:tcPr>
                <w:p>
                  <w:pPr>
                    <w:rPr>
                      <w:szCs w:val="21"/>
                    </w:rPr>
                  </w:pPr>
                  <w:r>
                    <w:rPr>
                      <w:szCs w:val="21"/>
                    </w:rPr>
                    <w:t>第十一条</w:t>
                  </w:r>
                  <w:r>
                    <w:rPr>
                      <w:rFonts w:hint="eastAsia"/>
                      <w:szCs w:val="21"/>
                    </w:rPr>
                    <w:t xml:space="preserve"> </w:t>
                  </w:r>
                  <w:r>
                    <w:rPr>
                      <w:szCs w:val="21"/>
                    </w:rPr>
                    <w:t>医疗卫生机构和医疗废物集中处置单位，应当依照《中华人民共和国固体废物污染环境防治法》的规定，执行危险废物转移联单管理制度</w:t>
                  </w:r>
                  <w:r>
                    <w:rPr>
                      <w:rFonts w:hint="eastAsia"/>
                      <w:szCs w:val="21"/>
                    </w:rPr>
                    <w:t>。</w:t>
                  </w:r>
                </w:p>
              </w:tc>
              <w:tc>
                <w:tcPr>
                  <w:tcW w:w="1951" w:type="pct"/>
                  <w:vAlign w:val="center"/>
                </w:tcPr>
                <w:p>
                  <w:pPr>
                    <w:rPr>
                      <w:szCs w:val="21"/>
                    </w:rPr>
                  </w:pPr>
                  <w:r>
                    <w:rPr>
                      <w:rFonts w:hint="eastAsia" w:cs="宋体"/>
                      <w:szCs w:val="21"/>
                    </w:rPr>
                    <w:t>严格执行危废转移联单管理制度，并做好相关台账工作及资料备案存档工作。</w:t>
                  </w:r>
                </w:p>
              </w:tc>
              <w:tc>
                <w:tcPr>
                  <w:tcW w:w="640" w:type="pct"/>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pct"/>
                  <w:vAlign w:val="center"/>
                </w:tcPr>
                <w:p>
                  <w:pPr>
                    <w:rPr>
                      <w:szCs w:val="21"/>
                    </w:rPr>
                  </w:pPr>
                  <w:r>
                    <w:rPr>
                      <w:szCs w:val="21"/>
                    </w:rPr>
                    <w:t>第十二条</w:t>
                  </w:r>
                  <w:r>
                    <w:rPr>
                      <w:rFonts w:hint="eastAsia"/>
                      <w:szCs w:val="21"/>
                    </w:rPr>
                    <w:t xml:space="preserve"> </w:t>
                  </w:r>
                  <w:r>
                    <w:rPr>
                      <w:szCs w:val="21"/>
                    </w:rPr>
                    <w:t>医疗卫生机构和医疗废物集中处置单位，应当对医疗废物进行登记，登记内容应当包括医疗废物的来源、种类、重量或者数量、交接时间、处置方法、最终去向以及经办人签名等项目。登记资料至少保存3年</w:t>
                  </w:r>
                  <w:r>
                    <w:rPr>
                      <w:rFonts w:hint="eastAsia"/>
                      <w:szCs w:val="21"/>
                    </w:rPr>
                    <w:t>。</w:t>
                  </w:r>
                </w:p>
              </w:tc>
              <w:tc>
                <w:tcPr>
                  <w:tcW w:w="1951" w:type="pct"/>
                  <w:vAlign w:val="center"/>
                </w:tcPr>
                <w:p>
                  <w:pPr>
                    <w:rPr>
                      <w:szCs w:val="21"/>
                    </w:rPr>
                  </w:pPr>
                  <w:r>
                    <w:rPr>
                      <w:szCs w:val="21"/>
                    </w:rPr>
                    <w:t>医院实施医疗废物全过程管理登记制度，并系统存档</w:t>
                  </w:r>
                  <w:r>
                    <w:rPr>
                      <w:rFonts w:hint="eastAsia"/>
                      <w:szCs w:val="21"/>
                    </w:rPr>
                    <w:t>。</w:t>
                  </w:r>
                </w:p>
              </w:tc>
              <w:tc>
                <w:tcPr>
                  <w:tcW w:w="640" w:type="pct"/>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pct"/>
                  <w:vAlign w:val="center"/>
                </w:tcPr>
                <w:p>
                  <w:pPr>
                    <w:rPr>
                      <w:szCs w:val="21"/>
                    </w:rPr>
                  </w:pPr>
                  <w:r>
                    <w:rPr>
                      <w:szCs w:val="21"/>
                    </w:rPr>
                    <w:t>第十三条</w:t>
                  </w:r>
                  <w:r>
                    <w:rPr>
                      <w:rFonts w:hint="eastAsia"/>
                      <w:szCs w:val="21"/>
                    </w:rPr>
                    <w:t xml:space="preserve"> </w:t>
                  </w:r>
                  <w:r>
                    <w:rPr>
                      <w:szCs w:val="21"/>
                    </w:rPr>
                    <w:t>医疗卫生机构和医疗废物集中处置单位，应当采取有效措施，防止医疗废物流失、泄漏、扩散</w:t>
                  </w:r>
                  <w:r>
                    <w:rPr>
                      <w:rFonts w:hint="eastAsia"/>
                      <w:szCs w:val="21"/>
                    </w:rPr>
                    <w:t>。</w:t>
                  </w:r>
                  <w:r>
                    <w:rPr>
                      <w:rFonts w:hint="eastAsia" w:cs="宋体"/>
                      <w:szCs w:val="21"/>
                    </w:rPr>
                    <w:t>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tc>
              <w:tc>
                <w:tcPr>
                  <w:tcW w:w="1951" w:type="pct"/>
                  <w:vAlign w:val="center"/>
                </w:tcPr>
                <w:p>
                  <w:pPr>
                    <w:rPr>
                      <w:szCs w:val="21"/>
                    </w:rPr>
                  </w:pPr>
                  <w:r>
                    <w:rPr>
                      <w:szCs w:val="21"/>
                    </w:rPr>
                    <w:t>对相关工作人员定期培训，制订操作规章，实行医疗废物全过程登记制度和医疗废物管理责任制，防止医疗废物流失、泄漏、扩散</w:t>
                  </w:r>
                  <w:r>
                    <w:rPr>
                      <w:rFonts w:hint="eastAsia"/>
                      <w:szCs w:val="21"/>
                    </w:rPr>
                    <w:t>。</w:t>
                  </w:r>
                </w:p>
              </w:tc>
              <w:tc>
                <w:tcPr>
                  <w:tcW w:w="640" w:type="pct"/>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pct"/>
                  <w:vAlign w:val="center"/>
                </w:tcPr>
                <w:p>
                  <w:pPr>
                    <w:rPr>
                      <w:szCs w:val="21"/>
                    </w:rPr>
                  </w:pPr>
                  <w:r>
                    <w:rPr>
                      <w:szCs w:val="21"/>
                    </w:rPr>
                    <w:t>第十六条</w:t>
                  </w:r>
                  <w:r>
                    <w:rPr>
                      <w:rFonts w:hint="eastAsia"/>
                      <w:szCs w:val="21"/>
                    </w:rPr>
                    <w:t xml:space="preserve"> </w:t>
                  </w:r>
                  <w:r>
                    <w:rPr>
                      <w:szCs w:val="21"/>
                    </w:rPr>
                    <w:t>医疗卫生机构应当及时收集本单位产生的医疗废物，并按照类别分置于防渗漏、防锐器穿透的专用包装物或者密闭的容器内。医疗废物专用包装物、容器，应当有明显的警示标识和警示说明</w:t>
                  </w:r>
                  <w:r>
                    <w:rPr>
                      <w:rFonts w:hint="eastAsia"/>
                      <w:szCs w:val="21"/>
                    </w:rPr>
                    <w:t>。</w:t>
                  </w:r>
                </w:p>
              </w:tc>
              <w:tc>
                <w:tcPr>
                  <w:tcW w:w="1951" w:type="pct"/>
                  <w:vAlign w:val="center"/>
                </w:tcPr>
                <w:p>
                  <w:pPr>
                    <w:rPr>
                      <w:szCs w:val="21"/>
                    </w:rPr>
                  </w:pPr>
                  <w:r>
                    <w:rPr>
                      <w:szCs w:val="21"/>
                    </w:rPr>
                    <w:t>项目医疗废物包装袋和容器严格执行《医疗废物专用</w:t>
                  </w:r>
                  <w:r>
                    <w:rPr>
                      <w:rFonts w:hint="eastAsia"/>
                      <w:szCs w:val="21"/>
                    </w:rPr>
                    <w:t>包</w:t>
                  </w:r>
                  <w:r>
                    <w:rPr>
                      <w:szCs w:val="21"/>
                    </w:rPr>
                    <w:t>装物、容器标准和警示标识规定》</w:t>
                  </w:r>
                  <w:r>
                    <w:rPr>
                      <w:rFonts w:hint="eastAsia"/>
                      <w:szCs w:val="21"/>
                    </w:rPr>
                    <w:t>。</w:t>
                  </w:r>
                </w:p>
              </w:tc>
              <w:tc>
                <w:tcPr>
                  <w:tcW w:w="640" w:type="pct"/>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pct"/>
                  <w:vAlign w:val="center"/>
                </w:tcPr>
                <w:p>
                  <w:pPr>
                    <w:rPr>
                      <w:szCs w:val="21"/>
                    </w:rPr>
                  </w:pPr>
                  <w:r>
                    <w:rPr>
                      <w:szCs w:val="21"/>
                    </w:rPr>
                    <w:t>第十七条</w:t>
                  </w:r>
                  <w:r>
                    <w:rPr>
                      <w:rFonts w:hint="eastAsia"/>
                      <w:szCs w:val="21"/>
                    </w:rPr>
                    <w:t xml:space="preserve"> </w:t>
                  </w:r>
                  <w:r>
                    <w:rPr>
                      <w:szCs w:val="21"/>
                    </w:rPr>
                    <w:t>医疗卫生机构应当建立医疗废物的暂时贮存设施、设备，不得露天存放医疗废物；医疗废物暂时贮存的时间不得超过2天。医疗废物的暂时贮存设施、设备，应当远离医疗区、食品加工区和人员活动区以及生活垃圾存放场所，并设置明显的警示标识和防渗漏、防鼠、防蚊蝇、防蟑螂、防盗等安全措施。医疗废物的暂时贮存设施、设备应当定期消毒和清洁</w:t>
                  </w:r>
                  <w:r>
                    <w:rPr>
                      <w:rFonts w:hint="eastAsia"/>
                      <w:szCs w:val="21"/>
                    </w:rPr>
                    <w:t>。</w:t>
                  </w:r>
                </w:p>
              </w:tc>
              <w:tc>
                <w:tcPr>
                  <w:tcW w:w="1951" w:type="pct"/>
                  <w:vAlign w:val="center"/>
                </w:tcPr>
                <w:p>
                  <w:pPr>
                    <w:rPr>
                      <w:szCs w:val="21"/>
                    </w:rPr>
                  </w:pPr>
                  <w:r>
                    <w:rPr>
                      <w:szCs w:val="21"/>
                    </w:rPr>
                    <w:t>本项目医疗废物</w:t>
                  </w:r>
                  <w:r>
                    <w:rPr>
                      <w:rFonts w:hint="eastAsia"/>
                      <w:szCs w:val="21"/>
                    </w:rPr>
                    <w:t>暂存间</w:t>
                  </w:r>
                  <w:r>
                    <w:rPr>
                      <w:szCs w:val="21"/>
                    </w:rPr>
                    <w:t>与医疗区和办公区等区域严格分</w:t>
                  </w:r>
                  <w:r>
                    <w:rPr>
                      <w:rFonts w:hint="eastAsia"/>
                      <w:szCs w:val="21"/>
                    </w:rPr>
                    <w:t>离</w:t>
                  </w:r>
                  <w:r>
                    <w:rPr>
                      <w:szCs w:val="21"/>
                    </w:rPr>
                    <w:t>。医疗废物日产日清，每天清运后对</w:t>
                  </w:r>
                  <w:r>
                    <w:rPr>
                      <w:rFonts w:hint="eastAsia"/>
                      <w:szCs w:val="21"/>
                    </w:rPr>
                    <w:t>暂存间</w:t>
                  </w:r>
                  <w:r>
                    <w:rPr>
                      <w:szCs w:val="21"/>
                    </w:rPr>
                    <w:t>进行消毒</w:t>
                  </w:r>
                  <w:r>
                    <w:rPr>
                      <w:rFonts w:hint="eastAsia"/>
                      <w:szCs w:val="21"/>
                    </w:rPr>
                    <w:t>。</w:t>
                  </w:r>
                </w:p>
              </w:tc>
              <w:tc>
                <w:tcPr>
                  <w:tcW w:w="640" w:type="pct"/>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pct"/>
                  <w:vAlign w:val="center"/>
                </w:tcPr>
                <w:p>
                  <w:pPr>
                    <w:rPr>
                      <w:szCs w:val="21"/>
                    </w:rPr>
                  </w:pPr>
                  <w:r>
                    <w:rPr>
                      <w:szCs w:val="21"/>
                    </w:rPr>
                    <w:t>第十八条</w:t>
                  </w:r>
                  <w:r>
                    <w:rPr>
                      <w:rFonts w:hint="eastAsia"/>
                      <w:szCs w:val="21"/>
                    </w:rPr>
                    <w:t xml:space="preserve"> </w:t>
                  </w:r>
                  <w:r>
                    <w:rPr>
                      <w:szCs w:val="21"/>
                    </w:rPr>
                    <w:t>医疗卫生机构应当使用防渗漏、防遗撒的专用运送工具</w:t>
                  </w:r>
                  <w:r>
                    <w:rPr>
                      <w:rFonts w:hint="eastAsia"/>
                      <w:szCs w:val="21"/>
                    </w:rPr>
                    <w:t>，</w:t>
                  </w:r>
                  <w:r>
                    <w:rPr>
                      <w:szCs w:val="21"/>
                    </w:rPr>
                    <w:t>按照本单位确定的内部医疗废物运送时间、路线，将医疗废物收集、运送至暂时贮存地点。运送工具使用后应当在医疗卫生机构内指定的地点及时消毒和清洁</w:t>
                  </w:r>
                  <w:r>
                    <w:rPr>
                      <w:rFonts w:hint="eastAsia"/>
                      <w:szCs w:val="21"/>
                    </w:rPr>
                    <w:t>。</w:t>
                  </w:r>
                </w:p>
              </w:tc>
              <w:tc>
                <w:tcPr>
                  <w:tcW w:w="1951" w:type="pct"/>
                  <w:vAlign w:val="center"/>
                </w:tcPr>
                <w:p>
                  <w:pPr>
                    <w:rPr>
                      <w:szCs w:val="21"/>
                    </w:rPr>
                  </w:pPr>
                  <w:r>
                    <w:rPr>
                      <w:szCs w:val="21"/>
                    </w:rPr>
                    <w:t>本项目医疗废物内部运送工具使用周转箱（桶），严格执行《医疗废物专用包装物、容器标准和警示标识规定》，按照制订的操作规章，于指定时间、指定污物路线，运送到医疗废物处置房，并每天下班前定时消毒和清洁</w:t>
                  </w:r>
                  <w:r>
                    <w:rPr>
                      <w:rFonts w:hint="eastAsia"/>
                      <w:szCs w:val="21"/>
                    </w:rPr>
                    <w:t>。</w:t>
                  </w:r>
                </w:p>
              </w:tc>
              <w:tc>
                <w:tcPr>
                  <w:tcW w:w="640" w:type="pct"/>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pct"/>
                  <w:vAlign w:val="center"/>
                </w:tcPr>
                <w:p>
                  <w:pPr>
                    <w:rPr>
                      <w:szCs w:val="21"/>
                    </w:rPr>
                  </w:pPr>
                  <w:r>
                    <w:rPr>
                      <w:szCs w:val="21"/>
                    </w:rPr>
                    <w:t>第十九条</w:t>
                  </w:r>
                  <w:r>
                    <w:rPr>
                      <w:rFonts w:hint="eastAsia"/>
                      <w:szCs w:val="21"/>
                    </w:rPr>
                    <w:t xml:space="preserve"> </w:t>
                  </w:r>
                  <w:r>
                    <w:rPr>
                      <w:szCs w:val="21"/>
                    </w:rPr>
                    <w:t>医疗卫生机构应当根据就近集中处置的原则，及时将医疗废物交由医疗废物集中处置单位处置。医疗废物中病原体的培养基、标本和菌种、毒种保存液等高危险废物，在交医疗废物集中处置单位处置前应当就地消毒</w:t>
                  </w:r>
                  <w:r>
                    <w:rPr>
                      <w:rFonts w:hint="eastAsia"/>
                      <w:szCs w:val="21"/>
                    </w:rPr>
                    <w:t>。</w:t>
                  </w:r>
                </w:p>
              </w:tc>
              <w:tc>
                <w:tcPr>
                  <w:tcW w:w="1951" w:type="pct"/>
                  <w:vAlign w:val="center"/>
                </w:tcPr>
                <w:p>
                  <w:pPr>
                    <w:rPr>
                      <w:szCs w:val="21"/>
                    </w:rPr>
                  </w:pPr>
                  <w:r>
                    <w:rPr>
                      <w:szCs w:val="21"/>
                    </w:rPr>
                    <w:t>本项目医疗废物委托有资质的单位处理</w:t>
                  </w:r>
                  <w:r>
                    <w:rPr>
                      <w:rFonts w:hint="eastAsia"/>
                      <w:szCs w:val="21"/>
                    </w:rPr>
                    <w:t>。</w:t>
                  </w:r>
                </w:p>
              </w:tc>
              <w:tc>
                <w:tcPr>
                  <w:tcW w:w="640" w:type="pct"/>
                  <w:vAlign w:val="center"/>
                </w:tcPr>
                <w:p>
                  <w:pPr>
                    <w:jc w:val="center"/>
                    <w:rPr>
                      <w:szCs w:val="21"/>
                    </w:rPr>
                  </w:pPr>
                  <w:r>
                    <w:rPr>
                      <w:szCs w:val="21"/>
                    </w:rPr>
                    <w:t>符合</w:t>
                  </w:r>
                </w:p>
              </w:tc>
            </w:tr>
          </w:tbl>
          <w:p>
            <w:pPr>
              <w:pStyle w:val="18"/>
              <w:spacing w:before="0" w:after="0" w:line="360" w:lineRule="auto"/>
              <w:ind w:right="0" w:firstLine="480" w:firstLineChars="200"/>
              <w:jc w:val="both"/>
              <w:rPr>
                <w:sz w:val="24"/>
                <w:szCs w:val="24"/>
              </w:rPr>
            </w:pPr>
          </w:p>
          <w:p>
            <w:pPr>
              <w:pStyle w:val="18"/>
              <w:spacing w:before="0" w:after="0" w:line="360" w:lineRule="auto"/>
              <w:ind w:right="0" w:firstLine="480" w:firstLineChars="200"/>
              <w:jc w:val="both"/>
              <w:rPr>
                <w:sz w:val="24"/>
              </w:rPr>
            </w:pPr>
            <w:r>
              <w:rPr>
                <w:rFonts w:hint="eastAsia"/>
                <w:sz w:val="24"/>
                <w:szCs w:val="24"/>
              </w:rPr>
              <w:t>综上所述，本项目符合《医疗废物管理条例》的相关要求。</w:t>
            </w: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p>
            <w:pPr>
              <w:autoSpaceDE w:val="0"/>
              <w:autoSpaceDN w:val="0"/>
              <w:adjustRightInd w:val="0"/>
              <w:snapToGrid w:val="0"/>
              <w:spacing w:line="360" w:lineRule="auto"/>
              <w:ind w:firstLine="480" w:firstLineChars="200"/>
              <w:rPr>
                <w:kern w:val="0"/>
                <w:sz w:val="24"/>
              </w:rPr>
            </w:pPr>
          </w:p>
        </w:tc>
      </w:tr>
    </w:tbl>
    <w:p/>
    <w:p>
      <w:pPr>
        <w:pStyle w:val="9"/>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8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456" w:type="dxa"/>
            <w:vAlign w:val="center"/>
          </w:tcPr>
          <w:p>
            <w:pPr>
              <w:pStyle w:val="9"/>
              <w:adjustRightInd w:val="0"/>
              <w:snapToGrid w:val="0"/>
              <w:spacing w:before="0" w:beforeAutospacing="0" w:after="0" w:afterAutospacing="0"/>
              <w:jc w:val="center"/>
              <w:rPr>
                <w:rFonts w:cs="宋体"/>
                <w:szCs w:val="24"/>
              </w:rPr>
            </w:pPr>
            <w:r>
              <w:rPr>
                <w:rFonts w:hint="eastAsia" w:cs="宋体"/>
                <w:szCs w:val="24"/>
              </w:rPr>
              <w:t>建设内容</w:t>
            </w:r>
          </w:p>
        </w:tc>
        <w:tc>
          <w:tcPr>
            <w:tcW w:w="7830" w:type="dxa"/>
          </w:tcPr>
          <w:p>
            <w:pPr>
              <w:adjustRightInd w:val="0"/>
              <w:snapToGrid w:val="0"/>
              <w:spacing w:line="360" w:lineRule="auto"/>
              <w:rPr>
                <w:b/>
                <w:sz w:val="24"/>
              </w:rPr>
            </w:pPr>
            <w:r>
              <w:rPr>
                <w:b/>
                <w:sz w:val="24"/>
              </w:rPr>
              <w:t>一、</w:t>
            </w:r>
            <w:r>
              <w:rPr>
                <w:rFonts w:hint="eastAsia"/>
                <w:b/>
                <w:sz w:val="24"/>
              </w:rPr>
              <w:t>建设内容</w:t>
            </w:r>
          </w:p>
          <w:p>
            <w:pPr>
              <w:spacing w:line="360" w:lineRule="auto"/>
              <w:ind w:firstLine="480" w:firstLineChars="200"/>
              <w:rPr>
                <w:sz w:val="24"/>
                <w:u w:val="single"/>
              </w:rPr>
            </w:pPr>
            <w:r>
              <w:rPr>
                <w:rFonts w:hint="eastAsia"/>
                <w:sz w:val="24"/>
                <w:u w:val="single"/>
              </w:rPr>
              <w:t>澧县澧浦街道社区卫生服务中心是经政府于2016年9月批准成立的新型非营利性社区医疗卫生机构。2</w:t>
            </w:r>
            <w:r>
              <w:rPr>
                <w:sz w:val="24"/>
                <w:u w:val="single"/>
              </w:rPr>
              <w:t>017</w:t>
            </w:r>
            <w:r>
              <w:rPr>
                <w:rFonts w:hint="eastAsia"/>
                <w:sz w:val="24"/>
                <w:u w:val="single"/>
              </w:rPr>
              <w:t>年，澧县澧浦街道社区卫生服务中心租用位于澧县澧洲大道北边的羊古综合楼整栋作为社区卫生服务中心。根据院方已取得的医疗机构许可证，院区共有床位7</w:t>
            </w:r>
            <w:r>
              <w:rPr>
                <w:sz w:val="24"/>
                <w:u w:val="single"/>
              </w:rPr>
              <w:t>0</w:t>
            </w:r>
            <w:r>
              <w:rPr>
                <w:rFonts w:hint="eastAsia"/>
                <w:sz w:val="24"/>
                <w:u w:val="single"/>
              </w:rPr>
              <w:t>张，诊疗科目为预防保健科、全科医疗科、内科、外科、妇产科、口腔科、医学检验科、医学影像科、中医科。由于中心主要负责人环保意识淡薄，中心营运至今未办理环境影响评价手续。</w:t>
            </w:r>
          </w:p>
          <w:p>
            <w:pPr>
              <w:spacing w:line="360" w:lineRule="auto"/>
              <w:ind w:firstLine="480" w:firstLineChars="200"/>
              <w:rPr>
                <w:sz w:val="24"/>
                <w:u w:val="single"/>
              </w:rPr>
            </w:pPr>
            <w:r>
              <w:rPr>
                <w:rFonts w:hint="eastAsia"/>
                <w:sz w:val="24"/>
                <w:u w:val="single"/>
              </w:rPr>
              <w:t>根据《湖南省卫生健康委 湖南省生态环境厅关于进一步做好一级医疗机构污水处理问题排查整治工作的通知》（湘卫函【2</w:t>
            </w:r>
            <w:r>
              <w:rPr>
                <w:sz w:val="24"/>
                <w:u w:val="single"/>
              </w:rPr>
              <w:t>023</w:t>
            </w:r>
            <w:r>
              <w:rPr>
                <w:rFonts w:hint="eastAsia"/>
                <w:sz w:val="24"/>
                <w:u w:val="single"/>
              </w:rPr>
              <w:t>】6</w:t>
            </w:r>
            <w:r>
              <w:rPr>
                <w:sz w:val="24"/>
                <w:u w:val="single"/>
              </w:rPr>
              <w:t>0</w:t>
            </w:r>
            <w:r>
              <w:rPr>
                <w:rFonts w:hint="eastAsia"/>
                <w:sz w:val="24"/>
                <w:u w:val="single"/>
              </w:rPr>
              <w:t>号）：“完善医疗机构环保手续。各级生态环境部门要督促各类一级医疗机构按照《排污许可管理条例》等要求及时申请排污登记备案，办理环评报告，确保环保手续齐全。”在此背景下，澧县澧浦街道社区卫生服务中心委托常德市双赢环境咨询服务有限公司对卫生服务中心开展环境影响评价。</w:t>
            </w:r>
          </w:p>
          <w:p>
            <w:pPr>
              <w:pStyle w:val="11"/>
              <w:spacing w:after="0" w:line="360" w:lineRule="auto"/>
              <w:ind w:firstLine="480" w:firstLineChars="200"/>
              <w:rPr>
                <w:sz w:val="24"/>
                <w:u w:val="single"/>
              </w:rPr>
            </w:pPr>
            <w:r>
              <w:rPr>
                <w:rFonts w:hint="eastAsia"/>
                <w:bCs/>
                <w:snapToGrid w:val="0"/>
                <w:sz w:val="24"/>
                <w:u w:val="single"/>
              </w:rPr>
              <w:t>根据《建设项目环境影响评价分类管理名录》（</w:t>
            </w:r>
            <w:r>
              <w:rPr>
                <w:bCs/>
                <w:snapToGrid w:val="0"/>
                <w:sz w:val="24"/>
                <w:u w:val="single"/>
              </w:rPr>
              <w:t>2021</w:t>
            </w:r>
            <w:r>
              <w:rPr>
                <w:rFonts w:hint="eastAsia"/>
                <w:bCs/>
                <w:snapToGrid w:val="0"/>
                <w:sz w:val="24"/>
                <w:u w:val="single"/>
              </w:rPr>
              <w:t>年本），本项目属于“</w:t>
            </w:r>
            <w:r>
              <w:rPr>
                <w:rFonts w:hint="eastAsia"/>
                <w:sz w:val="24"/>
                <w:u w:val="single"/>
              </w:rPr>
              <w:t>四十九、卫生84 108.医院</w:t>
            </w:r>
            <w:r>
              <w:rPr>
                <w:rFonts w:hint="eastAsia"/>
                <w:bCs/>
                <w:snapToGrid w:val="0"/>
                <w:sz w:val="24"/>
                <w:u w:val="single"/>
              </w:rPr>
              <w:t>”，本项目</w:t>
            </w:r>
            <w:r>
              <w:rPr>
                <w:rFonts w:hint="eastAsia"/>
                <w:sz w:val="24"/>
                <w:u w:val="single"/>
              </w:rPr>
              <w:t>批准床位</w:t>
            </w:r>
            <w:r>
              <w:rPr>
                <w:sz w:val="24"/>
                <w:u w:val="single"/>
              </w:rPr>
              <w:t>70</w:t>
            </w:r>
            <w:r>
              <w:rPr>
                <w:rFonts w:hint="eastAsia"/>
                <w:sz w:val="24"/>
                <w:u w:val="single"/>
              </w:rPr>
              <w:t>张</w:t>
            </w:r>
            <w:r>
              <w:rPr>
                <w:rFonts w:hint="eastAsia"/>
                <w:bCs/>
                <w:snapToGrid w:val="0"/>
                <w:sz w:val="24"/>
                <w:u w:val="single"/>
              </w:rPr>
              <w:t>，属于新建</w:t>
            </w:r>
            <w:r>
              <w:rPr>
                <w:bCs/>
                <w:snapToGrid w:val="0"/>
                <w:sz w:val="24"/>
                <w:u w:val="single"/>
              </w:rPr>
              <w:t>500</w:t>
            </w:r>
            <w:r>
              <w:rPr>
                <w:rFonts w:hint="eastAsia"/>
                <w:bCs/>
                <w:snapToGrid w:val="0"/>
                <w:sz w:val="24"/>
                <w:u w:val="single"/>
              </w:rPr>
              <w:t>张床位以下、</w:t>
            </w:r>
            <w:r>
              <w:rPr>
                <w:bCs/>
                <w:snapToGrid w:val="0"/>
                <w:sz w:val="24"/>
                <w:u w:val="single"/>
              </w:rPr>
              <w:t>20</w:t>
            </w:r>
            <w:r>
              <w:rPr>
                <w:rFonts w:hint="eastAsia"/>
                <w:bCs/>
                <w:snapToGrid w:val="0"/>
                <w:sz w:val="24"/>
                <w:u w:val="single"/>
              </w:rPr>
              <w:t>张床位以上项目，应编制环境影响报告表。</w:t>
            </w:r>
          </w:p>
          <w:p>
            <w:pPr>
              <w:pStyle w:val="11"/>
              <w:spacing w:after="0" w:line="360" w:lineRule="auto"/>
              <w:ind w:firstLine="480" w:firstLineChars="200"/>
              <w:rPr>
                <w:sz w:val="24"/>
                <w:u w:val="single"/>
              </w:rPr>
            </w:pPr>
            <w:r>
              <w:rPr>
                <w:rFonts w:hint="eastAsia"/>
                <w:sz w:val="24"/>
                <w:u w:val="single"/>
              </w:rPr>
              <w:t>院区涉及的放射性医疗设备已取得常德市生态环境局辐射许可证（见附件），本项目涉及的放射性医疗设备造成的电磁辐射影响评价、预测及防护措施等内容，不在本报告表范围之内。</w:t>
            </w:r>
          </w:p>
          <w:p>
            <w:pPr>
              <w:spacing w:line="360" w:lineRule="auto"/>
              <w:ind w:firstLine="480" w:firstLineChars="200"/>
              <w:rPr>
                <w:sz w:val="24"/>
              </w:rPr>
            </w:pPr>
            <w:r>
              <w:rPr>
                <w:rFonts w:hint="eastAsia"/>
                <w:sz w:val="24"/>
              </w:rPr>
              <w:t>1、项目组成</w:t>
            </w:r>
            <w:r>
              <w:rPr>
                <w:sz w:val="24"/>
              </w:rPr>
              <w:t>。</w:t>
            </w:r>
          </w:p>
          <w:p>
            <w:pPr>
              <w:spacing w:line="360" w:lineRule="auto"/>
              <w:ind w:firstLine="480" w:firstLineChars="200"/>
              <w:rPr>
                <w:sz w:val="24"/>
              </w:rPr>
            </w:pPr>
            <w:r>
              <w:rPr>
                <w:rFonts w:hint="eastAsia"/>
                <w:sz w:val="24"/>
              </w:rPr>
              <w:t>项目组成情况如下表所示：</w:t>
            </w:r>
          </w:p>
          <w:p>
            <w:pPr>
              <w:spacing w:line="360" w:lineRule="auto"/>
              <w:ind w:firstLine="442" w:firstLineChars="200"/>
              <w:jc w:val="center"/>
              <w:rPr>
                <w:b/>
                <w:sz w:val="22"/>
              </w:rPr>
            </w:pPr>
            <w:r>
              <w:rPr>
                <w:b/>
                <w:sz w:val="22"/>
              </w:rPr>
              <w:t>表</w:t>
            </w:r>
            <w:r>
              <w:rPr>
                <w:rFonts w:hint="eastAsia"/>
                <w:b/>
                <w:sz w:val="22"/>
              </w:rPr>
              <w:t>2-</w:t>
            </w:r>
            <w:r>
              <w:rPr>
                <w:b/>
                <w:sz w:val="22"/>
              </w:rPr>
              <w:t>1    项目组成一览表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06"/>
              <w:gridCol w:w="1560"/>
              <w:gridCol w:w="1135"/>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Align w:val="center"/>
                </w:tcPr>
                <w:p>
                  <w:pPr>
                    <w:jc w:val="center"/>
                    <w:rPr>
                      <w:sz w:val="22"/>
                    </w:rPr>
                  </w:pPr>
                  <w:r>
                    <w:rPr>
                      <w:sz w:val="22"/>
                    </w:rPr>
                    <w:t>项目类别</w:t>
                  </w:r>
                </w:p>
              </w:tc>
              <w:tc>
                <w:tcPr>
                  <w:tcW w:w="1490" w:type="pct"/>
                  <w:gridSpan w:val="2"/>
                  <w:vAlign w:val="center"/>
                </w:tcPr>
                <w:p>
                  <w:pPr>
                    <w:jc w:val="center"/>
                    <w:rPr>
                      <w:sz w:val="22"/>
                    </w:rPr>
                  </w:pPr>
                  <w:r>
                    <w:rPr>
                      <w:sz w:val="22"/>
                    </w:rPr>
                    <w:t>建设项目内容</w:t>
                  </w:r>
                </w:p>
              </w:tc>
              <w:tc>
                <w:tcPr>
                  <w:tcW w:w="746" w:type="pct"/>
                  <w:vAlign w:val="center"/>
                </w:tcPr>
                <w:p>
                  <w:pPr>
                    <w:jc w:val="center"/>
                    <w:rPr>
                      <w:sz w:val="22"/>
                    </w:rPr>
                  </w:pPr>
                  <w:r>
                    <w:rPr>
                      <w:rFonts w:hint="eastAsia"/>
                      <w:sz w:val="22"/>
                    </w:rPr>
                    <w:t>建筑</w:t>
                  </w:r>
                  <w:r>
                    <w:rPr>
                      <w:sz w:val="22"/>
                    </w:rPr>
                    <w:t>面积</w:t>
                  </w:r>
                  <w:r>
                    <w:rPr>
                      <w:rFonts w:hint="eastAsia"/>
                      <w:sz w:val="22"/>
                    </w:rPr>
                    <w:t>（</w:t>
                  </w:r>
                  <w:r>
                    <w:rPr>
                      <w:sz w:val="22"/>
                    </w:rPr>
                    <w:t>m</w:t>
                  </w:r>
                  <w:r>
                    <w:rPr>
                      <w:sz w:val="22"/>
                      <w:vertAlign w:val="superscript"/>
                    </w:rPr>
                    <w:t>2</w:t>
                  </w:r>
                  <w:r>
                    <w:rPr>
                      <w:rFonts w:hint="eastAsia"/>
                      <w:sz w:val="22"/>
                    </w:rPr>
                    <w:t>）</w:t>
                  </w:r>
                </w:p>
              </w:tc>
              <w:tc>
                <w:tcPr>
                  <w:tcW w:w="2300" w:type="pct"/>
                  <w:vAlign w:val="center"/>
                </w:tcPr>
                <w:p>
                  <w:pPr>
                    <w:jc w:val="center"/>
                    <w:rPr>
                      <w:sz w:val="22"/>
                    </w:rPr>
                  </w:pPr>
                  <w:r>
                    <w:rPr>
                      <w:rFonts w:hint="eastAsia"/>
                      <w:sz w:val="22"/>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restart"/>
                  <w:vAlign w:val="center"/>
                </w:tcPr>
                <w:p>
                  <w:pPr>
                    <w:jc w:val="center"/>
                    <w:rPr>
                      <w:sz w:val="22"/>
                    </w:rPr>
                  </w:pPr>
                  <w:r>
                    <w:rPr>
                      <w:sz w:val="22"/>
                    </w:rPr>
                    <w:t>主体工程</w:t>
                  </w:r>
                </w:p>
              </w:tc>
              <w:tc>
                <w:tcPr>
                  <w:tcW w:w="464" w:type="pct"/>
                  <w:vAlign w:val="center"/>
                </w:tcPr>
                <w:p>
                  <w:pPr>
                    <w:jc w:val="center"/>
                    <w:rPr>
                      <w:sz w:val="22"/>
                    </w:rPr>
                  </w:pPr>
                  <w:r>
                    <w:rPr>
                      <w:rFonts w:hint="eastAsia"/>
                      <w:sz w:val="22"/>
                    </w:rPr>
                    <w:t>1</w:t>
                  </w:r>
                </w:p>
              </w:tc>
              <w:tc>
                <w:tcPr>
                  <w:tcW w:w="1026" w:type="pct"/>
                  <w:vAlign w:val="center"/>
                </w:tcPr>
                <w:p>
                  <w:pPr>
                    <w:jc w:val="center"/>
                    <w:rPr>
                      <w:sz w:val="22"/>
                    </w:rPr>
                  </w:pPr>
                  <w:r>
                    <w:rPr>
                      <w:rFonts w:hint="eastAsia"/>
                      <w:sz w:val="22"/>
                    </w:rPr>
                    <w:t>综合楼1楼</w:t>
                  </w:r>
                </w:p>
              </w:tc>
              <w:tc>
                <w:tcPr>
                  <w:tcW w:w="746" w:type="pct"/>
                  <w:vAlign w:val="center"/>
                </w:tcPr>
                <w:p>
                  <w:pPr>
                    <w:jc w:val="center"/>
                    <w:rPr>
                      <w:sz w:val="22"/>
                    </w:rPr>
                  </w:pPr>
                  <w:r>
                    <w:rPr>
                      <w:rFonts w:hint="eastAsia"/>
                      <w:sz w:val="22"/>
                    </w:rPr>
                    <w:t>1200</w:t>
                  </w:r>
                </w:p>
              </w:tc>
              <w:tc>
                <w:tcPr>
                  <w:tcW w:w="2300" w:type="pct"/>
                  <w:vAlign w:val="center"/>
                </w:tcPr>
                <w:p>
                  <w:pPr>
                    <w:jc w:val="center"/>
                    <w:rPr>
                      <w:sz w:val="22"/>
                    </w:rPr>
                  </w:pPr>
                  <w:r>
                    <w:rPr>
                      <w:rFonts w:hint="eastAsia"/>
                      <w:sz w:val="22"/>
                    </w:rPr>
                    <w:t>药房、收费室、儿科门诊、内外科门诊、妇科门诊、门诊治疗室、高血压门诊、放射科、口腔科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continue"/>
                  <w:vAlign w:val="center"/>
                </w:tcPr>
                <w:p>
                  <w:pPr>
                    <w:jc w:val="center"/>
                    <w:rPr>
                      <w:sz w:val="22"/>
                    </w:rPr>
                  </w:pPr>
                </w:p>
              </w:tc>
              <w:tc>
                <w:tcPr>
                  <w:tcW w:w="464" w:type="pct"/>
                  <w:vAlign w:val="center"/>
                </w:tcPr>
                <w:p>
                  <w:pPr>
                    <w:jc w:val="center"/>
                    <w:rPr>
                      <w:sz w:val="22"/>
                    </w:rPr>
                  </w:pPr>
                  <w:r>
                    <w:rPr>
                      <w:rFonts w:hint="eastAsia"/>
                      <w:sz w:val="22"/>
                    </w:rPr>
                    <w:t>2</w:t>
                  </w:r>
                </w:p>
              </w:tc>
              <w:tc>
                <w:tcPr>
                  <w:tcW w:w="1026" w:type="pct"/>
                  <w:vAlign w:val="center"/>
                </w:tcPr>
                <w:p>
                  <w:pPr>
                    <w:jc w:val="center"/>
                    <w:rPr>
                      <w:sz w:val="22"/>
                    </w:rPr>
                  </w:pPr>
                  <w:r>
                    <w:rPr>
                      <w:rFonts w:hint="eastAsia"/>
                      <w:sz w:val="22"/>
                    </w:rPr>
                    <w:t>综合楼</w:t>
                  </w:r>
                  <w:r>
                    <w:rPr>
                      <w:sz w:val="22"/>
                    </w:rPr>
                    <w:t>2</w:t>
                  </w:r>
                  <w:r>
                    <w:rPr>
                      <w:rFonts w:hint="eastAsia"/>
                      <w:sz w:val="22"/>
                    </w:rPr>
                    <w:t>楼</w:t>
                  </w:r>
                </w:p>
              </w:tc>
              <w:tc>
                <w:tcPr>
                  <w:tcW w:w="746" w:type="pct"/>
                  <w:vAlign w:val="center"/>
                </w:tcPr>
                <w:p>
                  <w:pPr>
                    <w:jc w:val="center"/>
                    <w:rPr>
                      <w:sz w:val="22"/>
                    </w:rPr>
                  </w:pPr>
                  <w:r>
                    <w:rPr>
                      <w:rFonts w:hint="eastAsia"/>
                      <w:sz w:val="22"/>
                    </w:rPr>
                    <w:t>1200</w:t>
                  </w:r>
                </w:p>
              </w:tc>
              <w:tc>
                <w:tcPr>
                  <w:tcW w:w="2300" w:type="pct"/>
                  <w:vAlign w:val="center"/>
                </w:tcPr>
                <w:p>
                  <w:pPr>
                    <w:jc w:val="center"/>
                    <w:rPr>
                      <w:sz w:val="22"/>
                    </w:rPr>
                  </w:pPr>
                  <w:r>
                    <w:rPr>
                      <w:rFonts w:hint="eastAsia"/>
                      <w:sz w:val="22"/>
                    </w:rPr>
                    <w:t>B超室、生化化验室、儿保室、精防办公室、妇保室、档案室、预计接种室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continue"/>
                  <w:vAlign w:val="center"/>
                </w:tcPr>
                <w:p>
                  <w:pPr>
                    <w:jc w:val="center"/>
                    <w:rPr>
                      <w:sz w:val="22"/>
                    </w:rPr>
                  </w:pPr>
                </w:p>
              </w:tc>
              <w:tc>
                <w:tcPr>
                  <w:tcW w:w="464" w:type="pct"/>
                  <w:vAlign w:val="center"/>
                </w:tcPr>
                <w:p>
                  <w:pPr>
                    <w:jc w:val="center"/>
                    <w:rPr>
                      <w:sz w:val="22"/>
                    </w:rPr>
                  </w:pPr>
                  <w:r>
                    <w:rPr>
                      <w:rFonts w:hint="eastAsia"/>
                      <w:sz w:val="22"/>
                    </w:rPr>
                    <w:t>3</w:t>
                  </w:r>
                </w:p>
              </w:tc>
              <w:tc>
                <w:tcPr>
                  <w:tcW w:w="1026" w:type="pct"/>
                  <w:vAlign w:val="center"/>
                </w:tcPr>
                <w:p>
                  <w:pPr>
                    <w:jc w:val="center"/>
                    <w:rPr>
                      <w:sz w:val="22"/>
                    </w:rPr>
                  </w:pPr>
                  <w:r>
                    <w:rPr>
                      <w:rFonts w:hint="eastAsia"/>
                      <w:sz w:val="22"/>
                    </w:rPr>
                    <w:t>综合楼</w:t>
                  </w:r>
                  <w:r>
                    <w:rPr>
                      <w:sz w:val="22"/>
                    </w:rPr>
                    <w:t>3</w:t>
                  </w:r>
                  <w:r>
                    <w:rPr>
                      <w:rFonts w:hint="eastAsia"/>
                      <w:sz w:val="22"/>
                    </w:rPr>
                    <w:t>楼</w:t>
                  </w:r>
                </w:p>
              </w:tc>
              <w:tc>
                <w:tcPr>
                  <w:tcW w:w="746" w:type="pct"/>
                  <w:vAlign w:val="center"/>
                </w:tcPr>
                <w:p>
                  <w:pPr>
                    <w:jc w:val="center"/>
                    <w:rPr>
                      <w:sz w:val="22"/>
                    </w:rPr>
                  </w:pPr>
                  <w:r>
                    <w:rPr>
                      <w:rFonts w:hint="eastAsia"/>
                      <w:sz w:val="22"/>
                    </w:rPr>
                    <w:t>1200</w:t>
                  </w:r>
                </w:p>
              </w:tc>
              <w:tc>
                <w:tcPr>
                  <w:tcW w:w="2300" w:type="pct"/>
                  <w:vAlign w:val="center"/>
                </w:tcPr>
                <w:p>
                  <w:pPr>
                    <w:jc w:val="center"/>
                    <w:rPr>
                      <w:sz w:val="22"/>
                    </w:rPr>
                  </w:pPr>
                  <w:r>
                    <w:rPr>
                      <w:rFonts w:hint="eastAsia"/>
                      <w:sz w:val="22"/>
                    </w:rPr>
                    <w:t>中医馆以及办公室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continue"/>
                  <w:vAlign w:val="center"/>
                </w:tcPr>
                <w:p>
                  <w:pPr>
                    <w:jc w:val="center"/>
                    <w:rPr>
                      <w:sz w:val="22"/>
                    </w:rPr>
                  </w:pPr>
                </w:p>
              </w:tc>
              <w:tc>
                <w:tcPr>
                  <w:tcW w:w="464" w:type="pct"/>
                  <w:vAlign w:val="center"/>
                </w:tcPr>
                <w:p>
                  <w:pPr>
                    <w:jc w:val="center"/>
                    <w:rPr>
                      <w:sz w:val="22"/>
                    </w:rPr>
                  </w:pPr>
                  <w:r>
                    <w:rPr>
                      <w:rFonts w:hint="eastAsia"/>
                      <w:sz w:val="22"/>
                    </w:rPr>
                    <w:t>4</w:t>
                  </w:r>
                </w:p>
              </w:tc>
              <w:tc>
                <w:tcPr>
                  <w:tcW w:w="1026" w:type="pct"/>
                  <w:vAlign w:val="center"/>
                </w:tcPr>
                <w:p>
                  <w:pPr>
                    <w:jc w:val="center"/>
                    <w:rPr>
                      <w:sz w:val="22"/>
                    </w:rPr>
                  </w:pPr>
                  <w:r>
                    <w:rPr>
                      <w:rFonts w:hint="eastAsia"/>
                      <w:sz w:val="22"/>
                    </w:rPr>
                    <w:t>综合楼</w:t>
                  </w:r>
                  <w:r>
                    <w:rPr>
                      <w:sz w:val="22"/>
                    </w:rPr>
                    <w:t>4</w:t>
                  </w:r>
                  <w:r>
                    <w:rPr>
                      <w:rFonts w:hint="eastAsia"/>
                      <w:sz w:val="22"/>
                    </w:rPr>
                    <w:t>楼</w:t>
                  </w:r>
                </w:p>
              </w:tc>
              <w:tc>
                <w:tcPr>
                  <w:tcW w:w="746" w:type="pct"/>
                  <w:vAlign w:val="center"/>
                </w:tcPr>
                <w:p>
                  <w:pPr>
                    <w:jc w:val="center"/>
                    <w:rPr>
                      <w:sz w:val="22"/>
                    </w:rPr>
                  </w:pPr>
                  <w:r>
                    <w:rPr>
                      <w:rFonts w:hint="eastAsia"/>
                      <w:sz w:val="22"/>
                    </w:rPr>
                    <w:t>1200</w:t>
                  </w:r>
                </w:p>
              </w:tc>
              <w:tc>
                <w:tcPr>
                  <w:tcW w:w="2300" w:type="pct"/>
                  <w:vAlign w:val="center"/>
                </w:tcPr>
                <w:p>
                  <w:pPr>
                    <w:jc w:val="center"/>
                    <w:rPr>
                      <w:sz w:val="22"/>
                    </w:rPr>
                  </w:pPr>
                  <w:r>
                    <w:rPr>
                      <w:rFonts w:hint="eastAsia"/>
                      <w:sz w:val="22"/>
                    </w:rPr>
                    <w:t>综合住院部、办公室、治疗室、医药库房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continue"/>
                  <w:vAlign w:val="center"/>
                </w:tcPr>
                <w:p>
                  <w:pPr>
                    <w:jc w:val="center"/>
                    <w:rPr>
                      <w:sz w:val="22"/>
                    </w:rPr>
                  </w:pPr>
                </w:p>
              </w:tc>
              <w:tc>
                <w:tcPr>
                  <w:tcW w:w="464" w:type="pct"/>
                  <w:vAlign w:val="center"/>
                </w:tcPr>
                <w:p>
                  <w:pPr>
                    <w:jc w:val="center"/>
                    <w:rPr>
                      <w:sz w:val="22"/>
                    </w:rPr>
                  </w:pPr>
                  <w:r>
                    <w:rPr>
                      <w:rFonts w:hint="eastAsia"/>
                      <w:sz w:val="22"/>
                    </w:rPr>
                    <w:t>5</w:t>
                  </w:r>
                </w:p>
              </w:tc>
              <w:tc>
                <w:tcPr>
                  <w:tcW w:w="1026" w:type="pct"/>
                  <w:vAlign w:val="center"/>
                </w:tcPr>
                <w:p>
                  <w:pPr>
                    <w:jc w:val="center"/>
                    <w:rPr>
                      <w:sz w:val="22"/>
                    </w:rPr>
                  </w:pPr>
                  <w:r>
                    <w:rPr>
                      <w:rFonts w:hint="eastAsia"/>
                      <w:sz w:val="22"/>
                    </w:rPr>
                    <w:t>综合楼5楼</w:t>
                  </w:r>
                </w:p>
              </w:tc>
              <w:tc>
                <w:tcPr>
                  <w:tcW w:w="746" w:type="pct"/>
                  <w:vAlign w:val="center"/>
                </w:tcPr>
                <w:p>
                  <w:pPr>
                    <w:jc w:val="center"/>
                    <w:rPr>
                      <w:sz w:val="22"/>
                    </w:rPr>
                  </w:pPr>
                  <w:r>
                    <w:rPr>
                      <w:rFonts w:hint="eastAsia"/>
                      <w:sz w:val="22"/>
                    </w:rPr>
                    <w:t>1200</w:t>
                  </w:r>
                </w:p>
              </w:tc>
              <w:tc>
                <w:tcPr>
                  <w:tcW w:w="2300" w:type="pct"/>
                  <w:vAlign w:val="center"/>
                </w:tcPr>
                <w:p>
                  <w:pPr>
                    <w:jc w:val="center"/>
                    <w:rPr>
                      <w:sz w:val="22"/>
                    </w:rPr>
                  </w:pPr>
                  <w:r>
                    <w:rPr>
                      <w:rFonts w:hint="eastAsia"/>
                      <w:sz w:val="22"/>
                    </w:rPr>
                    <w:t>空置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continue"/>
                  <w:vAlign w:val="center"/>
                </w:tcPr>
                <w:p>
                  <w:pPr>
                    <w:jc w:val="center"/>
                    <w:rPr>
                      <w:sz w:val="22"/>
                    </w:rPr>
                  </w:pPr>
                </w:p>
              </w:tc>
              <w:tc>
                <w:tcPr>
                  <w:tcW w:w="464" w:type="pct"/>
                  <w:vAlign w:val="center"/>
                </w:tcPr>
                <w:p>
                  <w:pPr>
                    <w:jc w:val="center"/>
                    <w:rPr>
                      <w:sz w:val="22"/>
                    </w:rPr>
                  </w:pPr>
                  <w:r>
                    <w:rPr>
                      <w:rFonts w:hint="eastAsia"/>
                      <w:sz w:val="22"/>
                    </w:rPr>
                    <w:t>6</w:t>
                  </w:r>
                </w:p>
              </w:tc>
              <w:tc>
                <w:tcPr>
                  <w:tcW w:w="1026" w:type="pct"/>
                  <w:vAlign w:val="center"/>
                </w:tcPr>
                <w:p>
                  <w:pPr>
                    <w:jc w:val="center"/>
                    <w:rPr>
                      <w:sz w:val="22"/>
                    </w:rPr>
                  </w:pPr>
                  <w:r>
                    <w:rPr>
                      <w:rFonts w:hint="eastAsia"/>
                      <w:sz w:val="22"/>
                    </w:rPr>
                    <w:t>综合楼6楼</w:t>
                  </w:r>
                </w:p>
              </w:tc>
              <w:tc>
                <w:tcPr>
                  <w:tcW w:w="746" w:type="pct"/>
                  <w:vAlign w:val="center"/>
                </w:tcPr>
                <w:p>
                  <w:pPr>
                    <w:jc w:val="center"/>
                    <w:rPr>
                      <w:sz w:val="22"/>
                    </w:rPr>
                  </w:pPr>
                  <w:r>
                    <w:rPr>
                      <w:rFonts w:hint="eastAsia"/>
                      <w:sz w:val="22"/>
                    </w:rPr>
                    <w:t>1200</w:t>
                  </w:r>
                </w:p>
              </w:tc>
              <w:tc>
                <w:tcPr>
                  <w:tcW w:w="2300" w:type="pct"/>
                  <w:vAlign w:val="center"/>
                </w:tcPr>
                <w:p>
                  <w:pPr>
                    <w:jc w:val="center"/>
                    <w:rPr>
                      <w:sz w:val="22"/>
                    </w:rPr>
                  </w:pPr>
                  <w:r>
                    <w:rPr>
                      <w:rFonts w:hint="eastAsia"/>
                      <w:sz w:val="22"/>
                    </w:rPr>
                    <w:t>会议室、精神病咨询室、食堂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restart"/>
                  <w:vAlign w:val="center"/>
                </w:tcPr>
                <w:p>
                  <w:pPr>
                    <w:jc w:val="center"/>
                    <w:rPr>
                      <w:sz w:val="22"/>
                    </w:rPr>
                  </w:pPr>
                  <w:r>
                    <w:t>辅助工程</w:t>
                  </w:r>
                </w:p>
              </w:tc>
              <w:tc>
                <w:tcPr>
                  <w:tcW w:w="464" w:type="pct"/>
                  <w:vAlign w:val="center"/>
                </w:tcPr>
                <w:p>
                  <w:pPr>
                    <w:jc w:val="center"/>
                    <w:rPr>
                      <w:sz w:val="22"/>
                    </w:rPr>
                  </w:pPr>
                  <w:r>
                    <w:rPr>
                      <w:rFonts w:hint="eastAsia"/>
                      <w:sz w:val="22"/>
                    </w:rPr>
                    <w:t>1</w:t>
                  </w:r>
                </w:p>
              </w:tc>
              <w:tc>
                <w:tcPr>
                  <w:tcW w:w="1026" w:type="pct"/>
                  <w:vAlign w:val="center"/>
                </w:tcPr>
                <w:p>
                  <w:pPr>
                    <w:jc w:val="center"/>
                    <w:rPr>
                      <w:sz w:val="22"/>
                    </w:rPr>
                  </w:pPr>
                  <w:r>
                    <w:rPr>
                      <w:rFonts w:hint="eastAsia"/>
                      <w:sz w:val="22"/>
                    </w:rPr>
                    <w:t>食堂</w:t>
                  </w:r>
                </w:p>
              </w:tc>
              <w:tc>
                <w:tcPr>
                  <w:tcW w:w="746" w:type="pct"/>
                  <w:vAlign w:val="center"/>
                </w:tcPr>
                <w:p>
                  <w:pPr>
                    <w:jc w:val="center"/>
                    <w:rPr>
                      <w:sz w:val="22"/>
                    </w:rPr>
                  </w:pPr>
                  <w:r>
                    <w:rPr>
                      <w:rFonts w:hint="eastAsia"/>
                      <w:sz w:val="22"/>
                    </w:rPr>
                    <w:t>600</w:t>
                  </w:r>
                </w:p>
              </w:tc>
              <w:tc>
                <w:tcPr>
                  <w:tcW w:w="2300" w:type="pct"/>
                  <w:vAlign w:val="center"/>
                </w:tcPr>
                <w:p>
                  <w:pPr>
                    <w:jc w:val="center"/>
                    <w:rPr>
                      <w:sz w:val="22"/>
                    </w:rPr>
                  </w:pPr>
                  <w:r>
                    <w:rPr>
                      <w:rFonts w:hint="eastAsia"/>
                      <w:sz w:val="22"/>
                    </w:rPr>
                    <w:t>位于医院6楼，主要为院区内医护人员食堂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continue"/>
                  <w:vAlign w:val="center"/>
                </w:tcPr>
                <w:p>
                  <w:pPr>
                    <w:jc w:val="center"/>
                  </w:pPr>
                </w:p>
              </w:tc>
              <w:tc>
                <w:tcPr>
                  <w:tcW w:w="464" w:type="pct"/>
                  <w:vAlign w:val="center"/>
                </w:tcPr>
                <w:p>
                  <w:pPr>
                    <w:jc w:val="center"/>
                    <w:rPr>
                      <w:sz w:val="22"/>
                    </w:rPr>
                  </w:pPr>
                  <w:r>
                    <w:rPr>
                      <w:rFonts w:hint="eastAsia"/>
                      <w:sz w:val="22"/>
                    </w:rPr>
                    <w:t>2</w:t>
                  </w:r>
                </w:p>
              </w:tc>
              <w:tc>
                <w:tcPr>
                  <w:tcW w:w="1026" w:type="pct"/>
                  <w:vAlign w:val="center"/>
                </w:tcPr>
                <w:p>
                  <w:pPr>
                    <w:jc w:val="center"/>
                    <w:rPr>
                      <w:sz w:val="22"/>
                    </w:rPr>
                  </w:pPr>
                  <w:r>
                    <w:rPr>
                      <w:rFonts w:hint="eastAsia"/>
                      <w:sz w:val="22"/>
                    </w:rPr>
                    <w:t>洗衣房</w:t>
                  </w:r>
                </w:p>
              </w:tc>
              <w:tc>
                <w:tcPr>
                  <w:tcW w:w="746" w:type="pct"/>
                  <w:vAlign w:val="center"/>
                </w:tcPr>
                <w:p>
                  <w:pPr>
                    <w:jc w:val="center"/>
                    <w:rPr>
                      <w:sz w:val="22"/>
                    </w:rPr>
                  </w:pPr>
                  <w:r>
                    <w:rPr>
                      <w:rFonts w:hint="eastAsia"/>
                      <w:sz w:val="22"/>
                    </w:rPr>
                    <w:t>100</w:t>
                  </w:r>
                </w:p>
              </w:tc>
              <w:tc>
                <w:tcPr>
                  <w:tcW w:w="2300" w:type="pct"/>
                  <w:vAlign w:val="center"/>
                </w:tcPr>
                <w:p>
                  <w:pPr>
                    <w:jc w:val="center"/>
                    <w:rPr>
                      <w:sz w:val="22"/>
                    </w:rPr>
                  </w:pPr>
                  <w:r>
                    <w:rPr>
                      <w:rFonts w:hint="eastAsia"/>
                      <w:sz w:val="22"/>
                    </w:rPr>
                    <w:t>位于院区北侧，主要对院区内病患与医护人员衣物进行清洗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restart"/>
                  <w:vAlign w:val="center"/>
                </w:tcPr>
                <w:p>
                  <w:pPr>
                    <w:jc w:val="center"/>
                  </w:pPr>
                  <w:r>
                    <w:rPr>
                      <w:rFonts w:hint="eastAsia"/>
                    </w:rPr>
                    <w:t>公用工程</w:t>
                  </w:r>
                </w:p>
              </w:tc>
              <w:tc>
                <w:tcPr>
                  <w:tcW w:w="464" w:type="pct"/>
                  <w:vAlign w:val="center"/>
                </w:tcPr>
                <w:p>
                  <w:pPr>
                    <w:jc w:val="center"/>
                    <w:rPr>
                      <w:sz w:val="22"/>
                    </w:rPr>
                  </w:pPr>
                  <w:r>
                    <w:rPr>
                      <w:rFonts w:hint="eastAsia"/>
                      <w:sz w:val="22"/>
                    </w:rPr>
                    <w:t>1</w:t>
                  </w:r>
                </w:p>
              </w:tc>
              <w:tc>
                <w:tcPr>
                  <w:tcW w:w="1026" w:type="pct"/>
                  <w:vAlign w:val="center"/>
                </w:tcPr>
                <w:p>
                  <w:pPr>
                    <w:jc w:val="center"/>
                    <w:rPr>
                      <w:sz w:val="22"/>
                    </w:rPr>
                  </w:pPr>
                  <w:r>
                    <w:rPr>
                      <w:rFonts w:hint="eastAsia"/>
                      <w:sz w:val="22"/>
                    </w:rPr>
                    <w:t>供水</w:t>
                  </w:r>
                </w:p>
              </w:tc>
              <w:tc>
                <w:tcPr>
                  <w:tcW w:w="3046" w:type="pct"/>
                  <w:gridSpan w:val="2"/>
                  <w:vAlign w:val="center"/>
                </w:tcPr>
                <w:p>
                  <w:pPr>
                    <w:jc w:val="center"/>
                    <w:rPr>
                      <w:sz w:val="22"/>
                    </w:rPr>
                  </w:pPr>
                  <w:r>
                    <w:rPr>
                      <w:rFonts w:hint="eastAsia"/>
                      <w:sz w:val="22"/>
                    </w:rPr>
                    <w:t>由市政供水系统供给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continue"/>
                  <w:vAlign w:val="center"/>
                </w:tcPr>
                <w:p>
                  <w:pPr>
                    <w:jc w:val="center"/>
                  </w:pPr>
                </w:p>
              </w:tc>
              <w:tc>
                <w:tcPr>
                  <w:tcW w:w="464" w:type="pct"/>
                  <w:vAlign w:val="center"/>
                </w:tcPr>
                <w:p>
                  <w:pPr>
                    <w:jc w:val="center"/>
                    <w:rPr>
                      <w:sz w:val="22"/>
                    </w:rPr>
                  </w:pPr>
                  <w:r>
                    <w:rPr>
                      <w:rFonts w:hint="eastAsia"/>
                      <w:sz w:val="22"/>
                    </w:rPr>
                    <w:t>2</w:t>
                  </w:r>
                </w:p>
              </w:tc>
              <w:tc>
                <w:tcPr>
                  <w:tcW w:w="1026" w:type="pct"/>
                  <w:vAlign w:val="center"/>
                </w:tcPr>
                <w:p>
                  <w:pPr>
                    <w:jc w:val="center"/>
                    <w:rPr>
                      <w:sz w:val="22"/>
                    </w:rPr>
                  </w:pPr>
                  <w:r>
                    <w:rPr>
                      <w:rFonts w:hint="eastAsia"/>
                      <w:sz w:val="22"/>
                    </w:rPr>
                    <w:t>排水</w:t>
                  </w:r>
                </w:p>
              </w:tc>
              <w:tc>
                <w:tcPr>
                  <w:tcW w:w="3046" w:type="pct"/>
                  <w:gridSpan w:val="2"/>
                  <w:vAlign w:val="center"/>
                </w:tcPr>
                <w:p>
                  <w:pPr>
                    <w:jc w:val="center"/>
                    <w:rPr>
                      <w:sz w:val="22"/>
                    </w:rPr>
                  </w:pPr>
                  <w:r>
                    <w:rPr>
                      <w:rFonts w:hint="eastAsia"/>
                      <w:sz w:val="22"/>
                    </w:rPr>
                    <w:t>院区内医疗废水采用雨污分流制，雨水进入市政雨水管网；项目生活污水经化粪池预处理，后与院区医疗废水一起排入自建污水处理站处理达标后，排入澧县污水处理厂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continue"/>
                  <w:vAlign w:val="center"/>
                </w:tcPr>
                <w:p>
                  <w:pPr>
                    <w:jc w:val="center"/>
                  </w:pPr>
                </w:p>
              </w:tc>
              <w:tc>
                <w:tcPr>
                  <w:tcW w:w="464" w:type="pct"/>
                  <w:vAlign w:val="center"/>
                </w:tcPr>
                <w:p>
                  <w:pPr>
                    <w:jc w:val="center"/>
                    <w:rPr>
                      <w:sz w:val="22"/>
                    </w:rPr>
                  </w:pPr>
                  <w:r>
                    <w:rPr>
                      <w:rFonts w:hint="eastAsia"/>
                      <w:sz w:val="22"/>
                    </w:rPr>
                    <w:t>3</w:t>
                  </w:r>
                </w:p>
              </w:tc>
              <w:tc>
                <w:tcPr>
                  <w:tcW w:w="1026" w:type="pct"/>
                  <w:vAlign w:val="center"/>
                </w:tcPr>
                <w:p>
                  <w:pPr>
                    <w:jc w:val="center"/>
                    <w:rPr>
                      <w:sz w:val="22"/>
                    </w:rPr>
                  </w:pPr>
                  <w:r>
                    <w:rPr>
                      <w:rFonts w:hint="eastAsia"/>
                      <w:sz w:val="22"/>
                    </w:rPr>
                    <w:t>供电</w:t>
                  </w:r>
                </w:p>
              </w:tc>
              <w:tc>
                <w:tcPr>
                  <w:tcW w:w="3046" w:type="pct"/>
                  <w:gridSpan w:val="2"/>
                  <w:vAlign w:val="center"/>
                </w:tcPr>
                <w:p>
                  <w:pPr>
                    <w:jc w:val="center"/>
                    <w:rPr>
                      <w:sz w:val="22"/>
                    </w:rPr>
                  </w:pPr>
                  <w:r>
                    <w:rPr>
                      <w:rFonts w:hint="eastAsia"/>
                      <w:sz w:val="22"/>
                    </w:rPr>
                    <w:t>由国家电网供给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continue"/>
                  <w:vAlign w:val="center"/>
                </w:tcPr>
                <w:p>
                  <w:pPr>
                    <w:jc w:val="center"/>
                  </w:pPr>
                </w:p>
              </w:tc>
              <w:tc>
                <w:tcPr>
                  <w:tcW w:w="464" w:type="pct"/>
                  <w:vAlign w:val="center"/>
                </w:tcPr>
                <w:p>
                  <w:pPr>
                    <w:jc w:val="center"/>
                    <w:rPr>
                      <w:sz w:val="22"/>
                    </w:rPr>
                  </w:pPr>
                  <w:r>
                    <w:rPr>
                      <w:rFonts w:hint="eastAsia"/>
                      <w:sz w:val="22"/>
                    </w:rPr>
                    <w:t>4</w:t>
                  </w:r>
                </w:p>
              </w:tc>
              <w:tc>
                <w:tcPr>
                  <w:tcW w:w="1026" w:type="pct"/>
                  <w:vAlign w:val="center"/>
                </w:tcPr>
                <w:p>
                  <w:pPr>
                    <w:jc w:val="center"/>
                    <w:rPr>
                      <w:sz w:val="22"/>
                    </w:rPr>
                  </w:pPr>
                  <w:r>
                    <w:rPr>
                      <w:rFonts w:hint="eastAsia"/>
                      <w:sz w:val="22"/>
                    </w:rPr>
                    <w:t>供热</w:t>
                  </w:r>
                </w:p>
              </w:tc>
              <w:tc>
                <w:tcPr>
                  <w:tcW w:w="3046" w:type="pct"/>
                  <w:gridSpan w:val="2"/>
                  <w:vAlign w:val="center"/>
                </w:tcPr>
                <w:p>
                  <w:pPr>
                    <w:jc w:val="center"/>
                    <w:rPr>
                      <w:sz w:val="22"/>
                    </w:rPr>
                  </w:pPr>
                  <w:r>
                    <w:rPr>
                      <w:rFonts w:hint="eastAsia"/>
                      <w:sz w:val="22"/>
                    </w:rPr>
                    <w:t>设置热水器，采用电（空调），不设置锅炉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64" w:type="pct"/>
                  <w:vMerge w:val="restart"/>
                  <w:vAlign w:val="center"/>
                </w:tcPr>
                <w:p>
                  <w:pPr>
                    <w:jc w:val="center"/>
                    <w:rPr>
                      <w:sz w:val="22"/>
                    </w:rPr>
                  </w:pPr>
                  <w:r>
                    <w:rPr>
                      <w:rFonts w:hint="eastAsia"/>
                      <w:sz w:val="22"/>
                    </w:rPr>
                    <w:t>环保工程</w:t>
                  </w:r>
                </w:p>
              </w:tc>
              <w:tc>
                <w:tcPr>
                  <w:tcW w:w="464" w:type="pct"/>
                  <w:vMerge w:val="restart"/>
                  <w:vAlign w:val="center"/>
                </w:tcPr>
                <w:p>
                  <w:pPr>
                    <w:jc w:val="center"/>
                    <w:rPr>
                      <w:sz w:val="22"/>
                    </w:rPr>
                  </w:pPr>
                  <w:r>
                    <w:rPr>
                      <w:rFonts w:hint="eastAsia"/>
                      <w:sz w:val="22"/>
                    </w:rPr>
                    <w:t>废气</w:t>
                  </w:r>
                </w:p>
              </w:tc>
              <w:tc>
                <w:tcPr>
                  <w:tcW w:w="1772" w:type="pct"/>
                  <w:gridSpan w:val="2"/>
                  <w:vAlign w:val="center"/>
                </w:tcPr>
                <w:p>
                  <w:pPr>
                    <w:jc w:val="center"/>
                    <w:rPr>
                      <w:sz w:val="22"/>
                      <w:highlight w:val="yellow"/>
                    </w:rPr>
                  </w:pPr>
                  <w:r>
                    <w:rPr>
                      <w:rFonts w:hint="eastAsia"/>
                      <w:sz w:val="22"/>
                    </w:rPr>
                    <w:t>污水处理站恶臭</w:t>
                  </w:r>
                </w:p>
              </w:tc>
              <w:tc>
                <w:tcPr>
                  <w:tcW w:w="2300" w:type="pct"/>
                  <w:vAlign w:val="center"/>
                </w:tcPr>
                <w:p>
                  <w:pPr>
                    <w:jc w:val="center"/>
                    <w:rPr>
                      <w:sz w:val="22"/>
                    </w:rPr>
                  </w:pPr>
                  <w:r>
                    <w:rPr>
                      <w:rFonts w:hint="eastAsia"/>
                      <w:sz w:val="22"/>
                    </w:rPr>
                    <w:t>密闭处理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64" w:type="pct"/>
                  <w:vMerge w:val="continue"/>
                  <w:vAlign w:val="center"/>
                </w:tcPr>
                <w:p>
                  <w:pPr>
                    <w:jc w:val="center"/>
                    <w:rPr>
                      <w:sz w:val="22"/>
                    </w:rPr>
                  </w:pPr>
                </w:p>
              </w:tc>
              <w:tc>
                <w:tcPr>
                  <w:tcW w:w="464" w:type="pct"/>
                  <w:vMerge w:val="continue"/>
                  <w:vAlign w:val="center"/>
                </w:tcPr>
                <w:p>
                  <w:pPr>
                    <w:jc w:val="center"/>
                    <w:rPr>
                      <w:sz w:val="22"/>
                    </w:rPr>
                  </w:pPr>
                </w:p>
              </w:tc>
              <w:tc>
                <w:tcPr>
                  <w:tcW w:w="1772" w:type="pct"/>
                  <w:gridSpan w:val="2"/>
                  <w:vAlign w:val="center"/>
                </w:tcPr>
                <w:p>
                  <w:pPr>
                    <w:jc w:val="center"/>
                    <w:rPr>
                      <w:rFonts w:ascii="宋体" w:hAnsi="宋体" w:cs="宋体"/>
                      <w:sz w:val="22"/>
                      <w:szCs w:val="18"/>
                    </w:rPr>
                  </w:pPr>
                  <w:r>
                    <w:rPr>
                      <w:rFonts w:hint="eastAsia" w:ascii="宋体" w:hAnsi="宋体" w:cs="宋体"/>
                      <w:sz w:val="22"/>
                      <w:szCs w:val="18"/>
                    </w:rPr>
                    <w:t>食堂油烟</w:t>
                  </w:r>
                </w:p>
              </w:tc>
              <w:tc>
                <w:tcPr>
                  <w:tcW w:w="2300" w:type="pct"/>
                  <w:vAlign w:val="center"/>
                </w:tcPr>
                <w:p>
                  <w:pPr>
                    <w:jc w:val="center"/>
                    <w:rPr>
                      <w:sz w:val="22"/>
                      <w:szCs w:val="18"/>
                    </w:rPr>
                  </w:pPr>
                  <w:r>
                    <w:rPr>
                      <w:rFonts w:hint="eastAsia"/>
                      <w:sz w:val="22"/>
                      <w:szCs w:val="18"/>
                    </w:rPr>
                    <w:t>油烟净化器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64" w:type="pct"/>
                  <w:vMerge w:val="continue"/>
                  <w:vAlign w:val="center"/>
                </w:tcPr>
                <w:p>
                  <w:pPr>
                    <w:jc w:val="center"/>
                    <w:rPr>
                      <w:sz w:val="22"/>
                    </w:rPr>
                  </w:pPr>
                </w:p>
              </w:tc>
              <w:tc>
                <w:tcPr>
                  <w:tcW w:w="464" w:type="pct"/>
                  <w:vMerge w:val="continue"/>
                  <w:vAlign w:val="center"/>
                </w:tcPr>
                <w:p>
                  <w:pPr>
                    <w:jc w:val="center"/>
                    <w:rPr>
                      <w:sz w:val="22"/>
                    </w:rPr>
                  </w:pPr>
                </w:p>
              </w:tc>
              <w:tc>
                <w:tcPr>
                  <w:tcW w:w="1772" w:type="pct"/>
                  <w:gridSpan w:val="2"/>
                  <w:vAlign w:val="center"/>
                </w:tcPr>
                <w:p>
                  <w:pPr>
                    <w:jc w:val="center"/>
                    <w:rPr>
                      <w:rFonts w:ascii="宋体" w:hAnsi="宋体" w:cs="宋体"/>
                      <w:sz w:val="22"/>
                      <w:szCs w:val="18"/>
                    </w:rPr>
                  </w:pPr>
                  <w:r>
                    <w:rPr>
                      <w:rFonts w:hint="eastAsia" w:ascii="宋体" w:hAnsi="宋体" w:cs="宋体"/>
                      <w:sz w:val="22"/>
                      <w:szCs w:val="18"/>
                    </w:rPr>
                    <w:t>备用柴油发电机废气</w:t>
                  </w:r>
                </w:p>
              </w:tc>
              <w:tc>
                <w:tcPr>
                  <w:tcW w:w="2300" w:type="pct"/>
                  <w:vAlign w:val="center"/>
                </w:tcPr>
                <w:p>
                  <w:pPr>
                    <w:jc w:val="center"/>
                    <w:rPr>
                      <w:sz w:val="22"/>
                      <w:szCs w:val="18"/>
                    </w:rPr>
                  </w:pPr>
                  <w:r>
                    <w:rPr>
                      <w:rFonts w:hint="eastAsia"/>
                      <w:bCs/>
                      <w:sz w:val="22"/>
                      <w:szCs w:val="18"/>
                    </w:rPr>
                    <w:t>柴油发电机自带除尘设施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64" w:type="pct"/>
                  <w:vMerge w:val="continue"/>
                  <w:vAlign w:val="center"/>
                </w:tcPr>
                <w:p>
                  <w:pPr>
                    <w:jc w:val="center"/>
                    <w:rPr>
                      <w:sz w:val="22"/>
                    </w:rPr>
                  </w:pPr>
                </w:p>
              </w:tc>
              <w:tc>
                <w:tcPr>
                  <w:tcW w:w="464" w:type="pct"/>
                  <w:vAlign w:val="center"/>
                </w:tcPr>
                <w:p>
                  <w:pPr>
                    <w:jc w:val="center"/>
                    <w:rPr>
                      <w:sz w:val="22"/>
                    </w:rPr>
                  </w:pPr>
                  <w:r>
                    <w:rPr>
                      <w:rFonts w:hint="eastAsia"/>
                      <w:sz w:val="22"/>
                    </w:rPr>
                    <w:t>废水</w:t>
                  </w:r>
                </w:p>
              </w:tc>
              <w:tc>
                <w:tcPr>
                  <w:tcW w:w="1772" w:type="pct"/>
                  <w:gridSpan w:val="2"/>
                  <w:vAlign w:val="center"/>
                </w:tcPr>
                <w:p>
                  <w:pPr>
                    <w:jc w:val="center"/>
                    <w:rPr>
                      <w:rFonts w:ascii="宋体" w:hAnsi="宋体" w:cs="宋体"/>
                      <w:sz w:val="22"/>
                      <w:szCs w:val="18"/>
                    </w:rPr>
                  </w:pPr>
                  <w:r>
                    <w:rPr>
                      <w:rFonts w:hint="eastAsia" w:ascii="宋体" w:hAnsi="宋体" w:cs="宋体"/>
                      <w:sz w:val="22"/>
                      <w:szCs w:val="18"/>
                    </w:rPr>
                    <w:t>医疗废水</w:t>
                  </w:r>
                </w:p>
              </w:tc>
              <w:tc>
                <w:tcPr>
                  <w:tcW w:w="2300" w:type="pct"/>
                  <w:vAlign w:val="center"/>
                </w:tcPr>
                <w:p>
                  <w:pPr>
                    <w:jc w:val="center"/>
                    <w:rPr>
                      <w:sz w:val="22"/>
                      <w:szCs w:val="18"/>
                    </w:rPr>
                  </w:pPr>
                  <w:r>
                    <w:rPr>
                      <w:rFonts w:hint="eastAsia"/>
                      <w:sz w:val="22"/>
                      <w:szCs w:val="18"/>
                    </w:rPr>
                    <w:t>门诊病人、住院病人以及医务人员处产生的生活废水经化粪池处理后，再与地面保洁废水、洗衣房废水一并排入院区自建污水处理站处理后排入澧县污水处理厂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continue"/>
                  <w:vAlign w:val="center"/>
                </w:tcPr>
                <w:p>
                  <w:pPr>
                    <w:jc w:val="center"/>
                    <w:rPr>
                      <w:sz w:val="22"/>
                    </w:rPr>
                  </w:pPr>
                </w:p>
              </w:tc>
              <w:tc>
                <w:tcPr>
                  <w:tcW w:w="464" w:type="pct"/>
                  <w:vAlign w:val="center"/>
                </w:tcPr>
                <w:p>
                  <w:pPr>
                    <w:jc w:val="center"/>
                    <w:rPr>
                      <w:sz w:val="22"/>
                    </w:rPr>
                  </w:pPr>
                  <w:r>
                    <w:rPr>
                      <w:rFonts w:hint="eastAsia"/>
                      <w:sz w:val="22"/>
                    </w:rPr>
                    <w:t>噪声</w:t>
                  </w:r>
                </w:p>
              </w:tc>
              <w:tc>
                <w:tcPr>
                  <w:tcW w:w="1772" w:type="pct"/>
                  <w:gridSpan w:val="2"/>
                  <w:vAlign w:val="center"/>
                </w:tcPr>
                <w:p>
                  <w:pPr>
                    <w:jc w:val="center"/>
                    <w:rPr>
                      <w:sz w:val="22"/>
                    </w:rPr>
                  </w:pPr>
                  <w:r>
                    <w:rPr>
                      <w:rFonts w:hint="eastAsia"/>
                      <w:sz w:val="22"/>
                    </w:rPr>
                    <w:t>厂区生产设备</w:t>
                  </w:r>
                </w:p>
              </w:tc>
              <w:tc>
                <w:tcPr>
                  <w:tcW w:w="2300" w:type="pct"/>
                  <w:vAlign w:val="center"/>
                </w:tcPr>
                <w:p>
                  <w:pPr>
                    <w:jc w:val="center"/>
                    <w:rPr>
                      <w:sz w:val="22"/>
                    </w:rPr>
                  </w:pPr>
                  <w:r>
                    <w:rPr>
                      <w:rFonts w:hint="eastAsia"/>
                      <w:sz w:val="22"/>
                    </w:rPr>
                    <w:t>基础减震、厂房隔声等措施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continue"/>
                  <w:vAlign w:val="center"/>
                </w:tcPr>
                <w:p>
                  <w:pPr>
                    <w:jc w:val="center"/>
                    <w:rPr>
                      <w:sz w:val="22"/>
                    </w:rPr>
                  </w:pPr>
                </w:p>
              </w:tc>
              <w:tc>
                <w:tcPr>
                  <w:tcW w:w="464" w:type="pct"/>
                  <w:vAlign w:val="center"/>
                </w:tcPr>
                <w:p>
                  <w:pPr>
                    <w:jc w:val="center"/>
                    <w:rPr>
                      <w:sz w:val="22"/>
                    </w:rPr>
                  </w:pPr>
                  <w:r>
                    <w:rPr>
                      <w:sz w:val="22"/>
                    </w:rPr>
                    <w:t>固废</w:t>
                  </w:r>
                </w:p>
              </w:tc>
              <w:tc>
                <w:tcPr>
                  <w:tcW w:w="1772" w:type="pct"/>
                  <w:gridSpan w:val="2"/>
                  <w:vAlign w:val="center"/>
                </w:tcPr>
                <w:p>
                  <w:pPr>
                    <w:jc w:val="center"/>
                    <w:rPr>
                      <w:sz w:val="22"/>
                    </w:rPr>
                  </w:pPr>
                  <w:r>
                    <w:rPr>
                      <w:rFonts w:hint="eastAsia" w:ascii="宋体" w:hAnsi="宋体" w:cs="宋体"/>
                      <w:sz w:val="22"/>
                      <w:szCs w:val="18"/>
                    </w:rPr>
                    <w:t>医疗废物</w:t>
                  </w:r>
                </w:p>
              </w:tc>
              <w:tc>
                <w:tcPr>
                  <w:tcW w:w="2300" w:type="pct"/>
                  <w:vAlign w:val="center"/>
                </w:tcPr>
                <w:p>
                  <w:pPr>
                    <w:jc w:val="center"/>
                    <w:rPr>
                      <w:sz w:val="22"/>
                    </w:rPr>
                  </w:pPr>
                  <w:r>
                    <w:rPr>
                      <w:rFonts w:hint="eastAsia" w:ascii="宋体" w:hAnsi="宋体" w:cs="宋体"/>
                      <w:sz w:val="22"/>
                      <w:szCs w:val="18"/>
                    </w:rPr>
                    <w:t>暂存于院区内医疗废物暂存间，定期委托湖南荣森环保科技有限公司处置</w:t>
                  </w:r>
                </w:p>
              </w:tc>
            </w:tr>
          </w:tbl>
          <w:p>
            <w:pPr>
              <w:adjustRightInd w:val="0"/>
              <w:snapToGrid w:val="0"/>
              <w:spacing w:line="360" w:lineRule="auto"/>
              <w:rPr>
                <w:b/>
                <w:sz w:val="24"/>
              </w:rPr>
            </w:pPr>
          </w:p>
          <w:p>
            <w:pPr>
              <w:spacing w:line="360" w:lineRule="auto"/>
              <w:ind w:firstLine="480" w:firstLineChars="200"/>
              <w:rPr>
                <w:sz w:val="24"/>
              </w:rPr>
            </w:pPr>
            <w:r>
              <w:rPr>
                <w:sz w:val="24"/>
              </w:rPr>
              <w:t>2、</w:t>
            </w:r>
            <w:r>
              <w:rPr>
                <w:rFonts w:hint="eastAsia"/>
                <w:sz w:val="24"/>
              </w:rPr>
              <w:t>科室设置</w:t>
            </w:r>
          </w:p>
          <w:p>
            <w:pPr>
              <w:adjustRightInd w:val="0"/>
              <w:snapToGrid w:val="0"/>
              <w:spacing w:line="360" w:lineRule="auto"/>
              <w:ind w:firstLine="480" w:firstLineChars="200"/>
              <w:rPr>
                <w:sz w:val="24"/>
              </w:rPr>
            </w:pPr>
            <w:r>
              <w:rPr>
                <w:rFonts w:hint="eastAsia"/>
                <w:sz w:val="24"/>
              </w:rPr>
              <w:t>根据院方已取得的医疗机构许可证，院区诊疗科目为预防保健科、全科医疗科、内科、外科、妇产科、口腔科、医学检验科、医学影像科、中医科。</w:t>
            </w:r>
          </w:p>
          <w:p>
            <w:pPr>
              <w:adjustRightInd w:val="0"/>
              <w:snapToGrid w:val="0"/>
              <w:spacing w:line="360" w:lineRule="auto"/>
              <w:ind w:firstLine="480" w:firstLineChars="200"/>
              <w:rPr>
                <w:sz w:val="24"/>
              </w:rPr>
            </w:pPr>
            <w:r>
              <w:rPr>
                <w:rFonts w:hint="eastAsia"/>
                <w:sz w:val="24"/>
              </w:rPr>
              <w:t>根据现场调查，据现场调查，综合楼共计6层，其中</w:t>
            </w:r>
            <w:r>
              <w:rPr>
                <w:sz w:val="24"/>
              </w:rPr>
              <w:t>1层为</w:t>
            </w:r>
            <w:r>
              <w:rPr>
                <w:rFonts w:hint="eastAsia"/>
                <w:sz w:val="24"/>
              </w:rPr>
              <w:t>药房、收费室、儿科门诊、内外科门诊、妇科门诊、门诊治疗室、高血压门诊、放射科、口腔科；</w:t>
            </w:r>
            <w:r>
              <w:rPr>
                <w:sz w:val="24"/>
              </w:rPr>
              <w:t>2层为</w:t>
            </w:r>
            <w:r>
              <w:rPr>
                <w:rFonts w:hint="eastAsia"/>
                <w:sz w:val="24"/>
              </w:rPr>
              <w:t>B超室、生化化验室、儿保室、精防办公室、妇保室、档案室、预计接种室；</w:t>
            </w:r>
            <w:r>
              <w:rPr>
                <w:sz w:val="24"/>
              </w:rPr>
              <w:t>3层</w:t>
            </w:r>
            <w:r>
              <w:rPr>
                <w:rFonts w:hint="eastAsia"/>
                <w:sz w:val="24"/>
              </w:rPr>
              <w:t>中医馆以及办公室；4层综合住院部、办公室、治疗室、医药库房；5层空置；6层会议室、精神病咨询室、食堂。</w:t>
            </w:r>
          </w:p>
          <w:p>
            <w:pPr>
              <w:adjustRightInd w:val="0"/>
              <w:snapToGrid w:val="0"/>
              <w:spacing w:line="360" w:lineRule="auto"/>
              <w:ind w:firstLine="465"/>
              <w:rPr>
                <w:sz w:val="24"/>
              </w:rPr>
            </w:pPr>
            <w:r>
              <w:rPr>
                <w:rFonts w:hint="eastAsia"/>
                <w:sz w:val="24"/>
              </w:rPr>
              <w:t>3、</w:t>
            </w:r>
            <w:r>
              <w:rPr>
                <w:sz w:val="24"/>
              </w:rPr>
              <w:t>主要生产设施</w:t>
            </w:r>
          </w:p>
          <w:p>
            <w:pPr>
              <w:spacing w:line="360" w:lineRule="auto"/>
              <w:ind w:firstLine="480" w:firstLineChars="200"/>
              <w:rPr>
                <w:sz w:val="24"/>
              </w:rPr>
            </w:pPr>
            <w:r>
              <w:rPr>
                <w:rFonts w:hint="eastAsia"/>
                <w:sz w:val="24"/>
              </w:rPr>
              <w:t>本项目</w:t>
            </w:r>
            <w:r>
              <w:rPr>
                <w:sz w:val="24"/>
              </w:rPr>
              <w:t>主要生产设备</w:t>
            </w:r>
            <w:r>
              <w:rPr>
                <w:rFonts w:hint="eastAsia"/>
                <w:sz w:val="24"/>
              </w:rPr>
              <w:t>如下所示。</w:t>
            </w:r>
          </w:p>
          <w:p>
            <w:pPr>
              <w:spacing w:line="360" w:lineRule="auto"/>
              <w:ind w:firstLine="442" w:firstLineChars="200"/>
              <w:jc w:val="center"/>
              <w:rPr>
                <w:b/>
                <w:bCs/>
                <w:sz w:val="22"/>
                <w:szCs w:val="22"/>
              </w:rPr>
            </w:pPr>
            <w:r>
              <w:rPr>
                <w:b/>
                <w:bCs/>
                <w:sz w:val="22"/>
                <w:szCs w:val="22"/>
              </w:rPr>
              <w:t>表</w:t>
            </w:r>
            <w:r>
              <w:rPr>
                <w:rFonts w:hint="eastAsia"/>
                <w:b/>
                <w:bCs/>
                <w:sz w:val="22"/>
                <w:szCs w:val="22"/>
              </w:rPr>
              <w:t>2-</w:t>
            </w:r>
            <w:r>
              <w:rPr>
                <w:b/>
                <w:bCs/>
                <w:sz w:val="22"/>
                <w:szCs w:val="22"/>
              </w:rPr>
              <w:t>3    主要设备清单</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294"/>
              <w:gridCol w:w="2005"/>
              <w:gridCol w:w="819"/>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kern w:val="0"/>
                      <w:sz w:val="22"/>
                      <w:szCs w:val="22"/>
                    </w:rPr>
                    <w:t>序号</w:t>
                  </w:r>
                </w:p>
              </w:tc>
              <w:tc>
                <w:tcPr>
                  <w:tcW w:w="2732" w:type="dxa"/>
                  <w:vAlign w:val="center"/>
                </w:tcPr>
                <w:p>
                  <w:pPr>
                    <w:jc w:val="center"/>
                    <w:rPr>
                      <w:kern w:val="0"/>
                      <w:sz w:val="22"/>
                    </w:rPr>
                  </w:pPr>
                  <w:r>
                    <w:rPr>
                      <w:kern w:val="0"/>
                      <w:sz w:val="22"/>
                      <w:szCs w:val="22"/>
                    </w:rPr>
                    <w:t>设备名称</w:t>
                  </w:r>
                </w:p>
              </w:tc>
              <w:tc>
                <w:tcPr>
                  <w:tcW w:w="2065" w:type="dxa"/>
                  <w:vAlign w:val="center"/>
                </w:tcPr>
                <w:p>
                  <w:pPr>
                    <w:jc w:val="center"/>
                    <w:rPr>
                      <w:kern w:val="0"/>
                      <w:sz w:val="22"/>
                    </w:rPr>
                  </w:pPr>
                  <w:r>
                    <w:rPr>
                      <w:kern w:val="0"/>
                      <w:sz w:val="22"/>
                      <w:szCs w:val="22"/>
                    </w:rPr>
                    <w:t>型号规格</w:t>
                  </w:r>
                </w:p>
              </w:tc>
              <w:tc>
                <w:tcPr>
                  <w:tcW w:w="909" w:type="dxa"/>
                  <w:vAlign w:val="center"/>
                </w:tcPr>
                <w:p>
                  <w:pPr>
                    <w:jc w:val="center"/>
                    <w:rPr>
                      <w:kern w:val="0"/>
                      <w:sz w:val="22"/>
                    </w:rPr>
                  </w:pPr>
                  <w:r>
                    <w:rPr>
                      <w:kern w:val="0"/>
                      <w:sz w:val="22"/>
                      <w:szCs w:val="22"/>
                    </w:rPr>
                    <w:t>数量</w:t>
                  </w:r>
                </w:p>
              </w:tc>
              <w:tc>
                <w:tcPr>
                  <w:tcW w:w="2062" w:type="dxa"/>
                  <w:vAlign w:val="center"/>
                </w:tcPr>
                <w:p>
                  <w:pPr>
                    <w:jc w:val="center"/>
                    <w:rPr>
                      <w:kern w:val="0"/>
                      <w:sz w:val="22"/>
                    </w:rPr>
                  </w:pPr>
                  <w:r>
                    <w:rPr>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kern w:val="0"/>
                      <w:sz w:val="22"/>
                      <w:szCs w:val="22"/>
                    </w:rPr>
                    <w:t>1</w:t>
                  </w:r>
                </w:p>
              </w:tc>
              <w:tc>
                <w:tcPr>
                  <w:tcW w:w="2732" w:type="dxa"/>
                  <w:vAlign w:val="center"/>
                </w:tcPr>
                <w:p>
                  <w:pPr>
                    <w:jc w:val="center"/>
                    <w:rPr>
                      <w:kern w:val="0"/>
                      <w:sz w:val="22"/>
                    </w:rPr>
                  </w:pPr>
                  <w:r>
                    <w:rPr>
                      <w:kern w:val="0"/>
                      <w:sz w:val="22"/>
                      <w:szCs w:val="22"/>
                    </w:rPr>
                    <w:t>听诊器</w:t>
                  </w:r>
                </w:p>
              </w:tc>
              <w:tc>
                <w:tcPr>
                  <w:tcW w:w="2065" w:type="dxa"/>
                  <w:vAlign w:val="center"/>
                </w:tcPr>
                <w:p>
                  <w:pPr>
                    <w:jc w:val="center"/>
                    <w:rPr>
                      <w:kern w:val="0"/>
                      <w:sz w:val="22"/>
                    </w:rPr>
                  </w:pPr>
                  <w:r>
                    <w:rPr>
                      <w:kern w:val="0"/>
                      <w:sz w:val="22"/>
                      <w:szCs w:val="22"/>
                    </w:rPr>
                    <w:t>鱼跃单双听诊器</w:t>
                  </w:r>
                </w:p>
              </w:tc>
              <w:tc>
                <w:tcPr>
                  <w:tcW w:w="909" w:type="dxa"/>
                  <w:vAlign w:val="center"/>
                </w:tcPr>
                <w:p>
                  <w:pPr>
                    <w:jc w:val="center"/>
                    <w:rPr>
                      <w:kern w:val="0"/>
                      <w:sz w:val="22"/>
                    </w:rPr>
                  </w:pPr>
                  <w:r>
                    <w:rPr>
                      <w:kern w:val="0"/>
                      <w:sz w:val="22"/>
                      <w:szCs w:val="22"/>
                    </w:rPr>
                    <w:t>20台</w:t>
                  </w:r>
                </w:p>
              </w:tc>
              <w:tc>
                <w:tcPr>
                  <w:tcW w:w="2062" w:type="dxa"/>
                  <w:vAlign w:val="center"/>
                </w:tcPr>
                <w:p>
                  <w:pPr>
                    <w:jc w:val="center"/>
                    <w:rPr>
                      <w:kern w:val="0"/>
                      <w:sz w:val="22"/>
                    </w:rPr>
                  </w:pPr>
                  <w:r>
                    <w:rPr>
                      <w:kern w:val="0"/>
                      <w:sz w:val="22"/>
                      <w:szCs w:val="22"/>
                    </w:rPr>
                    <w:t>诊断判断用具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kern w:val="0"/>
                      <w:sz w:val="22"/>
                      <w:szCs w:val="22"/>
                    </w:rPr>
                    <w:t>2</w:t>
                  </w:r>
                </w:p>
              </w:tc>
              <w:tc>
                <w:tcPr>
                  <w:tcW w:w="2732" w:type="dxa"/>
                  <w:vAlign w:val="center"/>
                </w:tcPr>
                <w:p>
                  <w:pPr>
                    <w:jc w:val="center"/>
                    <w:rPr>
                      <w:kern w:val="0"/>
                      <w:sz w:val="22"/>
                    </w:rPr>
                  </w:pPr>
                  <w:r>
                    <w:rPr>
                      <w:kern w:val="0"/>
                      <w:sz w:val="22"/>
                      <w:szCs w:val="22"/>
                    </w:rPr>
                    <w:t>血压计</w:t>
                  </w:r>
                </w:p>
              </w:tc>
              <w:tc>
                <w:tcPr>
                  <w:tcW w:w="2065" w:type="dxa"/>
                  <w:vAlign w:val="center"/>
                </w:tcPr>
                <w:p>
                  <w:pPr>
                    <w:jc w:val="center"/>
                    <w:rPr>
                      <w:kern w:val="0"/>
                      <w:sz w:val="22"/>
                    </w:rPr>
                  </w:pPr>
                  <w:r>
                    <w:rPr>
                      <w:kern w:val="0"/>
                      <w:sz w:val="22"/>
                      <w:szCs w:val="22"/>
                    </w:rPr>
                    <w:t>鱼跃水银血压计</w:t>
                  </w:r>
                </w:p>
              </w:tc>
              <w:tc>
                <w:tcPr>
                  <w:tcW w:w="909" w:type="dxa"/>
                  <w:vAlign w:val="center"/>
                </w:tcPr>
                <w:p>
                  <w:pPr>
                    <w:jc w:val="center"/>
                    <w:rPr>
                      <w:kern w:val="0"/>
                      <w:sz w:val="22"/>
                    </w:rPr>
                  </w:pPr>
                  <w:r>
                    <w:rPr>
                      <w:kern w:val="0"/>
                      <w:sz w:val="22"/>
                      <w:szCs w:val="22"/>
                    </w:rPr>
                    <w:t>15台</w:t>
                  </w:r>
                </w:p>
              </w:tc>
              <w:tc>
                <w:tcPr>
                  <w:tcW w:w="2062" w:type="dxa"/>
                  <w:vAlign w:val="center"/>
                </w:tcPr>
                <w:p>
                  <w:pPr>
                    <w:jc w:val="center"/>
                    <w:rPr>
                      <w:kern w:val="0"/>
                      <w:sz w:val="22"/>
                    </w:rPr>
                  </w:pPr>
                  <w:r>
                    <w:rPr>
                      <w:kern w:val="0"/>
                      <w:sz w:val="22"/>
                      <w:szCs w:val="22"/>
                    </w:rPr>
                    <w:t>测量血压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kern w:val="0"/>
                      <w:sz w:val="22"/>
                      <w:szCs w:val="22"/>
                    </w:rPr>
                    <w:t>3</w:t>
                  </w:r>
                </w:p>
              </w:tc>
              <w:tc>
                <w:tcPr>
                  <w:tcW w:w="2732" w:type="dxa"/>
                  <w:vAlign w:val="center"/>
                </w:tcPr>
                <w:p>
                  <w:pPr>
                    <w:jc w:val="center"/>
                    <w:rPr>
                      <w:kern w:val="0"/>
                      <w:sz w:val="22"/>
                    </w:rPr>
                  </w:pPr>
                  <w:r>
                    <w:rPr>
                      <w:kern w:val="0"/>
                      <w:sz w:val="22"/>
                      <w:szCs w:val="22"/>
                    </w:rPr>
                    <w:t>彩色多普勒超声诊断</w:t>
                  </w:r>
                </w:p>
              </w:tc>
              <w:tc>
                <w:tcPr>
                  <w:tcW w:w="2065" w:type="dxa"/>
                  <w:vAlign w:val="center"/>
                </w:tcPr>
                <w:p>
                  <w:pPr>
                    <w:jc w:val="center"/>
                    <w:rPr>
                      <w:kern w:val="0"/>
                      <w:sz w:val="22"/>
                    </w:rPr>
                  </w:pPr>
                  <w:r>
                    <w:rPr>
                      <w:rFonts w:hint="eastAsia"/>
                      <w:kern w:val="0"/>
                      <w:sz w:val="22"/>
                      <w:szCs w:val="22"/>
                    </w:rPr>
                    <w:t xml:space="preserve">佑泽 CEMD </w:t>
                  </w:r>
                </w:p>
              </w:tc>
              <w:tc>
                <w:tcPr>
                  <w:tcW w:w="909" w:type="dxa"/>
                  <w:vAlign w:val="center"/>
                </w:tcPr>
                <w:p>
                  <w:pPr>
                    <w:jc w:val="center"/>
                    <w:rPr>
                      <w:kern w:val="0"/>
                      <w:sz w:val="22"/>
                    </w:rPr>
                  </w:pPr>
                  <w:r>
                    <w:rPr>
                      <w:kern w:val="0"/>
                      <w:sz w:val="22"/>
                      <w:szCs w:val="22"/>
                    </w:rPr>
                    <w:t>1台</w:t>
                  </w:r>
                </w:p>
              </w:tc>
              <w:tc>
                <w:tcPr>
                  <w:tcW w:w="2062" w:type="dxa"/>
                  <w:vAlign w:val="center"/>
                </w:tcPr>
                <w:p>
                  <w:pPr>
                    <w:jc w:val="center"/>
                    <w:rPr>
                      <w:kern w:val="0"/>
                      <w:sz w:val="22"/>
                    </w:rPr>
                  </w:pPr>
                  <w:r>
                    <w:rPr>
                      <w:kern w:val="0"/>
                      <w:sz w:val="22"/>
                      <w:szCs w:val="22"/>
                    </w:rPr>
                    <w:t>超声诊断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4</w:t>
                  </w:r>
                </w:p>
              </w:tc>
              <w:tc>
                <w:tcPr>
                  <w:tcW w:w="2732" w:type="dxa"/>
                  <w:vAlign w:val="center"/>
                </w:tcPr>
                <w:p>
                  <w:pPr>
                    <w:jc w:val="center"/>
                    <w:rPr>
                      <w:kern w:val="0"/>
                      <w:sz w:val="22"/>
                    </w:rPr>
                  </w:pPr>
                  <w:r>
                    <w:rPr>
                      <w:kern w:val="0"/>
                      <w:sz w:val="22"/>
                      <w:szCs w:val="22"/>
                    </w:rPr>
                    <w:t>全自动五分类血细胞分析仪</w:t>
                  </w:r>
                </w:p>
              </w:tc>
              <w:tc>
                <w:tcPr>
                  <w:tcW w:w="2065" w:type="dxa"/>
                  <w:vAlign w:val="center"/>
                </w:tcPr>
                <w:p>
                  <w:pPr>
                    <w:jc w:val="center"/>
                    <w:rPr>
                      <w:kern w:val="0"/>
                      <w:sz w:val="22"/>
                    </w:rPr>
                  </w:pPr>
                  <w:r>
                    <w:rPr>
                      <w:rFonts w:hint="eastAsia"/>
                      <w:kern w:val="0"/>
                      <w:sz w:val="22"/>
                      <w:szCs w:val="22"/>
                    </w:rPr>
                    <w:t>Windray BC-400</w:t>
                  </w:r>
                </w:p>
              </w:tc>
              <w:tc>
                <w:tcPr>
                  <w:tcW w:w="909" w:type="dxa"/>
                  <w:vAlign w:val="center"/>
                </w:tcPr>
                <w:p>
                  <w:pPr>
                    <w:jc w:val="center"/>
                    <w:rPr>
                      <w:kern w:val="0"/>
                      <w:sz w:val="22"/>
                    </w:rPr>
                  </w:pPr>
                  <w:r>
                    <w:rPr>
                      <w:kern w:val="0"/>
                      <w:sz w:val="22"/>
                      <w:szCs w:val="22"/>
                    </w:rPr>
                    <w:t>1台</w:t>
                  </w:r>
                </w:p>
              </w:tc>
              <w:tc>
                <w:tcPr>
                  <w:tcW w:w="2062" w:type="dxa"/>
                  <w:vAlign w:val="center"/>
                </w:tcPr>
                <w:p>
                  <w:pPr>
                    <w:jc w:val="center"/>
                    <w:rPr>
                      <w:kern w:val="0"/>
                      <w:sz w:val="22"/>
                    </w:rPr>
                  </w:pPr>
                  <w:r>
                    <w:rPr>
                      <w:kern w:val="0"/>
                      <w:sz w:val="22"/>
                      <w:szCs w:val="22"/>
                    </w:rPr>
                    <w:t>血液分析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5</w:t>
                  </w:r>
                </w:p>
              </w:tc>
              <w:tc>
                <w:tcPr>
                  <w:tcW w:w="2732" w:type="dxa"/>
                  <w:vAlign w:val="center"/>
                </w:tcPr>
                <w:p>
                  <w:pPr>
                    <w:jc w:val="center"/>
                    <w:rPr>
                      <w:kern w:val="0"/>
                      <w:sz w:val="22"/>
                    </w:rPr>
                  </w:pPr>
                  <w:r>
                    <w:rPr>
                      <w:kern w:val="0"/>
                      <w:sz w:val="22"/>
                      <w:szCs w:val="22"/>
                    </w:rPr>
                    <w:t>全自动生化分析仪</w:t>
                  </w:r>
                </w:p>
              </w:tc>
              <w:tc>
                <w:tcPr>
                  <w:tcW w:w="2065" w:type="dxa"/>
                  <w:vAlign w:val="center"/>
                </w:tcPr>
                <w:p>
                  <w:pPr>
                    <w:jc w:val="center"/>
                    <w:rPr>
                      <w:kern w:val="0"/>
                      <w:sz w:val="22"/>
                    </w:rPr>
                  </w:pPr>
                  <w:r>
                    <w:rPr>
                      <w:kern w:val="0"/>
                      <w:sz w:val="22"/>
                      <w:szCs w:val="22"/>
                    </w:rPr>
                    <w:t>迈瑞BS-400</w:t>
                  </w:r>
                </w:p>
              </w:tc>
              <w:tc>
                <w:tcPr>
                  <w:tcW w:w="909" w:type="dxa"/>
                  <w:vAlign w:val="center"/>
                </w:tcPr>
                <w:p>
                  <w:pPr>
                    <w:jc w:val="center"/>
                    <w:rPr>
                      <w:kern w:val="0"/>
                      <w:sz w:val="22"/>
                    </w:rPr>
                  </w:pPr>
                  <w:r>
                    <w:rPr>
                      <w:kern w:val="0"/>
                      <w:sz w:val="22"/>
                      <w:szCs w:val="22"/>
                    </w:rPr>
                    <w:t>1台</w:t>
                  </w:r>
                </w:p>
              </w:tc>
              <w:tc>
                <w:tcPr>
                  <w:tcW w:w="2062" w:type="dxa"/>
                  <w:vAlign w:val="center"/>
                </w:tcPr>
                <w:p>
                  <w:pPr>
                    <w:jc w:val="center"/>
                    <w:rPr>
                      <w:kern w:val="0"/>
                      <w:sz w:val="22"/>
                    </w:rPr>
                  </w:pPr>
                  <w:r>
                    <w:rPr>
                      <w:kern w:val="0"/>
                      <w:sz w:val="22"/>
                      <w:szCs w:val="22"/>
                    </w:rPr>
                    <w:t>血液分析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6</w:t>
                  </w:r>
                </w:p>
              </w:tc>
              <w:tc>
                <w:tcPr>
                  <w:tcW w:w="2732" w:type="dxa"/>
                  <w:vAlign w:val="center"/>
                </w:tcPr>
                <w:p>
                  <w:pPr>
                    <w:jc w:val="center"/>
                    <w:rPr>
                      <w:kern w:val="0"/>
                      <w:sz w:val="22"/>
                    </w:rPr>
                  </w:pPr>
                  <w:r>
                    <w:rPr>
                      <w:kern w:val="0"/>
                      <w:sz w:val="22"/>
                      <w:szCs w:val="22"/>
                    </w:rPr>
                    <w:t>电解质分析仪</w:t>
                  </w:r>
                </w:p>
              </w:tc>
              <w:tc>
                <w:tcPr>
                  <w:tcW w:w="2065" w:type="dxa"/>
                  <w:vAlign w:val="center"/>
                </w:tcPr>
                <w:p>
                  <w:pPr>
                    <w:jc w:val="center"/>
                    <w:rPr>
                      <w:kern w:val="0"/>
                      <w:sz w:val="22"/>
                    </w:rPr>
                  </w:pPr>
                  <w:r>
                    <w:rPr>
                      <w:rFonts w:hint="eastAsia"/>
                      <w:kern w:val="0"/>
                      <w:sz w:val="22"/>
                      <w:szCs w:val="22"/>
                    </w:rPr>
                    <w:t>康立 AFT500</w:t>
                  </w:r>
                </w:p>
              </w:tc>
              <w:tc>
                <w:tcPr>
                  <w:tcW w:w="909" w:type="dxa"/>
                  <w:vAlign w:val="center"/>
                </w:tcPr>
                <w:p>
                  <w:pPr>
                    <w:jc w:val="center"/>
                    <w:rPr>
                      <w:kern w:val="0"/>
                      <w:sz w:val="22"/>
                    </w:rPr>
                  </w:pPr>
                  <w:r>
                    <w:rPr>
                      <w:kern w:val="0"/>
                      <w:sz w:val="22"/>
                      <w:szCs w:val="22"/>
                    </w:rPr>
                    <w:t>1台</w:t>
                  </w:r>
                </w:p>
              </w:tc>
              <w:tc>
                <w:tcPr>
                  <w:tcW w:w="2062" w:type="dxa"/>
                  <w:vAlign w:val="center"/>
                </w:tcPr>
                <w:p>
                  <w:pPr>
                    <w:jc w:val="center"/>
                    <w:rPr>
                      <w:kern w:val="0"/>
                      <w:sz w:val="22"/>
                    </w:rPr>
                  </w:pPr>
                  <w:r>
                    <w:rPr>
                      <w:kern w:val="0"/>
                      <w:sz w:val="22"/>
                      <w:szCs w:val="22"/>
                    </w:rPr>
                    <w:t>血液分析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7</w:t>
                  </w:r>
                </w:p>
              </w:tc>
              <w:tc>
                <w:tcPr>
                  <w:tcW w:w="2732" w:type="dxa"/>
                  <w:vAlign w:val="center"/>
                </w:tcPr>
                <w:p>
                  <w:pPr>
                    <w:jc w:val="center"/>
                    <w:rPr>
                      <w:kern w:val="0"/>
                      <w:sz w:val="22"/>
                    </w:rPr>
                  </w:pPr>
                  <w:r>
                    <w:rPr>
                      <w:kern w:val="0"/>
                      <w:sz w:val="22"/>
                      <w:szCs w:val="22"/>
                    </w:rPr>
                    <w:t>尿液分析仪</w:t>
                  </w:r>
                </w:p>
              </w:tc>
              <w:tc>
                <w:tcPr>
                  <w:tcW w:w="2065" w:type="dxa"/>
                  <w:vAlign w:val="center"/>
                </w:tcPr>
                <w:p>
                  <w:pPr>
                    <w:jc w:val="center"/>
                    <w:rPr>
                      <w:kern w:val="0"/>
                      <w:sz w:val="22"/>
                    </w:rPr>
                  </w:pPr>
                  <w:r>
                    <w:rPr>
                      <w:rFonts w:hint="eastAsia"/>
                      <w:kern w:val="0"/>
                      <w:sz w:val="22"/>
                      <w:szCs w:val="22"/>
                    </w:rPr>
                    <w:t>优</w:t>
                  </w:r>
                  <w:r>
                    <w:rPr>
                      <w:kern w:val="0"/>
                      <w:sz w:val="22"/>
                      <w:szCs w:val="22"/>
                    </w:rPr>
                    <w:t>利特</w:t>
                  </w:r>
                  <w:r>
                    <w:rPr>
                      <w:rFonts w:hint="eastAsia"/>
                      <w:kern w:val="0"/>
                      <w:sz w:val="22"/>
                      <w:szCs w:val="22"/>
                    </w:rPr>
                    <w:t>180</w:t>
                  </w:r>
                </w:p>
              </w:tc>
              <w:tc>
                <w:tcPr>
                  <w:tcW w:w="909" w:type="dxa"/>
                  <w:vAlign w:val="center"/>
                </w:tcPr>
                <w:p>
                  <w:pPr>
                    <w:jc w:val="center"/>
                    <w:rPr>
                      <w:kern w:val="0"/>
                      <w:sz w:val="22"/>
                    </w:rPr>
                  </w:pPr>
                  <w:r>
                    <w:rPr>
                      <w:kern w:val="0"/>
                      <w:sz w:val="22"/>
                      <w:szCs w:val="22"/>
                    </w:rPr>
                    <w:t>1台</w:t>
                  </w:r>
                </w:p>
              </w:tc>
              <w:tc>
                <w:tcPr>
                  <w:tcW w:w="2062" w:type="dxa"/>
                  <w:vAlign w:val="center"/>
                </w:tcPr>
                <w:p>
                  <w:pPr>
                    <w:jc w:val="center"/>
                    <w:rPr>
                      <w:kern w:val="0"/>
                      <w:sz w:val="22"/>
                    </w:rPr>
                  </w:pPr>
                  <w:r>
                    <w:rPr>
                      <w:kern w:val="0"/>
                      <w:sz w:val="22"/>
                      <w:szCs w:val="22"/>
                    </w:rPr>
                    <w:t>尿液分析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8</w:t>
                  </w:r>
                </w:p>
              </w:tc>
              <w:tc>
                <w:tcPr>
                  <w:tcW w:w="2732" w:type="dxa"/>
                  <w:vAlign w:val="center"/>
                </w:tcPr>
                <w:p>
                  <w:pPr>
                    <w:jc w:val="center"/>
                    <w:rPr>
                      <w:kern w:val="0"/>
                      <w:sz w:val="22"/>
                    </w:rPr>
                  </w:pPr>
                  <w:r>
                    <w:rPr>
                      <w:kern w:val="0"/>
                      <w:sz w:val="22"/>
                      <w:szCs w:val="22"/>
                    </w:rPr>
                    <w:t>急救箱</w:t>
                  </w:r>
                </w:p>
              </w:tc>
              <w:tc>
                <w:tcPr>
                  <w:tcW w:w="2065" w:type="dxa"/>
                  <w:vAlign w:val="center"/>
                </w:tcPr>
                <w:p>
                  <w:pPr>
                    <w:jc w:val="center"/>
                    <w:rPr>
                      <w:kern w:val="0"/>
                      <w:sz w:val="22"/>
                    </w:rPr>
                  </w:pPr>
                  <w:r>
                    <w:rPr>
                      <w:kern w:val="0"/>
                      <w:sz w:val="22"/>
                      <w:szCs w:val="22"/>
                    </w:rPr>
                    <w:t>/</w:t>
                  </w:r>
                </w:p>
              </w:tc>
              <w:tc>
                <w:tcPr>
                  <w:tcW w:w="909" w:type="dxa"/>
                  <w:vAlign w:val="center"/>
                </w:tcPr>
                <w:p>
                  <w:pPr>
                    <w:jc w:val="center"/>
                    <w:rPr>
                      <w:kern w:val="0"/>
                      <w:sz w:val="22"/>
                    </w:rPr>
                  </w:pPr>
                  <w:r>
                    <w:rPr>
                      <w:kern w:val="0"/>
                      <w:sz w:val="22"/>
                      <w:szCs w:val="22"/>
                    </w:rPr>
                    <w:t>2套</w:t>
                  </w:r>
                </w:p>
              </w:tc>
              <w:tc>
                <w:tcPr>
                  <w:tcW w:w="2062" w:type="dxa"/>
                  <w:vAlign w:val="center"/>
                </w:tcPr>
                <w:p>
                  <w:pPr>
                    <w:jc w:val="center"/>
                    <w:rPr>
                      <w:kern w:val="0"/>
                      <w:sz w:val="22"/>
                    </w:rPr>
                  </w:pPr>
                  <w:r>
                    <w:rPr>
                      <w:kern w:val="0"/>
                      <w:sz w:val="22"/>
                      <w:szCs w:val="22"/>
                    </w:rPr>
                    <w:t>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9</w:t>
                  </w:r>
                </w:p>
              </w:tc>
              <w:tc>
                <w:tcPr>
                  <w:tcW w:w="2732" w:type="dxa"/>
                  <w:vAlign w:val="center"/>
                </w:tcPr>
                <w:p>
                  <w:pPr>
                    <w:jc w:val="center"/>
                    <w:rPr>
                      <w:kern w:val="0"/>
                      <w:sz w:val="22"/>
                    </w:rPr>
                  </w:pPr>
                  <w:r>
                    <w:rPr>
                      <w:kern w:val="0"/>
                      <w:sz w:val="22"/>
                      <w:szCs w:val="22"/>
                    </w:rPr>
                    <w:t>紫外线灯</w:t>
                  </w:r>
                </w:p>
              </w:tc>
              <w:tc>
                <w:tcPr>
                  <w:tcW w:w="2065" w:type="dxa"/>
                  <w:vAlign w:val="center"/>
                </w:tcPr>
                <w:p>
                  <w:pPr>
                    <w:jc w:val="center"/>
                    <w:rPr>
                      <w:kern w:val="0"/>
                      <w:sz w:val="22"/>
                    </w:rPr>
                  </w:pPr>
                  <w:r>
                    <w:rPr>
                      <w:kern w:val="0"/>
                      <w:sz w:val="22"/>
                      <w:szCs w:val="22"/>
                    </w:rPr>
                    <w:t>/</w:t>
                  </w:r>
                </w:p>
              </w:tc>
              <w:tc>
                <w:tcPr>
                  <w:tcW w:w="909" w:type="dxa"/>
                  <w:vAlign w:val="center"/>
                </w:tcPr>
                <w:p>
                  <w:pPr>
                    <w:jc w:val="center"/>
                    <w:rPr>
                      <w:kern w:val="0"/>
                      <w:sz w:val="22"/>
                    </w:rPr>
                  </w:pPr>
                  <w:r>
                    <w:rPr>
                      <w:kern w:val="0"/>
                      <w:sz w:val="22"/>
                      <w:szCs w:val="22"/>
                    </w:rPr>
                    <w:t>20套</w:t>
                  </w:r>
                </w:p>
              </w:tc>
              <w:tc>
                <w:tcPr>
                  <w:tcW w:w="2062" w:type="dxa"/>
                  <w:vAlign w:val="center"/>
                </w:tcPr>
                <w:p>
                  <w:pPr>
                    <w:jc w:val="center"/>
                    <w:rPr>
                      <w:kern w:val="0"/>
                      <w:sz w:val="22"/>
                    </w:rPr>
                  </w:pPr>
                  <w:r>
                    <w:rPr>
                      <w:kern w:val="0"/>
                      <w:sz w:val="22"/>
                      <w:szCs w:val="22"/>
                    </w:rPr>
                    <w:t>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10</w:t>
                  </w:r>
                </w:p>
              </w:tc>
              <w:tc>
                <w:tcPr>
                  <w:tcW w:w="2732" w:type="dxa"/>
                  <w:vAlign w:val="center"/>
                </w:tcPr>
                <w:p>
                  <w:pPr>
                    <w:jc w:val="center"/>
                    <w:rPr>
                      <w:kern w:val="0"/>
                      <w:sz w:val="22"/>
                    </w:rPr>
                  </w:pPr>
                  <w:r>
                    <w:rPr>
                      <w:kern w:val="0"/>
                      <w:sz w:val="22"/>
                      <w:szCs w:val="22"/>
                    </w:rPr>
                    <w:t>器械柜</w:t>
                  </w:r>
                </w:p>
              </w:tc>
              <w:tc>
                <w:tcPr>
                  <w:tcW w:w="2065" w:type="dxa"/>
                  <w:vAlign w:val="center"/>
                </w:tcPr>
                <w:p>
                  <w:pPr>
                    <w:jc w:val="center"/>
                    <w:rPr>
                      <w:kern w:val="0"/>
                      <w:sz w:val="22"/>
                    </w:rPr>
                  </w:pPr>
                  <w:r>
                    <w:rPr>
                      <w:kern w:val="0"/>
                      <w:sz w:val="22"/>
                      <w:szCs w:val="22"/>
                    </w:rPr>
                    <w:t>/</w:t>
                  </w:r>
                </w:p>
              </w:tc>
              <w:tc>
                <w:tcPr>
                  <w:tcW w:w="909" w:type="dxa"/>
                  <w:vAlign w:val="center"/>
                </w:tcPr>
                <w:p>
                  <w:pPr>
                    <w:jc w:val="center"/>
                    <w:rPr>
                      <w:kern w:val="0"/>
                      <w:sz w:val="22"/>
                    </w:rPr>
                  </w:pPr>
                  <w:r>
                    <w:rPr>
                      <w:kern w:val="0"/>
                      <w:sz w:val="22"/>
                      <w:szCs w:val="22"/>
                    </w:rPr>
                    <w:t>3个</w:t>
                  </w:r>
                </w:p>
              </w:tc>
              <w:tc>
                <w:tcPr>
                  <w:tcW w:w="2062" w:type="dxa"/>
                  <w:vAlign w:val="center"/>
                </w:tcPr>
                <w:p>
                  <w:pPr>
                    <w:jc w:val="center"/>
                    <w:rPr>
                      <w:kern w:val="0"/>
                      <w:sz w:val="22"/>
                    </w:rPr>
                  </w:pPr>
                  <w:r>
                    <w:rPr>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11</w:t>
                  </w:r>
                </w:p>
              </w:tc>
              <w:tc>
                <w:tcPr>
                  <w:tcW w:w="2732" w:type="dxa"/>
                  <w:vAlign w:val="center"/>
                </w:tcPr>
                <w:p>
                  <w:pPr>
                    <w:jc w:val="center"/>
                    <w:rPr>
                      <w:kern w:val="0"/>
                      <w:sz w:val="22"/>
                    </w:rPr>
                  </w:pPr>
                  <w:r>
                    <w:rPr>
                      <w:kern w:val="0"/>
                      <w:sz w:val="22"/>
                      <w:szCs w:val="22"/>
                    </w:rPr>
                    <w:t>显微镜</w:t>
                  </w:r>
                </w:p>
              </w:tc>
              <w:tc>
                <w:tcPr>
                  <w:tcW w:w="2065" w:type="dxa"/>
                  <w:vAlign w:val="center"/>
                </w:tcPr>
                <w:p>
                  <w:pPr>
                    <w:jc w:val="center"/>
                    <w:rPr>
                      <w:kern w:val="0"/>
                      <w:sz w:val="22"/>
                    </w:rPr>
                  </w:pPr>
                  <w:r>
                    <w:rPr>
                      <w:kern w:val="0"/>
                      <w:sz w:val="22"/>
                      <w:szCs w:val="22"/>
                    </w:rPr>
                    <w:t>/</w:t>
                  </w:r>
                </w:p>
              </w:tc>
              <w:tc>
                <w:tcPr>
                  <w:tcW w:w="909" w:type="dxa"/>
                  <w:vAlign w:val="center"/>
                </w:tcPr>
                <w:p>
                  <w:pPr>
                    <w:jc w:val="center"/>
                    <w:rPr>
                      <w:kern w:val="0"/>
                      <w:sz w:val="22"/>
                    </w:rPr>
                  </w:pPr>
                  <w:r>
                    <w:rPr>
                      <w:kern w:val="0"/>
                      <w:sz w:val="22"/>
                      <w:szCs w:val="22"/>
                    </w:rPr>
                    <w:t>1台</w:t>
                  </w:r>
                </w:p>
              </w:tc>
              <w:tc>
                <w:tcPr>
                  <w:tcW w:w="2062" w:type="dxa"/>
                  <w:vAlign w:val="center"/>
                </w:tcPr>
                <w:p>
                  <w:pPr>
                    <w:jc w:val="center"/>
                    <w:rPr>
                      <w:kern w:val="0"/>
                      <w:sz w:val="22"/>
                    </w:rPr>
                  </w:pPr>
                  <w:r>
                    <w:rPr>
                      <w:kern w:val="0"/>
                      <w:sz w:val="22"/>
                      <w:szCs w:val="22"/>
                    </w:rPr>
                    <w:t>检测液观察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12</w:t>
                  </w:r>
                </w:p>
              </w:tc>
              <w:tc>
                <w:tcPr>
                  <w:tcW w:w="2732" w:type="dxa"/>
                  <w:vAlign w:val="center"/>
                </w:tcPr>
                <w:p>
                  <w:pPr>
                    <w:jc w:val="center"/>
                    <w:rPr>
                      <w:kern w:val="0"/>
                      <w:sz w:val="22"/>
                    </w:rPr>
                  </w:pPr>
                  <w:r>
                    <w:rPr>
                      <w:kern w:val="0"/>
                      <w:sz w:val="22"/>
                      <w:szCs w:val="22"/>
                    </w:rPr>
                    <w:t>药品冷藏柜</w:t>
                  </w:r>
                </w:p>
              </w:tc>
              <w:tc>
                <w:tcPr>
                  <w:tcW w:w="2065" w:type="dxa"/>
                  <w:vAlign w:val="center"/>
                </w:tcPr>
                <w:p>
                  <w:pPr>
                    <w:jc w:val="center"/>
                    <w:rPr>
                      <w:kern w:val="0"/>
                      <w:sz w:val="22"/>
                    </w:rPr>
                  </w:pPr>
                  <w:r>
                    <w:rPr>
                      <w:kern w:val="0"/>
                      <w:sz w:val="22"/>
                      <w:szCs w:val="22"/>
                    </w:rPr>
                    <w:t>乐创</w:t>
                  </w:r>
                </w:p>
              </w:tc>
              <w:tc>
                <w:tcPr>
                  <w:tcW w:w="909" w:type="dxa"/>
                  <w:vAlign w:val="center"/>
                </w:tcPr>
                <w:p>
                  <w:pPr>
                    <w:jc w:val="center"/>
                    <w:rPr>
                      <w:kern w:val="0"/>
                      <w:sz w:val="22"/>
                    </w:rPr>
                  </w:pPr>
                  <w:r>
                    <w:rPr>
                      <w:kern w:val="0"/>
                      <w:sz w:val="22"/>
                      <w:szCs w:val="22"/>
                    </w:rPr>
                    <w:t>1台</w:t>
                  </w:r>
                </w:p>
              </w:tc>
              <w:tc>
                <w:tcPr>
                  <w:tcW w:w="2062" w:type="dxa"/>
                  <w:vAlign w:val="center"/>
                </w:tcPr>
                <w:p>
                  <w:pPr>
                    <w:jc w:val="center"/>
                    <w:rPr>
                      <w:kern w:val="0"/>
                      <w:sz w:val="22"/>
                    </w:rPr>
                  </w:pPr>
                  <w:r>
                    <w:rPr>
                      <w:kern w:val="0"/>
                      <w:sz w:val="22"/>
                      <w:szCs w:val="22"/>
                    </w:rPr>
                    <w:t>药品储存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13</w:t>
                  </w:r>
                </w:p>
              </w:tc>
              <w:tc>
                <w:tcPr>
                  <w:tcW w:w="2732" w:type="dxa"/>
                  <w:vAlign w:val="center"/>
                </w:tcPr>
                <w:p>
                  <w:pPr>
                    <w:jc w:val="center"/>
                    <w:rPr>
                      <w:kern w:val="0"/>
                      <w:sz w:val="22"/>
                    </w:rPr>
                  </w:pPr>
                  <w:r>
                    <w:rPr>
                      <w:kern w:val="0"/>
                      <w:sz w:val="22"/>
                      <w:szCs w:val="22"/>
                    </w:rPr>
                    <w:t>心电图机</w:t>
                  </w:r>
                </w:p>
              </w:tc>
              <w:tc>
                <w:tcPr>
                  <w:tcW w:w="2065" w:type="dxa"/>
                  <w:vAlign w:val="center"/>
                </w:tcPr>
                <w:p>
                  <w:pPr>
                    <w:jc w:val="center"/>
                    <w:rPr>
                      <w:kern w:val="0"/>
                      <w:sz w:val="22"/>
                    </w:rPr>
                  </w:pPr>
                  <w:r>
                    <w:rPr>
                      <w:rFonts w:hint="eastAsia"/>
                      <w:kern w:val="0"/>
                      <w:sz w:val="22"/>
                      <w:szCs w:val="22"/>
                    </w:rPr>
                    <w:t>zoncare</w:t>
                  </w:r>
                </w:p>
              </w:tc>
              <w:tc>
                <w:tcPr>
                  <w:tcW w:w="909" w:type="dxa"/>
                  <w:vAlign w:val="center"/>
                </w:tcPr>
                <w:p>
                  <w:pPr>
                    <w:jc w:val="center"/>
                    <w:rPr>
                      <w:kern w:val="0"/>
                      <w:sz w:val="22"/>
                    </w:rPr>
                  </w:pPr>
                  <w:r>
                    <w:rPr>
                      <w:kern w:val="0"/>
                      <w:sz w:val="22"/>
                      <w:szCs w:val="22"/>
                    </w:rPr>
                    <w:t>1台</w:t>
                  </w:r>
                </w:p>
              </w:tc>
              <w:tc>
                <w:tcPr>
                  <w:tcW w:w="2062" w:type="dxa"/>
                  <w:vAlign w:val="center"/>
                </w:tcPr>
                <w:p>
                  <w:pPr>
                    <w:jc w:val="center"/>
                    <w:rPr>
                      <w:kern w:val="0"/>
                      <w:sz w:val="22"/>
                    </w:rPr>
                  </w:pPr>
                  <w:r>
                    <w:rPr>
                      <w:kern w:val="0"/>
                      <w:sz w:val="22"/>
                      <w:szCs w:val="22"/>
                    </w:rPr>
                    <w:t>心电图监测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14</w:t>
                  </w:r>
                </w:p>
              </w:tc>
              <w:tc>
                <w:tcPr>
                  <w:tcW w:w="2732" w:type="dxa"/>
                  <w:vAlign w:val="center"/>
                </w:tcPr>
                <w:p>
                  <w:pPr>
                    <w:jc w:val="center"/>
                    <w:rPr>
                      <w:kern w:val="0"/>
                      <w:sz w:val="22"/>
                    </w:rPr>
                  </w:pPr>
                  <w:r>
                    <w:rPr>
                      <w:kern w:val="0"/>
                      <w:sz w:val="22"/>
                      <w:szCs w:val="22"/>
                    </w:rPr>
                    <w:t>中频治疗机</w:t>
                  </w:r>
                </w:p>
              </w:tc>
              <w:tc>
                <w:tcPr>
                  <w:tcW w:w="2065" w:type="dxa"/>
                  <w:vAlign w:val="center"/>
                </w:tcPr>
                <w:p>
                  <w:pPr>
                    <w:jc w:val="center"/>
                    <w:rPr>
                      <w:kern w:val="0"/>
                      <w:sz w:val="22"/>
                    </w:rPr>
                  </w:pPr>
                  <w:r>
                    <w:rPr>
                      <w:kern w:val="0"/>
                      <w:sz w:val="22"/>
                      <w:szCs w:val="22"/>
                    </w:rPr>
                    <w:t>翔宇St-f</w:t>
                  </w:r>
                </w:p>
              </w:tc>
              <w:tc>
                <w:tcPr>
                  <w:tcW w:w="909" w:type="dxa"/>
                  <w:vAlign w:val="center"/>
                </w:tcPr>
                <w:p>
                  <w:pPr>
                    <w:jc w:val="center"/>
                    <w:rPr>
                      <w:kern w:val="0"/>
                      <w:sz w:val="22"/>
                    </w:rPr>
                  </w:pPr>
                  <w:r>
                    <w:rPr>
                      <w:kern w:val="0"/>
                      <w:sz w:val="22"/>
                      <w:szCs w:val="22"/>
                    </w:rPr>
                    <w:t>1台</w:t>
                  </w:r>
                </w:p>
              </w:tc>
              <w:tc>
                <w:tcPr>
                  <w:tcW w:w="2062" w:type="dxa"/>
                  <w:vAlign w:val="center"/>
                </w:tcPr>
                <w:p>
                  <w:pPr>
                    <w:jc w:val="center"/>
                    <w:rPr>
                      <w:kern w:val="0"/>
                      <w:sz w:val="22"/>
                    </w:rPr>
                  </w:pPr>
                  <w:r>
                    <w:rPr>
                      <w:kern w:val="0"/>
                      <w:sz w:val="22"/>
                      <w:szCs w:val="22"/>
                    </w:rPr>
                    <w:t>中医理疗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15</w:t>
                  </w:r>
                </w:p>
              </w:tc>
              <w:tc>
                <w:tcPr>
                  <w:tcW w:w="2732" w:type="dxa"/>
                  <w:vAlign w:val="center"/>
                </w:tcPr>
                <w:p>
                  <w:pPr>
                    <w:jc w:val="center"/>
                    <w:rPr>
                      <w:kern w:val="0"/>
                      <w:sz w:val="22"/>
                    </w:rPr>
                  </w:pPr>
                  <w:r>
                    <w:rPr>
                      <w:kern w:val="0"/>
                      <w:sz w:val="22"/>
                      <w:szCs w:val="22"/>
                    </w:rPr>
                    <w:t>颈椎治疗多功能牵引椅</w:t>
                  </w:r>
                </w:p>
              </w:tc>
              <w:tc>
                <w:tcPr>
                  <w:tcW w:w="2065" w:type="dxa"/>
                  <w:vAlign w:val="center"/>
                </w:tcPr>
                <w:p>
                  <w:pPr>
                    <w:jc w:val="center"/>
                    <w:rPr>
                      <w:kern w:val="0"/>
                      <w:sz w:val="22"/>
                    </w:rPr>
                  </w:pPr>
                  <w:r>
                    <w:rPr>
                      <w:kern w:val="0"/>
                      <w:sz w:val="22"/>
                      <w:szCs w:val="22"/>
                    </w:rPr>
                    <w:t>翔宇YZ-4</w:t>
                  </w:r>
                </w:p>
              </w:tc>
              <w:tc>
                <w:tcPr>
                  <w:tcW w:w="909" w:type="dxa"/>
                  <w:vAlign w:val="center"/>
                </w:tcPr>
                <w:p>
                  <w:pPr>
                    <w:jc w:val="center"/>
                    <w:rPr>
                      <w:kern w:val="0"/>
                      <w:sz w:val="22"/>
                    </w:rPr>
                  </w:pPr>
                  <w:r>
                    <w:rPr>
                      <w:kern w:val="0"/>
                      <w:sz w:val="22"/>
                      <w:szCs w:val="22"/>
                    </w:rPr>
                    <w:t>1台</w:t>
                  </w:r>
                </w:p>
              </w:tc>
              <w:tc>
                <w:tcPr>
                  <w:tcW w:w="2062" w:type="dxa"/>
                  <w:vAlign w:val="center"/>
                </w:tcPr>
                <w:p>
                  <w:pPr>
                    <w:jc w:val="center"/>
                    <w:rPr>
                      <w:kern w:val="0"/>
                      <w:sz w:val="22"/>
                    </w:rPr>
                  </w:pPr>
                  <w:r>
                    <w:rPr>
                      <w:kern w:val="0"/>
                      <w:sz w:val="22"/>
                      <w:szCs w:val="22"/>
                    </w:rPr>
                    <w:t>中医理疗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16</w:t>
                  </w:r>
                </w:p>
              </w:tc>
              <w:tc>
                <w:tcPr>
                  <w:tcW w:w="2732" w:type="dxa"/>
                  <w:vAlign w:val="center"/>
                </w:tcPr>
                <w:p>
                  <w:pPr>
                    <w:jc w:val="center"/>
                    <w:rPr>
                      <w:kern w:val="0"/>
                      <w:sz w:val="22"/>
                    </w:rPr>
                  </w:pPr>
                  <w:r>
                    <w:rPr>
                      <w:kern w:val="0"/>
                      <w:sz w:val="22"/>
                      <w:szCs w:val="22"/>
                    </w:rPr>
                    <w:t>颈腰椎治疗多功能牵引</w:t>
                  </w:r>
                </w:p>
              </w:tc>
              <w:tc>
                <w:tcPr>
                  <w:tcW w:w="2065" w:type="dxa"/>
                  <w:vAlign w:val="center"/>
                </w:tcPr>
                <w:p>
                  <w:pPr>
                    <w:jc w:val="center"/>
                    <w:rPr>
                      <w:kern w:val="0"/>
                      <w:sz w:val="22"/>
                    </w:rPr>
                  </w:pPr>
                  <w:r>
                    <w:rPr>
                      <w:kern w:val="0"/>
                      <w:sz w:val="22"/>
                      <w:szCs w:val="22"/>
                    </w:rPr>
                    <w:t>翔宇YHZ-1</w:t>
                  </w:r>
                </w:p>
              </w:tc>
              <w:tc>
                <w:tcPr>
                  <w:tcW w:w="909" w:type="dxa"/>
                  <w:vAlign w:val="center"/>
                </w:tcPr>
                <w:p>
                  <w:pPr>
                    <w:jc w:val="center"/>
                    <w:rPr>
                      <w:kern w:val="0"/>
                      <w:sz w:val="22"/>
                    </w:rPr>
                  </w:pPr>
                  <w:r>
                    <w:rPr>
                      <w:kern w:val="0"/>
                      <w:sz w:val="22"/>
                      <w:szCs w:val="22"/>
                    </w:rPr>
                    <w:t>1台</w:t>
                  </w:r>
                </w:p>
              </w:tc>
              <w:tc>
                <w:tcPr>
                  <w:tcW w:w="2062" w:type="dxa"/>
                  <w:vAlign w:val="center"/>
                </w:tcPr>
                <w:p>
                  <w:pPr>
                    <w:jc w:val="center"/>
                    <w:rPr>
                      <w:kern w:val="0"/>
                      <w:sz w:val="22"/>
                    </w:rPr>
                  </w:pPr>
                  <w:r>
                    <w:rPr>
                      <w:kern w:val="0"/>
                      <w:sz w:val="22"/>
                      <w:szCs w:val="22"/>
                    </w:rPr>
                    <w:t>中医理疗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17</w:t>
                  </w:r>
                </w:p>
              </w:tc>
              <w:tc>
                <w:tcPr>
                  <w:tcW w:w="2732" w:type="dxa"/>
                  <w:vAlign w:val="center"/>
                </w:tcPr>
                <w:p>
                  <w:pPr>
                    <w:jc w:val="center"/>
                    <w:rPr>
                      <w:kern w:val="0"/>
                      <w:sz w:val="22"/>
                    </w:rPr>
                  </w:pPr>
                  <w:r>
                    <w:rPr>
                      <w:kern w:val="0"/>
                      <w:sz w:val="22"/>
                      <w:szCs w:val="22"/>
                    </w:rPr>
                    <w:t>中医定向透药治疗仪</w:t>
                  </w:r>
                </w:p>
              </w:tc>
              <w:tc>
                <w:tcPr>
                  <w:tcW w:w="2065" w:type="dxa"/>
                  <w:vAlign w:val="center"/>
                </w:tcPr>
                <w:p>
                  <w:pPr>
                    <w:jc w:val="center"/>
                    <w:rPr>
                      <w:kern w:val="0"/>
                      <w:sz w:val="22"/>
                    </w:rPr>
                  </w:pPr>
                  <w:r>
                    <w:rPr>
                      <w:rFonts w:hint="eastAsia"/>
                      <w:kern w:val="0"/>
                      <w:sz w:val="22"/>
                      <w:szCs w:val="22"/>
                    </w:rPr>
                    <w:t>HW-3303TC</w:t>
                  </w:r>
                </w:p>
              </w:tc>
              <w:tc>
                <w:tcPr>
                  <w:tcW w:w="909" w:type="dxa"/>
                  <w:vAlign w:val="center"/>
                </w:tcPr>
                <w:p>
                  <w:pPr>
                    <w:jc w:val="center"/>
                    <w:rPr>
                      <w:kern w:val="0"/>
                      <w:sz w:val="22"/>
                    </w:rPr>
                  </w:pPr>
                  <w:r>
                    <w:rPr>
                      <w:kern w:val="0"/>
                      <w:sz w:val="22"/>
                      <w:szCs w:val="22"/>
                    </w:rPr>
                    <w:t>1台</w:t>
                  </w:r>
                </w:p>
              </w:tc>
              <w:tc>
                <w:tcPr>
                  <w:tcW w:w="2062" w:type="dxa"/>
                  <w:vAlign w:val="center"/>
                </w:tcPr>
                <w:p>
                  <w:pPr>
                    <w:jc w:val="center"/>
                    <w:rPr>
                      <w:kern w:val="0"/>
                      <w:sz w:val="22"/>
                    </w:rPr>
                  </w:pPr>
                  <w:r>
                    <w:rPr>
                      <w:kern w:val="0"/>
                      <w:sz w:val="22"/>
                      <w:szCs w:val="22"/>
                    </w:rPr>
                    <w:t>中医理疗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18</w:t>
                  </w:r>
                </w:p>
              </w:tc>
              <w:tc>
                <w:tcPr>
                  <w:tcW w:w="2732" w:type="dxa"/>
                  <w:vAlign w:val="center"/>
                </w:tcPr>
                <w:p>
                  <w:pPr>
                    <w:jc w:val="center"/>
                    <w:rPr>
                      <w:kern w:val="0"/>
                      <w:sz w:val="22"/>
                    </w:rPr>
                  </w:pPr>
                  <w:r>
                    <w:rPr>
                      <w:kern w:val="0"/>
                      <w:sz w:val="22"/>
                      <w:szCs w:val="22"/>
                    </w:rPr>
                    <w:t>低速台式离心机</w:t>
                  </w:r>
                </w:p>
              </w:tc>
              <w:tc>
                <w:tcPr>
                  <w:tcW w:w="2065" w:type="dxa"/>
                  <w:vAlign w:val="center"/>
                </w:tcPr>
                <w:p>
                  <w:pPr>
                    <w:jc w:val="center"/>
                    <w:rPr>
                      <w:kern w:val="0"/>
                      <w:sz w:val="22"/>
                    </w:rPr>
                  </w:pPr>
                  <w:r>
                    <w:rPr>
                      <w:rFonts w:hint="eastAsia"/>
                      <w:kern w:val="0"/>
                      <w:sz w:val="22"/>
                      <w:szCs w:val="22"/>
                    </w:rPr>
                    <w:t>天力TD4型</w:t>
                  </w:r>
                </w:p>
              </w:tc>
              <w:tc>
                <w:tcPr>
                  <w:tcW w:w="909" w:type="dxa"/>
                  <w:vAlign w:val="center"/>
                </w:tcPr>
                <w:p>
                  <w:pPr>
                    <w:jc w:val="center"/>
                    <w:rPr>
                      <w:kern w:val="0"/>
                      <w:sz w:val="22"/>
                    </w:rPr>
                  </w:pPr>
                  <w:r>
                    <w:rPr>
                      <w:kern w:val="0"/>
                      <w:sz w:val="22"/>
                      <w:szCs w:val="22"/>
                    </w:rPr>
                    <w:t>1台</w:t>
                  </w:r>
                </w:p>
              </w:tc>
              <w:tc>
                <w:tcPr>
                  <w:tcW w:w="2062" w:type="dxa"/>
                  <w:vAlign w:val="center"/>
                </w:tcPr>
                <w:p>
                  <w:pPr>
                    <w:jc w:val="center"/>
                    <w:rPr>
                      <w:kern w:val="0"/>
                      <w:sz w:val="22"/>
                    </w:rPr>
                  </w:pPr>
                  <w:r>
                    <w:rPr>
                      <w:kern w:val="0"/>
                      <w:sz w:val="22"/>
                      <w:szCs w:val="22"/>
                    </w:rPr>
                    <w:t>血液分析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19</w:t>
                  </w:r>
                </w:p>
              </w:tc>
              <w:tc>
                <w:tcPr>
                  <w:tcW w:w="2732" w:type="dxa"/>
                  <w:vAlign w:val="center"/>
                </w:tcPr>
                <w:p>
                  <w:pPr>
                    <w:jc w:val="center"/>
                    <w:rPr>
                      <w:kern w:val="0"/>
                      <w:sz w:val="22"/>
                    </w:rPr>
                  </w:pPr>
                  <w:r>
                    <w:rPr>
                      <w:kern w:val="0"/>
                      <w:sz w:val="22"/>
                      <w:szCs w:val="22"/>
                    </w:rPr>
                    <w:t>干式荧光免疫分析仪</w:t>
                  </w:r>
                </w:p>
              </w:tc>
              <w:tc>
                <w:tcPr>
                  <w:tcW w:w="2065" w:type="dxa"/>
                  <w:vAlign w:val="center"/>
                </w:tcPr>
                <w:p>
                  <w:pPr>
                    <w:jc w:val="center"/>
                    <w:rPr>
                      <w:kern w:val="0"/>
                      <w:sz w:val="22"/>
                    </w:rPr>
                  </w:pPr>
                  <w:r>
                    <w:rPr>
                      <w:rFonts w:hint="eastAsia"/>
                      <w:kern w:val="0"/>
                      <w:sz w:val="22"/>
                      <w:szCs w:val="22"/>
                    </w:rPr>
                    <w:t>Ls-2100</w:t>
                  </w:r>
                </w:p>
              </w:tc>
              <w:tc>
                <w:tcPr>
                  <w:tcW w:w="909" w:type="dxa"/>
                  <w:vAlign w:val="center"/>
                </w:tcPr>
                <w:p>
                  <w:pPr>
                    <w:jc w:val="center"/>
                    <w:rPr>
                      <w:kern w:val="0"/>
                      <w:sz w:val="22"/>
                    </w:rPr>
                  </w:pPr>
                  <w:r>
                    <w:rPr>
                      <w:kern w:val="0"/>
                      <w:sz w:val="22"/>
                      <w:szCs w:val="22"/>
                    </w:rPr>
                    <w:t>1台</w:t>
                  </w:r>
                </w:p>
              </w:tc>
              <w:tc>
                <w:tcPr>
                  <w:tcW w:w="2062" w:type="dxa"/>
                  <w:vAlign w:val="center"/>
                </w:tcPr>
                <w:p>
                  <w:pPr>
                    <w:jc w:val="center"/>
                    <w:rPr>
                      <w:kern w:val="0"/>
                      <w:sz w:val="22"/>
                    </w:rPr>
                  </w:pPr>
                  <w:r>
                    <w:rPr>
                      <w:kern w:val="0"/>
                      <w:sz w:val="22"/>
                      <w:szCs w:val="22"/>
                    </w:rPr>
                    <w:t>血液分析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20</w:t>
                  </w:r>
                </w:p>
              </w:tc>
              <w:tc>
                <w:tcPr>
                  <w:tcW w:w="2732" w:type="dxa"/>
                  <w:vAlign w:val="center"/>
                </w:tcPr>
                <w:p>
                  <w:pPr>
                    <w:jc w:val="center"/>
                    <w:rPr>
                      <w:kern w:val="0"/>
                      <w:sz w:val="22"/>
                    </w:rPr>
                  </w:pPr>
                  <w:r>
                    <w:rPr>
                      <w:rFonts w:hint="eastAsia"/>
                      <w:kern w:val="0"/>
                      <w:sz w:val="22"/>
                      <w:szCs w:val="22"/>
                    </w:rPr>
                    <w:t>全数字彩色超声诊断系统</w:t>
                  </w:r>
                </w:p>
              </w:tc>
              <w:tc>
                <w:tcPr>
                  <w:tcW w:w="2065" w:type="dxa"/>
                  <w:vAlign w:val="center"/>
                </w:tcPr>
                <w:p>
                  <w:pPr>
                    <w:jc w:val="center"/>
                    <w:rPr>
                      <w:kern w:val="0"/>
                      <w:sz w:val="22"/>
                    </w:rPr>
                  </w:pPr>
                  <w:r>
                    <w:rPr>
                      <w:rFonts w:hint="eastAsia"/>
                      <w:kern w:val="0"/>
                      <w:sz w:val="22"/>
                      <w:szCs w:val="22"/>
                    </w:rPr>
                    <w:t>Acclarix</w:t>
                  </w:r>
                </w:p>
              </w:tc>
              <w:tc>
                <w:tcPr>
                  <w:tcW w:w="909" w:type="dxa"/>
                  <w:vAlign w:val="center"/>
                </w:tcPr>
                <w:p>
                  <w:pPr>
                    <w:jc w:val="center"/>
                    <w:rPr>
                      <w:kern w:val="0"/>
                      <w:sz w:val="22"/>
                    </w:rPr>
                  </w:pPr>
                  <w:r>
                    <w:rPr>
                      <w:rFonts w:hint="eastAsia"/>
                      <w:kern w:val="0"/>
                      <w:sz w:val="22"/>
                      <w:szCs w:val="22"/>
                    </w:rPr>
                    <w:t>1台</w:t>
                  </w:r>
                </w:p>
              </w:tc>
              <w:tc>
                <w:tcPr>
                  <w:tcW w:w="2062" w:type="dxa"/>
                  <w:vAlign w:val="center"/>
                </w:tcPr>
                <w:p>
                  <w:pPr>
                    <w:jc w:val="center"/>
                    <w:rPr>
                      <w:kern w:val="0"/>
                      <w:sz w:val="22"/>
                    </w:rPr>
                  </w:pPr>
                  <w:r>
                    <w:rPr>
                      <w:kern w:val="0"/>
                      <w:sz w:val="22"/>
                      <w:szCs w:val="22"/>
                    </w:rPr>
                    <w:t>超声诊断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rFonts w:hint="eastAsia"/>
                      <w:kern w:val="0"/>
                      <w:sz w:val="22"/>
                      <w:szCs w:val="22"/>
                    </w:rPr>
                    <w:t>21</w:t>
                  </w:r>
                </w:p>
              </w:tc>
              <w:tc>
                <w:tcPr>
                  <w:tcW w:w="2732" w:type="dxa"/>
                  <w:vAlign w:val="center"/>
                </w:tcPr>
                <w:p>
                  <w:pPr>
                    <w:jc w:val="center"/>
                    <w:rPr>
                      <w:kern w:val="0"/>
                      <w:sz w:val="22"/>
                    </w:rPr>
                  </w:pPr>
                  <w:r>
                    <w:rPr>
                      <w:rFonts w:hint="eastAsia"/>
                      <w:kern w:val="0"/>
                      <w:sz w:val="22"/>
                      <w:szCs w:val="22"/>
                    </w:rPr>
                    <w:t>体外冲击波碎石机</w:t>
                  </w:r>
                </w:p>
              </w:tc>
              <w:tc>
                <w:tcPr>
                  <w:tcW w:w="2065" w:type="dxa"/>
                  <w:vAlign w:val="center"/>
                </w:tcPr>
                <w:p>
                  <w:pPr>
                    <w:jc w:val="center"/>
                    <w:rPr>
                      <w:kern w:val="0"/>
                      <w:sz w:val="22"/>
                    </w:rPr>
                  </w:pPr>
                  <w:r>
                    <w:rPr>
                      <w:rFonts w:hint="eastAsia"/>
                      <w:kern w:val="0"/>
                      <w:sz w:val="22"/>
                      <w:szCs w:val="22"/>
                    </w:rPr>
                    <w:t>HD.ESWL-109X</w:t>
                  </w:r>
                </w:p>
              </w:tc>
              <w:tc>
                <w:tcPr>
                  <w:tcW w:w="909" w:type="dxa"/>
                  <w:vAlign w:val="center"/>
                </w:tcPr>
                <w:p>
                  <w:pPr>
                    <w:jc w:val="center"/>
                    <w:rPr>
                      <w:kern w:val="0"/>
                      <w:sz w:val="22"/>
                    </w:rPr>
                  </w:pPr>
                  <w:r>
                    <w:rPr>
                      <w:rFonts w:hint="eastAsia"/>
                      <w:kern w:val="0"/>
                      <w:sz w:val="22"/>
                      <w:szCs w:val="22"/>
                    </w:rPr>
                    <w:t>一台</w:t>
                  </w:r>
                </w:p>
              </w:tc>
              <w:tc>
                <w:tcPr>
                  <w:tcW w:w="2062" w:type="dxa"/>
                  <w:vAlign w:val="center"/>
                </w:tcPr>
                <w:p>
                  <w:pPr>
                    <w:jc w:val="center"/>
                    <w:rPr>
                      <w:kern w:val="0"/>
                      <w:sz w:val="22"/>
                    </w:rPr>
                  </w:pPr>
                  <w:r>
                    <w:rPr>
                      <w:rFonts w:hint="eastAsia"/>
                      <w:kern w:val="0"/>
                      <w:sz w:val="22"/>
                      <w:szCs w:val="22"/>
                    </w:rPr>
                    <w:t>碎石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kern w:val="0"/>
                      <w:sz w:val="22"/>
                      <w:szCs w:val="22"/>
                    </w:rPr>
                    <w:t>22</w:t>
                  </w:r>
                </w:p>
              </w:tc>
              <w:tc>
                <w:tcPr>
                  <w:tcW w:w="2732" w:type="dxa"/>
                  <w:vAlign w:val="center"/>
                </w:tcPr>
                <w:p>
                  <w:pPr>
                    <w:jc w:val="center"/>
                    <w:rPr>
                      <w:kern w:val="0"/>
                      <w:sz w:val="22"/>
                    </w:rPr>
                  </w:pPr>
                  <w:r>
                    <w:rPr>
                      <w:kern w:val="0"/>
                      <w:sz w:val="22"/>
                      <w:szCs w:val="22"/>
                    </w:rPr>
                    <w:t>二氧化氯投加器</w:t>
                  </w:r>
                </w:p>
              </w:tc>
              <w:tc>
                <w:tcPr>
                  <w:tcW w:w="2065" w:type="dxa"/>
                  <w:vAlign w:val="center"/>
                </w:tcPr>
                <w:p>
                  <w:pPr>
                    <w:jc w:val="center"/>
                    <w:rPr>
                      <w:kern w:val="0"/>
                      <w:sz w:val="22"/>
                    </w:rPr>
                  </w:pPr>
                  <w:r>
                    <w:rPr>
                      <w:kern w:val="0"/>
                      <w:sz w:val="22"/>
                      <w:szCs w:val="22"/>
                    </w:rPr>
                    <w:t>/</w:t>
                  </w:r>
                </w:p>
              </w:tc>
              <w:tc>
                <w:tcPr>
                  <w:tcW w:w="909" w:type="dxa"/>
                  <w:vAlign w:val="center"/>
                </w:tcPr>
                <w:p>
                  <w:pPr>
                    <w:jc w:val="center"/>
                    <w:rPr>
                      <w:kern w:val="0"/>
                      <w:sz w:val="22"/>
                    </w:rPr>
                  </w:pPr>
                  <w:r>
                    <w:rPr>
                      <w:rFonts w:hint="eastAsia"/>
                      <w:kern w:val="0"/>
                      <w:sz w:val="22"/>
                      <w:szCs w:val="22"/>
                    </w:rPr>
                    <w:t>2</w:t>
                  </w:r>
                  <w:r>
                    <w:rPr>
                      <w:kern w:val="0"/>
                      <w:sz w:val="22"/>
                      <w:szCs w:val="22"/>
                    </w:rPr>
                    <w:t>台</w:t>
                  </w:r>
                </w:p>
              </w:tc>
              <w:tc>
                <w:tcPr>
                  <w:tcW w:w="2062" w:type="dxa"/>
                  <w:vAlign w:val="center"/>
                </w:tcPr>
                <w:p>
                  <w:pPr>
                    <w:jc w:val="center"/>
                    <w:rPr>
                      <w:kern w:val="0"/>
                      <w:sz w:val="22"/>
                    </w:rPr>
                  </w:pPr>
                  <w:r>
                    <w:rPr>
                      <w:kern w:val="0"/>
                      <w:sz w:val="22"/>
                      <w:szCs w:val="22"/>
                    </w:rPr>
                    <w:t>废水处理</w:t>
                  </w:r>
                  <w:r>
                    <w:rPr>
                      <w:rFonts w:hint="eastAsia"/>
                      <w:kern w:val="0"/>
                      <w:sz w:val="22"/>
                      <w:szCs w:val="22"/>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kern w:val="0"/>
                      <w:sz w:val="22"/>
                      <w:szCs w:val="22"/>
                    </w:rPr>
                    <w:t>23</w:t>
                  </w:r>
                </w:p>
              </w:tc>
              <w:tc>
                <w:tcPr>
                  <w:tcW w:w="2732" w:type="dxa"/>
                  <w:vAlign w:val="center"/>
                </w:tcPr>
                <w:p>
                  <w:pPr>
                    <w:jc w:val="center"/>
                    <w:rPr>
                      <w:kern w:val="0"/>
                      <w:sz w:val="22"/>
                    </w:rPr>
                  </w:pPr>
                  <w:r>
                    <w:rPr>
                      <w:kern w:val="0"/>
                      <w:sz w:val="22"/>
                      <w:szCs w:val="22"/>
                    </w:rPr>
                    <w:t>通风系统</w:t>
                  </w:r>
                </w:p>
              </w:tc>
              <w:tc>
                <w:tcPr>
                  <w:tcW w:w="2065" w:type="dxa"/>
                  <w:vAlign w:val="center"/>
                </w:tcPr>
                <w:p>
                  <w:pPr>
                    <w:jc w:val="center"/>
                    <w:rPr>
                      <w:kern w:val="0"/>
                      <w:sz w:val="22"/>
                    </w:rPr>
                  </w:pPr>
                  <w:r>
                    <w:rPr>
                      <w:kern w:val="0"/>
                      <w:sz w:val="22"/>
                      <w:szCs w:val="22"/>
                    </w:rPr>
                    <w:t>/</w:t>
                  </w:r>
                </w:p>
              </w:tc>
              <w:tc>
                <w:tcPr>
                  <w:tcW w:w="909" w:type="dxa"/>
                  <w:vAlign w:val="center"/>
                </w:tcPr>
                <w:p>
                  <w:pPr>
                    <w:jc w:val="center"/>
                    <w:rPr>
                      <w:kern w:val="0"/>
                      <w:sz w:val="22"/>
                    </w:rPr>
                  </w:pPr>
                  <w:r>
                    <w:rPr>
                      <w:kern w:val="0"/>
                      <w:sz w:val="22"/>
                      <w:szCs w:val="22"/>
                    </w:rPr>
                    <w:t>2套</w:t>
                  </w:r>
                </w:p>
              </w:tc>
              <w:tc>
                <w:tcPr>
                  <w:tcW w:w="2062" w:type="dxa"/>
                  <w:vAlign w:val="center"/>
                </w:tcPr>
                <w:p>
                  <w:pPr>
                    <w:jc w:val="center"/>
                    <w:rPr>
                      <w:kern w:val="0"/>
                      <w:sz w:val="22"/>
                    </w:rPr>
                  </w:pPr>
                  <w:r>
                    <w:rPr>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jc w:val="center"/>
                    <w:rPr>
                      <w:kern w:val="0"/>
                      <w:sz w:val="22"/>
                    </w:rPr>
                  </w:pPr>
                  <w:r>
                    <w:rPr>
                      <w:kern w:val="0"/>
                      <w:sz w:val="22"/>
                      <w:szCs w:val="22"/>
                    </w:rPr>
                    <w:t>24</w:t>
                  </w:r>
                </w:p>
              </w:tc>
              <w:tc>
                <w:tcPr>
                  <w:tcW w:w="2732" w:type="dxa"/>
                  <w:vAlign w:val="center"/>
                </w:tcPr>
                <w:p>
                  <w:pPr>
                    <w:jc w:val="center"/>
                    <w:rPr>
                      <w:kern w:val="0"/>
                      <w:sz w:val="22"/>
                    </w:rPr>
                  </w:pPr>
                  <w:r>
                    <w:rPr>
                      <w:kern w:val="0"/>
                      <w:sz w:val="22"/>
                      <w:szCs w:val="22"/>
                    </w:rPr>
                    <w:t>空调系统</w:t>
                  </w:r>
                </w:p>
              </w:tc>
              <w:tc>
                <w:tcPr>
                  <w:tcW w:w="2065" w:type="dxa"/>
                  <w:vAlign w:val="center"/>
                </w:tcPr>
                <w:p>
                  <w:pPr>
                    <w:jc w:val="center"/>
                    <w:rPr>
                      <w:kern w:val="0"/>
                      <w:sz w:val="22"/>
                    </w:rPr>
                  </w:pPr>
                  <w:r>
                    <w:rPr>
                      <w:kern w:val="0"/>
                      <w:sz w:val="22"/>
                      <w:szCs w:val="22"/>
                    </w:rPr>
                    <w:t>/</w:t>
                  </w:r>
                </w:p>
              </w:tc>
              <w:tc>
                <w:tcPr>
                  <w:tcW w:w="909" w:type="dxa"/>
                  <w:vAlign w:val="center"/>
                </w:tcPr>
                <w:p>
                  <w:pPr>
                    <w:jc w:val="center"/>
                    <w:rPr>
                      <w:kern w:val="0"/>
                      <w:sz w:val="22"/>
                    </w:rPr>
                  </w:pPr>
                  <w:r>
                    <w:rPr>
                      <w:kern w:val="0"/>
                      <w:sz w:val="22"/>
                      <w:szCs w:val="22"/>
                    </w:rPr>
                    <w:t>10套</w:t>
                  </w:r>
                </w:p>
              </w:tc>
              <w:tc>
                <w:tcPr>
                  <w:tcW w:w="2062" w:type="dxa"/>
                  <w:vAlign w:val="center"/>
                </w:tcPr>
                <w:p>
                  <w:pPr>
                    <w:jc w:val="center"/>
                    <w:rPr>
                      <w:kern w:val="0"/>
                      <w:sz w:val="22"/>
                    </w:rPr>
                  </w:pPr>
                  <w:r>
                    <w:rPr>
                      <w:kern w:val="0"/>
                      <w:sz w:val="22"/>
                      <w:szCs w:val="22"/>
                    </w:rPr>
                    <w:t>/</w:t>
                  </w:r>
                </w:p>
              </w:tc>
            </w:tr>
          </w:tbl>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rFonts w:hint="eastAsia"/>
                <w:sz w:val="24"/>
              </w:rPr>
              <w:t>4、</w:t>
            </w:r>
            <w:r>
              <w:rPr>
                <w:sz w:val="24"/>
              </w:rPr>
              <w:t>主要原辅材料</w:t>
            </w:r>
          </w:p>
          <w:p>
            <w:pPr>
              <w:adjustRightInd w:val="0"/>
              <w:snapToGrid w:val="0"/>
              <w:spacing w:line="360" w:lineRule="auto"/>
              <w:ind w:firstLine="480" w:firstLineChars="200"/>
              <w:rPr>
                <w:sz w:val="24"/>
              </w:rPr>
            </w:pPr>
            <w:r>
              <w:rPr>
                <w:rFonts w:hint="eastAsia"/>
                <w:sz w:val="24"/>
              </w:rPr>
              <w:t>本项目属于医疗卫生机构，主要的材料是药品及其医疗器具，药品一般是一次性使用的物品，并且有时间性，不能重复使用和使用过期的药品；医疗器具主要有纱布、注射器具等，一般为一次性使用。主要原材料及能源消耗情况详见下表</w:t>
            </w:r>
          </w:p>
          <w:p>
            <w:pPr>
              <w:spacing w:line="360" w:lineRule="auto"/>
              <w:jc w:val="center"/>
              <w:rPr>
                <w:b/>
                <w:sz w:val="22"/>
                <w:szCs w:val="22"/>
                <w:u w:val="single"/>
              </w:rPr>
            </w:pPr>
            <w:r>
              <w:rPr>
                <w:b/>
                <w:sz w:val="22"/>
                <w:szCs w:val="22"/>
                <w:u w:val="single"/>
              </w:rPr>
              <w:t>表</w:t>
            </w:r>
            <w:r>
              <w:rPr>
                <w:rFonts w:hint="eastAsia"/>
                <w:b/>
                <w:sz w:val="22"/>
                <w:szCs w:val="22"/>
                <w:u w:val="single"/>
              </w:rPr>
              <w:t>2-</w:t>
            </w:r>
            <w:r>
              <w:rPr>
                <w:b/>
                <w:sz w:val="22"/>
                <w:szCs w:val="22"/>
                <w:u w:val="single"/>
              </w:rPr>
              <w:t>4    主要原辅材料耗量一览表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717"/>
              <w:gridCol w:w="2189"/>
              <w:gridCol w:w="1284"/>
              <w:gridCol w:w="956"/>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pPr>
                    <w:jc w:val="center"/>
                    <w:rPr>
                      <w:kern w:val="0"/>
                      <w:sz w:val="22"/>
                      <w:szCs w:val="22"/>
                    </w:rPr>
                  </w:pPr>
                  <w:r>
                    <w:rPr>
                      <w:kern w:val="0"/>
                      <w:sz w:val="22"/>
                      <w:szCs w:val="22"/>
                    </w:rPr>
                    <w:t>序号</w:t>
                  </w:r>
                </w:p>
              </w:tc>
              <w:tc>
                <w:tcPr>
                  <w:tcW w:w="1847" w:type="dxa"/>
                  <w:vAlign w:val="center"/>
                </w:tcPr>
                <w:p>
                  <w:pPr>
                    <w:jc w:val="center"/>
                    <w:rPr>
                      <w:kern w:val="0"/>
                      <w:sz w:val="22"/>
                      <w:szCs w:val="22"/>
                    </w:rPr>
                  </w:pPr>
                  <w:r>
                    <w:rPr>
                      <w:kern w:val="0"/>
                      <w:sz w:val="22"/>
                      <w:szCs w:val="22"/>
                    </w:rPr>
                    <w:t>名称</w:t>
                  </w:r>
                </w:p>
              </w:tc>
              <w:tc>
                <w:tcPr>
                  <w:tcW w:w="2134" w:type="dxa"/>
                  <w:vAlign w:val="center"/>
                </w:tcPr>
                <w:p>
                  <w:pPr>
                    <w:jc w:val="center"/>
                    <w:rPr>
                      <w:kern w:val="0"/>
                      <w:sz w:val="22"/>
                      <w:szCs w:val="22"/>
                    </w:rPr>
                  </w:pPr>
                  <w:r>
                    <w:rPr>
                      <w:kern w:val="0"/>
                      <w:sz w:val="22"/>
                      <w:szCs w:val="22"/>
                    </w:rPr>
                    <w:t>规格形态</w:t>
                  </w:r>
                </w:p>
              </w:tc>
              <w:tc>
                <w:tcPr>
                  <w:tcW w:w="1262" w:type="dxa"/>
                  <w:vAlign w:val="center"/>
                </w:tcPr>
                <w:p>
                  <w:pPr>
                    <w:jc w:val="center"/>
                    <w:rPr>
                      <w:kern w:val="0"/>
                      <w:sz w:val="22"/>
                      <w:szCs w:val="22"/>
                    </w:rPr>
                  </w:pPr>
                  <w:r>
                    <w:rPr>
                      <w:kern w:val="0"/>
                      <w:sz w:val="22"/>
                      <w:szCs w:val="22"/>
                    </w:rPr>
                    <w:t>年耗量</w:t>
                  </w:r>
                </w:p>
              </w:tc>
              <w:tc>
                <w:tcPr>
                  <w:tcW w:w="1112" w:type="dxa"/>
                  <w:vAlign w:val="center"/>
                </w:tcPr>
                <w:p>
                  <w:pPr>
                    <w:jc w:val="center"/>
                    <w:rPr>
                      <w:kern w:val="0"/>
                      <w:sz w:val="22"/>
                      <w:szCs w:val="22"/>
                    </w:rPr>
                  </w:pPr>
                  <w:r>
                    <w:rPr>
                      <w:kern w:val="0"/>
                      <w:sz w:val="22"/>
                      <w:szCs w:val="22"/>
                    </w:rPr>
                    <w:t>最大</w:t>
                  </w:r>
                </w:p>
                <w:p>
                  <w:pPr>
                    <w:jc w:val="center"/>
                    <w:rPr>
                      <w:kern w:val="0"/>
                      <w:sz w:val="22"/>
                      <w:szCs w:val="22"/>
                    </w:rPr>
                  </w:pPr>
                  <w:r>
                    <w:rPr>
                      <w:kern w:val="0"/>
                      <w:sz w:val="22"/>
                      <w:szCs w:val="22"/>
                    </w:rPr>
                    <w:t>储存量</w:t>
                  </w:r>
                </w:p>
              </w:tc>
              <w:tc>
                <w:tcPr>
                  <w:tcW w:w="1380" w:type="dxa"/>
                  <w:vAlign w:val="center"/>
                </w:tcPr>
                <w:p>
                  <w:pPr>
                    <w:jc w:val="center"/>
                    <w:rPr>
                      <w:kern w:val="0"/>
                      <w:sz w:val="22"/>
                      <w:szCs w:val="22"/>
                    </w:rPr>
                  </w:pPr>
                  <w:r>
                    <w:rPr>
                      <w:kern w:val="0"/>
                      <w:sz w:val="22"/>
                      <w:szCs w:val="22"/>
                    </w:rPr>
                    <w:t>储存地点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84" w:type="dxa"/>
                  <w:vAlign w:val="center"/>
                </w:tcPr>
                <w:p>
                  <w:pPr>
                    <w:jc w:val="center"/>
                    <w:rPr>
                      <w:kern w:val="0"/>
                      <w:sz w:val="22"/>
                      <w:szCs w:val="22"/>
                    </w:rPr>
                  </w:pPr>
                  <w:r>
                    <w:rPr>
                      <w:kern w:val="0"/>
                      <w:sz w:val="22"/>
                      <w:szCs w:val="22"/>
                    </w:rPr>
                    <w:t>1</w:t>
                  </w:r>
                </w:p>
              </w:tc>
              <w:tc>
                <w:tcPr>
                  <w:tcW w:w="1847" w:type="dxa"/>
                  <w:vAlign w:val="center"/>
                </w:tcPr>
                <w:p>
                  <w:pPr>
                    <w:jc w:val="center"/>
                    <w:rPr>
                      <w:kern w:val="0"/>
                      <w:sz w:val="22"/>
                      <w:szCs w:val="22"/>
                    </w:rPr>
                  </w:pPr>
                  <w:r>
                    <w:rPr>
                      <w:kern w:val="0"/>
                      <w:sz w:val="22"/>
                      <w:szCs w:val="22"/>
                    </w:rPr>
                    <w:t>口罩</w:t>
                  </w:r>
                </w:p>
              </w:tc>
              <w:tc>
                <w:tcPr>
                  <w:tcW w:w="2134" w:type="dxa"/>
                  <w:vAlign w:val="center"/>
                </w:tcPr>
                <w:p>
                  <w:pPr>
                    <w:jc w:val="center"/>
                    <w:rPr>
                      <w:kern w:val="0"/>
                      <w:sz w:val="22"/>
                      <w:szCs w:val="22"/>
                    </w:rPr>
                  </w:pPr>
                  <w:r>
                    <w:rPr>
                      <w:kern w:val="0"/>
                      <w:sz w:val="22"/>
                      <w:szCs w:val="22"/>
                    </w:rPr>
                    <w:t>耳挂式</w:t>
                  </w:r>
                </w:p>
              </w:tc>
              <w:tc>
                <w:tcPr>
                  <w:tcW w:w="1262" w:type="dxa"/>
                  <w:vAlign w:val="center"/>
                </w:tcPr>
                <w:p>
                  <w:pPr>
                    <w:jc w:val="center"/>
                    <w:rPr>
                      <w:kern w:val="0"/>
                      <w:sz w:val="22"/>
                      <w:szCs w:val="22"/>
                    </w:rPr>
                  </w:pPr>
                  <w:r>
                    <w:rPr>
                      <w:kern w:val="0"/>
                      <w:sz w:val="22"/>
                      <w:szCs w:val="22"/>
                    </w:rPr>
                    <w:t>氨纶、涤纶</w:t>
                  </w:r>
                </w:p>
              </w:tc>
              <w:tc>
                <w:tcPr>
                  <w:tcW w:w="1112" w:type="dxa"/>
                  <w:vAlign w:val="center"/>
                </w:tcPr>
                <w:p>
                  <w:pPr>
                    <w:jc w:val="center"/>
                    <w:rPr>
                      <w:kern w:val="0"/>
                      <w:sz w:val="22"/>
                      <w:szCs w:val="22"/>
                    </w:rPr>
                  </w:pPr>
                  <w:r>
                    <w:rPr>
                      <w:kern w:val="0"/>
                      <w:sz w:val="22"/>
                      <w:szCs w:val="22"/>
                    </w:rPr>
                    <w:t>45000个</w:t>
                  </w:r>
                </w:p>
              </w:tc>
              <w:tc>
                <w:tcPr>
                  <w:tcW w:w="1380" w:type="dxa"/>
                  <w:vMerge w:val="restart"/>
                  <w:vAlign w:val="center"/>
                </w:tcPr>
                <w:p>
                  <w:pPr>
                    <w:jc w:val="center"/>
                    <w:rPr>
                      <w:kern w:val="0"/>
                      <w:sz w:val="22"/>
                      <w:szCs w:val="22"/>
                    </w:rPr>
                  </w:pPr>
                  <w:r>
                    <w:rPr>
                      <w:kern w:val="0"/>
                      <w:sz w:val="22"/>
                      <w:szCs w:val="22"/>
                    </w:rPr>
                    <w:t>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2</w:t>
                  </w:r>
                </w:p>
              </w:tc>
              <w:tc>
                <w:tcPr>
                  <w:tcW w:w="1847" w:type="dxa"/>
                  <w:vAlign w:val="center"/>
                </w:tcPr>
                <w:p>
                  <w:pPr>
                    <w:jc w:val="center"/>
                    <w:rPr>
                      <w:kern w:val="0"/>
                      <w:sz w:val="22"/>
                      <w:szCs w:val="22"/>
                    </w:rPr>
                  </w:pPr>
                  <w:r>
                    <w:rPr>
                      <w:kern w:val="0"/>
                      <w:sz w:val="22"/>
                      <w:szCs w:val="22"/>
                    </w:rPr>
                    <w:t>乙醇消毒液</w:t>
                  </w:r>
                </w:p>
              </w:tc>
              <w:tc>
                <w:tcPr>
                  <w:tcW w:w="2134" w:type="dxa"/>
                  <w:vAlign w:val="center"/>
                </w:tcPr>
                <w:p>
                  <w:pPr>
                    <w:jc w:val="center"/>
                    <w:rPr>
                      <w:kern w:val="0"/>
                      <w:sz w:val="22"/>
                      <w:szCs w:val="22"/>
                    </w:rPr>
                  </w:pPr>
                  <w:r>
                    <w:rPr>
                      <w:kern w:val="0"/>
                      <w:sz w:val="22"/>
                      <w:szCs w:val="22"/>
                    </w:rPr>
                    <w:t>500ml*1</w:t>
                  </w:r>
                </w:p>
              </w:tc>
              <w:tc>
                <w:tcPr>
                  <w:tcW w:w="1262" w:type="dxa"/>
                  <w:vAlign w:val="center"/>
                </w:tcPr>
                <w:p>
                  <w:pPr>
                    <w:jc w:val="center"/>
                    <w:rPr>
                      <w:kern w:val="0"/>
                      <w:sz w:val="22"/>
                      <w:szCs w:val="22"/>
                    </w:rPr>
                  </w:pPr>
                  <w:r>
                    <w:rPr>
                      <w:kern w:val="0"/>
                      <w:sz w:val="22"/>
                      <w:szCs w:val="22"/>
                    </w:rPr>
                    <w:t>乙醇</w:t>
                  </w:r>
                </w:p>
              </w:tc>
              <w:tc>
                <w:tcPr>
                  <w:tcW w:w="1112" w:type="dxa"/>
                  <w:vAlign w:val="center"/>
                </w:tcPr>
                <w:p>
                  <w:pPr>
                    <w:jc w:val="center"/>
                    <w:rPr>
                      <w:kern w:val="0"/>
                      <w:sz w:val="22"/>
                      <w:szCs w:val="22"/>
                    </w:rPr>
                  </w:pPr>
                  <w:r>
                    <w:rPr>
                      <w:kern w:val="0"/>
                      <w:sz w:val="22"/>
                      <w:szCs w:val="22"/>
                    </w:rPr>
                    <w:t>500瓶</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3</w:t>
                  </w:r>
                </w:p>
              </w:tc>
              <w:tc>
                <w:tcPr>
                  <w:tcW w:w="1847" w:type="dxa"/>
                  <w:vAlign w:val="center"/>
                </w:tcPr>
                <w:p>
                  <w:pPr>
                    <w:jc w:val="center"/>
                    <w:rPr>
                      <w:kern w:val="0"/>
                      <w:sz w:val="22"/>
                      <w:szCs w:val="22"/>
                    </w:rPr>
                  </w:pPr>
                  <w:r>
                    <w:rPr>
                      <w:kern w:val="0"/>
                      <w:sz w:val="22"/>
                      <w:szCs w:val="22"/>
                    </w:rPr>
                    <w:t>注射器</w:t>
                  </w:r>
                </w:p>
              </w:tc>
              <w:tc>
                <w:tcPr>
                  <w:tcW w:w="2134" w:type="dxa"/>
                  <w:vAlign w:val="center"/>
                </w:tcPr>
                <w:p>
                  <w:pPr>
                    <w:jc w:val="center"/>
                    <w:rPr>
                      <w:kern w:val="0"/>
                      <w:sz w:val="22"/>
                      <w:szCs w:val="22"/>
                    </w:rPr>
                  </w:pPr>
                  <w:r>
                    <w:rPr>
                      <w:kern w:val="0"/>
                      <w:sz w:val="22"/>
                      <w:szCs w:val="22"/>
                    </w:rPr>
                    <w:t>2.5ml</w:t>
                  </w:r>
                </w:p>
              </w:tc>
              <w:tc>
                <w:tcPr>
                  <w:tcW w:w="1262" w:type="dxa"/>
                  <w:vAlign w:val="center"/>
                </w:tcPr>
                <w:p>
                  <w:pPr>
                    <w:jc w:val="center"/>
                    <w:rPr>
                      <w:kern w:val="0"/>
                      <w:sz w:val="22"/>
                      <w:szCs w:val="22"/>
                    </w:rPr>
                  </w:pPr>
                  <w:r>
                    <w:rPr>
                      <w:kern w:val="0"/>
                      <w:sz w:val="22"/>
                      <w:szCs w:val="22"/>
                    </w:rPr>
                    <w:t>PP</w:t>
                  </w:r>
                </w:p>
              </w:tc>
              <w:tc>
                <w:tcPr>
                  <w:tcW w:w="1112" w:type="dxa"/>
                  <w:vAlign w:val="center"/>
                </w:tcPr>
                <w:p>
                  <w:pPr>
                    <w:jc w:val="center"/>
                    <w:rPr>
                      <w:kern w:val="0"/>
                      <w:sz w:val="22"/>
                      <w:szCs w:val="22"/>
                    </w:rPr>
                  </w:pPr>
                  <w:r>
                    <w:rPr>
                      <w:kern w:val="0"/>
                      <w:sz w:val="22"/>
                      <w:szCs w:val="22"/>
                    </w:rPr>
                    <w:t>3000支</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4</w:t>
                  </w:r>
                </w:p>
              </w:tc>
              <w:tc>
                <w:tcPr>
                  <w:tcW w:w="1847" w:type="dxa"/>
                  <w:vAlign w:val="center"/>
                </w:tcPr>
                <w:p>
                  <w:pPr>
                    <w:jc w:val="center"/>
                    <w:rPr>
                      <w:kern w:val="0"/>
                      <w:sz w:val="22"/>
                      <w:szCs w:val="22"/>
                    </w:rPr>
                  </w:pPr>
                  <w:r>
                    <w:rPr>
                      <w:kern w:val="0"/>
                      <w:sz w:val="22"/>
                      <w:szCs w:val="22"/>
                    </w:rPr>
                    <w:t>84消毒液</w:t>
                  </w:r>
                </w:p>
              </w:tc>
              <w:tc>
                <w:tcPr>
                  <w:tcW w:w="2134" w:type="dxa"/>
                  <w:vAlign w:val="center"/>
                </w:tcPr>
                <w:p>
                  <w:pPr>
                    <w:jc w:val="center"/>
                    <w:rPr>
                      <w:kern w:val="0"/>
                      <w:sz w:val="22"/>
                      <w:szCs w:val="22"/>
                    </w:rPr>
                  </w:pPr>
                  <w:r>
                    <w:rPr>
                      <w:kern w:val="0"/>
                      <w:sz w:val="22"/>
                      <w:szCs w:val="22"/>
                    </w:rPr>
                    <w:t>500ml</w:t>
                  </w:r>
                </w:p>
              </w:tc>
              <w:tc>
                <w:tcPr>
                  <w:tcW w:w="1262" w:type="dxa"/>
                  <w:vAlign w:val="center"/>
                </w:tcPr>
                <w:p>
                  <w:pPr>
                    <w:jc w:val="center"/>
                    <w:rPr>
                      <w:kern w:val="0"/>
                      <w:sz w:val="22"/>
                      <w:szCs w:val="22"/>
                    </w:rPr>
                  </w:pPr>
                </w:p>
              </w:tc>
              <w:tc>
                <w:tcPr>
                  <w:tcW w:w="1112" w:type="dxa"/>
                  <w:vAlign w:val="center"/>
                </w:tcPr>
                <w:p>
                  <w:pPr>
                    <w:jc w:val="center"/>
                    <w:rPr>
                      <w:kern w:val="0"/>
                      <w:sz w:val="22"/>
                      <w:szCs w:val="22"/>
                    </w:rPr>
                  </w:pPr>
                  <w:r>
                    <w:rPr>
                      <w:kern w:val="0"/>
                      <w:sz w:val="22"/>
                      <w:szCs w:val="22"/>
                    </w:rPr>
                    <w:t>200瓶</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5</w:t>
                  </w:r>
                </w:p>
              </w:tc>
              <w:tc>
                <w:tcPr>
                  <w:tcW w:w="1847" w:type="dxa"/>
                  <w:vAlign w:val="center"/>
                </w:tcPr>
                <w:p>
                  <w:pPr>
                    <w:jc w:val="center"/>
                    <w:rPr>
                      <w:kern w:val="0"/>
                      <w:sz w:val="22"/>
                      <w:szCs w:val="22"/>
                    </w:rPr>
                  </w:pPr>
                  <w:r>
                    <w:rPr>
                      <w:kern w:val="0"/>
                      <w:sz w:val="22"/>
                      <w:szCs w:val="22"/>
                    </w:rPr>
                    <w:t>注射器</w:t>
                  </w:r>
                </w:p>
              </w:tc>
              <w:tc>
                <w:tcPr>
                  <w:tcW w:w="2134" w:type="dxa"/>
                  <w:vAlign w:val="center"/>
                </w:tcPr>
                <w:p>
                  <w:pPr>
                    <w:jc w:val="center"/>
                    <w:rPr>
                      <w:kern w:val="0"/>
                      <w:sz w:val="22"/>
                      <w:szCs w:val="22"/>
                    </w:rPr>
                  </w:pPr>
                  <w:r>
                    <w:rPr>
                      <w:kern w:val="0"/>
                      <w:sz w:val="22"/>
                      <w:szCs w:val="22"/>
                    </w:rPr>
                    <w:t>20ML</w:t>
                  </w:r>
                </w:p>
              </w:tc>
              <w:tc>
                <w:tcPr>
                  <w:tcW w:w="1262" w:type="dxa"/>
                  <w:vAlign w:val="center"/>
                </w:tcPr>
                <w:p>
                  <w:pPr>
                    <w:jc w:val="center"/>
                    <w:rPr>
                      <w:kern w:val="0"/>
                      <w:sz w:val="22"/>
                      <w:szCs w:val="22"/>
                    </w:rPr>
                  </w:pPr>
                  <w:r>
                    <w:rPr>
                      <w:kern w:val="0"/>
                      <w:sz w:val="22"/>
                      <w:szCs w:val="22"/>
                    </w:rPr>
                    <w:t>PP</w:t>
                  </w:r>
                </w:p>
              </w:tc>
              <w:tc>
                <w:tcPr>
                  <w:tcW w:w="1112" w:type="dxa"/>
                  <w:vAlign w:val="center"/>
                </w:tcPr>
                <w:p>
                  <w:pPr>
                    <w:jc w:val="center"/>
                    <w:rPr>
                      <w:kern w:val="0"/>
                      <w:sz w:val="22"/>
                      <w:szCs w:val="22"/>
                    </w:rPr>
                  </w:pPr>
                  <w:r>
                    <w:rPr>
                      <w:kern w:val="0"/>
                      <w:sz w:val="22"/>
                      <w:szCs w:val="22"/>
                    </w:rPr>
                    <w:t>20000支</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6</w:t>
                  </w:r>
                </w:p>
              </w:tc>
              <w:tc>
                <w:tcPr>
                  <w:tcW w:w="1847" w:type="dxa"/>
                  <w:vAlign w:val="center"/>
                </w:tcPr>
                <w:p>
                  <w:pPr>
                    <w:jc w:val="center"/>
                    <w:rPr>
                      <w:kern w:val="0"/>
                      <w:sz w:val="22"/>
                      <w:szCs w:val="22"/>
                    </w:rPr>
                  </w:pPr>
                  <w:r>
                    <w:rPr>
                      <w:kern w:val="0"/>
                      <w:sz w:val="22"/>
                      <w:szCs w:val="22"/>
                    </w:rPr>
                    <w:t>输液器</w:t>
                  </w:r>
                </w:p>
              </w:tc>
              <w:tc>
                <w:tcPr>
                  <w:tcW w:w="2134" w:type="dxa"/>
                  <w:vAlign w:val="center"/>
                </w:tcPr>
                <w:p>
                  <w:pPr>
                    <w:jc w:val="center"/>
                    <w:rPr>
                      <w:kern w:val="0"/>
                      <w:sz w:val="22"/>
                      <w:szCs w:val="22"/>
                    </w:rPr>
                  </w:pPr>
                </w:p>
              </w:tc>
              <w:tc>
                <w:tcPr>
                  <w:tcW w:w="1262" w:type="dxa"/>
                  <w:vAlign w:val="center"/>
                </w:tcPr>
                <w:p>
                  <w:pPr>
                    <w:jc w:val="center"/>
                    <w:rPr>
                      <w:kern w:val="0"/>
                      <w:sz w:val="22"/>
                      <w:szCs w:val="22"/>
                    </w:rPr>
                  </w:pPr>
                  <w:r>
                    <w:rPr>
                      <w:kern w:val="0"/>
                      <w:sz w:val="22"/>
                      <w:szCs w:val="22"/>
                    </w:rPr>
                    <w:t>PP</w:t>
                  </w:r>
                </w:p>
              </w:tc>
              <w:tc>
                <w:tcPr>
                  <w:tcW w:w="1112" w:type="dxa"/>
                  <w:vAlign w:val="center"/>
                </w:tcPr>
                <w:p>
                  <w:pPr>
                    <w:jc w:val="center"/>
                    <w:rPr>
                      <w:kern w:val="0"/>
                      <w:sz w:val="22"/>
                      <w:szCs w:val="22"/>
                    </w:rPr>
                  </w:pPr>
                  <w:r>
                    <w:rPr>
                      <w:kern w:val="0"/>
                      <w:sz w:val="22"/>
                      <w:szCs w:val="22"/>
                    </w:rPr>
                    <w:t>500份</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7</w:t>
                  </w:r>
                </w:p>
              </w:tc>
              <w:tc>
                <w:tcPr>
                  <w:tcW w:w="1847" w:type="dxa"/>
                  <w:vAlign w:val="center"/>
                </w:tcPr>
                <w:p>
                  <w:pPr>
                    <w:jc w:val="center"/>
                    <w:rPr>
                      <w:kern w:val="0"/>
                      <w:sz w:val="22"/>
                      <w:szCs w:val="22"/>
                    </w:rPr>
                  </w:pPr>
                  <w:r>
                    <w:rPr>
                      <w:kern w:val="0"/>
                      <w:sz w:val="22"/>
                      <w:szCs w:val="22"/>
                    </w:rPr>
                    <w:t>一次性吸氧管</w:t>
                  </w:r>
                </w:p>
              </w:tc>
              <w:tc>
                <w:tcPr>
                  <w:tcW w:w="2134" w:type="dxa"/>
                  <w:vAlign w:val="center"/>
                </w:tcPr>
                <w:p>
                  <w:pPr>
                    <w:jc w:val="center"/>
                    <w:rPr>
                      <w:kern w:val="0"/>
                      <w:sz w:val="22"/>
                      <w:szCs w:val="22"/>
                    </w:rPr>
                  </w:pPr>
                  <w:r>
                    <w:rPr>
                      <w:kern w:val="0"/>
                      <w:sz w:val="22"/>
                      <w:szCs w:val="22"/>
                    </w:rPr>
                    <w:t>双鼻塞（中号）</w:t>
                  </w:r>
                </w:p>
              </w:tc>
              <w:tc>
                <w:tcPr>
                  <w:tcW w:w="1262" w:type="dxa"/>
                  <w:vAlign w:val="center"/>
                </w:tcPr>
                <w:p>
                  <w:pPr>
                    <w:jc w:val="center"/>
                    <w:rPr>
                      <w:kern w:val="0"/>
                      <w:sz w:val="22"/>
                      <w:szCs w:val="22"/>
                    </w:rPr>
                  </w:pPr>
                  <w:r>
                    <w:rPr>
                      <w:kern w:val="0"/>
                      <w:sz w:val="22"/>
                      <w:szCs w:val="22"/>
                    </w:rPr>
                    <w:t>软聚氯乙烯塑料</w:t>
                  </w:r>
                </w:p>
              </w:tc>
              <w:tc>
                <w:tcPr>
                  <w:tcW w:w="1112" w:type="dxa"/>
                  <w:vAlign w:val="center"/>
                </w:tcPr>
                <w:p>
                  <w:pPr>
                    <w:jc w:val="center"/>
                    <w:rPr>
                      <w:kern w:val="0"/>
                      <w:sz w:val="22"/>
                      <w:szCs w:val="22"/>
                    </w:rPr>
                  </w:pPr>
                  <w:r>
                    <w:rPr>
                      <w:kern w:val="0"/>
                      <w:sz w:val="22"/>
                      <w:szCs w:val="22"/>
                    </w:rPr>
                    <w:t>200根</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84" w:type="dxa"/>
                  <w:vAlign w:val="center"/>
                </w:tcPr>
                <w:p>
                  <w:pPr>
                    <w:jc w:val="center"/>
                    <w:rPr>
                      <w:kern w:val="0"/>
                      <w:sz w:val="22"/>
                      <w:szCs w:val="22"/>
                    </w:rPr>
                  </w:pPr>
                  <w:r>
                    <w:rPr>
                      <w:kern w:val="0"/>
                      <w:sz w:val="22"/>
                      <w:szCs w:val="22"/>
                    </w:rPr>
                    <w:t>8</w:t>
                  </w:r>
                </w:p>
              </w:tc>
              <w:tc>
                <w:tcPr>
                  <w:tcW w:w="1847" w:type="dxa"/>
                  <w:vAlign w:val="center"/>
                </w:tcPr>
                <w:p>
                  <w:pPr>
                    <w:jc w:val="center"/>
                    <w:rPr>
                      <w:kern w:val="0"/>
                      <w:sz w:val="22"/>
                      <w:szCs w:val="22"/>
                    </w:rPr>
                  </w:pPr>
                  <w:r>
                    <w:rPr>
                      <w:kern w:val="0"/>
                      <w:sz w:val="22"/>
                      <w:szCs w:val="22"/>
                    </w:rPr>
                    <w:t>氧气</w:t>
                  </w:r>
                </w:p>
              </w:tc>
              <w:tc>
                <w:tcPr>
                  <w:tcW w:w="2134" w:type="dxa"/>
                  <w:vAlign w:val="center"/>
                </w:tcPr>
                <w:p>
                  <w:pPr>
                    <w:jc w:val="center"/>
                    <w:rPr>
                      <w:kern w:val="0"/>
                      <w:sz w:val="22"/>
                      <w:szCs w:val="22"/>
                    </w:rPr>
                  </w:pPr>
                </w:p>
              </w:tc>
              <w:tc>
                <w:tcPr>
                  <w:tcW w:w="1262" w:type="dxa"/>
                  <w:vAlign w:val="center"/>
                </w:tcPr>
                <w:p>
                  <w:pPr>
                    <w:jc w:val="center"/>
                    <w:rPr>
                      <w:kern w:val="0"/>
                      <w:sz w:val="22"/>
                      <w:szCs w:val="22"/>
                    </w:rPr>
                  </w:pPr>
                  <w:r>
                    <w:rPr>
                      <w:kern w:val="0"/>
                      <w:sz w:val="22"/>
                      <w:szCs w:val="22"/>
                    </w:rPr>
                    <w:t>5000立方</w:t>
                  </w:r>
                </w:p>
              </w:tc>
              <w:tc>
                <w:tcPr>
                  <w:tcW w:w="1112" w:type="dxa"/>
                  <w:vAlign w:val="center"/>
                </w:tcPr>
                <w:p>
                  <w:pPr>
                    <w:jc w:val="center"/>
                    <w:rPr>
                      <w:kern w:val="0"/>
                      <w:sz w:val="22"/>
                      <w:szCs w:val="22"/>
                    </w:rPr>
                  </w:pP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84" w:type="dxa"/>
                  <w:vAlign w:val="center"/>
                </w:tcPr>
                <w:p>
                  <w:pPr>
                    <w:jc w:val="center"/>
                    <w:rPr>
                      <w:kern w:val="0"/>
                      <w:sz w:val="22"/>
                      <w:szCs w:val="22"/>
                    </w:rPr>
                  </w:pPr>
                  <w:r>
                    <w:rPr>
                      <w:kern w:val="0"/>
                      <w:sz w:val="22"/>
                      <w:szCs w:val="22"/>
                    </w:rPr>
                    <w:t>9</w:t>
                  </w:r>
                </w:p>
              </w:tc>
              <w:tc>
                <w:tcPr>
                  <w:tcW w:w="1847" w:type="dxa"/>
                  <w:vAlign w:val="center"/>
                </w:tcPr>
                <w:p>
                  <w:pPr>
                    <w:jc w:val="center"/>
                    <w:rPr>
                      <w:kern w:val="0"/>
                      <w:sz w:val="22"/>
                      <w:szCs w:val="22"/>
                    </w:rPr>
                  </w:pPr>
                  <w:r>
                    <w:rPr>
                      <w:kern w:val="0"/>
                      <w:sz w:val="22"/>
                      <w:szCs w:val="22"/>
                    </w:rPr>
                    <w:t>中药药材</w:t>
                  </w:r>
                </w:p>
              </w:tc>
              <w:tc>
                <w:tcPr>
                  <w:tcW w:w="2134" w:type="dxa"/>
                  <w:vAlign w:val="center"/>
                </w:tcPr>
                <w:p>
                  <w:pPr>
                    <w:jc w:val="center"/>
                    <w:rPr>
                      <w:kern w:val="0"/>
                      <w:sz w:val="22"/>
                      <w:szCs w:val="22"/>
                    </w:rPr>
                  </w:pPr>
                  <w:r>
                    <w:rPr>
                      <w:kern w:val="0"/>
                      <w:sz w:val="22"/>
                      <w:szCs w:val="22"/>
                    </w:rPr>
                    <w:t>/</w:t>
                  </w:r>
                </w:p>
              </w:tc>
              <w:tc>
                <w:tcPr>
                  <w:tcW w:w="1262" w:type="dxa"/>
                  <w:vAlign w:val="center"/>
                </w:tcPr>
                <w:p>
                  <w:pPr>
                    <w:jc w:val="center"/>
                    <w:rPr>
                      <w:kern w:val="0"/>
                      <w:sz w:val="22"/>
                      <w:szCs w:val="22"/>
                    </w:rPr>
                  </w:pPr>
                  <w:r>
                    <w:rPr>
                      <w:kern w:val="0"/>
                      <w:sz w:val="22"/>
                      <w:szCs w:val="22"/>
                    </w:rPr>
                    <w:t>/</w:t>
                  </w:r>
                </w:p>
              </w:tc>
              <w:tc>
                <w:tcPr>
                  <w:tcW w:w="1112" w:type="dxa"/>
                  <w:vAlign w:val="center"/>
                </w:tcPr>
                <w:p>
                  <w:pPr>
                    <w:jc w:val="center"/>
                    <w:rPr>
                      <w:kern w:val="0"/>
                      <w:sz w:val="22"/>
                      <w:szCs w:val="22"/>
                    </w:rPr>
                  </w:pPr>
                  <w:r>
                    <w:rPr>
                      <w:kern w:val="0"/>
                      <w:sz w:val="22"/>
                      <w:szCs w:val="22"/>
                    </w:rPr>
                    <w:t>200种</w:t>
                  </w:r>
                </w:p>
              </w:tc>
              <w:tc>
                <w:tcPr>
                  <w:tcW w:w="1380" w:type="dxa"/>
                  <w:vMerge w:val="restart"/>
                  <w:vAlign w:val="center"/>
                </w:tcPr>
                <w:p>
                  <w:pPr>
                    <w:jc w:val="center"/>
                    <w:rPr>
                      <w:kern w:val="0"/>
                      <w:sz w:val="22"/>
                      <w:szCs w:val="22"/>
                    </w:rPr>
                  </w:pPr>
                  <w:r>
                    <w:rPr>
                      <w:kern w:val="0"/>
                      <w:sz w:val="22"/>
                      <w:szCs w:val="22"/>
                    </w:rPr>
                    <w:t>药房，基本为常见中、西药，不涉及毒害、挥发性强</w:t>
                  </w:r>
                </w:p>
                <w:p>
                  <w:pPr>
                    <w:jc w:val="center"/>
                    <w:rPr>
                      <w:kern w:val="0"/>
                      <w:sz w:val="22"/>
                      <w:szCs w:val="22"/>
                    </w:rPr>
                  </w:pPr>
                  <w:r>
                    <w:rPr>
                      <w:kern w:val="0"/>
                      <w:sz w:val="22"/>
                      <w:szCs w:val="22"/>
                    </w:rPr>
                    <w:t>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10</w:t>
                  </w:r>
                </w:p>
              </w:tc>
              <w:tc>
                <w:tcPr>
                  <w:tcW w:w="1847" w:type="dxa"/>
                  <w:vAlign w:val="center"/>
                </w:tcPr>
                <w:p>
                  <w:pPr>
                    <w:jc w:val="center"/>
                    <w:rPr>
                      <w:kern w:val="0"/>
                      <w:sz w:val="22"/>
                      <w:szCs w:val="22"/>
                    </w:rPr>
                  </w:pPr>
                  <w:r>
                    <w:rPr>
                      <w:kern w:val="0"/>
                      <w:sz w:val="22"/>
                      <w:szCs w:val="22"/>
                    </w:rPr>
                    <w:t>西药产品</w:t>
                  </w:r>
                </w:p>
              </w:tc>
              <w:tc>
                <w:tcPr>
                  <w:tcW w:w="2134" w:type="dxa"/>
                  <w:vAlign w:val="center"/>
                </w:tcPr>
                <w:p>
                  <w:pPr>
                    <w:jc w:val="center"/>
                    <w:rPr>
                      <w:kern w:val="0"/>
                      <w:sz w:val="22"/>
                      <w:szCs w:val="22"/>
                    </w:rPr>
                  </w:pPr>
                  <w:r>
                    <w:rPr>
                      <w:kern w:val="0"/>
                      <w:sz w:val="22"/>
                      <w:szCs w:val="22"/>
                    </w:rPr>
                    <w:t>/</w:t>
                  </w:r>
                </w:p>
              </w:tc>
              <w:tc>
                <w:tcPr>
                  <w:tcW w:w="1262" w:type="dxa"/>
                  <w:vAlign w:val="center"/>
                </w:tcPr>
                <w:p>
                  <w:pPr>
                    <w:jc w:val="center"/>
                    <w:rPr>
                      <w:kern w:val="0"/>
                      <w:sz w:val="22"/>
                      <w:szCs w:val="22"/>
                    </w:rPr>
                  </w:pPr>
                  <w:r>
                    <w:rPr>
                      <w:kern w:val="0"/>
                      <w:sz w:val="22"/>
                      <w:szCs w:val="22"/>
                    </w:rPr>
                    <w:t>/</w:t>
                  </w:r>
                </w:p>
              </w:tc>
              <w:tc>
                <w:tcPr>
                  <w:tcW w:w="1112" w:type="dxa"/>
                  <w:vAlign w:val="center"/>
                </w:tcPr>
                <w:p>
                  <w:pPr>
                    <w:jc w:val="center"/>
                    <w:rPr>
                      <w:kern w:val="0"/>
                      <w:sz w:val="22"/>
                      <w:szCs w:val="22"/>
                    </w:rPr>
                  </w:pPr>
                  <w:r>
                    <w:rPr>
                      <w:kern w:val="0"/>
                      <w:sz w:val="22"/>
                      <w:szCs w:val="22"/>
                    </w:rPr>
                    <w:t>800种</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11</w:t>
                  </w:r>
                </w:p>
              </w:tc>
              <w:tc>
                <w:tcPr>
                  <w:tcW w:w="1847" w:type="dxa"/>
                  <w:vAlign w:val="center"/>
                </w:tcPr>
                <w:p>
                  <w:pPr>
                    <w:jc w:val="center"/>
                    <w:rPr>
                      <w:kern w:val="0"/>
                      <w:sz w:val="22"/>
                      <w:szCs w:val="22"/>
                    </w:rPr>
                  </w:pPr>
                  <w:r>
                    <w:rPr>
                      <w:kern w:val="0"/>
                      <w:sz w:val="22"/>
                      <w:szCs w:val="22"/>
                    </w:rPr>
                    <w:t>尿试纸条11G</w:t>
                  </w:r>
                </w:p>
              </w:tc>
              <w:tc>
                <w:tcPr>
                  <w:tcW w:w="2134" w:type="dxa"/>
                  <w:vAlign w:val="center"/>
                </w:tcPr>
                <w:p>
                  <w:pPr>
                    <w:jc w:val="center"/>
                    <w:rPr>
                      <w:kern w:val="0"/>
                      <w:sz w:val="22"/>
                      <w:szCs w:val="22"/>
                    </w:rPr>
                  </w:pPr>
                  <w:r>
                    <w:rPr>
                      <w:kern w:val="0"/>
                      <w:sz w:val="22"/>
                      <w:szCs w:val="22"/>
                    </w:rPr>
                    <w:t>100/筒</w:t>
                  </w:r>
                </w:p>
              </w:tc>
              <w:tc>
                <w:tcPr>
                  <w:tcW w:w="1262" w:type="dxa"/>
                  <w:vAlign w:val="center"/>
                </w:tcPr>
                <w:p>
                  <w:pPr>
                    <w:jc w:val="center"/>
                    <w:rPr>
                      <w:kern w:val="0"/>
                      <w:sz w:val="22"/>
                      <w:szCs w:val="22"/>
                    </w:rPr>
                  </w:pPr>
                  <w:r>
                    <w:rPr>
                      <w:kern w:val="0"/>
                      <w:sz w:val="22"/>
                      <w:szCs w:val="22"/>
                    </w:rPr>
                    <w:t>/</w:t>
                  </w:r>
                </w:p>
              </w:tc>
              <w:tc>
                <w:tcPr>
                  <w:tcW w:w="1112" w:type="dxa"/>
                  <w:vAlign w:val="center"/>
                </w:tcPr>
                <w:p>
                  <w:pPr>
                    <w:jc w:val="center"/>
                    <w:rPr>
                      <w:kern w:val="0"/>
                      <w:sz w:val="22"/>
                      <w:szCs w:val="22"/>
                    </w:rPr>
                  </w:pPr>
                  <w:r>
                    <w:rPr>
                      <w:kern w:val="0"/>
                      <w:sz w:val="22"/>
                      <w:szCs w:val="22"/>
                    </w:rPr>
                    <w:t>50筒</w:t>
                  </w:r>
                </w:p>
              </w:tc>
              <w:tc>
                <w:tcPr>
                  <w:tcW w:w="1380" w:type="dxa"/>
                  <w:vMerge w:val="restart"/>
                  <w:vAlign w:val="center"/>
                </w:tcPr>
                <w:p>
                  <w:pPr>
                    <w:jc w:val="center"/>
                    <w:rPr>
                      <w:kern w:val="0"/>
                      <w:sz w:val="22"/>
                      <w:szCs w:val="22"/>
                    </w:rPr>
                  </w:pPr>
                  <w:r>
                    <w:rPr>
                      <w:kern w:val="0"/>
                      <w:sz w:val="22"/>
                      <w:szCs w:val="22"/>
                    </w:rPr>
                    <w:t>二楼、检验科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12</w:t>
                  </w:r>
                </w:p>
              </w:tc>
              <w:tc>
                <w:tcPr>
                  <w:tcW w:w="1847" w:type="dxa"/>
                  <w:vAlign w:val="center"/>
                </w:tcPr>
                <w:p>
                  <w:pPr>
                    <w:jc w:val="center"/>
                    <w:rPr>
                      <w:kern w:val="0"/>
                      <w:sz w:val="22"/>
                      <w:szCs w:val="22"/>
                    </w:rPr>
                  </w:pPr>
                  <w:r>
                    <w:rPr>
                      <w:kern w:val="0"/>
                      <w:sz w:val="22"/>
                      <w:szCs w:val="22"/>
                    </w:rPr>
                    <w:t>衣原体</w:t>
                  </w:r>
                </w:p>
              </w:tc>
              <w:tc>
                <w:tcPr>
                  <w:tcW w:w="2134" w:type="dxa"/>
                  <w:vAlign w:val="center"/>
                </w:tcPr>
                <w:p>
                  <w:pPr>
                    <w:jc w:val="center"/>
                    <w:rPr>
                      <w:kern w:val="0"/>
                      <w:sz w:val="22"/>
                      <w:szCs w:val="22"/>
                    </w:rPr>
                  </w:pPr>
                  <w:r>
                    <w:rPr>
                      <w:kern w:val="0"/>
                      <w:sz w:val="22"/>
                      <w:szCs w:val="22"/>
                    </w:rPr>
                    <w:t>/</w:t>
                  </w:r>
                </w:p>
              </w:tc>
              <w:tc>
                <w:tcPr>
                  <w:tcW w:w="1262" w:type="dxa"/>
                  <w:vAlign w:val="center"/>
                </w:tcPr>
                <w:p>
                  <w:pPr>
                    <w:jc w:val="center"/>
                    <w:rPr>
                      <w:kern w:val="0"/>
                      <w:sz w:val="22"/>
                      <w:szCs w:val="22"/>
                    </w:rPr>
                  </w:pPr>
                  <w:r>
                    <w:rPr>
                      <w:kern w:val="0"/>
                      <w:sz w:val="22"/>
                      <w:szCs w:val="22"/>
                    </w:rPr>
                    <w:t>/</w:t>
                  </w:r>
                </w:p>
              </w:tc>
              <w:tc>
                <w:tcPr>
                  <w:tcW w:w="1112" w:type="dxa"/>
                  <w:vAlign w:val="center"/>
                </w:tcPr>
                <w:p>
                  <w:pPr>
                    <w:jc w:val="center"/>
                    <w:rPr>
                      <w:kern w:val="0"/>
                      <w:sz w:val="22"/>
                      <w:szCs w:val="22"/>
                    </w:rPr>
                  </w:pPr>
                  <w:r>
                    <w:rPr>
                      <w:kern w:val="0"/>
                      <w:sz w:val="22"/>
                      <w:szCs w:val="22"/>
                    </w:rPr>
                    <w:t>30盒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13</w:t>
                  </w:r>
                </w:p>
              </w:tc>
              <w:tc>
                <w:tcPr>
                  <w:tcW w:w="1847" w:type="dxa"/>
                  <w:vAlign w:val="center"/>
                </w:tcPr>
                <w:p>
                  <w:pPr>
                    <w:jc w:val="center"/>
                    <w:rPr>
                      <w:kern w:val="0"/>
                      <w:sz w:val="22"/>
                      <w:szCs w:val="22"/>
                    </w:rPr>
                  </w:pPr>
                  <w:r>
                    <w:rPr>
                      <w:kern w:val="0"/>
                      <w:sz w:val="22"/>
                      <w:szCs w:val="22"/>
                    </w:rPr>
                    <w:t>支原体</w:t>
                  </w:r>
                </w:p>
              </w:tc>
              <w:tc>
                <w:tcPr>
                  <w:tcW w:w="2134" w:type="dxa"/>
                  <w:vAlign w:val="center"/>
                </w:tcPr>
                <w:p>
                  <w:pPr>
                    <w:jc w:val="center"/>
                    <w:rPr>
                      <w:kern w:val="0"/>
                      <w:sz w:val="22"/>
                      <w:szCs w:val="22"/>
                    </w:rPr>
                  </w:pPr>
                  <w:r>
                    <w:rPr>
                      <w:kern w:val="0"/>
                      <w:sz w:val="22"/>
                      <w:szCs w:val="22"/>
                    </w:rPr>
                    <w:t>/</w:t>
                  </w:r>
                </w:p>
              </w:tc>
              <w:tc>
                <w:tcPr>
                  <w:tcW w:w="1262" w:type="dxa"/>
                  <w:vAlign w:val="center"/>
                </w:tcPr>
                <w:p>
                  <w:pPr>
                    <w:jc w:val="center"/>
                    <w:rPr>
                      <w:kern w:val="0"/>
                      <w:sz w:val="22"/>
                      <w:szCs w:val="22"/>
                    </w:rPr>
                  </w:pPr>
                  <w:r>
                    <w:rPr>
                      <w:kern w:val="0"/>
                      <w:sz w:val="22"/>
                      <w:szCs w:val="22"/>
                    </w:rPr>
                    <w:t>/</w:t>
                  </w:r>
                </w:p>
              </w:tc>
              <w:tc>
                <w:tcPr>
                  <w:tcW w:w="1112" w:type="dxa"/>
                  <w:vAlign w:val="center"/>
                </w:tcPr>
                <w:p>
                  <w:pPr>
                    <w:jc w:val="center"/>
                    <w:rPr>
                      <w:kern w:val="0"/>
                      <w:sz w:val="22"/>
                      <w:szCs w:val="22"/>
                    </w:rPr>
                  </w:pPr>
                  <w:r>
                    <w:rPr>
                      <w:kern w:val="0"/>
                      <w:sz w:val="22"/>
                      <w:szCs w:val="22"/>
                    </w:rPr>
                    <w:t>50盒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14</w:t>
                  </w:r>
                </w:p>
              </w:tc>
              <w:tc>
                <w:tcPr>
                  <w:tcW w:w="1847" w:type="dxa"/>
                  <w:vAlign w:val="center"/>
                </w:tcPr>
                <w:p>
                  <w:pPr>
                    <w:jc w:val="center"/>
                    <w:rPr>
                      <w:kern w:val="0"/>
                      <w:sz w:val="22"/>
                      <w:szCs w:val="22"/>
                    </w:rPr>
                  </w:pPr>
                  <w:r>
                    <w:rPr>
                      <w:kern w:val="0"/>
                      <w:sz w:val="22"/>
                      <w:szCs w:val="22"/>
                    </w:rPr>
                    <w:t>乙肝两对半</w:t>
                  </w:r>
                </w:p>
              </w:tc>
              <w:tc>
                <w:tcPr>
                  <w:tcW w:w="2134" w:type="dxa"/>
                  <w:vAlign w:val="center"/>
                </w:tcPr>
                <w:p>
                  <w:pPr>
                    <w:jc w:val="center"/>
                    <w:rPr>
                      <w:kern w:val="0"/>
                      <w:sz w:val="22"/>
                      <w:szCs w:val="22"/>
                    </w:rPr>
                  </w:pPr>
                  <w:r>
                    <w:rPr>
                      <w:kern w:val="0"/>
                      <w:sz w:val="22"/>
                      <w:szCs w:val="22"/>
                    </w:rPr>
                    <w:t>/</w:t>
                  </w:r>
                </w:p>
              </w:tc>
              <w:tc>
                <w:tcPr>
                  <w:tcW w:w="1262" w:type="dxa"/>
                  <w:vAlign w:val="center"/>
                </w:tcPr>
                <w:p>
                  <w:pPr>
                    <w:jc w:val="center"/>
                    <w:rPr>
                      <w:kern w:val="0"/>
                      <w:sz w:val="22"/>
                      <w:szCs w:val="22"/>
                    </w:rPr>
                  </w:pPr>
                  <w:r>
                    <w:rPr>
                      <w:kern w:val="0"/>
                      <w:sz w:val="22"/>
                      <w:szCs w:val="22"/>
                    </w:rPr>
                    <w:t>/</w:t>
                  </w:r>
                </w:p>
              </w:tc>
              <w:tc>
                <w:tcPr>
                  <w:tcW w:w="1112" w:type="dxa"/>
                  <w:vAlign w:val="center"/>
                </w:tcPr>
                <w:p>
                  <w:pPr>
                    <w:jc w:val="center"/>
                    <w:rPr>
                      <w:kern w:val="0"/>
                      <w:sz w:val="22"/>
                      <w:szCs w:val="22"/>
                    </w:rPr>
                  </w:pPr>
                  <w:r>
                    <w:rPr>
                      <w:kern w:val="0"/>
                      <w:sz w:val="22"/>
                      <w:szCs w:val="22"/>
                    </w:rPr>
                    <w:t>10盒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15</w:t>
                  </w:r>
                </w:p>
              </w:tc>
              <w:tc>
                <w:tcPr>
                  <w:tcW w:w="1847" w:type="dxa"/>
                  <w:vAlign w:val="center"/>
                </w:tcPr>
                <w:p>
                  <w:pPr>
                    <w:jc w:val="center"/>
                    <w:rPr>
                      <w:kern w:val="0"/>
                      <w:sz w:val="22"/>
                      <w:szCs w:val="22"/>
                    </w:rPr>
                  </w:pPr>
                  <w:r>
                    <w:rPr>
                      <w:kern w:val="0"/>
                      <w:sz w:val="22"/>
                      <w:szCs w:val="22"/>
                    </w:rPr>
                    <w:t>梅毒胶体金</w:t>
                  </w:r>
                </w:p>
              </w:tc>
              <w:tc>
                <w:tcPr>
                  <w:tcW w:w="2134" w:type="dxa"/>
                  <w:vAlign w:val="center"/>
                </w:tcPr>
                <w:p>
                  <w:pPr>
                    <w:jc w:val="center"/>
                    <w:rPr>
                      <w:kern w:val="0"/>
                      <w:sz w:val="22"/>
                      <w:szCs w:val="22"/>
                    </w:rPr>
                  </w:pPr>
                  <w:r>
                    <w:rPr>
                      <w:kern w:val="0"/>
                      <w:sz w:val="22"/>
                      <w:szCs w:val="22"/>
                    </w:rPr>
                    <w:t>/</w:t>
                  </w:r>
                </w:p>
              </w:tc>
              <w:tc>
                <w:tcPr>
                  <w:tcW w:w="1262" w:type="dxa"/>
                  <w:vAlign w:val="center"/>
                </w:tcPr>
                <w:p>
                  <w:pPr>
                    <w:jc w:val="center"/>
                    <w:rPr>
                      <w:kern w:val="0"/>
                      <w:sz w:val="22"/>
                      <w:szCs w:val="22"/>
                    </w:rPr>
                  </w:pPr>
                  <w:r>
                    <w:rPr>
                      <w:kern w:val="0"/>
                      <w:sz w:val="22"/>
                      <w:szCs w:val="22"/>
                    </w:rPr>
                    <w:t>/</w:t>
                  </w:r>
                </w:p>
              </w:tc>
              <w:tc>
                <w:tcPr>
                  <w:tcW w:w="1112" w:type="dxa"/>
                  <w:vAlign w:val="center"/>
                </w:tcPr>
                <w:p>
                  <w:pPr>
                    <w:jc w:val="center"/>
                    <w:rPr>
                      <w:kern w:val="0"/>
                      <w:sz w:val="22"/>
                      <w:szCs w:val="22"/>
                    </w:rPr>
                  </w:pPr>
                  <w:r>
                    <w:rPr>
                      <w:kern w:val="0"/>
                      <w:sz w:val="22"/>
                      <w:szCs w:val="22"/>
                    </w:rPr>
                    <w:t>20盒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16</w:t>
                  </w:r>
                </w:p>
              </w:tc>
              <w:tc>
                <w:tcPr>
                  <w:tcW w:w="1847" w:type="dxa"/>
                  <w:vAlign w:val="center"/>
                </w:tcPr>
                <w:p>
                  <w:pPr>
                    <w:jc w:val="center"/>
                    <w:rPr>
                      <w:kern w:val="0"/>
                      <w:sz w:val="22"/>
                      <w:szCs w:val="22"/>
                    </w:rPr>
                  </w:pPr>
                  <w:r>
                    <w:rPr>
                      <w:kern w:val="0"/>
                      <w:sz w:val="22"/>
                      <w:szCs w:val="22"/>
                    </w:rPr>
                    <w:t>谷丙转氨酶</w:t>
                  </w:r>
                </w:p>
              </w:tc>
              <w:tc>
                <w:tcPr>
                  <w:tcW w:w="2134" w:type="dxa"/>
                  <w:vAlign w:val="center"/>
                </w:tcPr>
                <w:p>
                  <w:pPr>
                    <w:jc w:val="center"/>
                    <w:rPr>
                      <w:kern w:val="0"/>
                      <w:sz w:val="22"/>
                      <w:szCs w:val="22"/>
                    </w:rPr>
                  </w:pPr>
                  <w:r>
                    <w:rPr>
                      <w:kern w:val="0"/>
                      <w:sz w:val="22"/>
                      <w:szCs w:val="22"/>
                    </w:rPr>
                    <w:t>/</w:t>
                  </w:r>
                </w:p>
              </w:tc>
              <w:tc>
                <w:tcPr>
                  <w:tcW w:w="1262" w:type="dxa"/>
                  <w:vAlign w:val="center"/>
                </w:tcPr>
                <w:p>
                  <w:pPr>
                    <w:jc w:val="center"/>
                    <w:rPr>
                      <w:kern w:val="0"/>
                      <w:sz w:val="22"/>
                      <w:szCs w:val="22"/>
                    </w:rPr>
                  </w:pPr>
                  <w:r>
                    <w:rPr>
                      <w:kern w:val="0"/>
                      <w:sz w:val="22"/>
                      <w:szCs w:val="22"/>
                    </w:rPr>
                    <w:t>/</w:t>
                  </w:r>
                </w:p>
              </w:tc>
              <w:tc>
                <w:tcPr>
                  <w:tcW w:w="1112" w:type="dxa"/>
                  <w:vAlign w:val="center"/>
                </w:tcPr>
                <w:p>
                  <w:pPr>
                    <w:jc w:val="center"/>
                    <w:rPr>
                      <w:kern w:val="0"/>
                      <w:sz w:val="22"/>
                      <w:szCs w:val="22"/>
                    </w:rPr>
                  </w:pPr>
                  <w:r>
                    <w:rPr>
                      <w:kern w:val="0"/>
                      <w:sz w:val="22"/>
                      <w:szCs w:val="22"/>
                    </w:rPr>
                    <w:t>15盒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17</w:t>
                  </w:r>
                </w:p>
              </w:tc>
              <w:tc>
                <w:tcPr>
                  <w:tcW w:w="1847" w:type="dxa"/>
                  <w:vAlign w:val="center"/>
                </w:tcPr>
                <w:p>
                  <w:pPr>
                    <w:jc w:val="center"/>
                    <w:rPr>
                      <w:kern w:val="0"/>
                      <w:sz w:val="22"/>
                      <w:szCs w:val="22"/>
                    </w:rPr>
                  </w:pPr>
                  <w:r>
                    <w:rPr>
                      <w:kern w:val="0"/>
                      <w:sz w:val="22"/>
                      <w:szCs w:val="22"/>
                    </w:rPr>
                    <w:t>谷草转氨酶</w:t>
                  </w:r>
                </w:p>
              </w:tc>
              <w:tc>
                <w:tcPr>
                  <w:tcW w:w="2134" w:type="dxa"/>
                  <w:vAlign w:val="center"/>
                </w:tcPr>
                <w:p>
                  <w:pPr>
                    <w:jc w:val="center"/>
                    <w:rPr>
                      <w:kern w:val="0"/>
                      <w:sz w:val="22"/>
                      <w:szCs w:val="22"/>
                    </w:rPr>
                  </w:pPr>
                  <w:r>
                    <w:rPr>
                      <w:kern w:val="0"/>
                      <w:sz w:val="22"/>
                      <w:szCs w:val="22"/>
                    </w:rPr>
                    <w:t>/</w:t>
                  </w:r>
                </w:p>
              </w:tc>
              <w:tc>
                <w:tcPr>
                  <w:tcW w:w="1262" w:type="dxa"/>
                  <w:vAlign w:val="center"/>
                </w:tcPr>
                <w:p>
                  <w:pPr>
                    <w:jc w:val="center"/>
                    <w:rPr>
                      <w:kern w:val="0"/>
                      <w:sz w:val="22"/>
                      <w:szCs w:val="22"/>
                    </w:rPr>
                  </w:pPr>
                  <w:r>
                    <w:rPr>
                      <w:kern w:val="0"/>
                      <w:sz w:val="22"/>
                      <w:szCs w:val="22"/>
                    </w:rPr>
                    <w:t>/</w:t>
                  </w:r>
                </w:p>
              </w:tc>
              <w:tc>
                <w:tcPr>
                  <w:tcW w:w="1112" w:type="dxa"/>
                  <w:vAlign w:val="center"/>
                </w:tcPr>
                <w:p>
                  <w:pPr>
                    <w:jc w:val="center"/>
                    <w:rPr>
                      <w:kern w:val="0"/>
                      <w:sz w:val="22"/>
                      <w:szCs w:val="22"/>
                    </w:rPr>
                  </w:pPr>
                  <w:r>
                    <w:rPr>
                      <w:kern w:val="0"/>
                      <w:sz w:val="22"/>
                      <w:szCs w:val="22"/>
                    </w:rPr>
                    <w:t>20盒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18</w:t>
                  </w:r>
                </w:p>
              </w:tc>
              <w:tc>
                <w:tcPr>
                  <w:tcW w:w="1847" w:type="dxa"/>
                  <w:vAlign w:val="center"/>
                </w:tcPr>
                <w:p>
                  <w:pPr>
                    <w:jc w:val="center"/>
                    <w:rPr>
                      <w:kern w:val="0"/>
                      <w:sz w:val="22"/>
                      <w:szCs w:val="22"/>
                    </w:rPr>
                  </w:pPr>
                  <w:r>
                    <w:rPr>
                      <w:kern w:val="0"/>
                      <w:sz w:val="22"/>
                      <w:szCs w:val="22"/>
                    </w:rPr>
                    <w:t>总蛋白</w:t>
                  </w:r>
                </w:p>
              </w:tc>
              <w:tc>
                <w:tcPr>
                  <w:tcW w:w="2134" w:type="dxa"/>
                  <w:vAlign w:val="center"/>
                </w:tcPr>
                <w:p>
                  <w:pPr>
                    <w:jc w:val="center"/>
                    <w:rPr>
                      <w:kern w:val="0"/>
                      <w:sz w:val="22"/>
                      <w:szCs w:val="22"/>
                    </w:rPr>
                  </w:pPr>
                  <w:r>
                    <w:rPr>
                      <w:kern w:val="0"/>
                      <w:sz w:val="22"/>
                      <w:szCs w:val="22"/>
                    </w:rPr>
                    <w:t>/</w:t>
                  </w:r>
                </w:p>
              </w:tc>
              <w:tc>
                <w:tcPr>
                  <w:tcW w:w="1262" w:type="dxa"/>
                  <w:vAlign w:val="center"/>
                </w:tcPr>
                <w:p>
                  <w:pPr>
                    <w:jc w:val="center"/>
                    <w:rPr>
                      <w:kern w:val="0"/>
                      <w:sz w:val="22"/>
                      <w:szCs w:val="22"/>
                    </w:rPr>
                  </w:pPr>
                  <w:r>
                    <w:rPr>
                      <w:kern w:val="0"/>
                      <w:sz w:val="22"/>
                      <w:szCs w:val="22"/>
                    </w:rPr>
                    <w:t>/</w:t>
                  </w:r>
                </w:p>
              </w:tc>
              <w:tc>
                <w:tcPr>
                  <w:tcW w:w="1112" w:type="dxa"/>
                  <w:vAlign w:val="center"/>
                </w:tcPr>
                <w:p>
                  <w:pPr>
                    <w:jc w:val="center"/>
                    <w:rPr>
                      <w:kern w:val="0"/>
                      <w:sz w:val="22"/>
                      <w:szCs w:val="22"/>
                    </w:rPr>
                  </w:pPr>
                  <w:r>
                    <w:rPr>
                      <w:kern w:val="0"/>
                      <w:sz w:val="22"/>
                      <w:szCs w:val="22"/>
                    </w:rPr>
                    <w:t>10盒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19</w:t>
                  </w:r>
                </w:p>
              </w:tc>
              <w:tc>
                <w:tcPr>
                  <w:tcW w:w="1847" w:type="dxa"/>
                  <w:vAlign w:val="center"/>
                </w:tcPr>
                <w:p>
                  <w:pPr>
                    <w:jc w:val="center"/>
                    <w:rPr>
                      <w:kern w:val="0"/>
                      <w:sz w:val="22"/>
                      <w:szCs w:val="22"/>
                    </w:rPr>
                  </w:pPr>
                  <w:r>
                    <w:rPr>
                      <w:kern w:val="0"/>
                      <w:sz w:val="22"/>
                      <w:szCs w:val="22"/>
                    </w:rPr>
                    <w:t>甘油三酯</w:t>
                  </w:r>
                </w:p>
              </w:tc>
              <w:tc>
                <w:tcPr>
                  <w:tcW w:w="2134" w:type="dxa"/>
                  <w:vAlign w:val="center"/>
                </w:tcPr>
                <w:p>
                  <w:pPr>
                    <w:jc w:val="center"/>
                    <w:rPr>
                      <w:kern w:val="0"/>
                      <w:sz w:val="22"/>
                      <w:szCs w:val="22"/>
                    </w:rPr>
                  </w:pPr>
                  <w:r>
                    <w:rPr>
                      <w:kern w:val="0"/>
                      <w:sz w:val="22"/>
                      <w:szCs w:val="22"/>
                    </w:rPr>
                    <w:t>/</w:t>
                  </w:r>
                </w:p>
              </w:tc>
              <w:tc>
                <w:tcPr>
                  <w:tcW w:w="1262" w:type="dxa"/>
                  <w:vAlign w:val="center"/>
                </w:tcPr>
                <w:p>
                  <w:pPr>
                    <w:jc w:val="center"/>
                    <w:rPr>
                      <w:kern w:val="0"/>
                      <w:sz w:val="22"/>
                      <w:szCs w:val="22"/>
                    </w:rPr>
                  </w:pPr>
                  <w:r>
                    <w:rPr>
                      <w:kern w:val="0"/>
                      <w:sz w:val="22"/>
                      <w:szCs w:val="22"/>
                    </w:rPr>
                    <w:t>/</w:t>
                  </w:r>
                </w:p>
              </w:tc>
              <w:tc>
                <w:tcPr>
                  <w:tcW w:w="1112" w:type="dxa"/>
                  <w:vAlign w:val="center"/>
                </w:tcPr>
                <w:p>
                  <w:pPr>
                    <w:jc w:val="center"/>
                    <w:rPr>
                      <w:kern w:val="0"/>
                      <w:sz w:val="22"/>
                      <w:szCs w:val="22"/>
                    </w:rPr>
                  </w:pPr>
                  <w:r>
                    <w:rPr>
                      <w:kern w:val="0"/>
                      <w:sz w:val="22"/>
                      <w:szCs w:val="22"/>
                    </w:rPr>
                    <w:t>10盒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20</w:t>
                  </w:r>
                </w:p>
              </w:tc>
              <w:tc>
                <w:tcPr>
                  <w:tcW w:w="1847" w:type="dxa"/>
                  <w:vAlign w:val="center"/>
                </w:tcPr>
                <w:p>
                  <w:pPr>
                    <w:jc w:val="center"/>
                    <w:rPr>
                      <w:kern w:val="0"/>
                      <w:sz w:val="22"/>
                      <w:szCs w:val="22"/>
                    </w:rPr>
                  </w:pPr>
                  <w:r>
                    <w:rPr>
                      <w:kern w:val="0"/>
                      <w:sz w:val="22"/>
                      <w:szCs w:val="22"/>
                    </w:rPr>
                    <w:t>高密度脂蛋白</w:t>
                  </w:r>
                </w:p>
              </w:tc>
              <w:tc>
                <w:tcPr>
                  <w:tcW w:w="2134" w:type="dxa"/>
                  <w:vAlign w:val="center"/>
                </w:tcPr>
                <w:p>
                  <w:pPr>
                    <w:jc w:val="center"/>
                    <w:rPr>
                      <w:kern w:val="0"/>
                      <w:sz w:val="22"/>
                      <w:szCs w:val="22"/>
                    </w:rPr>
                  </w:pPr>
                  <w:r>
                    <w:rPr>
                      <w:kern w:val="0"/>
                      <w:sz w:val="22"/>
                      <w:szCs w:val="22"/>
                    </w:rPr>
                    <w:t>/</w:t>
                  </w:r>
                </w:p>
              </w:tc>
              <w:tc>
                <w:tcPr>
                  <w:tcW w:w="1262" w:type="dxa"/>
                  <w:vAlign w:val="center"/>
                </w:tcPr>
                <w:p>
                  <w:pPr>
                    <w:jc w:val="center"/>
                    <w:rPr>
                      <w:kern w:val="0"/>
                      <w:sz w:val="22"/>
                      <w:szCs w:val="22"/>
                    </w:rPr>
                  </w:pPr>
                  <w:r>
                    <w:rPr>
                      <w:kern w:val="0"/>
                      <w:sz w:val="22"/>
                      <w:szCs w:val="22"/>
                    </w:rPr>
                    <w:t>/</w:t>
                  </w:r>
                </w:p>
              </w:tc>
              <w:tc>
                <w:tcPr>
                  <w:tcW w:w="1112" w:type="dxa"/>
                  <w:vAlign w:val="center"/>
                </w:tcPr>
                <w:p>
                  <w:pPr>
                    <w:jc w:val="center"/>
                    <w:rPr>
                      <w:kern w:val="0"/>
                      <w:sz w:val="22"/>
                      <w:szCs w:val="22"/>
                    </w:rPr>
                  </w:pPr>
                  <w:r>
                    <w:rPr>
                      <w:kern w:val="0"/>
                      <w:sz w:val="22"/>
                      <w:szCs w:val="22"/>
                    </w:rPr>
                    <w:t>10盒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21</w:t>
                  </w:r>
                </w:p>
              </w:tc>
              <w:tc>
                <w:tcPr>
                  <w:tcW w:w="1847" w:type="dxa"/>
                  <w:vAlign w:val="center"/>
                </w:tcPr>
                <w:p>
                  <w:pPr>
                    <w:jc w:val="center"/>
                    <w:rPr>
                      <w:kern w:val="0"/>
                      <w:sz w:val="22"/>
                      <w:szCs w:val="22"/>
                    </w:rPr>
                  </w:pPr>
                  <w:r>
                    <w:rPr>
                      <w:kern w:val="0"/>
                      <w:sz w:val="22"/>
                      <w:szCs w:val="22"/>
                    </w:rPr>
                    <w:t>肌酸激酶同工酶测定试剂盒-CK-MB</w:t>
                  </w:r>
                </w:p>
              </w:tc>
              <w:tc>
                <w:tcPr>
                  <w:tcW w:w="2134" w:type="dxa"/>
                  <w:vAlign w:val="center"/>
                </w:tcPr>
                <w:p>
                  <w:pPr>
                    <w:jc w:val="center"/>
                    <w:rPr>
                      <w:kern w:val="0"/>
                      <w:sz w:val="22"/>
                      <w:szCs w:val="22"/>
                    </w:rPr>
                  </w:pPr>
                  <w:r>
                    <w:rPr>
                      <w:kern w:val="0"/>
                      <w:sz w:val="22"/>
                      <w:szCs w:val="22"/>
                    </w:rPr>
                    <w:t>192ml(4*38;2*20)</w:t>
                  </w:r>
                </w:p>
              </w:tc>
              <w:tc>
                <w:tcPr>
                  <w:tcW w:w="1262" w:type="dxa"/>
                  <w:vAlign w:val="center"/>
                </w:tcPr>
                <w:p>
                  <w:pPr>
                    <w:rPr>
                      <w:kern w:val="0"/>
                      <w:sz w:val="22"/>
                      <w:szCs w:val="22"/>
                    </w:rPr>
                  </w:pPr>
                  <w:r>
                    <w:rPr>
                      <w:kern w:val="0"/>
                      <w:sz w:val="22"/>
                      <w:szCs w:val="22"/>
                    </w:rPr>
                    <w:t>3盒</w:t>
                  </w:r>
                </w:p>
              </w:tc>
              <w:tc>
                <w:tcPr>
                  <w:tcW w:w="1112" w:type="dxa"/>
                  <w:vAlign w:val="center"/>
                </w:tcPr>
                <w:p>
                  <w:pPr>
                    <w:rPr>
                      <w:kern w:val="0"/>
                      <w:sz w:val="22"/>
                      <w:szCs w:val="22"/>
                    </w:rPr>
                  </w:pPr>
                  <w:r>
                    <w:rPr>
                      <w:kern w:val="0"/>
                      <w:sz w:val="22"/>
                      <w:szCs w:val="22"/>
                    </w:rPr>
                    <w:t>3盒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22</w:t>
                  </w:r>
                </w:p>
              </w:tc>
              <w:tc>
                <w:tcPr>
                  <w:tcW w:w="1847" w:type="dxa"/>
                  <w:vAlign w:val="center"/>
                </w:tcPr>
                <w:p>
                  <w:pPr>
                    <w:pStyle w:val="25"/>
                    <w:spacing w:before="31" w:after="31"/>
                    <w:jc w:val="both"/>
                    <w:rPr>
                      <w:rFonts w:ascii="Times New Roman"/>
                      <w:sz w:val="22"/>
                      <w:szCs w:val="22"/>
                    </w:rPr>
                  </w:pPr>
                  <w:r>
                    <w:rPr>
                      <w:rFonts w:ascii="Times New Roman"/>
                      <w:sz w:val="22"/>
                      <w:szCs w:val="22"/>
                    </w:rPr>
                    <w:t>常规生化复合校准品</w:t>
                  </w:r>
                </w:p>
              </w:tc>
              <w:tc>
                <w:tcPr>
                  <w:tcW w:w="2134" w:type="dxa"/>
                  <w:vAlign w:val="center"/>
                </w:tcPr>
                <w:p>
                  <w:pPr>
                    <w:pStyle w:val="25"/>
                    <w:spacing w:before="31" w:after="31"/>
                    <w:ind w:firstLine="210"/>
                    <w:rPr>
                      <w:rFonts w:ascii="Times New Roman"/>
                      <w:sz w:val="22"/>
                      <w:szCs w:val="22"/>
                    </w:rPr>
                  </w:pPr>
                  <w:r>
                    <w:rPr>
                      <w:rFonts w:ascii="Times New Roman"/>
                      <w:sz w:val="22"/>
                      <w:szCs w:val="22"/>
                    </w:rPr>
                    <w:t>3ml</w:t>
                  </w:r>
                </w:p>
              </w:tc>
              <w:tc>
                <w:tcPr>
                  <w:tcW w:w="1262" w:type="dxa"/>
                  <w:vAlign w:val="center"/>
                </w:tcPr>
                <w:p>
                  <w:pPr>
                    <w:pStyle w:val="25"/>
                    <w:spacing w:before="31" w:after="31"/>
                    <w:ind w:firstLine="210"/>
                    <w:jc w:val="both"/>
                    <w:rPr>
                      <w:rFonts w:ascii="Times New Roman"/>
                      <w:sz w:val="22"/>
                      <w:szCs w:val="22"/>
                    </w:rPr>
                  </w:pPr>
                  <w:r>
                    <w:rPr>
                      <w:rFonts w:ascii="Times New Roman"/>
                      <w:sz w:val="22"/>
                      <w:szCs w:val="22"/>
                    </w:rPr>
                    <w:t>5盒</w:t>
                  </w:r>
                </w:p>
              </w:tc>
              <w:tc>
                <w:tcPr>
                  <w:tcW w:w="1112" w:type="dxa"/>
                  <w:vAlign w:val="center"/>
                </w:tcPr>
                <w:p>
                  <w:pPr>
                    <w:pStyle w:val="25"/>
                    <w:spacing w:before="31" w:after="31"/>
                    <w:ind w:firstLine="210"/>
                    <w:jc w:val="both"/>
                    <w:rPr>
                      <w:rFonts w:ascii="Times New Roman"/>
                      <w:sz w:val="22"/>
                      <w:szCs w:val="22"/>
                    </w:rPr>
                  </w:pPr>
                  <w:r>
                    <w:rPr>
                      <w:rFonts w:ascii="Times New Roman"/>
                      <w:sz w:val="22"/>
                      <w:szCs w:val="22"/>
                    </w:rPr>
                    <w:t>5盒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23</w:t>
                  </w:r>
                </w:p>
              </w:tc>
              <w:tc>
                <w:tcPr>
                  <w:tcW w:w="1847" w:type="dxa"/>
                  <w:vAlign w:val="center"/>
                </w:tcPr>
                <w:p>
                  <w:pPr>
                    <w:pStyle w:val="25"/>
                    <w:spacing w:before="31" w:after="31"/>
                    <w:jc w:val="both"/>
                    <w:rPr>
                      <w:rFonts w:ascii="Times New Roman"/>
                      <w:sz w:val="22"/>
                      <w:szCs w:val="22"/>
                    </w:rPr>
                  </w:pPr>
                  <w:r>
                    <w:rPr>
                      <w:rFonts w:ascii="Times New Roman"/>
                      <w:sz w:val="22"/>
                      <w:szCs w:val="22"/>
                    </w:rPr>
                    <w:t>脂类校准品</w:t>
                  </w:r>
                </w:p>
              </w:tc>
              <w:tc>
                <w:tcPr>
                  <w:tcW w:w="2134" w:type="dxa"/>
                  <w:vAlign w:val="center"/>
                </w:tcPr>
                <w:p>
                  <w:pPr>
                    <w:pStyle w:val="25"/>
                    <w:spacing w:before="31" w:after="31"/>
                    <w:ind w:firstLine="210"/>
                    <w:rPr>
                      <w:rFonts w:ascii="Times New Roman"/>
                      <w:sz w:val="22"/>
                      <w:szCs w:val="22"/>
                    </w:rPr>
                  </w:pPr>
                  <w:r>
                    <w:rPr>
                      <w:rFonts w:ascii="Times New Roman"/>
                      <w:sz w:val="22"/>
                      <w:szCs w:val="22"/>
                    </w:rPr>
                    <w:t>1mL</w:t>
                  </w:r>
                </w:p>
              </w:tc>
              <w:tc>
                <w:tcPr>
                  <w:tcW w:w="1262" w:type="dxa"/>
                  <w:vAlign w:val="center"/>
                </w:tcPr>
                <w:p>
                  <w:pPr>
                    <w:pStyle w:val="25"/>
                    <w:spacing w:before="31" w:after="31"/>
                    <w:ind w:firstLine="210"/>
                    <w:rPr>
                      <w:rFonts w:ascii="Times New Roman"/>
                      <w:sz w:val="22"/>
                      <w:szCs w:val="22"/>
                    </w:rPr>
                  </w:pPr>
                  <w:r>
                    <w:rPr>
                      <w:rFonts w:ascii="Times New Roman"/>
                      <w:sz w:val="22"/>
                      <w:szCs w:val="22"/>
                    </w:rPr>
                    <w:t>4盒</w:t>
                  </w:r>
                </w:p>
              </w:tc>
              <w:tc>
                <w:tcPr>
                  <w:tcW w:w="1112" w:type="dxa"/>
                  <w:vAlign w:val="center"/>
                </w:tcPr>
                <w:p>
                  <w:pPr>
                    <w:pStyle w:val="25"/>
                    <w:spacing w:before="31" w:after="31"/>
                    <w:ind w:firstLine="210"/>
                    <w:jc w:val="both"/>
                    <w:rPr>
                      <w:rFonts w:ascii="Times New Roman"/>
                      <w:sz w:val="22"/>
                      <w:szCs w:val="22"/>
                    </w:rPr>
                  </w:pPr>
                  <w:r>
                    <w:rPr>
                      <w:rFonts w:ascii="Times New Roman"/>
                      <w:sz w:val="22"/>
                      <w:szCs w:val="22"/>
                    </w:rPr>
                    <w:t>4盒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24</w:t>
                  </w:r>
                </w:p>
              </w:tc>
              <w:tc>
                <w:tcPr>
                  <w:tcW w:w="1847" w:type="dxa"/>
                  <w:vAlign w:val="center"/>
                </w:tcPr>
                <w:p>
                  <w:pPr>
                    <w:pStyle w:val="25"/>
                    <w:spacing w:before="31" w:after="31"/>
                    <w:ind w:firstLine="210"/>
                    <w:rPr>
                      <w:rFonts w:ascii="Times New Roman"/>
                      <w:sz w:val="22"/>
                      <w:szCs w:val="22"/>
                    </w:rPr>
                  </w:pPr>
                  <w:r>
                    <w:rPr>
                      <w:rFonts w:ascii="Times New Roman"/>
                      <w:sz w:val="22"/>
                      <w:szCs w:val="22"/>
                    </w:rPr>
                    <w:t>生化分析仪用清洗液CD80(国内6瓶装)</w:t>
                  </w:r>
                </w:p>
              </w:tc>
              <w:tc>
                <w:tcPr>
                  <w:tcW w:w="2134" w:type="dxa"/>
                  <w:vAlign w:val="center"/>
                </w:tcPr>
                <w:p>
                  <w:pPr>
                    <w:pStyle w:val="25"/>
                    <w:spacing w:before="31" w:after="31"/>
                    <w:ind w:firstLine="210"/>
                    <w:rPr>
                      <w:rFonts w:ascii="Times New Roman"/>
                      <w:sz w:val="22"/>
                      <w:szCs w:val="22"/>
                    </w:rPr>
                  </w:pPr>
                  <w:r>
                    <w:rPr>
                      <w:rFonts w:ascii="Times New Roman"/>
                      <w:sz w:val="22"/>
                      <w:szCs w:val="22"/>
                    </w:rPr>
                    <w:t>2L*6瓶/箱</w:t>
                  </w:r>
                </w:p>
              </w:tc>
              <w:tc>
                <w:tcPr>
                  <w:tcW w:w="1262" w:type="dxa"/>
                  <w:vAlign w:val="center"/>
                </w:tcPr>
                <w:p>
                  <w:pPr>
                    <w:pStyle w:val="25"/>
                    <w:spacing w:before="31" w:after="31"/>
                    <w:ind w:firstLine="210"/>
                    <w:rPr>
                      <w:rFonts w:ascii="Times New Roman"/>
                      <w:sz w:val="22"/>
                      <w:szCs w:val="22"/>
                    </w:rPr>
                  </w:pPr>
                  <w:r>
                    <w:rPr>
                      <w:rFonts w:ascii="Times New Roman"/>
                      <w:sz w:val="22"/>
                      <w:szCs w:val="22"/>
                    </w:rPr>
                    <w:t>7盒</w:t>
                  </w:r>
                </w:p>
              </w:tc>
              <w:tc>
                <w:tcPr>
                  <w:tcW w:w="1112" w:type="dxa"/>
                  <w:vAlign w:val="center"/>
                </w:tcPr>
                <w:p>
                  <w:pPr>
                    <w:pStyle w:val="25"/>
                    <w:spacing w:before="31" w:after="31"/>
                    <w:ind w:firstLine="210"/>
                    <w:jc w:val="both"/>
                    <w:rPr>
                      <w:rFonts w:ascii="Times New Roman"/>
                      <w:sz w:val="22"/>
                      <w:szCs w:val="22"/>
                    </w:rPr>
                  </w:pPr>
                  <w:r>
                    <w:rPr>
                      <w:rFonts w:ascii="Times New Roman"/>
                      <w:sz w:val="22"/>
                      <w:szCs w:val="22"/>
                    </w:rPr>
                    <w:t>7盒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25</w:t>
                  </w:r>
                </w:p>
              </w:tc>
              <w:tc>
                <w:tcPr>
                  <w:tcW w:w="1847" w:type="dxa"/>
                  <w:vAlign w:val="center"/>
                </w:tcPr>
                <w:p>
                  <w:pPr>
                    <w:pStyle w:val="25"/>
                    <w:spacing w:before="31" w:after="31"/>
                    <w:jc w:val="both"/>
                    <w:rPr>
                      <w:rFonts w:ascii="Times New Roman"/>
                      <w:sz w:val="22"/>
                      <w:szCs w:val="22"/>
                    </w:rPr>
                  </w:pPr>
                  <w:r>
                    <w:rPr>
                      <w:rFonts w:ascii="Times New Roman"/>
                      <w:sz w:val="22"/>
                      <w:szCs w:val="22"/>
                    </w:rPr>
                    <w:t>丙氨酸氨基转移酶(ALT)测定试剂盒（IFCC法）</w:t>
                  </w:r>
                </w:p>
              </w:tc>
              <w:tc>
                <w:tcPr>
                  <w:tcW w:w="2134" w:type="dxa"/>
                  <w:vAlign w:val="center"/>
                </w:tcPr>
                <w:p>
                  <w:pPr>
                    <w:pStyle w:val="25"/>
                    <w:spacing w:before="31" w:after="31"/>
                    <w:ind w:firstLine="210"/>
                    <w:rPr>
                      <w:rFonts w:ascii="Times New Roman"/>
                      <w:sz w:val="22"/>
                      <w:szCs w:val="22"/>
                    </w:rPr>
                  </w:pPr>
                  <w:r>
                    <w:rPr>
                      <w:rFonts w:ascii="Times New Roman"/>
                      <w:sz w:val="22"/>
                      <w:szCs w:val="22"/>
                    </w:rPr>
                    <w:t>304ml(6*40;2*32)</w:t>
                  </w:r>
                </w:p>
              </w:tc>
              <w:tc>
                <w:tcPr>
                  <w:tcW w:w="1262" w:type="dxa"/>
                  <w:vAlign w:val="center"/>
                </w:tcPr>
                <w:p>
                  <w:pPr>
                    <w:pStyle w:val="25"/>
                    <w:spacing w:before="31" w:after="31"/>
                    <w:ind w:firstLine="210"/>
                    <w:rPr>
                      <w:rFonts w:ascii="Times New Roman"/>
                      <w:sz w:val="22"/>
                      <w:szCs w:val="22"/>
                    </w:rPr>
                  </w:pPr>
                  <w:r>
                    <w:rPr>
                      <w:rFonts w:ascii="Times New Roman"/>
                      <w:sz w:val="22"/>
                      <w:szCs w:val="22"/>
                    </w:rPr>
                    <w:t>10盒</w:t>
                  </w:r>
                </w:p>
              </w:tc>
              <w:tc>
                <w:tcPr>
                  <w:tcW w:w="1112" w:type="dxa"/>
                  <w:vAlign w:val="center"/>
                </w:tcPr>
                <w:p>
                  <w:pPr>
                    <w:pStyle w:val="25"/>
                    <w:spacing w:before="31" w:after="31"/>
                    <w:jc w:val="both"/>
                    <w:rPr>
                      <w:rFonts w:ascii="Times New Roman"/>
                      <w:sz w:val="22"/>
                      <w:szCs w:val="22"/>
                    </w:rPr>
                  </w:pPr>
                  <w:r>
                    <w:rPr>
                      <w:rFonts w:ascii="Times New Roman"/>
                      <w:sz w:val="22"/>
                      <w:szCs w:val="22"/>
                    </w:rPr>
                    <w:t>10盒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26</w:t>
                  </w:r>
                </w:p>
              </w:tc>
              <w:tc>
                <w:tcPr>
                  <w:tcW w:w="1847" w:type="dxa"/>
                  <w:vAlign w:val="center"/>
                </w:tcPr>
                <w:p>
                  <w:pPr>
                    <w:pStyle w:val="25"/>
                    <w:spacing w:before="31" w:after="31"/>
                    <w:jc w:val="both"/>
                    <w:rPr>
                      <w:rFonts w:ascii="Times New Roman"/>
                      <w:sz w:val="22"/>
                      <w:szCs w:val="22"/>
                    </w:rPr>
                  </w:pPr>
                  <w:r>
                    <w:rPr>
                      <w:rFonts w:ascii="Times New Roman"/>
                      <w:sz w:val="22"/>
                      <w:szCs w:val="22"/>
                    </w:rPr>
                    <w:t>天门冬氨酸氨基转移酶(AST)测定试剂盒(IFCC法)</w:t>
                  </w:r>
                </w:p>
              </w:tc>
              <w:tc>
                <w:tcPr>
                  <w:tcW w:w="2134" w:type="dxa"/>
                  <w:vAlign w:val="center"/>
                </w:tcPr>
                <w:p>
                  <w:pPr>
                    <w:pStyle w:val="25"/>
                    <w:spacing w:before="31" w:after="31"/>
                    <w:ind w:firstLine="210"/>
                    <w:rPr>
                      <w:rFonts w:ascii="Times New Roman"/>
                      <w:sz w:val="22"/>
                      <w:szCs w:val="22"/>
                    </w:rPr>
                  </w:pPr>
                  <w:r>
                    <w:rPr>
                      <w:rFonts w:ascii="Times New Roman"/>
                      <w:sz w:val="22"/>
                      <w:szCs w:val="22"/>
                    </w:rPr>
                    <w:t>304ml(6*40;2*32)</w:t>
                  </w:r>
                </w:p>
              </w:tc>
              <w:tc>
                <w:tcPr>
                  <w:tcW w:w="1262" w:type="dxa"/>
                  <w:vAlign w:val="center"/>
                </w:tcPr>
                <w:p>
                  <w:pPr>
                    <w:pStyle w:val="25"/>
                    <w:spacing w:before="31" w:after="31"/>
                    <w:ind w:firstLine="210"/>
                    <w:rPr>
                      <w:rFonts w:ascii="Times New Roman"/>
                      <w:sz w:val="22"/>
                      <w:szCs w:val="22"/>
                    </w:rPr>
                  </w:pPr>
                  <w:r>
                    <w:rPr>
                      <w:rFonts w:ascii="Times New Roman"/>
                      <w:sz w:val="22"/>
                      <w:szCs w:val="22"/>
                    </w:rPr>
                    <w:t>10盒</w:t>
                  </w:r>
                </w:p>
              </w:tc>
              <w:tc>
                <w:tcPr>
                  <w:tcW w:w="1112" w:type="dxa"/>
                  <w:vAlign w:val="center"/>
                </w:tcPr>
                <w:p>
                  <w:pPr>
                    <w:pStyle w:val="25"/>
                    <w:spacing w:before="31" w:after="31"/>
                    <w:jc w:val="both"/>
                    <w:rPr>
                      <w:rFonts w:ascii="Times New Roman"/>
                      <w:sz w:val="22"/>
                      <w:szCs w:val="22"/>
                    </w:rPr>
                  </w:pPr>
                  <w:r>
                    <w:rPr>
                      <w:rFonts w:ascii="Times New Roman"/>
                      <w:sz w:val="22"/>
                      <w:szCs w:val="22"/>
                    </w:rPr>
                    <w:t>10盒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27</w:t>
                  </w:r>
                </w:p>
              </w:tc>
              <w:tc>
                <w:tcPr>
                  <w:tcW w:w="1847" w:type="dxa"/>
                  <w:vAlign w:val="center"/>
                </w:tcPr>
                <w:p>
                  <w:pPr>
                    <w:pStyle w:val="25"/>
                    <w:spacing w:before="31" w:after="31"/>
                    <w:jc w:val="both"/>
                    <w:rPr>
                      <w:rFonts w:ascii="Times New Roman"/>
                      <w:sz w:val="22"/>
                      <w:szCs w:val="22"/>
                    </w:rPr>
                  </w:pPr>
                  <w:r>
                    <w:rPr>
                      <w:rFonts w:ascii="Times New Roman"/>
                      <w:sz w:val="22"/>
                      <w:szCs w:val="22"/>
                    </w:rPr>
                    <w:t>甘油三酯（TG）测定试剂盒（氧化酶法）</w:t>
                  </w:r>
                </w:p>
              </w:tc>
              <w:tc>
                <w:tcPr>
                  <w:tcW w:w="2134" w:type="dxa"/>
                  <w:vAlign w:val="center"/>
                </w:tcPr>
                <w:p>
                  <w:pPr>
                    <w:pStyle w:val="25"/>
                    <w:spacing w:before="31" w:after="31"/>
                    <w:ind w:firstLine="210"/>
                    <w:rPr>
                      <w:rFonts w:ascii="Times New Roman"/>
                      <w:sz w:val="22"/>
                      <w:szCs w:val="22"/>
                    </w:rPr>
                  </w:pPr>
                  <w:r>
                    <w:rPr>
                      <w:rFonts w:ascii="Times New Roman"/>
                      <w:sz w:val="22"/>
                      <w:szCs w:val="22"/>
                    </w:rPr>
                    <w:t>240ml(6*40)</w:t>
                  </w:r>
                </w:p>
              </w:tc>
              <w:tc>
                <w:tcPr>
                  <w:tcW w:w="1262" w:type="dxa"/>
                  <w:vAlign w:val="center"/>
                </w:tcPr>
                <w:p>
                  <w:pPr>
                    <w:pStyle w:val="25"/>
                    <w:spacing w:before="31" w:after="31"/>
                    <w:ind w:firstLine="210"/>
                    <w:rPr>
                      <w:rFonts w:ascii="Times New Roman"/>
                      <w:sz w:val="22"/>
                      <w:szCs w:val="22"/>
                    </w:rPr>
                  </w:pPr>
                  <w:r>
                    <w:rPr>
                      <w:rFonts w:ascii="Times New Roman"/>
                      <w:sz w:val="22"/>
                      <w:szCs w:val="22"/>
                    </w:rPr>
                    <w:t>15盒</w:t>
                  </w:r>
                </w:p>
              </w:tc>
              <w:tc>
                <w:tcPr>
                  <w:tcW w:w="1112" w:type="dxa"/>
                  <w:vAlign w:val="center"/>
                </w:tcPr>
                <w:p>
                  <w:pPr>
                    <w:pStyle w:val="25"/>
                    <w:spacing w:before="31" w:after="31"/>
                    <w:jc w:val="both"/>
                    <w:rPr>
                      <w:rFonts w:ascii="Times New Roman"/>
                      <w:sz w:val="22"/>
                      <w:szCs w:val="22"/>
                    </w:rPr>
                  </w:pPr>
                  <w:r>
                    <w:rPr>
                      <w:rFonts w:ascii="Times New Roman"/>
                      <w:sz w:val="22"/>
                      <w:szCs w:val="22"/>
                    </w:rPr>
                    <w:t>15盒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28</w:t>
                  </w:r>
                </w:p>
              </w:tc>
              <w:tc>
                <w:tcPr>
                  <w:tcW w:w="1847" w:type="dxa"/>
                  <w:vAlign w:val="center"/>
                </w:tcPr>
                <w:p>
                  <w:pPr>
                    <w:pStyle w:val="25"/>
                    <w:spacing w:before="31" w:after="31"/>
                    <w:jc w:val="both"/>
                    <w:rPr>
                      <w:rFonts w:ascii="Times New Roman"/>
                      <w:sz w:val="22"/>
                      <w:szCs w:val="22"/>
                    </w:rPr>
                  </w:pPr>
                  <w:r>
                    <w:rPr>
                      <w:rFonts w:ascii="Times New Roman"/>
                      <w:sz w:val="22"/>
                      <w:szCs w:val="22"/>
                    </w:rPr>
                    <w:t>总胆红素测定试剂盒（钒酸盐氧化法）（TB-VA）</w:t>
                  </w:r>
                </w:p>
              </w:tc>
              <w:tc>
                <w:tcPr>
                  <w:tcW w:w="2134" w:type="dxa"/>
                  <w:vAlign w:val="center"/>
                </w:tcPr>
                <w:p>
                  <w:pPr>
                    <w:pStyle w:val="25"/>
                    <w:spacing w:before="31" w:after="31"/>
                    <w:ind w:firstLine="210"/>
                    <w:rPr>
                      <w:rFonts w:ascii="Times New Roman"/>
                      <w:sz w:val="22"/>
                      <w:szCs w:val="22"/>
                    </w:rPr>
                  </w:pPr>
                  <w:r>
                    <w:rPr>
                      <w:rFonts w:ascii="Times New Roman"/>
                      <w:sz w:val="22"/>
                      <w:szCs w:val="22"/>
                    </w:rPr>
                    <w:t>192ml(4*38;2*20)</w:t>
                  </w:r>
                </w:p>
              </w:tc>
              <w:tc>
                <w:tcPr>
                  <w:tcW w:w="1262" w:type="dxa"/>
                  <w:vAlign w:val="center"/>
                </w:tcPr>
                <w:p>
                  <w:pPr>
                    <w:pStyle w:val="25"/>
                    <w:spacing w:before="31" w:after="31"/>
                    <w:ind w:firstLine="210"/>
                    <w:rPr>
                      <w:rFonts w:ascii="Times New Roman"/>
                      <w:sz w:val="22"/>
                      <w:szCs w:val="22"/>
                    </w:rPr>
                  </w:pPr>
                  <w:r>
                    <w:rPr>
                      <w:rFonts w:ascii="Times New Roman"/>
                      <w:sz w:val="22"/>
                      <w:szCs w:val="22"/>
                    </w:rPr>
                    <w:t>15盒</w:t>
                  </w:r>
                </w:p>
              </w:tc>
              <w:tc>
                <w:tcPr>
                  <w:tcW w:w="1112" w:type="dxa"/>
                  <w:vAlign w:val="center"/>
                </w:tcPr>
                <w:p>
                  <w:pPr>
                    <w:pStyle w:val="25"/>
                    <w:spacing w:before="31" w:after="31"/>
                    <w:jc w:val="both"/>
                    <w:rPr>
                      <w:rFonts w:ascii="Times New Roman"/>
                      <w:sz w:val="22"/>
                      <w:szCs w:val="22"/>
                    </w:rPr>
                  </w:pPr>
                  <w:r>
                    <w:rPr>
                      <w:rFonts w:ascii="Times New Roman"/>
                      <w:sz w:val="22"/>
                      <w:szCs w:val="22"/>
                    </w:rPr>
                    <w:t>15盒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29</w:t>
                  </w:r>
                </w:p>
              </w:tc>
              <w:tc>
                <w:tcPr>
                  <w:tcW w:w="1847" w:type="dxa"/>
                  <w:vAlign w:val="center"/>
                </w:tcPr>
                <w:p>
                  <w:pPr>
                    <w:pStyle w:val="25"/>
                    <w:spacing w:before="31" w:after="31"/>
                    <w:jc w:val="both"/>
                    <w:rPr>
                      <w:rFonts w:ascii="Times New Roman"/>
                      <w:sz w:val="22"/>
                      <w:szCs w:val="22"/>
                    </w:rPr>
                  </w:pPr>
                  <w:r>
                    <w:rPr>
                      <w:rFonts w:ascii="Times New Roman"/>
                      <w:sz w:val="22"/>
                      <w:szCs w:val="22"/>
                    </w:rPr>
                    <w:t>肌酐（CRE）测定试剂盒（肌氨酸氧化酶法）</w:t>
                  </w:r>
                </w:p>
              </w:tc>
              <w:tc>
                <w:tcPr>
                  <w:tcW w:w="2134" w:type="dxa"/>
                  <w:vAlign w:val="center"/>
                </w:tcPr>
                <w:p>
                  <w:pPr>
                    <w:pStyle w:val="25"/>
                    <w:spacing w:before="31" w:after="31"/>
                    <w:ind w:firstLine="210"/>
                    <w:rPr>
                      <w:rFonts w:ascii="Times New Roman"/>
                      <w:sz w:val="22"/>
                      <w:szCs w:val="22"/>
                    </w:rPr>
                  </w:pPr>
                  <w:r>
                    <w:rPr>
                      <w:rFonts w:ascii="Times New Roman"/>
                      <w:sz w:val="22"/>
                      <w:szCs w:val="22"/>
                    </w:rPr>
                    <w:t>216ml(4*40;2*28)</w:t>
                  </w:r>
                </w:p>
              </w:tc>
              <w:tc>
                <w:tcPr>
                  <w:tcW w:w="1262" w:type="dxa"/>
                  <w:vAlign w:val="center"/>
                </w:tcPr>
                <w:p>
                  <w:pPr>
                    <w:pStyle w:val="25"/>
                    <w:spacing w:before="31" w:after="31"/>
                    <w:ind w:firstLine="210"/>
                    <w:rPr>
                      <w:rFonts w:ascii="Times New Roman"/>
                      <w:sz w:val="22"/>
                      <w:szCs w:val="22"/>
                    </w:rPr>
                  </w:pPr>
                  <w:r>
                    <w:rPr>
                      <w:rFonts w:ascii="Times New Roman"/>
                      <w:sz w:val="22"/>
                      <w:szCs w:val="22"/>
                    </w:rPr>
                    <w:t>10盒</w:t>
                  </w:r>
                </w:p>
              </w:tc>
              <w:tc>
                <w:tcPr>
                  <w:tcW w:w="1112" w:type="dxa"/>
                  <w:vAlign w:val="center"/>
                </w:tcPr>
                <w:p>
                  <w:pPr>
                    <w:pStyle w:val="25"/>
                    <w:spacing w:before="31" w:after="31"/>
                    <w:jc w:val="both"/>
                    <w:rPr>
                      <w:rFonts w:ascii="Times New Roman"/>
                      <w:sz w:val="22"/>
                      <w:szCs w:val="22"/>
                    </w:rPr>
                  </w:pPr>
                  <w:r>
                    <w:rPr>
                      <w:rFonts w:ascii="Times New Roman"/>
                      <w:sz w:val="22"/>
                      <w:szCs w:val="22"/>
                    </w:rPr>
                    <w:t>10盒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30</w:t>
                  </w:r>
                </w:p>
              </w:tc>
              <w:tc>
                <w:tcPr>
                  <w:tcW w:w="1847" w:type="dxa"/>
                  <w:vAlign w:val="center"/>
                </w:tcPr>
                <w:p>
                  <w:pPr>
                    <w:pStyle w:val="25"/>
                    <w:spacing w:before="31" w:after="31"/>
                    <w:jc w:val="both"/>
                    <w:rPr>
                      <w:rFonts w:ascii="Times New Roman"/>
                      <w:sz w:val="22"/>
                      <w:szCs w:val="22"/>
                    </w:rPr>
                  </w:pPr>
                  <w:r>
                    <w:rPr>
                      <w:rFonts w:ascii="Times New Roman"/>
                      <w:sz w:val="22"/>
                      <w:szCs w:val="22"/>
                    </w:rPr>
                    <w:t>总胆固醇测定试剂盒（CHOD-PAP法）（CHOL）</w:t>
                  </w:r>
                </w:p>
              </w:tc>
              <w:tc>
                <w:tcPr>
                  <w:tcW w:w="2134" w:type="dxa"/>
                  <w:vAlign w:val="center"/>
                </w:tcPr>
                <w:p>
                  <w:pPr>
                    <w:pStyle w:val="25"/>
                    <w:spacing w:before="31" w:after="31"/>
                    <w:ind w:firstLine="210"/>
                    <w:rPr>
                      <w:rFonts w:ascii="Times New Roman"/>
                      <w:sz w:val="22"/>
                      <w:szCs w:val="22"/>
                    </w:rPr>
                  </w:pPr>
                  <w:r>
                    <w:rPr>
                      <w:rFonts w:ascii="Times New Roman"/>
                      <w:sz w:val="22"/>
                      <w:szCs w:val="22"/>
                    </w:rPr>
                    <w:t>240ml(6*40)</w:t>
                  </w:r>
                </w:p>
              </w:tc>
              <w:tc>
                <w:tcPr>
                  <w:tcW w:w="1262" w:type="dxa"/>
                  <w:vAlign w:val="center"/>
                </w:tcPr>
                <w:p>
                  <w:pPr>
                    <w:pStyle w:val="25"/>
                    <w:spacing w:before="31" w:after="31"/>
                    <w:ind w:firstLine="210"/>
                    <w:rPr>
                      <w:rFonts w:ascii="Times New Roman"/>
                      <w:sz w:val="22"/>
                      <w:szCs w:val="22"/>
                    </w:rPr>
                  </w:pPr>
                  <w:r>
                    <w:rPr>
                      <w:rFonts w:ascii="Times New Roman"/>
                      <w:sz w:val="22"/>
                      <w:szCs w:val="22"/>
                    </w:rPr>
                    <w:t>10盒</w:t>
                  </w:r>
                </w:p>
              </w:tc>
              <w:tc>
                <w:tcPr>
                  <w:tcW w:w="1112" w:type="dxa"/>
                  <w:vAlign w:val="center"/>
                </w:tcPr>
                <w:p>
                  <w:pPr>
                    <w:pStyle w:val="25"/>
                    <w:spacing w:before="31" w:after="31"/>
                    <w:jc w:val="both"/>
                    <w:rPr>
                      <w:rFonts w:ascii="Times New Roman"/>
                      <w:sz w:val="22"/>
                      <w:szCs w:val="22"/>
                    </w:rPr>
                  </w:pPr>
                  <w:r>
                    <w:rPr>
                      <w:rFonts w:ascii="Times New Roman"/>
                      <w:sz w:val="22"/>
                      <w:szCs w:val="22"/>
                    </w:rPr>
                    <w:t>10盒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31</w:t>
                  </w:r>
                </w:p>
              </w:tc>
              <w:tc>
                <w:tcPr>
                  <w:tcW w:w="1847" w:type="dxa"/>
                  <w:vAlign w:val="center"/>
                </w:tcPr>
                <w:p>
                  <w:pPr>
                    <w:pStyle w:val="25"/>
                    <w:spacing w:before="31" w:after="31"/>
                    <w:jc w:val="both"/>
                    <w:rPr>
                      <w:rFonts w:ascii="Times New Roman"/>
                      <w:sz w:val="22"/>
                      <w:szCs w:val="22"/>
                    </w:rPr>
                  </w:pPr>
                  <w:r>
                    <w:rPr>
                      <w:rFonts w:ascii="Times New Roman"/>
                      <w:sz w:val="22"/>
                      <w:szCs w:val="22"/>
                    </w:rPr>
                    <w:t>高密度脂蛋白胆固醇(HDL-C)测定试剂盒（直接法）</w:t>
                  </w:r>
                </w:p>
              </w:tc>
              <w:tc>
                <w:tcPr>
                  <w:tcW w:w="2134" w:type="dxa"/>
                  <w:vAlign w:val="center"/>
                </w:tcPr>
                <w:p>
                  <w:pPr>
                    <w:pStyle w:val="25"/>
                    <w:spacing w:before="31" w:after="31"/>
                    <w:ind w:firstLine="210"/>
                    <w:rPr>
                      <w:rFonts w:ascii="Times New Roman"/>
                      <w:sz w:val="22"/>
                      <w:szCs w:val="22"/>
                    </w:rPr>
                  </w:pPr>
                  <w:r>
                    <w:rPr>
                      <w:rFonts w:ascii="Times New Roman"/>
                      <w:sz w:val="22"/>
                      <w:szCs w:val="22"/>
                    </w:rPr>
                    <w:t>216ml(4*40;2*28)</w:t>
                  </w:r>
                </w:p>
              </w:tc>
              <w:tc>
                <w:tcPr>
                  <w:tcW w:w="1262" w:type="dxa"/>
                  <w:vAlign w:val="center"/>
                </w:tcPr>
                <w:p>
                  <w:pPr>
                    <w:pStyle w:val="25"/>
                    <w:spacing w:before="31" w:after="31"/>
                    <w:ind w:firstLine="210"/>
                    <w:rPr>
                      <w:rFonts w:ascii="Times New Roman"/>
                      <w:sz w:val="22"/>
                      <w:szCs w:val="22"/>
                    </w:rPr>
                  </w:pPr>
                  <w:r>
                    <w:rPr>
                      <w:rFonts w:ascii="Times New Roman"/>
                      <w:sz w:val="22"/>
                      <w:szCs w:val="22"/>
                    </w:rPr>
                    <w:t>12盒</w:t>
                  </w:r>
                </w:p>
              </w:tc>
              <w:tc>
                <w:tcPr>
                  <w:tcW w:w="1112" w:type="dxa"/>
                  <w:vAlign w:val="center"/>
                </w:tcPr>
                <w:p>
                  <w:pPr>
                    <w:pStyle w:val="25"/>
                    <w:spacing w:before="31" w:after="31"/>
                    <w:jc w:val="both"/>
                    <w:rPr>
                      <w:rFonts w:ascii="Times New Roman"/>
                      <w:sz w:val="22"/>
                      <w:szCs w:val="22"/>
                    </w:rPr>
                  </w:pPr>
                  <w:r>
                    <w:rPr>
                      <w:rFonts w:ascii="Times New Roman"/>
                      <w:sz w:val="22"/>
                      <w:szCs w:val="22"/>
                    </w:rPr>
                    <w:t>12盒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32</w:t>
                  </w:r>
                </w:p>
              </w:tc>
              <w:tc>
                <w:tcPr>
                  <w:tcW w:w="1847" w:type="dxa"/>
                  <w:vAlign w:val="center"/>
                </w:tcPr>
                <w:p>
                  <w:pPr>
                    <w:pStyle w:val="25"/>
                    <w:spacing w:before="31" w:after="31"/>
                    <w:jc w:val="both"/>
                    <w:rPr>
                      <w:rFonts w:ascii="Times New Roman"/>
                      <w:sz w:val="22"/>
                      <w:szCs w:val="22"/>
                    </w:rPr>
                  </w:pPr>
                  <w:r>
                    <w:rPr>
                      <w:rFonts w:ascii="Times New Roman"/>
                      <w:sz w:val="22"/>
                      <w:szCs w:val="22"/>
                    </w:rPr>
                    <w:t>尿素(UREA)测定试剂盒(紫外-谷氨酸脱氨酶法)</w:t>
                  </w:r>
                </w:p>
              </w:tc>
              <w:tc>
                <w:tcPr>
                  <w:tcW w:w="2134" w:type="dxa"/>
                  <w:vAlign w:val="center"/>
                </w:tcPr>
                <w:p>
                  <w:pPr>
                    <w:pStyle w:val="25"/>
                    <w:spacing w:before="31" w:after="31"/>
                    <w:ind w:firstLine="210"/>
                    <w:rPr>
                      <w:rFonts w:ascii="Times New Roman"/>
                      <w:sz w:val="22"/>
                      <w:szCs w:val="22"/>
                    </w:rPr>
                  </w:pPr>
                  <w:r>
                    <w:rPr>
                      <w:rFonts w:ascii="Times New Roman"/>
                      <w:sz w:val="22"/>
                      <w:szCs w:val="22"/>
                    </w:rPr>
                    <w:t>304ml(6*40;2*32)</w:t>
                  </w:r>
                </w:p>
              </w:tc>
              <w:tc>
                <w:tcPr>
                  <w:tcW w:w="1262" w:type="dxa"/>
                  <w:vAlign w:val="center"/>
                </w:tcPr>
                <w:p>
                  <w:pPr>
                    <w:pStyle w:val="25"/>
                    <w:spacing w:before="31" w:after="31"/>
                    <w:ind w:firstLine="210"/>
                    <w:rPr>
                      <w:rFonts w:ascii="Times New Roman"/>
                      <w:sz w:val="22"/>
                      <w:szCs w:val="22"/>
                    </w:rPr>
                  </w:pPr>
                  <w:r>
                    <w:rPr>
                      <w:rFonts w:ascii="Times New Roman"/>
                      <w:sz w:val="22"/>
                      <w:szCs w:val="22"/>
                    </w:rPr>
                    <w:t>10盒</w:t>
                  </w:r>
                </w:p>
              </w:tc>
              <w:tc>
                <w:tcPr>
                  <w:tcW w:w="1112" w:type="dxa"/>
                  <w:vAlign w:val="center"/>
                </w:tcPr>
                <w:p>
                  <w:pPr>
                    <w:pStyle w:val="25"/>
                    <w:spacing w:before="31" w:after="31"/>
                    <w:jc w:val="both"/>
                    <w:rPr>
                      <w:rFonts w:ascii="Times New Roman"/>
                      <w:sz w:val="22"/>
                      <w:szCs w:val="22"/>
                    </w:rPr>
                  </w:pPr>
                  <w:r>
                    <w:rPr>
                      <w:rFonts w:ascii="Times New Roman"/>
                      <w:sz w:val="22"/>
                      <w:szCs w:val="22"/>
                    </w:rPr>
                    <w:t>10盒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33</w:t>
                  </w:r>
                </w:p>
              </w:tc>
              <w:tc>
                <w:tcPr>
                  <w:tcW w:w="1847" w:type="dxa"/>
                  <w:vAlign w:val="center"/>
                </w:tcPr>
                <w:p>
                  <w:pPr>
                    <w:pStyle w:val="25"/>
                    <w:spacing w:before="31" w:after="31"/>
                    <w:jc w:val="both"/>
                    <w:rPr>
                      <w:rFonts w:ascii="Times New Roman"/>
                      <w:sz w:val="22"/>
                      <w:szCs w:val="22"/>
                    </w:rPr>
                  </w:pPr>
                  <w:r>
                    <w:rPr>
                      <w:rFonts w:ascii="Times New Roman"/>
                      <w:sz w:val="22"/>
                      <w:szCs w:val="22"/>
                    </w:rPr>
                    <w:t>直接胆红素测定试剂盒（钒酸盐氧化法）（DB-VA）</w:t>
                  </w:r>
                </w:p>
              </w:tc>
              <w:tc>
                <w:tcPr>
                  <w:tcW w:w="2134" w:type="dxa"/>
                  <w:vAlign w:val="center"/>
                </w:tcPr>
                <w:p>
                  <w:pPr>
                    <w:pStyle w:val="25"/>
                    <w:spacing w:before="31" w:after="31"/>
                    <w:ind w:firstLine="210"/>
                    <w:rPr>
                      <w:rFonts w:ascii="Times New Roman"/>
                      <w:sz w:val="22"/>
                      <w:szCs w:val="22"/>
                    </w:rPr>
                  </w:pPr>
                  <w:r>
                    <w:rPr>
                      <w:rFonts w:ascii="Times New Roman"/>
                      <w:sz w:val="22"/>
                      <w:szCs w:val="22"/>
                    </w:rPr>
                    <w:t>192ml(4*38;2*20)</w:t>
                  </w:r>
                </w:p>
              </w:tc>
              <w:tc>
                <w:tcPr>
                  <w:tcW w:w="1262" w:type="dxa"/>
                  <w:vAlign w:val="center"/>
                </w:tcPr>
                <w:p>
                  <w:pPr>
                    <w:pStyle w:val="25"/>
                    <w:spacing w:before="31" w:after="31"/>
                    <w:ind w:firstLine="210"/>
                    <w:rPr>
                      <w:rFonts w:ascii="Times New Roman"/>
                      <w:sz w:val="22"/>
                      <w:szCs w:val="22"/>
                    </w:rPr>
                  </w:pPr>
                  <w:r>
                    <w:rPr>
                      <w:rFonts w:ascii="Times New Roman"/>
                      <w:sz w:val="22"/>
                      <w:szCs w:val="22"/>
                    </w:rPr>
                    <w:t>14盒</w:t>
                  </w:r>
                </w:p>
              </w:tc>
              <w:tc>
                <w:tcPr>
                  <w:tcW w:w="1112" w:type="dxa"/>
                  <w:vAlign w:val="center"/>
                </w:tcPr>
                <w:p>
                  <w:pPr>
                    <w:pStyle w:val="25"/>
                    <w:spacing w:before="31" w:after="31"/>
                    <w:jc w:val="both"/>
                    <w:rPr>
                      <w:rFonts w:ascii="Times New Roman"/>
                      <w:sz w:val="22"/>
                      <w:szCs w:val="22"/>
                    </w:rPr>
                  </w:pPr>
                  <w:r>
                    <w:rPr>
                      <w:rFonts w:ascii="Times New Roman"/>
                      <w:sz w:val="22"/>
                      <w:szCs w:val="22"/>
                    </w:rPr>
                    <w:t>14盒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34</w:t>
                  </w:r>
                </w:p>
              </w:tc>
              <w:tc>
                <w:tcPr>
                  <w:tcW w:w="1847" w:type="dxa"/>
                  <w:vAlign w:val="center"/>
                </w:tcPr>
                <w:p>
                  <w:pPr>
                    <w:pStyle w:val="25"/>
                    <w:spacing w:before="31" w:after="31"/>
                    <w:ind w:firstLine="210"/>
                    <w:rPr>
                      <w:rFonts w:ascii="Times New Roman"/>
                      <w:sz w:val="22"/>
                      <w:szCs w:val="22"/>
                    </w:rPr>
                  </w:pPr>
                  <w:r>
                    <w:rPr>
                      <w:rFonts w:ascii="Times New Roman"/>
                      <w:sz w:val="22"/>
                      <w:szCs w:val="22"/>
                    </w:rPr>
                    <w:t>葡萄糖(Glu)测定试剂盒（葡萄糖氧化酶法）</w:t>
                  </w:r>
                </w:p>
              </w:tc>
              <w:tc>
                <w:tcPr>
                  <w:tcW w:w="2134" w:type="dxa"/>
                  <w:vAlign w:val="center"/>
                </w:tcPr>
                <w:p>
                  <w:pPr>
                    <w:pStyle w:val="25"/>
                    <w:spacing w:before="31" w:after="31"/>
                    <w:ind w:firstLine="210"/>
                    <w:rPr>
                      <w:rFonts w:ascii="Times New Roman"/>
                      <w:sz w:val="22"/>
                      <w:szCs w:val="22"/>
                    </w:rPr>
                  </w:pPr>
                  <w:r>
                    <w:rPr>
                      <w:rFonts w:ascii="Times New Roman"/>
                      <w:sz w:val="22"/>
                      <w:szCs w:val="22"/>
                    </w:rPr>
                    <w:t>200ml(4*40,2*20)</w:t>
                  </w:r>
                </w:p>
              </w:tc>
              <w:tc>
                <w:tcPr>
                  <w:tcW w:w="1262" w:type="dxa"/>
                  <w:vAlign w:val="center"/>
                </w:tcPr>
                <w:p>
                  <w:pPr>
                    <w:pStyle w:val="25"/>
                    <w:spacing w:before="31" w:after="31"/>
                    <w:ind w:firstLine="210"/>
                    <w:rPr>
                      <w:rFonts w:ascii="Times New Roman"/>
                      <w:sz w:val="22"/>
                      <w:szCs w:val="22"/>
                    </w:rPr>
                  </w:pPr>
                  <w:r>
                    <w:rPr>
                      <w:rFonts w:ascii="Times New Roman"/>
                      <w:sz w:val="22"/>
                      <w:szCs w:val="22"/>
                    </w:rPr>
                    <w:t>15盒</w:t>
                  </w:r>
                </w:p>
              </w:tc>
              <w:tc>
                <w:tcPr>
                  <w:tcW w:w="1112" w:type="dxa"/>
                  <w:vAlign w:val="center"/>
                </w:tcPr>
                <w:p>
                  <w:pPr>
                    <w:pStyle w:val="25"/>
                    <w:spacing w:before="31" w:after="31"/>
                    <w:jc w:val="both"/>
                    <w:rPr>
                      <w:rFonts w:ascii="Times New Roman"/>
                      <w:sz w:val="22"/>
                      <w:szCs w:val="22"/>
                    </w:rPr>
                  </w:pPr>
                  <w:r>
                    <w:rPr>
                      <w:rFonts w:ascii="Times New Roman"/>
                      <w:sz w:val="22"/>
                      <w:szCs w:val="22"/>
                    </w:rPr>
                    <w:t>15盒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35</w:t>
                  </w:r>
                </w:p>
              </w:tc>
              <w:tc>
                <w:tcPr>
                  <w:tcW w:w="1847" w:type="dxa"/>
                  <w:vAlign w:val="center"/>
                </w:tcPr>
                <w:p>
                  <w:pPr>
                    <w:pStyle w:val="25"/>
                    <w:spacing w:before="31" w:after="31"/>
                    <w:ind w:firstLine="210"/>
                    <w:rPr>
                      <w:rFonts w:ascii="Times New Roman"/>
                      <w:sz w:val="22"/>
                      <w:szCs w:val="22"/>
                    </w:rPr>
                  </w:pPr>
                  <w:r>
                    <w:rPr>
                      <w:rFonts w:ascii="Times New Roman"/>
                      <w:sz w:val="22"/>
                      <w:szCs w:val="22"/>
                    </w:rPr>
                    <w:t>总蛋白（TP）测定试剂盒（双缩脲法）</w:t>
                  </w:r>
                </w:p>
              </w:tc>
              <w:tc>
                <w:tcPr>
                  <w:tcW w:w="2134" w:type="dxa"/>
                  <w:vAlign w:val="center"/>
                </w:tcPr>
                <w:p>
                  <w:pPr>
                    <w:pStyle w:val="25"/>
                    <w:spacing w:before="31" w:after="31"/>
                    <w:ind w:firstLine="210"/>
                    <w:rPr>
                      <w:rFonts w:ascii="Times New Roman"/>
                      <w:sz w:val="22"/>
                      <w:szCs w:val="22"/>
                    </w:rPr>
                  </w:pPr>
                  <w:r>
                    <w:rPr>
                      <w:rFonts w:ascii="Times New Roman"/>
                      <w:sz w:val="22"/>
                      <w:szCs w:val="22"/>
                    </w:rPr>
                    <w:t>240ml(6*40)</w:t>
                  </w:r>
                </w:p>
              </w:tc>
              <w:tc>
                <w:tcPr>
                  <w:tcW w:w="1262" w:type="dxa"/>
                  <w:vAlign w:val="center"/>
                </w:tcPr>
                <w:p>
                  <w:pPr>
                    <w:pStyle w:val="25"/>
                    <w:spacing w:before="31" w:after="31"/>
                    <w:ind w:firstLine="210"/>
                    <w:rPr>
                      <w:rFonts w:ascii="Times New Roman"/>
                      <w:sz w:val="22"/>
                      <w:szCs w:val="22"/>
                    </w:rPr>
                  </w:pPr>
                  <w:r>
                    <w:rPr>
                      <w:rFonts w:ascii="Times New Roman"/>
                      <w:sz w:val="22"/>
                      <w:szCs w:val="22"/>
                    </w:rPr>
                    <w:t>8盒</w:t>
                  </w:r>
                </w:p>
              </w:tc>
              <w:tc>
                <w:tcPr>
                  <w:tcW w:w="1112" w:type="dxa"/>
                  <w:vAlign w:val="center"/>
                </w:tcPr>
                <w:p>
                  <w:pPr>
                    <w:pStyle w:val="25"/>
                    <w:spacing w:before="31" w:after="31"/>
                    <w:jc w:val="both"/>
                    <w:rPr>
                      <w:rFonts w:ascii="Times New Roman"/>
                      <w:sz w:val="22"/>
                      <w:szCs w:val="22"/>
                    </w:rPr>
                  </w:pPr>
                  <w:r>
                    <w:rPr>
                      <w:rFonts w:ascii="Times New Roman"/>
                      <w:sz w:val="22"/>
                      <w:szCs w:val="22"/>
                    </w:rPr>
                    <w:t>10盒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36</w:t>
                  </w:r>
                </w:p>
              </w:tc>
              <w:tc>
                <w:tcPr>
                  <w:tcW w:w="1847" w:type="dxa"/>
                  <w:vAlign w:val="center"/>
                </w:tcPr>
                <w:p>
                  <w:pPr>
                    <w:pStyle w:val="25"/>
                    <w:spacing w:before="31" w:after="31"/>
                    <w:ind w:firstLine="210"/>
                    <w:rPr>
                      <w:rFonts w:ascii="Times New Roman"/>
                      <w:sz w:val="22"/>
                      <w:szCs w:val="22"/>
                    </w:rPr>
                  </w:pPr>
                  <w:r>
                    <w:rPr>
                      <w:rFonts w:ascii="Times New Roman"/>
                      <w:sz w:val="22"/>
                      <w:szCs w:val="22"/>
                    </w:rPr>
                    <w:t>便隐血（FOB)检测试剂</w:t>
                  </w:r>
                </w:p>
              </w:tc>
              <w:tc>
                <w:tcPr>
                  <w:tcW w:w="2134" w:type="dxa"/>
                  <w:vAlign w:val="center"/>
                </w:tcPr>
                <w:p>
                  <w:pPr>
                    <w:pStyle w:val="25"/>
                    <w:spacing w:before="31" w:after="31"/>
                    <w:ind w:firstLine="210"/>
                    <w:rPr>
                      <w:rFonts w:ascii="Times New Roman"/>
                      <w:sz w:val="22"/>
                      <w:szCs w:val="22"/>
                    </w:rPr>
                  </w:pPr>
                  <w:r>
                    <w:rPr>
                      <w:rFonts w:ascii="Times New Roman"/>
                      <w:sz w:val="22"/>
                      <w:szCs w:val="22"/>
                    </w:rPr>
                    <w:t>50人份/盒</w:t>
                  </w:r>
                </w:p>
              </w:tc>
              <w:tc>
                <w:tcPr>
                  <w:tcW w:w="1262" w:type="dxa"/>
                  <w:vAlign w:val="center"/>
                </w:tcPr>
                <w:p>
                  <w:pPr>
                    <w:pStyle w:val="25"/>
                    <w:spacing w:before="31" w:after="31"/>
                    <w:ind w:firstLine="210"/>
                    <w:rPr>
                      <w:rFonts w:ascii="Times New Roman"/>
                      <w:sz w:val="22"/>
                      <w:szCs w:val="22"/>
                    </w:rPr>
                  </w:pPr>
                  <w:r>
                    <w:rPr>
                      <w:rFonts w:ascii="Times New Roman"/>
                      <w:sz w:val="22"/>
                      <w:szCs w:val="22"/>
                    </w:rPr>
                    <w:t>10盒</w:t>
                  </w:r>
                </w:p>
              </w:tc>
              <w:tc>
                <w:tcPr>
                  <w:tcW w:w="1112" w:type="dxa"/>
                  <w:vAlign w:val="center"/>
                </w:tcPr>
                <w:p>
                  <w:pPr>
                    <w:pStyle w:val="25"/>
                    <w:spacing w:before="31" w:after="31"/>
                    <w:jc w:val="both"/>
                    <w:rPr>
                      <w:rFonts w:ascii="Times New Roman"/>
                      <w:sz w:val="22"/>
                      <w:szCs w:val="22"/>
                    </w:rPr>
                  </w:pPr>
                  <w:r>
                    <w:rPr>
                      <w:rFonts w:ascii="Times New Roman"/>
                      <w:sz w:val="22"/>
                      <w:szCs w:val="22"/>
                    </w:rPr>
                    <w:t>10盒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37</w:t>
                  </w:r>
                </w:p>
              </w:tc>
              <w:tc>
                <w:tcPr>
                  <w:tcW w:w="1847" w:type="dxa"/>
                  <w:vAlign w:val="center"/>
                </w:tcPr>
                <w:p>
                  <w:pPr>
                    <w:pStyle w:val="25"/>
                    <w:spacing w:before="31" w:after="31"/>
                    <w:ind w:firstLine="210"/>
                    <w:rPr>
                      <w:rFonts w:ascii="Times New Roman"/>
                      <w:sz w:val="22"/>
                      <w:szCs w:val="22"/>
                    </w:rPr>
                  </w:pPr>
                  <w:r>
                    <w:rPr>
                      <w:rFonts w:ascii="Times New Roman"/>
                      <w:sz w:val="22"/>
                      <w:szCs w:val="22"/>
                    </w:rPr>
                    <w:t>乙型肝炎病毒表面抗原、表面抗体、e抗原、e抗体、核心抗体</w:t>
                  </w:r>
                </w:p>
              </w:tc>
              <w:tc>
                <w:tcPr>
                  <w:tcW w:w="2134" w:type="dxa"/>
                  <w:vAlign w:val="center"/>
                </w:tcPr>
                <w:p>
                  <w:pPr>
                    <w:pStyle w:val="25"/>
                    <w:spacing w:before="31" w:after="31"/>
                    <w:ind w:firstLine="210"/>
                    <w:rPr>
                      <w:rFonts w:ascii="Times New Roman"/>
                      <w:sz w:val="22"/>
                      <w:szCs w:val="22"/>
                    </w:rPr>
                  </w:pPr>
                  <w:r>
                    <w:rPr>
                      <w:rFonts w:ascii="Times New Roman"/>
                      <w:sz w:val="22"/>
                      <w:szCs w:val="22"/>
                    </w:rPr>
                    <w:t>25人份/盒</w:t>
                  </w:r>
                </w:p>
              </w:tc>
              <w:tc>
                <w:tcPr>
                  <w:tcW w:w="1262" w:type="dxa"/>
                  <w:vAlign w:val="center"/>
                </w:tcPr>
                <w:p>
                  <w:pPr>
                    <w:pStyle w:val="25"/>
                    <w:spacing w:before="31" w:after="31"/>
                    <w:ind w:firstLine="210"/>
                    <w:rPr>
                      <w:rFonts w:ascii="Times New Roman"/>
                      <w:sz w:val="22"/>
                      <w:szCs w:val="22"/>
                    </w:rPr>
                  </w:pPr>
                  <w:r>
                    <w:rPr>
                      <w:rFonts w:ascii="Times New Roman"/>
                      <w:sz w:val="22"/>
                      <w:szCs w:val="22"/>
                    </w:rPr>
                    <w:t>200盒</w:t>
                  </w:r>
                </w:p>
              </w:tc>
              <w:tc>
                <w:tcPr>
                  <w:tcW w:w="1112" w:type="dxa"/>
                  <w:vAlign w:val="center"/>
                </w:tcPr>
                <w:p>
                  <w:pPr>
                    <w:pStyle w:val="25"/>
                    <w:spacing w:before="31" w:after="31"/>
                    <w:jc w:val="both"/>
                    <w:rPr>
                      <w:rFonts w:ascii="Times New Roman"/>
                      <w:sz w:val="22"/>
                      <w:szCs w:val="22"/>
                    </w:rPr>
                  </w:pPr>
                  <w:r>
                    <w:rPr>
                      <w:rFonts w:ascii="Times New Roman"/>
                      <w:sz w:val="22"/>
                      <w:szCs w:val="22"/>
                    </w:rPr>
                    <w:t>300盒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38</w:t>
                  </w:r>
                </w:p>
              </w:tc>
              <w:tc>
                <w:tcPr>
                  <w:tcW w:w="1847" w:type="dxa"/>
                  <w:vAlign w:val="center"/>
                </w:tcPr>
                <w:p>
                  <w:pPr>
                    <w:pStyle w:val="25"/>
                    <w:spacing w:before="31" w:after="31"/>
                    <w:ind w:firstLine="210"/>
                    <w:rPr>
                      <w:rFonts w:ascii="Times New Roman"/>
                      <w:sz w:val="22"/>
                      <w:szCs w:val="22"/>
                    </w:rPr>
                  </w:pPr>
                  <w:r>
                    <w:rPr>
                      <w:rFonts w:ascii="Times New Roman"/>
                      <w:sz w:val="22"/>
                      <w:szCs w:val="22"/>
                    </w:rPr>
                    <w:t>人绒毛膜促性腺激素（HCG）检测试剂（胶体金法）</w:t>
                  </w:r>
                </w:p>
              </w:tc>
              <w:tc>
                <w:tcPr>
                  <w:tcW w:w="2134" w:type="dxa"/>
                  <w:vAlign w:val="center"/>
                </w:tcPr>
                <w:p>
                  <w:pPr>
                    <w:pStyle w:val="25"/>
                    <w:spacing w:before="31" w:after="31"/>
                    <w:ind w:firstLine="210"/>
                    <w:rPr>
                      <w:rFonts w:ascii="Times New Roman"/>
                      <w:sz w:val="22"/>
                      <w:szCs w:val="22"/>
                    </w:rPr>
                  </w:pPr>
                  <w:r>
                    <w:rPr>
                      <w:rFonts w:ascii="Times New Roman"/>
                      <w:sz w:val="22"/>
                      <w:szCs w:val="22"/>
                    </w:rPr>
                    <w:t>100人份/盒</w:t>
                  </w:r>
                </w:p>
              </w:tc>
              <w:tc>
                <w:tcPr>
                  <w:tcW w:w="1262" w:type="dxa"/>
                  <w:vAlign w:val="center"/>
                </w:tcPr>
                <w:p>
                  <w:pPr>
                    <w:pStyle w:val="25"/>
                    <w:spacing w:before="31" w:after="31"/>
                    <w:ind w:firstLine="210"/>
                    <w:rPr>
                      <w:rFonts w:ascii="Times New Roman"/>
                      <w:sz w:val="22"/>
                      <w:szCs w:val="22"/>
                    </w:rPr>
                  </w:pPr>
                  <w:r>
                    <w:rPr>
                      <w:rFonts w:ascii="Times New Roman"/>
                      <w:sz w:val="22"/>
                      <w:szCs w:val="22"/>
                    </w:rPr>
                    <w:t>1盒</w:t>
                  </w:r>
                </w:p>
              </w:tc>
              <w:tc>
                <w:tcPr>
                  <w:tcW w:w="1112" w:type="dxa"/>
                  <w:vAlign w:val="center"/>
                </w:tcPr>
                <w:p>
                  <w:pPr>
                    <w:pStyle w:val="25"/>
                    <w:spacing w:before="31" w:after="31"/>
                    <w:ind w:firstLine="210"/>
                    <w:jc w:val="both"/>
                    <w:rPr>
                      <w:rFonts w:ascii="Times New Roman"/>
                      <w:sz w:val="22"/>
                      <w:szCs w:val="22"/>
                    </w:rPr>
                  </w:pPr>
                  <w:r>
                    <w:rPr>
                      <w:rFonts w:ascii="Times New Roman"/>
                      <w:sz w:val="22"/>
                      <w:szCs w:val="22"/>
                    </w:rPr>
                    <w:t>1盒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39</w:t>
                  </w:r>
                </w:p>
              </w:tc>
              <w:tc>
                <w:tcPr>
                  <w:tcW w:w="1847" w:type="dxa"/>
                  <w:vAlign w:val="center"/>
                </w:tcPr>
                <w:p>
                  <w:pPr>
                    <w:pStyle w:val="25"/>
                    <w:spacing w:before="31" w:after="31"/>
                    <w:ind w:firstLine="210"/>
                    <w:rPr>
                      <w:rFonts w:ascii="Times New Roman"/>
                      <w:sz w:val="22"/>
                      <w:szCs w:val="22"/>
                    </w:rPr>
                  </w:pPr>
                  <w:r>
                    <w:rPr>
                      <w:rFonts w:ascii="Times New Roman"/>
                      <w:sz w:val="22"/>
                      <w:szCs w:val="22"/>
                    </w:rPr>
                    <w:t>梅毒螺旋体抗体检测试剂盒（乳胶体）</w:t>
                  </w:r>
                </w:p>
              </w:tc>
              <w:tc>
                <w:tcPr>
                  <w:tcW w:w="2134" w:type="dxa"/>
                  <w:vAlign w:val="center"/>
                </w:tcPr>
                <w:p>
                  <w:pPr>
                    <w:pStyle w:val="25"/>
                    <w:spacing w:before="31" w:after="31"/>
                    <w:ind w:firstLine="210"/>
                    <w:rPr>
                      <w:rFonts w:ascii="Times New Roman"/>
                      <w:sz w:val="22"/>
                      <w:szCs w:val="22"/>
                    </w:rPr>
                  </w:pPr>
                  <w:r>
                    <w:rPr>
                      <w:rFonts w:ascii="Times New Roman"/>
                      <w:sz w:val="22"/>
                      <w:szCs w:val="22"/>
                    </w:rPr>
                    <w:t>50人份/盒</w:t>
                  </w:r>
                </w:p>
              </w:tc>
              <w:tc>
                <w:tcPr>
                  <w:tcW w:w="1262" w:type="dxa"/>
                  <w:vAlign w:val="center"/>
                </w:tcPr>
                <w:p>
                  <w:pPr>
                    <w:pStyle w:val="25"/>
                    <w:spacing w:before="31" w:after="31"/>
                    <w:ind w:firstLine="210"/>
                    <w:rPr>
                      <w:rFonts w:ascii="Times New Roman"/>
                      <w:sz w:val="22"/>
                      <w:szCs w:val="22"/>
                    </w:rPr>
                  </w:pPr>
                  <w:r>
                    <w:rPr>
                      <w:rFonts w:ascii="Times New Roman"/>
                      <w:sz w:val="22"/>
                      <w:szCs w:val="22"/>
                    </w:rPr>
                    <w:t>1盒</w:t>
                  </w:r>
                </w:p>
              </w:tc>
              <w:tc>
                <w:tcPr>
                  <w:tcW w:w="1112" w:type="dxa"/>
                  <w:vAlign w:val="center"/>
                </w:tcPr>
                <w:p>
                  <w:pPr>
                    <w:pStyle w:val="25"/>
                    <w:spacing w:before="31" w:after="31"/>
                    <w:ind w:firstLine="210"/>
                    <w:jc w:val="both"/>
                    <w:rPr>
                      <w:rFonts w:ascii="Times New Roman"/>
                      <w:sz w:val="22"/>
                      <w:szCs w:val="22"/>
                    </w:rPr>
                  </w:pPr>
                  <w:r>
                    <w:rPr>
                      <w:rFonts w:ascii="Times New Roman"/>
                      <w:sz w:val="22"/>
                      <w:szCs w:val="22"/>
                    </w:rPr>
                    <w:t>2盒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40</w:t>
                  </w:r>
                </w:p>
              </w:tc>
              <w:tc>
                <w:tcPr>
                  <w:tcW w:w="1847" w:type="dxa"/>
                  <w:vAlign w:val="center"/>
                </w:tcPr>
                <w:p>
                  <w:pPr>
                    <w:pStyle w:val="25"/>
                    <w:spacing w:before="31" w:after="31"/>
                    <w:ind w:firstLine="210"/>
                    <w:rPr>
                      <w:rFonts w:ascii="Times New Roman"/>
                      <w:sz w:val="22"/>
                      <w:szCs w:val="22"/>
                    </w:rPr>
                  </w:pPr>
                  <w:r>
                    <w:rPr>
                      <w:rFonts w:ascii="Times New Roman"/>
                      <w:sz w:val="22"/>
                      <w:szCs w:val="22"/>
                    </w:rPr>
                    <w:t>C反应蛋白</w:t>
                  </w:r>
                </w:p>
              </w:tc>
              <w:tc>
                <w:tcPr>
                  <w:tcW w:w="2134" w:type="dxa"/>
                  <w:vAlign w:val="center"/>
                </w:tcPr>
                <w:p>
                  <w:pPr>
                    <w:pStyle w:val="25"/>
                    <w:spacing w:before="31" w:after="31"/>
                    <w:ind w:firstLine="210"/>
                    <w:rPr>
                      <w:rFonts w:ascii="Times New Roman"/>
                      <w:sz w:val="22"/>
                      <w:szCs w:val="22"/>
                    </w:rPr>
                  </w:pPr>
                  <w:r>
                    <w:rPr>
                      <w:rFonts w:ascii="Times New Roman"/>
                      <w:sz w:val="22"/>
                      <w:szCs w:val="22"/>
                    </w:rPr>
                    <w:t>25人份/盒</w:t>
                  </w:r>
                </w:p>
              </w:tc>
              <w:tc>
                <w:tcPr>
                  <w:tcW w:w="1262" w:type="dxa"/>
                  <w:vAlign w:val="center"/>
                </w:tcPr>
                <w:p>
                  <w:pPr>
                    <w:pStyle w:val="25"/>
                    <w:spacing w:before="31" w:after="31"/>
                    <w:ind w:firstLine="210"/>
                    <w:rPr>
                      <w:rFonts w:ascii="Times New Roman"/>
                      <w:sz w:val="22"/>
                      <w:szCs w:val="22"/>
                    </w:rPr>
                  </w:pPr>
                  <w:r>
                    <w:rPr>
                      <w:rFonts w:ascii="Times New Roman"/>
                      <w:sz w:val="22"/>
                      <w:szCs w:val="22"/>
                    </w:rPr>
                    <w:t>30盒</w:t>
                  </w:r>
                </w:p>
              </w:tc>
              <w:tc>
                <w:tcPr>
                  <w:tcW w:w="1112" w:type="dxa"/>
                  <w:vAlign w:val="center"/>
                </w:tcPr>
                <w:p>
                  <w:pPr>
                    <w:pStyle w:val="25"/>
                    <w:spacing w:before="31" w:after="31"/>
                    <w:jc w:val="both"/>
                    <w:rPr>
                      <w:rFonts w:ascii="Times New Roman"/>
                      <w:sz w:val="22"/>
                      <w:szCs w:val="22"/>
                    </w:rPr>
                  </w:pPr>
                  <w:r>
                    <w:rPr>
                      <w:rFonts w:ascii="Times New Roman"/>
                      <w:sz w:val="22"/>
                      <w:szCs w:val="22"/>
                    </w:rPr>
                    <w:t>50盒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41</w:t>
                  </w:r>
                </w:p>
              </w:tc>
              <w:tc>
                <w:tcPr>
                  <w:tcW w:w="1847" w:type="dxa"/>
                  <w:vAlign w:val="center"/>
                </w:tcPr>
                <w:p>
                  <w:pPr>
                    <w:pStyle w:val="25"/>
                    <w:spacing w:before="31" w:after="31"/>
                    <w:ind w:firstLine="210"/>
                    <w:rPr>
                      <w:rFonts w:ascii="Times New Roman"/>
                      <w:sz w:val="22"/>
                      <w:szCs w:val="22"/>
                    </w:rPr>
                  </w:pPr>
                  <w:r>
                    <w:rPr>
                      <w:rFonts w:ascii="Times New Roman"/>
                      <w:sz w:val="22"/>
                      <w:szCs w:val="22"/>
                    </w:rPr>
                    <w:t>糖化血红蛋白</w:t>
                  </w:r>
                </w:p>
              </w:tc>
              <w:tc>
                <w:tcPr>
                  <w:tcW w:w="2134" w:type="dxa"/>
                  <w:vAlign w:val="center"/>
                </w:tcPr>
                <w:p>
                  <w:pPr>
                    <w:pStyle w:val="25"/>
                    <w:spacing w:before="31" w:after="31"/>
                    <w:ind w:firstLine="210"/>
                    <w:rPr>
                      <w:rFonts w:ascii="Times New Roman"/>
                      <w:sz w:val="22"/>
                      <w:szCs w:val="22"/>
                    </w:rPr>
                  </w:pPr>
                  <w:r>
                    <w:rPr>
                      <w:rFonts w:ascii="Times New Roman"/>
                      <w:sz w:val="22"/>
                      <w:szCs w:val="22"/>
                    </w:rPr>
                    <w:t>25人份/盒</w:t>
                  </w:r>
                </w:p>
              </w:tc>
              <w:tc>
                <w:tcPr>
                  <w:tcW w:w="1262" w:type="dxa"/>
                  <w:vAlign w:val="center"/>
                </w:tcPr>
                <w:p>
                  <w:pPr>
                    <w:pStyle w:val="25"/>
                    <w:spacing w:before="31" w:after="31"/>
                    <w:ind w:firstLine="210"/>
                    <w:rPr>
                      <w:rFonts w:ascii="Times New Roman"/>
                      <w:sz w:val="22"/>
                      <w:szCs w:val="22"/>
                    </w:rPr>
                  </w:pPr>
                  <w:r>
                    <w:rPr>
                      <w:rFonts w:ascii="Times New Roman"/>
                      <w:sz w:val="22"/>
                      <w:szCs w:val="22"/>
                    </w:rPr>
                    <w:t>100盒</w:t>
                  </w:r>
                </w:p>
              </w:tc>
              <w:tc>
                <w:tcPr>
                  <w:tcW w:w="1112" w:type="dxa"/>
                  <w:vAlign w:val="center"/>
                </w:tcPr>
                <w:p>
                  <w:pPr>
                    <w:pStyle w:val="25"/>
                    <w:spacing w:before="31" w:after="31"/>
                    <w:jc w:val="both"/>
                    <w:rPr>
                      <w:rFonts w:ascii="Times New Roman"/>
                      <w:sz w:val="22"/>
                      <w:szCs w:val="22"/>
                    </w:rPr>
                  </w:pPr>
                  <w:r>
                    <w:rPr>
                      <w:rFonts w:ascii="Times New Roman"/>
                      <w:sz w:val="22"/>
                      <w:szCs w:val="22"/>
                    </w:rPr>
                    <w:t>150盒</w:t>
                  </w:r>
                </w:p>
              </w:tc>
              <w:tc>
                <w:tcPr>
                  <w:tcW w:w="1380" w:type="dxa"/>
                  <w:vMerge w:val="continue"/>
                  <w:vAlign w:val="center"/>
                </w:tcPr>
                <w:p>
                  <w:pPr>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42</w:t>
                  </w:r>
                </w:p>
              </w:tc>
              <w:tc>
                <w:tcPr>
                  <w:tcW w:w="1847" w:type="dxa"/>
                  <w:vAlign w:val="center"/>
                </w:tcPr>
                <w:p>
                  <w:pPr>
                    <w:pStyle w:val="25"/>
                    <w:spacing w:before="31" w:after="31"/>
                    <w:ind w:firstLine="210"/>
                    <w:rPr>
                      <w:rFonts w:ascii="Times New Roman"/>
                      <w:sz w:val="22"/>
                      <w:szCs w:val="22"/>
                    </w:rPr>
                  </w:pPr>
                  <w:r>
                    <w:rPr>
                      <w:rFonts w:ascii="Times New Roman"/>
                      <w:sz w:val="22"/>
                      <w:szCs w:val="22"/>
                    </w:rPr>
                    <w:t>二氧化氯消毒粉</w:t>
                  </w:r>
                </w:p>
              </w:tc>
              <w:tc>
                <w:tcPr>
                  <w:tcW w:w="2134" w:type="dxa"/>
                  <w:vAlign w:val="center"/>
                </w:tcPr>
                <w:p>
                  <w:pPr>
                    <w:pStyle w:val="25"/>
                    <w:spacing w:before="31" w:after="31"/>
                    <w:ind w:firstLine="210"/>
                    <w:rPr>
                      <w:rFonts w:ascii="Times New Roman"/>
                      <w:sz w:val="22"/>
                      <w:szCs w:val="22"/>
                    </w:rPr>
                  </w:pPr>
                  <w:r>
                    <w:rPr>
                      <w:rFonts w:ascii="Times New Roman"/>
                      <w:sz w:val="22"/>
                      <w:szCs w:val="22"/>
                    </w:rPr>
                    <w:t>25kg/袋</w:t>
                  </w:r>
                </w:p>
              </w:tc>
              <w:tc>
                <w:tcPr>
                  <w:tcW w:w="1262" w:type="dxa"/>
                  <w:vAlign w:val="center"/>
                </w:tcPr>
                <w:p>
                  <w:pPr>
                    <w:pStyle w:val="25"/>
                    <w:spacing w:before="31" w:after="31"/>
                    <w:ind w:firstLine="210"/>
                    <w:rPr>
                      <w:rFonts w:ascii="Times New Roman"/>
                      <w:sz w:val="22"/>
                      <w:szCs w:val="22"/>
                    </w:rPr>
                  </w:pPr>
                  <w:r>
                    <w:rPr>
                      <w:rFonts w:ascii="Times New Roman"/>
                      <w:sz w:val="22"/>
                      <w:szCs w:val="22"/>
                    </w:rPr>
                    <w:t>2t</w:t>
                  </w:r>
                </w:p>
              </w:tc>
              <w:tc>
                <w:tcPr>
                  <w:tcW w:w="1112" w:type="dxa"/>
                  <w:vAlign w:val="center"/>
                </w:tcPr>
                <w:p>
                  <w:pPr>
                    <w:pStyle w:val="25"/>
                    <w:spacing w:before="31" w:after="31"/>
                    <w:ind w:firstLine="210"/>
                    <w:rPr>
                      <w:rFonts w:ascii="Times New Roman"/>
                      <w:sz w:val="22"/>
                      <w:szCs w:val="22"/>
                    </w:rPr>
                  </w:pPr>
                  <w:r>
                    <w:rPr>
                      <w:rFonts w:ascii="Times New Roman"/>
                      <w:sz w:val="22"/>
                      <w:szCs w:val="22"/>
                    </w:rPr>
                    <w:t>0.5t</w:t>
                  </w:r>
                </w:p>
              </w:tc>
              <w:tc>
                <w:tcPr>
                  <w:tcW w:w="1380" w:type="dxa"/>
                  <w:vAlign w:val="center"/>
                </w:tcPr>
                <w:p>
                  <w:pPr>
                    <w:jc w:val="center"/>
                    <w:rPr>
                      <w:kern w:val="0"/>
                      <w:sz w:val="22"/>
                      <w:szCs w:val="22"/>
                    </w:rPr>
                  </w:pPr>
                  <w:r>
                    <w:rPr>
                      <w:kern w:val="0"/>
                      <w:sz w:val="22"/>
                      <w:szCs w:val="22"/>
                    </w:rPr>
                    <w:t>医疗废水消毒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43</w:t>
                  </w:r>
                </w:p>
              </w:tc>
              <w:tc>
                <w:tcPr>
                  <w:tcW w:w="1847" w:type="dxa"/>
                  <w:vAlign w:val="center"/>
                </w:tcPr>
                <w:p>
                  <w:pPr>
                    <w:jc w:val="center"/>
                    <w:rPr>
                      <w:kern w:val="0"/>
                      <w:sz w:val="22"/>
                      <w:szCs w:val="22"/>
                    </w:rPr>
                  </w:pPr>
                  <w:r>
                    <w:rPr>
                      <w:kern w:val="0"/>
                      <w:sz w:val="22"/>
                      <w:szCs w:val="22"/>
                    </w:rPr>
                    <w:t>水</w:t>
                  </w:r>
                </w:p>
              </w:tc>
              <w:tc>
                <w:tcPr>
                  <w:tcW w:w="2134" w:type="dxa"/>
                  <w:vAlign w:val="center"/>
                </w:tcPr>
                <w:p>
                  <w:pPr>
                    <w:jc w:val="center"/>
                    <w:rPr>
                      <w:kern w:val="0"/>
                      <w:sz w:val="22"/>
                      <w:szCs w:val="22"/>
                    </w:rPr>
                  </w:pPr>
                  <w:r>
                    <w:rPr>
                      <w:kern w:val="0"/>
                      <w:sz w:val="22"/>
                      <w:szCs w:val="22"/>
                    </w:rPr>
                    <w:t>自来水</w:t>
                  </w:r>
                </w:p>
              </w:tc>
              <w:tc>
                <w:tcPr>
                  <w:tcW w:w="1262" w:type="dxa"/>
                  <w:vAlign w:val="center"/>
                </w:tcPr>
                <w:p>
                  <w:pPr>
                    <w:jc w:val="center"/>
                    <w:rPr>
                      <w:kern w:val="0"/>
                      <w:sz w:val="22"/>
                      <w:szCs w:val="22"/>
                    </w:rPr>
                  </w:pPr>
                  <w:r>
                    <w:rPr>
                      <w:kern w:val="0"/>
                      <w:sz w:val="22"/>
                      <w:szCs w:val="22"/>
                    </w:rPr>
                    <w:t>12012.15m</w:t>
                  </w:r>
                  <w:r>
                    <w:rPr>
                      <w:kern w:val="0"/>
                      <w:sz w:val="22"/>
                      <w:szCs w:val="22"/>
                      <w:vertAlign w:val="superscript"/>
                    </w:rPr>
                    <w:t>3</w:t>
                  </w:r>
                </w:p>
              </w:tc>
              <w:tc>
                <w:tcPr>
                  <w:tcW w:w="1112" w:type="dxa"/>
                  <w:vAlign w:val="center"/>
                </w:tcPr>
                <w:p>
                  <w:pPr>
                    <w:jc w:val="center"/>
                    <w:rPr>
                      <w:kern w:val="0"/>
                      <w:sz w:val="22"/>
                      <w:szCs w:val="22"/>
                    </w:rPr>
                  </w:pPr>
                  <w:r>
                    <w:rPr>
                      <w:kern w:val="0"/>
                      <w:sz w:val="22"/>
                      <w:szCs w:val="22"/>
                    </w:rPr>
                    <w:t>/</w:t>
                  </w:r>
                </w:p>
              </w:tc>
              <w:tc>
                <w:tcPr>
                  <w:tcW w:w="1380" w:type="dxa"/>
                  <w:vAlign w:val="center"/>
                </w:tcPr>
                <w:p>
                  <w:pPr>
                    <w:jc w:val="center"/>
                    <w:rPr>
                      <w:kern w:val="0"/>
                      <w:sz w:val="22"/>
                      <w:szCs w:val="22"/>
                    </w:rPr>
                  </w:pPr>
                  <w:r>
                    <w:rPr>
                      <w:kern w:val="0"/>
                      <w:sz w:val="22"/>
                      <w:szCs w:val="22"/>
                    </w:rPr>
                    <w:t>公网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kern w:val="0"/>
                      <w:sz w:val="22"/>
                      <w:szCs w:val="22"/>
                    </w:rPr>
                  </w:pPr>
                  <w:r>
                    <w:rPr>
                      <w:kern w:val="0"/>
                      <w:sz w:val="22"/>
                      <w:szCs w:val="22"/>
                    </w:rPr>
                    <w:t>44</w:t>
                  </w:r>
                </w:p>
              </w:tc>
              <w:tc>
                <w:tcPr>
                  <w:tcW w:w="1847" w:type="dxa"/>
                  <w:vAlign w:val="center"/>
                </w:tcPr>
                <w:p>
                  <w:pPr>
                    <w:jc w:val="center"/>
                    <w:rPr>
                      <w:kern w:val="0"/>
                      <w:sz w:val="22"/>
                      <w:szCs w:val="22"/>
                    </w:rPr>
                  </w:pPr>
                  <w:r>
                    <w:rPr>
                      <w:kern w:val="0"/>
                      <w:sz w:val="22"/>
                      <w:szCs w:val="22"/>
                    </w:rPr>
                    <w:t>电</w:t>
                  </w:r>
                </w:p>
              </w:tc>
              <w:tc>
                <w:tcPr>
                  <w:tcW w:w="2134" w:type="dxa"/>
                  <w:vAlign w:val="center"/>
                </w:tcPr>
                <w:p>
                  <w:pPr>
                    <w:jc w:val="center"/>
                    <w:rPr>
                      <w:kern w:val="0"/>
                      <w:sz w:val="22"/>
                      <w:szCs w:val="22"/>
                    </w:rPr>
                  </w:pPr>
                  <w:r>
                    <w:rPr>
                      <w:kern w:val="0"/>
                      <w:sz w:val="22"/>
                      <w:szCs w:val="22"/>
                    </w:rPr>
                    <w:t>电网</w:t>
                  </w:r>
                </w:p>
              </w:tc>
              <w:tc>
                <w:tcPr>
                  <w:tcW w:w="1262" w:type="dxa"/>
                  <w:vAlign w:val="center"/>
                </w:tcPr>
                <w:p>
                  <w:pPr>
                    <w:jc w:val="center"/>
                    <w:rPr>
                      <w:kern w:val="0"/>
                      <w:sz w:val="22"/>
                      <w:szCs w:val="22"/>
                    </w:rPr>
                  </w:pPr>
                  <w:r>
                    <w:rPr>
                      <w:kern w:val="0"/>
                      <w:sz w:val="22"/>
                      <w:szCs w:val="22"/>
                    </w:rPr>
                    <w:t>80万度</w:t>
                  </w:r>
                </w:p>
              </w:tc>
              <w:tc>
                <w:tcPr>
                  <w:tcW w:w="1112" w:type="dxa"/>
                  <w:vAlign w:val="center"/>
                </w:tcPr>
                <w:p>
                  <w:pPr>
                    <w:jc w:val="center"/>
                    <w:rPr>
                      <w:kern w:val="0"/>
                      <w:sz w:val="22"/>
                      <w:szCs w:val="22"/>
                    </w:rPr>
                  </w:pPr>
                  <w:r>
                    <w:rPr>
                      <w:kern w:val="0"/>
                      <w:sz w:val="22"/>
                      <w:szCs w:val="22"/>
                    </w:rPr>
                    <w:t>/</w:t>
                  </w:r>
                </w:p>
              </w:tc>
              <w:tc>
                <w:tcPr>
                  <w:tcW w:w="1380" w:type="dxa"/>
                  <w:vAlign w:val="center"/>
                </w:tcPr>
                <w:p>
                  <w:pPr>
                    <w:jc w:val="center"/>
                    <w:rPr>
                      <w:kern w:val="0"/>
                      <w:sz w:val="22"/>
                      <w:szCs w:val="22"/>
                    </w:rPr>
                  </w:pPr>
                  <w:r>
                    <w:rPr>
                      <w:kern w:val="0"/>
                      <w:sz w:val="22"/>
                      <w:szCs w:val="22"/>
                    </w:rPr>
                    <w:t>公网</w:t>
                  </w:r>
                </w:p>
              </w:tc>
            </w:tr>
          </w:tbl>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sz w:val="24"/>
              </w:rPr>
              <w:t>5</w:t>
            </w:r>
            <w:r>
              <w:rPr>
                <w:rFonts w:hint="eastAsia"/>
                <w:sz w:val="24"/>
              </w:rPr>
              <w:t>、</w:t>
            </w:r>
            <w:r>
              <w:rPr>
                <w:sz w:val="24"/>
              </w:rPr>
              <w:t>劳动定员及工作制度</w:t>
            </w:r>
          </w:p>
          <w:p>
            <w:pPr>
              <w:adjustRightInd w:val="0"/>
              <w:snapToGrid w:val="0"/>
              <w:spacing w:line="360" w:lineRule="auto"/>
              <w:ind w:firstLine="480" w:firstLineChars="200"/>
              <w:rPr>
                <w:sz w:val="24"/>
              </w:rPr>
            </w:pPr>
            <w:r>
              <w:rPr>
                <w:rFonts w:hint="eastAsia"/>
                <w:sz w:val="24"/>
              </w:rPr>
              <w:t>项目医护人员定员5</w:t>
            </w:r>
            <w:r>
              <w:rPr>
                <w:sz w:val="24"/>
              </w:rPr>
              <w:t>0</w:t>
            </w:r>
            <w:r>
              <w:rPr>
                <w:rFonts w:hint="eastAsia"/>
                <w:sz w:val="24"/>
              </w:rPr>
              <w:t>人，门诊科室每天1班制，每班8小时；其他科室每天二班制，每班12小时，全年运行365天，医院内设置食堂。食堂仅供给医院员工，不给住院病人提供就餐。</w:t>
            </w:r>
          </w:p>
          <w:p>
            <w:pPr>
              <w:adjustRightInd w:val="0"/>
              <w:snapToGrid w:val="0"/>
              <w:spacing w:line="360" w:lineRule="auto"/>
              <w:ind w:firstLine="480" w:firstLineChars="200"/>
              <w:rPr>
                <w:sz w:val="24"/>
              </w:rPr>
            </w:pPr>
            <w:r>
              <w:rPr>
                <w:sz w:val="24"/>
              </w:rPr>
              <w:t>6</w:t>
            </w:r>
            <w:r>
              <w:rPr>
                <w:rFonts w:hint="eastAsia"/>
                <w:sz w:val="24"/>
              </w:rPr>
              <w:t>、公用工程</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sz w:val="24"/>
                <w:szCs w:val="28"/>
              </w:rPr>
              <w:t>给水系统</w:t>
            </w:r>
            <w:r>
              <w:rPr>
                <w:rFonts w:hint="eastAsia"/>
                <w:sz w:val="24"/>
                <w:szCs w:val="28"/>
              </w:rPr>
              <w:t>；</w:t>
            </w:r>
          </w:p>
          <w:p>
            <w:pPr>
              <w:spacing w:line="360" w:lineRule="auto"/>
              <w:ind w:firstLine="480" w:firstLineChars="200"/>
              <w:rPr>
                <w:sz w:val="24"/>
                <w:szCs w:val="28"/>
              </w:rPr>
            </w:pPr>
            <w:r>
              <w:rPr>
                <w:rFonts w:hint="eastAsia"/>
                <w:sz w:val="24"/>
                <w:szCs w:val="28"/>
              </w:rPr>
              <w:t>本项目生产用水均取自城市自来水供给。</w:t>
            </w:r>
          </w:p>
          <w:p>
            <w:pPr>
              <w:spacing w:line="360" w:lineRule="auto"/>
              <w:ind w:firstLine="480" w:firstLineChars="200"/>
              <w:rPr>
                <w:sz w:val="24"/>
                <w:szCs w:val="28"/>
              </w:rPr>
            </w:pPr>
            <w:r>
              <w:rPr>
                <w:sz w:val="24"/>
                <w:szCs w:val="28"/>
              </w:rPr>
              <w:fldChar w:fldCharType="begin"/>
            </w:r>
            <w:r>
              <w:rPr>
                <w:sz w:val="24"/>
                <w:szCs w:val="28"/>
              </w:rPr>
              <w:instrText xml:space="preserve"> </w:instrText>
            </w:r>
            <w:r>
              <w:rPr>
                <w:rFonts w:hint="eastAsia"/>
                <w:sz w:val="24"/>
                <w:szCs w:val="28"/>
              </w:rPr>
              <w:instrText xml:space="preserve">= 2 \* GB3</w:instrText>
            </w:r>
            <w:r>
              <w:rPr>
                <w:sz w:val="24"/>
                <w:szCs w:val="28"/>
              </w:rPr>
              <w:instrText xml:space="preserve"> </w:instrText>
            </w:r>
            <w:r>
              <w:rPr>
                <w:sz w:val="24"/>
                <w:szCs w:val="28"/>
              </w:rPr>
              <w:fldChar w:fldCharType="separate"/>
            </w:r>
            <w:r>
              <w:rPr>
                <w:rFonts w:hint="eastAsia"/>
                <w:sz w:val="24"/>
                <w:szCs w:val="28"/>
              </w:rPr>
              <w:t>②</w:t>
            </w:r>
            <w:r>
              <w:rPr>
                <w:sz w:val="24"/>
                <w:szCs w:val="28"/>
              </w:rPr>
              <w:fldChar w:fldCharType="end"/>
            </w:r>
            <w:r>
              <w:rPr>
                <w:sz w:val="24"/>
                <w:szCs w:val="28"/>
              </w:rPr>
              <w:t>排水系统</w:t>
            </w:r>
            <w:r>
              <w:rPr>
                <w:rFonts w:hint="eastAsia"/>
                <w:sz w:val="24"/>
                <w:szCs w:val="28"/>
              </w:rPr>
              <w:t>；</w:t>
            </w:r>
          </w:p>
          <w:p>
            <w:pPr>
              <w:spacing w:line="360" w:lineRule="auto"/>
              <w:ind w:firstLine="480" w:firstLineChars="200"/>
              <w:rPr>
                <w:sz w:val="24"/>
                <w:szCs w:val="28"/>
              </w:rPr>
            </w:pPr>
            <w:r>
              <w:rPr>
                <w:rFonts w:hint="eastAsia"/>
                <w:sz w:val="24"/>
                <w:szCs w:val="28"/>
              </w:rPr>
              <w:t>院区内医疗废水采用雨污分流制，雨水进入市政雨水管网；项目生活污水经化粪池预处理，后与院区医疗废水一起排入自建污水处理站处理达标后，排入澧县污水处理厂。</w:t>
            </w:r>
          </w:p>
          <w:p>
            <w:pPr>
              <w:spacing w:line="360" w:lineRule="auto"/>
              <w:ind w:firstLine="480" w:firstLineChars="200"/>
              <w:rPr>
                <w:sz w:val="24"/>
                <w:u w:val="single"/>
              </w:rPr>
            </w:pPr>
            <w:r>
              <w:rPr>
                <w:rFonts w:hint="eastAsia"/>
                <w:sz w:val="24"/>
                <w:u w:val="single"/>
              </w:rPr>
              <w:t>7、水平衡</w:t>
            </w:r>
          </w:p>
          <w:p>
            <w:pPr>
              <w:spacing w:line="360" w:lineRule="auto"/>
              <w:ind w:firstLine="480" w:firstLineChars="200"/>
              <w:rPr>
                <w:sz w:val="24"/>
                <w:u w:val="single"/>
              </w:rPr>
            </w:pPr>
            <w:r>
              <w:rPr>
                <w:rFonts w:hint="eastAsia"/>
                <w:sz w:val="24"/>
                <w:u w:val="single"/>
              </w:rPr>
              <w:t>本项目</w:t>
            </w:r>
            <w:r>
              <w:rPr>
                <w:sz w:val="24"/>
                <w:u w:val="single"/>
              </w:rPr>
              <w:t>主要用水为门诊用水</w:t>
            </w:r>
            <w:r>
              <w:rPr>
                <w:rFonts w:hint="eastAsia"/>
                <w:sz w:val="24"/>
                <w:u w:val="single"/>
              </w:rPr>
              <w:t>、</w:t>
            </w:r>
            <w:r>
              <w:rPr>
                <w:sz w:val="24"/>
                <w:u w:val="single"/>
              </w:rPr>
              <w:t>住院用水、医</w:t>
            </w:r>
            <w:r>
              <w:rPr>
                <w:rFonts w:hint="eastAsia"/>
                <w:sz w:val="24"/>
                <w:u w:val="single"/>
              </w:rPr>
              <w:t>务</w:t>
            </w:r>
            <w:r>
              <w:rPr>
                <w:sz w:val="24"/>
                <w:u w:val="single"/>
              </w:rPr>
              <w:t>人员用水、保洁用水、洗衣房用水等</w:t>
            </w:r>
            <w:r>
              <w:rPr>
                <w:rFonts w:hint="eastAsia"/>
                <w:sz w:val="24"/>
                <w:u w:val="single"/>
              </w:rPr>
              <w:t>，根据卫生院实际运行情况，病人无</w:t>
            </w:r>
            <w:r>
              <w:rPr>
                <w:sz w:val="24"/>
                <w:u w:val="single"/>
              </w:rPr>
              <w:t>陪护人员</w:t>
            </w:r>
            <w:r>
              <w:rPr>
                <w:rFonts w:hint="eastAsia"/>
                <w:sz w:val="24"/>
                <w:u w:val="single"/>
              </w:rPr>
              <w:t>，不涉及</w:t>
            </w:r>
            <w:r>
              <w:rPr>
                <w:sz w:val="24"/>
                <w:u w:val="single"/>
              </w:rPr>
              <w:t>陪护人员用水。</w:t>
            </w:r>
          </w:p>
          <w:p>
            <w:pPr>
              <w:autoSpaceDE w:val="0"/>
              <w:autoSpaceDN w:val="0"/>
              <w:adjustRightInd w:val="0"/>
              <w:snapToGrid w:val="0"/>
              <w:spacing w:line="360" w:lineRule="auto"/>
              <w:ind w:firstLine="480" w:firstLineChars="200"/>
              <w:rPr>
                <w:kern w:val="0"/>
                <w:sz w:val="24"/>
                <w:u w:val="single"/>
              </w:rPr>
            </w:pPr>
            <w:r>
              <w:rPr>
                <w:kern w:val="0"/>
                <w:sz w:val="24"/>
                <w:u w:val="single"/>
              </w:rPr>
              <w:fldChar w:fldCharType="begin"/>
            </w:r>
            <w:r>
              <w:rPr>
                <w:kern w:val="0"/>
                <w:sz w:val="24"/>
                <w:u w:val="single"/>
              </w:rPr>
              <w:instrText xml:space="preserve">= 1 \* GB3</w:instrText>
            </w:r>
            <w:r>
              <w:rPr>
                <w:kern w:val="0"/>
                <w:sz w:val="24"/>
                <w:u w:val="single"/>
              </w:rPr>
              <w:fldChar w:fldCharType="separate"/>
            </w:r>
            <w:r>
              <w:rPr>
                <w:kern w:val="0"/>
                <w:sz w:val="24"/>
                <w:u w:val="single"/>
              </w:rPr>
              <w:t>①</w:t>
            </w:r>
            <w:r>
              <w:rPr>
                <w:kern w:val="0"/>
                <w:sz w:val="24"/>
                <w:u w:val="single"/>
              </w:rPr>
              <w:fldChar w:fldCharType="end"/>
            </w:r>
            <w:r>
              <w:rPr>
                <w:kern w:val="0"/>
                <w:sz w:val="24"/>
                <w:u w:val="single"/>
              </w:rPr>
              <w:t>门诊</w:t>
            </w:r>
            <w:r>
              <w:rPr>
                <w:rFonts w:hint="eastAsia"/>
                <w:kern w:val="0"/>
                <w:sz w:val="24"/>
                <w:u w:val="single"/>
              </w:rPr>
              <w:t>用</w:t>
            </w:r>
            <w:r>
              <w:rPr>
                <w:kern w:val="0"/>
                <w:sz w:val="24"/>
                <w:u w:val="single"/>
              </w:rPr>
              <w:t>水</w:t>
            </w:r>
          </w:p>
          <w:p>
            <w:pPr>
              <w:tabs>
                <w:tab w:val="center" w:pos="4804"/>
              </w:tabs>
              <w:adjustRightInd w:val="0"/>
              <w:snapToGrid w:val="0"/>
              <w:spacing w:line="360" w:lineRule="auto"/>
              <w:ind w:firstLine="480" w:firstLineChars="200"/>
              <w:rPr>
                <w:kern w:val="0"/>
                <w:sz w:val="24"/>
                <w:u w:val="single"/>
              </w:rPr>
            </w:pPr>
            <w:r>
              <w:rPr>
                <w:rFonts w:hint="eastAsia"/>
                <w:kern w:val="0"/>
                <w:sz w:val="24"/>
                <w:u w:val="single"/>
              </w:rPr>
              <w:t>门诊量约为</w:t>
            </w:r>
            <w:r>
              <w:rPr>
                <w:kern w:val="0"/>
                <w:sz w:val="24"/>
                <w:u w:val="single"/>
              </w:rPr>
              <w:t>9</w:t>
            </w:r>
            <w:r>
              <w:rPr>
                <w:rFonts w:hint="eastAsia"/>
                <w:kern w:val="0"/>
                <w:sz w:val="24"/>
                <w:u w:val="single"/>
              </w:rPr>
              <w:t>0人·次/d。根据《医院给排水设计标准规范》中相关的用水标准，门诊病人每人每次15L计，则普通门诊病人用水量约为</w:t>
            </w:r>
            <w:r>
              <w:rPr>
                <w:kern w:val="0"/>
                <w:sz w:val="24"/>
                <w:u w:val="single"/>
              </w:rPr>
              <w:t>1.35</w:t>
            </w:r>
            <w:r>
              <w:rPr>
                <w:rFonts w:hint="eastAsia"/>
                <w:kern w:val="0"/>
                <w:sz w:val="24"/>
                <w:u w:val="single"/>
              </w:rPr>
              <w:t>t/d（</w:t>
            </w:r>
            <w:r>
              <w:rPr>
                <w:kern w:val="0"/>
                <w:sz w:val="24"/>
                <w:u w:val="single"/>
              </w:rPr>
              <w:t>492.75</w:t>
            </w:r>
            <w:r>
              <w:rPr>
                <w:rFonts w:hint="eastAsia"/>
                <w:kern w:val="0"/>
                <w:sz w:val="24"/>
                <w:u w:val="single"/>
              </w:rPr>
              <w:t>t/a），污水排放系数取0.8计，则污水排放量约为</w:t>
            </w:r>
            <w:r>
              <w:rPr>
                <w:kern w:val="0"/>
                <w:sz w:val="24"/>
                <w:u w:val="single"/>
              </w:rPr>
              <w:t>1.08</w:t>
            </w:r>
            <w:r>
              <w:rPr>
                <w:rFonts w:hint="eastAsia"/>
                <w:kern w:val="0"/>
                <w:sz w:val="24"/>
                <w:u w:val="single"/>
              </w:rPr>
              <w:t>t/d（</w:t>
            </w:r>
            <w:r>
              <w:rPr>
                <w:kern w:val="0"/>
                <w:sz w:val="24"/>
                <w:u w:val="single"/>
              </w:rPr>
              <w:t>394.2</w:t>
            </w:r>
            <w:r>
              <w:rPr>
                <w:rFonts w:hint="eastAsia"/>
                <w:kern w:val="0"/>
                <w:sz w:val="24"/>
                <w:u w:val="single"/>
              </w:rPr>
              <w:t>t/a）。</w:t>
            </w:r>
          </w:p>
          <w:p>
            <w:pPr>
              <w:tabs>
                <w:tab w:val="center" w:pos="4804"/>
              </w:tabs>
              <w:adjustRightInd w:val="0"/>
              <w:snapToGrid w:val="0"/>
              <w:spacing w:line="360" w:lineRule="auto"/>
              <w:ind w:firstLine="480"/>
              <w:rPr>
                <w:kern w:val="0"/>
                <w:sz w:val="24"/>
                <w:u w:val="single"/>
              </w:rPr>
            </w:pPr>
            <w:r>
              <w:rPr>
                <w:kern w:val="0"/>
                <w:sz w:val="24"/>
                <w:u w:val="single"/>
              </w:rPr>
              <w:t>②住院病人用水</w:t>
            </w:r>
          </w:p>
          <w:p>
            <w:pPr>
              <w:tabs>
                <w:tab w:val="center" w:pos="4804"/>
              </w:tabs>
              <w:adjustRightInd w:val="0"/>
              <w:snapToGrid w:val="0"/>
              <w:spacing w:line="360" w:lineRule="auto"/>
              <w:ind w:firstLine="480" w:firstLineChars="200"/>
              <w:rPr>
                <w:kern w:val="0"/>
                <w:sz w:val="24"/>
                <w:u w:val="single"/>
              </w:rPr>
            </w:pPr>
            <w:r>
              <w:rPr>
                <w:rFonts w:hint="eastAsia"/>
                <w:kern w:val="0"/>
                <w:sz w:val="24"/>
                <w:u w:val="single"/>
              </w:rPr>
              <w:t>根据目前医院实际情况，</w:t>
            </w:r>
            <w:r>
              <w:rPr>
                <w:kern w:val="0"/>
                <w:sz w:val="24"/>
                <w:u w:val="single"/>
              </w:rPr>
              <w:t>本项目</w:t>
            </w:r>
            <w:r>
              <w:rPr>
                <w:rFonts w:hint="eastAsia"/>
                <w:kern w:val="0"/>
                <w:sz w:val="24"/>
                <w:u w:val="single"/>
              </w:rPr>
              <w:t>住院病人用水病床按</w:t>
            </w:r>
            <w:r>
              <w:rPr>
                <w:kern w:val="0"/>
                <w:sz w:val="24"/>
                <w:u w:val="single"/>
              </w:rPr>
              <w:t>70</w:t>
            </w:r>
            <w:r>
              <w:rPr>
                <w:rFonts w:hint="eastAsia"/>
                <w:kern w:val="0"/>
                <w:sz w:val="24"/>
                <w:u w:val="single"/>
              </w:rPr>
              <w:t>张</w:t>
            </w:r>
            <w:r>
              <w:rPr>
                <w:kern w:val="0"/>
                <w:sz w:val="24"/>
                <w:u w:val="single"/>
              </w:rPr>
              <w:t>床位</w:t>
            </w:r>
            <w:r>
              <w:rPr>
                <w:rFonts w:hint="eastAsia"/>
                <w:kern w:val="0"/>
                <w:sz w:val="24"/>
                <w:u w:val="single"/>
              </w:rPr>
              <w:t>计算</w:t>
            </w:r>
            <w:r>
              <w:rPr>
                <w:kern w:val="0"/>
                <w:sz w:val="24"/>
                <w:u w:val="single"/>
              </w:rPr>
              <w:t>，根据《</w:t>
            </w:r>
            <w:r>
              <w:rPr>
                <w:rFonts w:hint="eastAsia"/>
                <w:kern w:val="0"/>
                <w:sz w:val="24"/>
                <w:u w:val="single"/>
              </w:rPr>
              <w:t>医院给排水设计标准规范</w:t>
            </w:r>
            <w:r>
              <w:rPr>
                <w:kern w:val="0"/>
                <w:sz w:val="24"/>
                <w:u w:val="single"/>
              </w:rPr>
              <w:t>》内容，病床每日用水系数取250L计算，则住院病人生活用水量约为17.5t/d（6387.5t/a），污水排放系数取0.8计，则污水排放量约为14t/d（5110t/a）</w:t>
            </w:r>
            <w:r>
              <w:rPr>
                <w:rFonts w:hint="eastAsia"/>
                <w:kern w:val="0"/>
                <w:sz w:val="24"/>
                <w:u w:val="single"/>
              </w:rPr>
              <w:t>。</w:t>
            </w:r>
          </w:p>
          <w:p>
            <w:pPr>
              <w:tabs>
                <w:tab w:val="center" w:pos="4804"/>
              </w:tabs>
              <w:adjustRightInd w:val="0"/>
              <w:snapToGrid w:val="0"/>
              <w:spacing w:line="360" w:lineRule="auto"/>
              <w:ind w:firstLine="480" w:firstLineChars="200"/>
              <w:rPr>
                <w:kern w:val="0"/>
                <w:sz w:val="24"/>
                <w:u w:val="single"/>
              </w:rPr>
            </w:pPr>
            <w:r>
              <w:rPr>
                <w:kern w:val="0"/>
                <w:sz w:val="24"/>
                <w:u w:val="single"/>
              </w:rPr>
              <w:t>③医务人员生活用水</w:t>
            </w:r>
          </w:p>
          <w:p>
            <w:pPr>
              <w:adjustRightInd w:val="0"/>
              <w:snapToGrid w:val="0"/>
              <w:spacing w:line="360" w:lineRule="auto"/>
              <w:ind w:firstLine="480" w:firstLineChars="200"/>
              <w:rPr>
                <w:sz w:val="24"/>
                <w:u w:val="single"/>
              </w:rPr>
            </w:pPr>
            <w:r>
              <w:rPr>
                <w:rFonts w:hint="eastAsia"/>
                <w:sz w:val="24"/>
                <w:u w:val="single"/>
              </w:rPr>
              <w:t>项目</w:t>
            </w:r>
            <w:r>
              <w:rPr>
                <w:sz w:val="24"/>
                <w:u w:val="single"/>
              </w:rPr>
              <w:t>职工</w:t>
            </w:r>
            <w:r>
              <w:rPr>
                <w:rFonts w:hint="eastAsia"/>
                <w:sz w:val="24"/>
                <w:u w:val="single"/>
              </w:rPr>
              <w:t>5</w:t>
            </w:r>
            <w:r>
              <w:rPr>
                <w:sz w:val="24"/>
                <w:u w:val="single"/>
              </w:rPr>
              <w:t>0人，根据《</w:t>
            </w:r>
            <w:r>
              <w:rPr>
                <w:rFonts w:hint="eastAsia"/>
                <w:sz w:val="24"/>
                <w:u w:val="single"/>
              </w:rPr>
              <w:t>医院给排水设计标准规范</w:t>
            </w:r>
            <w:r>
              <w:rPr>
                <w:sz w:val="24"/>
                <w:u w:val="single"/>
              </w:rPr>
              <w:t>》中医务人员每人每班150L，按365日计，则用水量约为7.5t/d（2737.5t/a），污水排放系数取0.8计，则污水排放量约为</w:t>
            </w:r>
            <w:r>
              <w:rPr>
                <w:rFonts w:hint="eastAsia"/>
                <w:sz w:val="24"/>
                <w:u w:val="single"/>
              </w:rPr>
              <w:t>6</w:t>
            </w:r>
            <w:r>
              <w:rPr>
                <w:sz w:val="24"/>
                <w:u w:val="single"/>
              </w:rPr>
              <w:t>t/d（2190t/a）。</w:t>
            </w:r>
          </w:p>
          <w:p>
            <w:pPr>
              <w:adjustRightInd w:val="0"/>
              <w:snapToGrid w:val="0"/>
              <w:spacing w:line="360" w:lineRule="auto"/>
              <w:ind w:firstLine="480" w:firstLineChars="200"/>
              <w:rPr>
                <w:kern w:val="0"/>
                <w:sz w:val="24"/>
                <w:u w:val="single"/>
              </w:rPr>
            </w:pPr>
            <w:r>
              <w:rPr>
                <w:rFonts w:hint="eastAsia" w:ascii="宋体" w:hAnsi="宋体" w:cs="宋体"/>
                <w:kern w:val="0"/>
                <w:sz w:val="24"/>
                <w:u w:val="single"/>
              </w:rPr>
              <w:t>④</w:t>
            </w:r>
            <w:r>
              <w:rPr>
                <w:sz w:val="24"/>
                <w:u w:val="single"/>
              </w:rPr>
              <w:t>地</w:t>
            </w:r>
            <w:r>
              <w:rPr>
                <w:kern w:val="0"/>
                <w:sz w:val="24"/>
                <w:u w:val="single"/>
              </w:rPr>
              <w:t>面保洁用水</w:t>
            </w:r>
          </w:p>
          <w:p>
            <w:pPr>
              <w:adjustRightInd w:val="0"/>
              <w:snapToGrid w:val="0"/>
              <w:spacing w:line="360" w:lineRule="auto"/>
              <w:ind w:firstLine="480" w:firstLineChars="200"/>
              <w:rPr>
                <w:sz w:val="24"/>
                <w:u w:val="single"/>
              </w:rPr>
            </w:pPr>
            <w:r>
              <w:rPr>
                <w:rFonts w:hint="eastAsia"/>
                <w:sz w:val="24"/>
                <w:u w:val="single"/>
              </w:rPr>
              <w:t>院区</w:t>
            </w:r>
            <w:r>
              <w:rPr>
                <w:sz w:val="24"/>
                <w:u w:val="single"/>
              </w:rPr>
              <w:t>建筑面积约为3852m</w:t>
            </w:r>
            <w:r>
              <w:rPr>
                <w:sz w:val="24"/>
                <w:u w:val="single"/>
                <w:vertAlign w:val="superscript"/>
              </w:rPr>
              <w:t>2</w:t>
            </w:r>
            <w:r>
              <w:rPr>
                <w:sz w:val="24"/>
                <w:u w:val="single"/>
              </w:rPr>
              <w:t>，用水系数按照0.25L/m</w:t>
            </w:r>
            <w:r>
              <w:rPr>
                <w:sz w:val="24"/>
                <w:u w:val="single"/>
                <w:vertAlign w:val="superscript"/>
              </w:rPr>
              <w:t>2</w:t>
            </w:r>
            <w:r>
              <w:rPr>
                <w:sz w:val="24"/>
                <w:u w:val="single"/>
              </w:rPr>
              <w:t>·d，则地面保洁用水量约为0.96t/d（350.4t/a），污水排放系数按照0.</w:t>
            </w:r>
            <w:r>
              <w:rPr>
                <w:rFonts w:hint="eastAsia"/>
                <w:sz w:val="24"/>
                <w:u w:val="single"/>
              </w:rPr>
              <w:t>8</w:t>
            </w:r>
            <w:r>
              <w:rPr>
                <w:sz w:val="24"/>
                <w:u w:val="single"/>
              </w:rPr>
              <w:t>计算，则保洁废水产生量约为0.77t/d（</w:t>
            </w:r>
            <w:r>
              <w:rPr>
                <w:rFonts w:hint="eastAsia"/>
                <w:sz w:val="24"/>
                <w:u w:val="single"/>
              </w:rPr>
              <w:t>2</w:t>
            </w:r>
            <w:r>
              <w:rPr>
                <w:sz w:val="24"/>
                <w:u w:val="single"/>
              </w:rPr>
              <w:t>81.1t/a）。</w:t>
            </w:r>
          </w:p>
          <w:p>
            <w:pPr>
              <w:tabs>
                <w:tab w:val="center" w:pos="4804"/>
              </w:tabs>
              <w:adjustRightInd w:val="0"/>
              <w:snapToGrid w:val="0"/>
              <w:spacing w:line="360" w:lineRule="auto"/>
              <w:ind w:firstLine="480"/>
              <w:rPr>
                <w:kern w:val="0"/>
                <w:sz w:val="24"/>
                <w:u w:val="single"/>
              </w:rPr>
            </w:pPr>
            <w:r>
              <w:rPr>
                <w:rFonts w:hint="eastAsia" w:ascii="宋体" w:hAnsi="宋体" w:cs="宋体"/>
                <w:sz w:val="24"/>
                <w:u w:val="single"/>
              </w:rPr>
              <w:t>⑤</w:t>
            </w:r>
            <w:r>
              <w:rPr>
                <w:rFonts w:hint="eastAsia"/>
                <w:kern w:val="0"/>
                <w:sz w:val="24"/>
                <w:u w:val="single"/>
              </w:rPr>
              <w:t>洗衣房用水</w:t>
            </w:r>
          </w:p>
          <w:p>
            <w:pPr>
              <w:tabs>
                <w:tab w:val="center" w:pos="4804"/>
              </w:tabs>
              <w:adjustRightInd w:val="0"/>
              <w:snapToGrid w:val="0"/>
              <w:spacing w:line="360" w:lineRule="auto"/>
              <w:ind w:firstLine="480"/>
              <w:rPr>
                <w:kern w:val="0"/>
                <w:sz w:val="24"/>
                <w:u w:val="single"/>
              </w:rPr>
            </w:pPr>
            <w:r>
              <w:rPr>
                <w:kern w:val="0"/>
                <w:sz w:val="24"/>
                <w:u w:val="single"/>
              </w:rPr>
              <w:t>根据</w:t>
            </w:r>
            <w:r>
              <w:rPr>
                <w:rFonts w:hint="eastAsia"/>
                <w:kern w:val="0"/>
                <w:sz w:val="24"/>
                <w:u w:val="single"/>
              </w:rPr>
              <w:t>《建筑给水排水设计标准》（GB50015-2019）</w:t>
            </w:r>
            <w:r>
              <w:rPr>
                <w:kern w:val="0"/>
                <w:sz w:val="24"/>
                <w:u w:val="single"/>
              </w:rPr>
              <w:t>和</w:t>
            </w:r>
            <w:r>
              <w:rPr>
                <w:rFonts w:hint="eastAsia"/>
                <w:kern w:val="0"/>
                <w:sz w:val="24"/>
                <w:u w:val="single"/>
              </w:rPr>
              <w:t>《综合医院建筑设计规范》（GB51039-2014）</w:t>
            </w:r>
            <w:r>
              <w:rPr>
                <w:kern w:val="0"/>
                <w:sz w:val="24"/>
                <w:u w:val="single"/>
              </w:rPr>
              <w:t>，洗衣用水量40-80L/kg干衣，本工程用水量按40L/kg干衣计，每张病床按2kg/d的干衣量进行计算，则医院病床床上用品清洗用水量为5.6</w:t>
            </w:r>
            <w:r>
              <w:rPr>
                <w:rFonts w:hint="eastAsia"/>
                <w:kern w:val="0"/>
                <w:sz w:val="24"/>
                <w:u w:val="single"/>
              </w:rPr>
              <w:t>t/d（</w:t>
            </w:r>
            <w:r>
              <w:rPr>
                <w:kern w:val="0"/>
                <w:sz w:val="24"/>
                <w:u w:val="single"/>
              </w:rPr>
              <w:t>2044t/a</w:t>
            </w:r>
            <w:r>
              <w:rPr>
                <w:rFonts w:hint="eastAsia"/>
                <w:kern w:val="0"/>
                <w:sz w:val="24"/>
                <w:u w:val="single"/>
              </w:rPr>
              <w:t>）</w:t>
            </w:r>
            <w:r>
              <w:rPr>
                <w:kern w:val="0"/>
                <w:sz w:val="24"/>
                <w:u w:val="single"/>
              </w:rPr>
              <w:t>，排污系数取0.8，则床上用品清洗废水排放量为4.48</w:t>
            </w:r>
            <w:r>
              <w:rPr>
                <w:rFonts w:hint="eastAsia"/>
                <w:kern w:val="0"/>
                <w:sz w:val="24"/>
                <w:u w:val="single"/>
              </w:rPr>
              <w:t>t/d（1</w:t>
            </w:r>
            <w:r>
              <w:rPr>
                <w:kern w:val="0"/>
                <w:sz w:val="24"/>
                <w:u w:val="single"/>
              </w:rPr>
              <w:t>635.2t/a</w:t>
            </w:r>
            <w:r>
              <w:rPr>
                <w:rFonts w:hint="eastAsia"/>
                <w:kern w:val="0"/>
                <w:sz w:val="24"/>
                <w:u w:val="single"/>
              </w:rPr>
              <w:t>）。</w:t>
            </w:r>
          </w:p>
          <w:p>
            <w:pPr>
              <w:spacing w:line="360" w:lineRule="auto"/>
              <w:ind w:firstLine="960" w:firstLineChars="400"/>
              <w:rPr>
                <w:bCs/>
                <w:sz w:val="24"/>
              </w:rPr>
            </w:pPr>
            <w:r>
              <w:rPr>
                <w:rFonts w:hint="eastAsia"/>
                <w:bCs/>
                <w:sz w:val="24"/>
              </w:rPr>
              <mc:AlternateContent>
                <mc:Choice Requires="wpc">
                  <w:drawing>
                    <wp:inline distT="0" distB="0" distL="0" distR="0">
                      <wp:extent cx="3962400" cy="5953125"/>
                      <wp:effectExtent l="0" t="0" r="0" b="9525"/>
                      <wp:docPr id="458303283" name="画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97305071" name="直接连接符 1897305071"/>
                              <wps:cNvCnPr/>
                              <wps:spPr>
                                <a:xfrm>
                                  <a:off x="466725" y="600075"/>
                                  <a:ext cx="0" cy="5181600"/>
                                </a:xfrm>
                                <a:prstGeom prst="line">
                                  <a:avLst/>
                                </a:prstGeom>
                              </wps:spPr>
                              <wps:style>
                                <a:lnRef idx="1">
                                  <a:schemeClr val="dk1"/>
                                </a:lnRef>
                                <a:fillRef idx="0">
                                  <a:schemeClr val="dk1"/>
                                </a:fillRef>
                                <a:effectRef idx="0">
                                  <a:schemeClr val="dk1"/>
                                </a:effectRef>
                                <a:fontRef idx="minor">
                                  <a:schemeClr val="tx1"/>
                                </a:fontRef>
                              </wps:style>
                              <wps:bodyPr/>
                            </wps:wsp>
                            <wps:wsp>
                              <wps:cNvPr id="280188889" name="直接箭头连接符 280188889"/>
                              <wps:cNvCnPr/>
                              <wps:spPr>
                                <a:xfrm>
                                  <a:off x="476250" y="600075"/>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17467873" name="文本框 917467873"/>
                              <wps:cNvSpPr txBox="1"/>
                              <wps:spPr>
                                <a:xfrm>
                                  <a:off x="866774" y="457200"/>
                                  <a:ext cx="733426" cy="276225"/>
                                </a:xfrm>
                                <a:prstGeom prst="rect">
                                  <a:avLst/>
                                </a:prstGeom>
                                <a:solidFill>
                                  <a:schemeClr val="lt1"/>
                                </a:solidFill>
                                <a:ln w="6350">
                                  <a:solidFill>
                                    <a:prstClr val="black"/>
                                  </a:solidFill>
                                </a:ln>
                              </wps:spPr>
                              <wps:txbx>
                                <w:txbxContent>
                                  <w:p>
                                    <w:pPr>
                                      <w:jc w:val="center"/>
                                    </w:pPr>
                                    <w:r>
                                      <w:rPr>
                                        <w:rFonts w:hint="eastAsia"/>
                                      </w:rPr>
                                      <w:t>门诊病人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6027963" name="直接箭头连接符 346027963"/>
                              <wps:cNvCnPr/>
                              <wps:spPr>
                                <a:xfrm>
                                  <a:off x="476250" y="1513500"/>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45569812" name="文本框 1"/>
                              <wps:cNvSpPr txBox="1"/>
                              <wps:spPr>
                                <a:xfrm>
                                  <a:off x="857250" y="1380150"/>
                                  <a:ext cx="733425" cy="276225"/>
                                </a:xfrm>
                                <a:prstGeom prst="rect">
                                  <a:avLst/>
                                </a:prstGeom>
                                <a:solidFill>
                                  <a:schemeClr val="lt1"/>
                                </a:solidFill>
                                <a:ln w="6350">
                                  <a:solidFill>
                                    <a:prstClr val="black"/>
                                  </a:solidFill>
                                </a:ln>
                              </wps:spPr>
                              <wps:txbx>
                                <w:txbxContent>
                                  <w:p>
                                    <w:pPr>
                                      <w:jc w:val="center"/>
                                      <w:rPr>
                                        <w:szCs w:val="21"/>
                                      </w:rPr>
                                    </w:pPr>
                                    <w:r>
                                      <w:rPr>
                                        <w:rFonts w:hint="eastAsia"/>
                                        <w:szCs w:val="21"/>
                                      </w:rPr>
                                      <w:t>住院病人</w:t>
                                    </w:r>
                                  </w:p>
                                </w:txbxContent>
                              </wps:txbx>
                              <wps:bodyPr rot="0" spcFirstLastPara="0" vert="horz" wrap="square" lIns="91440" tIns="45720" rIns="91440" bIns="45720" numCol="1" spcCol="0" rtlCol="0" fromWordArt="0" anchor="t" anchorCtr="0" forceAA="0" compatLnSpc="1">
                                <a:noAutofit/>
                              </wps:bodyPr>
                            </wps:wsp>
                            <wps:wsp>
                              <wps:cNvPr id="301995255" name="直接箭头连接符 301995255"/>
                              <wps:cNvCnPr/>
                              <wps:spPr>
                                <a:xfrm>
                                  <a:off x="476250" y="2398055"/>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5903147" name="直接箭头连接符 355903147"/>
                              <wps:cNvCnPr/>
                              <wps:spPr>
                                <a:xfrm flipV="1">
                                  <a:off x="1200150" y="352425"/>
                                  <a:ext cx="190500" cy="9525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248415451" name="直接箭头连接符 248415451"/>
                              <wps:cNvCnPr/>
                              <wps:spPr>
                                <a:xfrm flipV="1">
                                  <a:off x="1218225" y="1275375"/>
                                  <a:ext cx="190500" cy="9525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883516911" name="文本框 1"/>
                              <wps:cNvSpPr txBox="1"/>
                              <wps:spPr>
                                <a:xfrm>
                                  <a:off x="866774" y="2256450"/>
                                  <a:ext cx="733425" cy="276225"/>
                                </a:xfrm>
                                <a:prstGeom prst="rect">
                                  <a:avLst/>
                                </a:prstGeom>
                                <a:solidFill>
                                  <a:schemeClr val="lt1"/>
                                </a:solidFill>
                                <a:ln w="6350">
                                  <a:solidFill>
                                    <a:prstClr val="black"/>
                                  </a:solidFill>
                                </a:ln>
                              </wps:spPr>
                              <wps:txbx>
                                <w:txbxContent>
                                  <w:p>
                                    <w:pPr>
                                      <w:jc w:val="center"/>
                                      <w:rPr>
                                        <w:szCs w:val="21"/>
                                      </w:rPr>
                                    </w:pPr>
                                    <w:r>
                                      <w:rPr>
                                        <w:rFonts w:hint="eastAsia"/>
                                        <w:szCs w:val="21"/>
                                      </w:rPr>
                                      <w:t>医务人员</w:t>
                                    </w:r>
                                  </w:p>
                                </w:txbxContent>
                              </wps:txbx>
                              <wps:bodyPr rot="0" spcFirstLastPara="0" vert="horz" wrap="square" lIns="91440" tIns="45720" rIns="91440" bIns="45720" numCol="1" spcCol="0" rtlCol="0" fromWordArt="0" anchor="t" anchorCtr="0" forceAA="0" compatLnSpc="1">
                                <a:noAutofit/>
                              </wps:bodyPr>
                            </wps:wsp>
                            <wps:wsp>
                              <wps:cNvPr id="272706056" name="直接箭头连接符 272706056"/>
                              <wps:cNvCnPr/>
                              <wps:spPr>
                                <a:xfrm flipV="1">
                                  <a:off x="1200150" y="2151675"/>
                                  <a:ext cx="190500" cy="9525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546273113" name="直接箭头连接符 546273113"/>
                              <wps:cNvCnPr/>
                              <wps:spPr>
                                <a:xfrm>
                                  <a:off x="476250" y="3215935"/>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60611230" name="文本框 1"/>
                              <wps:cNvSpPr txBox="1"/>
                              <wps:spPr>
                                <a:xfrm>
                                  <a:off x="866775" y="3085125"/>
                                  <a:ext cx="733425" cy="276225"/>
                                </a:xfrm>
                                <a:prstGeom prst="rect">
                                  <a:avLst/>
                                </a:prstGeom>
                                <a:solidFill>
                                  <a:schemeClr val="lt1"/>
                                </a:solidFill>
                                <a:ln w="6350">
                                  <a:solidFill>
                                    <a:prstClr val="black"/>
                                  </a:solidFill>
                                </a:ln>
                              </wps:spPr>
                              <wps:txbx>
                                <w:txbxContent>
                                  <w:p>
                                    <w:pPr>
                                      <w:jc w:val="center"/>
                                      <w:rPr>
                                        <w:szCs w:val="21"/>
                                      </w:rPr>
                                    </w:pPr>
                                    <w:r>
                                      <w:rPr>
                                        <w:rFonts w:hint="eastAsia"/>
                                        <w:szCs w:val="21"/>
                                      </w:rPr>
                                      <w:t>地面保洁</w:t>
                                    </w:r>
                                  </w:p>
                                </w:txbxContent>
                              </wps:txbx>
                              <wps:bodyPr rot="0" spcFirstLastPara="0" vert="horz" wrap="square" lIns="91440" tIns="45720" rIns="91440" bIns="45720" numCol="1" spcCol="0" rtlCol="0" fromWordArt="0" anchor="t" anchorCtr="0" forceAA="0" compatLnSpc="1">
                                <a:noAutofit/>
                              </wps:bodyPr>
                            </wps:wsp>
                            <wps:wsp>
                              <wps:cNvPr id="570243055" name="直接箭头连接符 570243055"/>
                              <wps:cNvCnPr/>
                              <wps:spPr>
                                <a:xfrm>
                                  <a:off x="476250" y="4033815"/>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08321368" name="文本框 1"/>
                              <wps:cNvSpPr txBox="1"/>
                              <wps:spPr>
                                <a:xfrm>
                                  <a:off x="866774" y="3894750"/>
                                  <a:ext cx="733425" cy="276225"/>
                                </a:xfrm>
                                <a:prstGeom prst="rect">
                                  <a:avLst/>
                                </a:prstGeom>
                                <a:solidFill>
                                  <a:schemeClr val="lt1"/>
                                </a:solidFill>
                                <a:ln w="6350">
                                  <a:solidFill>
                                    <a:prstClr val="black"/>
                                  </a:solidFill>
                                </a:ln>
                              </wps:spPr>
                              <wps:txbx>
                                <w:txbxContent>
                                  <w:p>
                                    <w:pPr>
                                      <w:jc w:val="center"/>
                                      <w:rPr>
                                        <w:szCs w:val="21"/>
                                      </w:rPr>
                                    </w:pPr>
                                    <w:r>
                                      <w:rPr>
                                        <w:rFonts w:hint="eastAsia"/>
                                        <w:szCs w:val="21"/>
                                      </w:rPr>
                                      <w:t>洗衣房</w:t>
                                    </w:r>
                                  </w:p>
                                </w:txbxContent>
                              </wps:txbx>
                              <wps:bodyPr rot="0" spcFirstLastPara="0" vert="horz" wrap="square" lIns="91440" tIns="45720" rIns="91440" bIns="45720" numCol="1" spcCol="0" rtlCol="0" fromWordArt="0" anchor="t" anchorCtr="0" forceAA="0" compatLnSpc="1">
                                <a:noAutofit/>
                              </wps:bodyPr>
                            </wps:wsp>
                            <wps:wsp>
                              <wps:cNvPr id="1352738019" name="直接箭头连接符 1352738019"/>
                              <wps:cNvCnPr/>
                              <wps:spPr>
                                <a:xfrm flipV="1">
                                  <a:off x="1227750" y="3780450"/>
                                  <a:ext cx="190500" cy="9525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852778274" name="直接箭头连接符 852778274"/>
                              <wps:cNvCnPr/>
                              <wps:spPr>
                                <a:xfrm flipV="1">
                                  <a:off x="1200150" y="2980350"/>
                                  <a:ext cx="190500" cy="9525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645578585" name="文本框 1"/>
                              <wps:cNvSpPr txBox="1"/>
                              <wps:spPr>
                                <a:xfrm>
                                  <a:off x="322875" y="352425"/>
                                  <a:ext cx="620099" cy="276225"/>
                                </a:xfrm>
                                <a:prstGeom prst="rect">
                                  <a:avLst/>
                                </a:prstGeom>
                                <a:noFill/>
                                <a:ln w="6350">
                                  <a:noFill/>
                                </a:ln>
                              </wps:spPr>
                              <wps:txbx>
                                <w:txbxContent>
                                  <w:p>
                                    <w:pPr>
                                      <w:jc w:val="center"/>
                                      <w:rPr>
                                        <w:szCs w:val="21"/>
                                      </w:rPr>
                                    </w:pPr>
                                    <w:r>
                                      <w:rPr>
                                        <w:rFonts w:hint="eastAsia"/>
                                        <w:szCs w:val="21"/>
                                      </w:rPr>
                                      <w:t>4</w:t>
                                    </w:r>
                                    <w:r>
                                      <w:rPr>
                                        <w:szCs w:val="21"/>
                                      </w:rPr>
                                      <w:t>92.75</w:t>
                                    </w:r>
                                  </w:p>
                                </w:txbxContent>
                              </wps:txbx>
                              <wps:bodyPr rot="0" spcFirstLastPara="0" vert="horz" wrap="square" lIns="91440" tIns="45720" rIns="91440" bIns="45720" numCol="1" spcCol="0" rtlCol="0" fromWordArt="0" anchor="t" anchorCtr="0" forceAA="0" compatLnSpc="1">
                                <a:noAutofit/>
                              </wps:bodyPr>
                            </wps:wsp>
                            <wps:wsp>
                              <wps:cNvPr id="20979946" name="文本框 1"/>
                              <wps:cNvSpPr txBox="1"/>
                              <wps:spPr>
                                <a:xfrm>
                                  <a:off x="360975" y="1265850"/>
                                  <a:ext cx="619760" cy="276225"/>
                                </a:xfrm>
                                <a:prstGeom prst="rect">
                                  <a:avLst/>
                                </a:prstGeom>
                                <a:noFill/>
                                <a:ln w="6350">
                                  <a:noFill/>
                                </a:ln>
                              </wps:spPr>
                              <wps:txbx>
                                <w:txbxContent>
                                  <w:p>
                                    <w:pPr>
                                      <w:jc w:val="center"/>
                                      <w:rPr>
                                        <w:szCs w:val="21"/>
                                      </w:rPr>
                                    </w:pPr>
                                    <w:r>
                                      <w:rPr>
                                        <w:szCs w:val="21"/>
                                      </w:rPr>
                                      <w:t>6387.5</w:t>
                                    </w:r>
                                  </w:p>
                                </w:txbxContent>
                              </wps:txbx>
                              <wps:bodyPr rot="0" spcFirstLastPara="0" vert="horz" wrap="square" lIns="91440" tIns="45720" rIns="91440" bIns="45720" numCol="1" spcCol="0" rtlCol="0" fromWordArt="0" anchor="t" anchorCtr="0" forceAA="0" compatLnSpc="1">
                                <a:noAutofit/>
                              </wps:bodyPr>
                            </wps:wsp>
                            <wps:wsp>
                              <wps:cNvPr id="1430060967" name="文本框 1"/>
                              <wps:cNvSpPr txBox="1"/>
                              <wps:spPr>
                                <a:xfrm>
                                  <a:off x="360975" y="2161200"/>
                                  <a:ext cx="619760" cy="276225"/>
                                </a:xfrm>
                                <a:prstGeom prst="rect">
                                  <a:avLst/>
                                </a:prstGeom>
                                <a:noFill/>
                                <a:ln w="6350">
                                  <a:noFill/>
                                </a:ln>
                              </wps:spPr>
                              <wps:txbx>
                                <w:txbxContent>
                                  <w:p>
                                    <w:pPr>
                                      <w:jc w:val="center"/>
                                      <w:rPr>
                                        <w:szCs w:val="21"/>
                                      </w:rPr>
                                    </w:pPr>
                                    <w:r>
                                      <w:rPr>
                                        <w:szCs w:val="21"/>
                                      </w:rPr>
                                      <w:t>2737.5</w:t>
                                    </w:r>
                                  </w:p>
                                </w:txbxContent>
                              </wps:txbx>
                              <wps:bodyPr rot="0" spcFirstLastPara="0" vert="horz" wrap="square" lIns="91440" tIns="45720" rIns="91440" bIns="45720" numCol="1" spcCol="0" rtlCol="0" fromWordArt="0" anchor="t" anchorCtr="0" forceAA="0" compatLnSpc="1">
                                <a:noAutofit/>
                              </wps:bodyPr>
                            </wps:wsp>
                            <wps:wsp>
                              <wps:cNvPr id="967240361" name="文本框 1"/>
                              <wps:cNvSpPr txBox="1"/>
                              <wps:spPr>
                                <a:xfrm>
                                  <a:off x="360975" y="2951775"/>
                                  <a:ext cx="619760" cy="276225"/>
                                </a:xfrm>
                                <a:prstGeom prst="rect">
                                  <a:avLst/>
                                </a:prstGeom>
                                <a:noFill/>
                                <a:ln w="6350">
                                  <a:noFill/>
                                </a:ln>
                              </wps:spPr>
                              <wps:txbx>
                                <w:txbxContent>
                                  <w:p>
                                    <w:pPr>
                                      <w:jc w:val="center"/>
                                      <w:rPr>
                                        <w:szCs w:val="21"/>
                                      </w:rPr>
                                    </w:pPr>
                                    <w:r>
                                      <w:rPr>
                                        <w:szCs w:val="21"/>
                                      </w:rPr>
                                      <w:t>350.4</w:t>
                                    </w:r>
                                  </w:p>
                                </w:txbxContent>
                              </wps:txbx>
                              <wps:bodyPr rot="0" spcFirstLastPara="0" vert="horz" wrap="square" lIns="91440" tIns="45720" rIns="91440" bIns="45720" numCol="1" spcCol="0" rtlCol="0" fromWordArt="0" anchor="t" anchorCtr="0" forceAA="0" compatLnSpc="1">
                                <a:noAutofit/>
                              </wps:bodyPr>
                            </wps:wsp>
                            <wps:wsp>
                              <wps:cNvPr id="658657523" name="文本框 1"/>
                              <wps:cNvSpPr txBox="1"/>
                              <wps:spPr>
                                <a:xfrm>
                                  <a:off x="360975" y="3780450"/>
                                  <a:ext cx="619760" cy="276225"/>
                                </a:xfrm>
                                <a:prstGeom prst="rect">
                                  <a:avLst/>
                                </a:prstGeom>
                                <a:noFill/>
                                <a:ln w="6350">
                                  <a:noFill/>
                                </a:ln>
                              </wps:spPr>
                              <wps:txbx>
                                <w:txbxContent>
                                  <w:p>
                                    <w:pPr>
                                      <w:jc w:val="center"/>
                                      <w:rPr>
                                        <w:szCs w:val="21"/>
                                      </w:rPr>
                                    </w:pPr>
                                    <w:r>
                                      <w:rPr>
                                        <w:szCs w:val="21"/>
                                      </w:rPr>
                                      <w:t>2044</w:t>
                                    </w:r>
                                  </w:p>
                                </w:txbxContent>
                              </wps:txbx>
                              <wps:bodyPr rot="0" spcFirstLastPara="0" vert="horz" wrap="square" lIns="91440" tIns="45720" rIns="91440" bIns="45720" numCol="1" spcCol="0" rtlCol="0" fromWordArt="0" anchor="t" anchorCtr="0" forceAA="0" compatLnSpc="1">
                                <a:noAutofit/>
                              </wps:bodyPr>
                            </wps:wsp>
                            <wps:wsp>
                              <wps:cNvPr id="1820063679" name="文本框 1"/>
                              <wps:cNvSpPr txBox="1"/>
                              <wps:spPr>
                                <a:xfrm>
                                  <a:off x="789600" y="76200"/>
                                  <a:ext cx="1001100" cy="276225"/>
                                </a:xfrm>
                                <a:prstGeom prst="rect">
                                  <a:avLst/>
                                </a:prstGeom>
                                <a:noFill/>
                                <a:ln w="6350">
                                  <a:noFill/>
                                </a:ln>
                              </wps:spPr>
                              <wps:txbx>
                                <w:txbxContent>
                                  <w:p>
                                    <w:pPr>
                                      <w:jc w:val="center"/>
                                      <w:rPr>
                                        <w:szCs w:val="21"/>
                                      </w:rPr>
                                    </w:pPr>
                                    <w:r>
                                      <w:rPr>
                                        <w:rFonts w:hint="eastAsia"/>
                                        <w:szCs w:val="21"/>
                                      </w:rPr>
                                      <w:t>损耗</w:t>
                                    </w:r>
                                    <w:r>
                                      <w:rPr>
                                        <w:szCs w:val="21"/>
                                      </w:rPr>
                                      <w:t>98.55</w:t>
                                    </w:r>
                                  </w:p>
                                </w:txbxContent>
                              </wps:txbx>
                              <wps:bodyPr rot="0" spcFirstLastPara="0" vert="horz" wrap="square" lIns="91440" tIns="45720" rIns="91440" bIns="45720" numCol="1" spcCol="0" rtlCol="0" fromWordArt="0" anchor="t" anchorCtr="0" forceAA="0" compatLnSpc="1">
                                <a:noAutofit/>
                              </wps:bodyPr>
                            </wps:wsp>
                            <wps:wsp>
                              <wps:cNvPr id="662213453" name="文本框 1"/>
                              <wps:cNvSpPr txBox="1"/>
                              <wps:spPr>
                                <a:xfrm>
                                  <a:off x="789600" y="1008675"/>
                                  <a:ext cx="1000760" cy="276225"/>
                                </a:xfrm>
                                <a:prstGeom prst="rect">
                                  <a:avLst/>
                                </a:prstGeom>
                                <a:noFill/>
                                <a:ln w="6350">
                                  <a:noFill/>
                                </a:ln>
                              </wps:spPr>
                              <wps:txbx>
                                <w:txbxContent>
                                  <w:p>
                                    <w:pPr>
                                      <w:jc w:val="center"/>
                                      <w:rPr>
                                        <w:szCs w:val="21"/>
                                      </w:rPr>
                                    </w:pPr>
                                    <w:r>
                                      <w:rPr>
                                        <w:rFonts w:hint="eastAsia"/>
                                        <w:szCs w:val="21"/>
                                      </w:rPr>
                                      <w:t>损耗</w:t>
                                    </w:r>
                                    <w:r>
                                      <w:rPr>
                                        <w:szCs w:val="21"/>
                                      </w:rPr>
                                      <w:t>1277.5</w:t>
                                    </w:r>
                                  </w:p>
                                </w:txbxContent>
                              </wps:txbx>
                              <wps:bodyPr rot="0" spcFirstLastPara="0" vert="horz" wrap="square" lIns="91440" tIns="45720" rIns="91440" bIns="45720" numCol="1" spcCol="0" rtlCol="0" fromWordArt="0" anchor="t" anchorCtr="0" forceAA="0" compatLnSpc="1">
                                <a:noAutofit/>
                              </wps:bodyPr>
                            </wps:wsp>
                            <wps:wsp>
                              <wps:cNvPr id="2128553204" name="文本框 1"/>
                              <wps:cNvSpPr txBox="1"/>
                              <wps:spPr>
                                <a:xfrm>
                                  <a:off x="808650" y="1904025"/>
                                  <a:ext cx="1000760" cy="276225"/>
                                </a:xfrm>
                                <a:prstGeom prst="rect">
                                  <a:avLst/>
                                </a:prstGeom>
                                <a:noFill/>
                                <a:ln w="6350">
                                  <a:noFill/>
                                </a:ln>
                              </wps:spPr>
                              <wps:txbx>
                                <w:txbxContent>
                                  <w:p>
                                    <w:pPr>
                                      <w:jc w:val="center"/>
                                      <w:rPr>
                                        <w:szCs w:val="21"/>
                                      </w:rPr>
                                    </w:pPr>
                                    <w:r>
                                      <w:rPr>
                                        <w:rFonts w:hint="eastAsia"/>
                                        <w:szCs w:val="21"/>
                                      </w:rPr>
                                      <w:t>损耗</w:t>
                                    </w:r>
                                    <w:r>
                                      <w:rPr>
                                        <w:szCs w:val="21"/>
                                      </w:rPr>
                                      <w:t>547.5</w:t>
                                    </w:r>
                                  </w:p>
                                </w:txbxContent>
                              </wps:txbx>
                              <wps:bodyPr rot="0" spcFirstLastPara="0" vert="horz" wrap="square" lIns="91440" tIns="45720" rIns="91440" bIns="45720" numCol="1" spcCol="0" rtlCol="0" fromWordArt="0" anchor="t" anchorCtr="0" forceAA="0" compatLnSpc="1">
                                <a:noAutofit/>
                              </wps:bodyPr>
                            </wps:wsp>
                            <wps:wsp>
                              <wps:cNvPr id="910028538" name="文本框 1"/>
                              <wps:cNvSpPr txBox="1"/>
                              <wps:spPr>
                                <a:xfrm>
                                  <a:off x="847725" y="3532800"/>
                                  <a:ext cx="1000760" cy="276225"/>
                                </a:xfrm>
                                <a:prstGeom prst="rect">
                                  <a:avLst/>
                                </a:prstGeom>
                                <a:noFill/>
                                <a:ln w="6350">
                                  <a:noFill/>
                                </a:ln>
                              </wps:spPr>
                              <wps:txbx>
                                <w:txbxContent>
                                  <w:p>
                                    <w:pPr>
                                      <w:jc w:val="center"/>
                                      <w:rPr>
                                        <w:szCs w:val="21"/>
                                      </w:rPr>
                                    </w:pPr>
                                    <w:r>
                                      <w:rPr>
                                        <w:rFonts w:hint="eastAsia"/>
                                        <w:szCs w:val="21"/>
                                      </w:rPr>
                                      <w:t>损耗</w:t>
                                    </w:r>
                                    <w:r>
                                      <w:rPr>
                                        <w:szCs w:val="21"/>
                                      </w:rPr>
                                      <w:t>408.8</w:t>
                                    </w:r>
                                  </w:p>
                                </w:txbxContent>
                              </wps:txbx>
                              <wps:bodyPr rot="0" spcFirstLastPara="0" vert="horz" wrap="square" lIns="91440" tIns="45720" rIns="91440" bIns="45720" numCol="1" spcCol="0" rtlCol="0" fromWordArt="0" anchor="t" anchorCtr="0" forceAA="0" compatLnSpc="1">
                                <a:noAutofit/>
                              </wps:bodyPr>
                            </wps:wsp>
                            <wps:wsp>
                              <wps:cNvPr id="1434428279" name="文本框 1"/>
                              <wps:cNvSpPr txBox="1"/>
                              <wps:spPr>
                                <a:xfrm>
                                  <a:off x="837225" y="2723175"/>
                                  <a:ext cx="1000760" cy="276225"/>
                                </a:xfrm>
                                <a:prstGeom prst="rect">
                                  <a:avLst/>
                                </a:prstGeom>
                                <a:noFill/>
                                <a:ln w="6350">
                                  <a:noFill/>
                                </a:ln>
                              </wps:spPr>
                              <wps:txbx>
                                <w:txbxContent>
                                  <w:p>
                                    <w:pPr>
                                      <w:jc w:val="center"/>
                                      <w:rPr>
                                        <w:szCs w:val="21"/>
                                      </w:rPr>
                                    </w:pPr>
                                    <w:r>
                                      <w:rPr>
                                        <w:rFonts w:hint="eastAsia"/>
                                        <w:szCs w:val="21"/>
                                      </w:rPr>
                                      <w:t>损耗</w:t>
                                    </w:r>
                                    <w:r>
                                      <w:rPr>
                                        <w:szCs w:val="21"/>
                                      </w:rPr>
                                      <w:t>69.3</w:t>
                                    </w:r>
                                  </w:p>
                                </w:txbxContent>
                              </wps:txbx>
                              <wps:bodyPr rot="0" spcFirstLastPara="0" vert="horz" wrap="square" lIns="91440" tIns="45720" rIns="91440" bIns="45720" numCol="1" spcCol="0" rtlCol="0" fromWordArt="0" anchor="t" anchorCtr="0" forceAA="0" compatLnSpc="1">
                                <a:noAutofit/>
                              </wps:bodyPr>
                            </wps:wsp>
                            <wps:wsp>
                              <wps:cNvPr id="593203439" name="直接连接符 593203439"/>
                              <wps:cNvCnPr/>
                              <wps:spPr>
                                <a:xfrm>
                                  <a:off x="1600200" y="589575"/>
                                  <a:ext cx="857250" cy="0"/>
                                </a:xfrm>
                                <a:prstGeom prst="line">
                                  <a:avLst/>
                                </a:prstGeom>
                              </wps:spPr>
                              <wps:style>
                                <a:lnRef idx="1">
                                  <a:schemeClr val="dk1"/>
                                </a:lnRef>
                                <a:fillRef idx="0">
                                  <a:schemeClr val="dk1"/>
                                </a:fillRef>
                                <a:effectRef idx="0">
                                  <a:schemeClr val="dk1"/>
                                </a:effectRef>
                                <a:fontRef idx="minor">
                                  <a:schemeClr val="tx1"/>
                                </a:fontRef>
                              </wps:style>
                              <wps:bodyPr/>
                            </wps:wsp>
                            <wps:wsp>
                              <wps:cNvPr id="1522301743" name="直接连接符 1522301743"/>
                              <wps:cNvCnPr/>
                              <wps:spPr>
                                <a:xfrm>
                                  <a:off x="1600200" y="1523025"/>
                                  <a:ext cx="857250" cy="0"/>
                                </a:xfrm>
                                <a:prstGeom prst="line">
                                  <a:avLst/>
                                </a:prstGeom>
                              </wps:spPr>
                              <wps:style>
                                <a:lnRef idx="1">
                                  <a:schemeClr val="dk1"/>
                                </a:lnRef>
                                <a:fillRef idx="0">
                                  <a:schemeClr val="dk1"/>
                                </a:fillRef>
                                <a:effectRef idx="0">
                                  <a:schemeClr val="dk1"/>
                                </a:effectRef>
                                <a:fontRef idx="minor">
                                  <a:schemeClr val="tx1"/>
                                </a:fontRef>
                              </wps:style>
                              <wps:bodyPr/>
                            </wps:wsp>
                            <wps:wsp>
                              <wps:cNvPr id="1471401608" name="直接连接符 1471401608"/>
                              <wps:cNvCnPr/>
                              <wps:spPr>
                                <a:xfrm>
                                  <a:off x="1600200" y="2386285"/>
                                  <a:ext cx="857250" cy="0"/>
                                </a:xfrm>
                                <a:prstGeom prst="line">
                                  <a:avLst/>
                                </a:prstGeom>
                              </wps:spPr>
                              <wps:style>
                                <a:lnRef idx="1">
                                  <a:schemeClr val="dk1"/>
                                </a:lnRef>
                                <a:fillRef idx="0">
                                  <a:schemeClr val="dk1"/>
                                </a:fillRef>
                                <a:effectRef idx="0">
                                  <a:schemeClr val="dk1"/>
                                </a:effectRef>
                                <a:fontRef idx="minor">
                                  <a:schemeClr val="tx1"/>
                                </a:fontRef>
                              </wps:style>
                              <wps:bodyPr/>
                            </wps:wsp>
                            <wps:wsp>
                              <wps:cNvPr id="1765869456" name="直接连接符 1765869456"/>
                              <wps:cNvCnPr/>
                              <wps:spPr>
                                <a:xfrm flipV="1">
                                  <a:off x="2466975" y="590550"/>
                                  <a:ext cx="0" cy="1819275"/>
                                </a:xfrm>
                                <a:prstGeom prst="line">
                                  <a:avLst/>
                                </a:prstGeom>
                              </wps:spPr>
                              <wps:style>
                                <a:lnRef idx="1">
                                  <a:schemeClr val="dk1"/>
                                </a:lnRef>
                                <a:fillRef idx="0">
                                  <a:schemeClr val="dk1"/>
                                </a:fillRef>
                                <a:effectRef idx="0">
                                  <a:schemeClr val="dk1"/>
                                </a:effectRef>
                                <a:fontRef idx="minor">
                                  <a:schemeClr val="tx1"/>
                                </a:fontRef>
                              </wps:style>
                              <wps:bodyPr/>
                            </wps:wsp>
                            <wps:wsp>
                              <wps:cNvPr id="2019263540" name="直接箭头连接符 2019263540"/>
                              <wps:cNvCnPr/>
                              <wps:spPr>
                                <a:xfrm>
                                  <a:off x="2447925" y="1523025"/>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1198786" name="文本框 1"/>
                              <wps:cNvSpPr txBox="1"/>
                              <wps:spPr>
                                <a:xfrm>
                                  <a:off x="2876550" y="1388700"/>
                                  <a:ext cx="600075" cy="276225"/>
                                </a:xfrm>
                                <a:prstGeom prst="rect">
                                  <a:avLst/>
                                </a:prstGeom>
                                <a:solidFill>
                                  <a:schemeClr val="lt1"/>
                                </a:solidFill>
                                <a:ln w="6350">
                                  <a:solidFill>
                                    <a:prstClr val="black"/>
                                  </a:solidFill>
                                </a:ln>
                              </wps:spPr>
                              <wps:txbx>
                                <w:txbxContent>
                                  <w:p>
                                    <w:pPr>
                                      <w:jc w:val="center"/>
                                      <w:rPr>
                                        <w:szCs w:val="21"/>
                                      </w:rPr>
                                    </w:pPr>
                                    <w:r>
                                      <w:rPr>
                                        <w:rFonts w:hint="eastAsia"/>
                                        <w:szCs w:val="21"/>
                                      </w:rPr>
                                      <w:t>化粪池</w:t>
                                    </w:r>
                                  </w:p>
                                </w:txbxContent>
                              </wps:txbx>
                              <wps:bodyPr rot="0" spcFirstLastPara="0" vert="horz" wrap="square" lIns="91440" tIns="45720" rIns="91440" bIns="45720" numCol="1" spcCol="0" rtlCol="0" fromWordArt="0" anchor="t" anchorCtr="0" forceAA="0" compatLnSpc="1">
                                <a:noAutofit/>
                              </wps:bodyPr>
                            </wps:wsp>
                            <wps:wsp>
                              <wps:cNvPr id="1502545080" name="文本框 1"/>
                              <wps:cNvSpPr txBox="1"/>
                              <wps:spPr>
                                <a:xfrm>
                                  <a:off x="2608875" y="4694850"/>
                                  <a:ext cx="1153500" cy="276225"/>
                                </a:xfrm>
                                <a:prstGeom prst="rect">
                                  <a:avLst/>
                                </a:prstGeom>
                                <a:solidFill>
                                  <a:schemeClr val="lt1"/>
                                </a:solidFill>
                                <a:ln w="6350">
                                  <a:solidFill>
                                    <a:prstClr val="black"/>
                                  </a:solidFill>
                                </a:ln>
                              </wps:spPr>
                              <wps:txbx>
                                <w:txbxContent>
                                  <w:p>
                                    <w:pPr>
                                      <w:jc w:val="center"/>
                                      <w:rPr>
                                        <w:szCs w:val="21"/>
                                      </w:rPr>
                                    </w:pPr>
                                    <w:r>
                                      <w:rPr>
                                        <w:rFonts w:hint="eastAsia"/>
                                        <w:szCs w:val="21"/>
                                      </w:rPr>
                                      <w:t>自建污水处理站</w:t>
                                    </w:r>
                                  </w:p>
                                </w:txbxContent>
                              </wps:txbx>
                              <wps:bodyPr rot="0" spcFirstLastPara="0" vert="horz" wrap="square" lIns="91440" tIns="45720" rIns="91440" bIns="45720" numCol="1" spcCol="0" rtlCol="0" fromWordArt="0" anchor="t" anchorCtr="0" forceAA="0" compatLnSpc="1">
                                <a:noAutofit/>
                              </wps:bodyPr>
                            </wps:wsp>
                            <wps:wsp>
                              <wps:cNvPr id="484325272" name="直接箭头连接符 484325272"/>
                              <wps:cNvCnPr/>
                              <wps:spPr>
                                <a:xfrm>
                                  <a:off x="3171825" y="1664925"/>
                                  <a:ext cx="0" cy="3021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84699285" name="直接连接符 1084699285"/>
                              <wps:cNvCnPr/>
                              <wps:spPr>
                                <a:xfrm>
                                  <a:off x="1590675" y="3228000"/>
                                  <a:ext cx="1571625" cy="0"/>
                                </a:xfrm>
                                <a:prstGeom prst="line">
                                  <a:avLst/>
                                </a:prstGeom>
                              </wps:spPr>
                              <wps:style>
                                <a:lnRef idx="1">
                                  <a:schemeClr val="dk1"/>
                                </a:lnRef>
                                <a:fillRef idx="0">
                                  <a:schemeClr val="dk1"/>
                                </a:fillRef>
                                <a:effectRef idx="0">
                                  <a:schemeClr val="dk1"/>
                                </a:effectRef>
                                <a:fontRef idx="minor">
                                  <a:schemeClr val="tx1"/>
                                </a:fontRef>
                              </wps:style>
                              <wps:bodyPr/>
                            </wps:wsp>
                            <wps:wsp>
                              <wps:cNvPr id="1947069391" name="直接连接符 1947069391"/>
                              <wps:cNvCnPr/>
                              <wps:spPr>
                                <a:xfrm>
                                  <a:off x="1600199" y="4033815"/>
                                  <a:ext cx="1571625" cy="0"/>
                                </a:xfrm>
                                <a:prstGeom prst="line">
                                  <a:avLst/>
                                </a:prstGeom>
                              </wps:spPr>
                              <wps:style>
                                <a:lnRef idx="1">
                                  <a:schemeClr val="dk1"/>
                                </a:lnRef>
                                <a:fillRef idx="0">
                                  <a:schemeClr val="dk1"/>
                                </a:fillRef>
                                <a:effectRef idx="0">
                                  <a:schemeClr val="dk1"/>
                                </a:effectRef>
                                <a:fontRef idx="minor">
                                  <a:schemeClr val="tx1"/>
                                </a:fontRef>
                              </wps:style>
                              <wps:bodyPr/>
                            </wps:wsp>
                            <wps:wsp>
                              <wps:cNvPr id="39169493" name="直接箭头连接符 39169493"/>
                              <wps:cNvCnPr/>
                              <wps:spPr>
                                <a:xfrm>
                                  <a:off x="3181350" y="4971075"/>
                                  <a:ext cx="0" cy="41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97617686" name="文本框 1"/>
                              <wps:cNvSpPr txBox="1"/>
                              <wps:spPr>
                                <a:xfrm>
                                  <a:off x="2618400" y="5391150"/>
                                  <a:ext cx="1153160" cy="276225"/>
                                </a:xfrm>
                                <a:prstGeom prst="rect">
                                  <a:avLst/>
                                </a:prstGeom>
                                <a:solidFill>
                                  <a:schemeClr val="lt1"/>
                                </a:solidFill>
                                <a:ln w="6350">
                                  <a:solidFill>
                                    <a:prstClr val="black"/>
                                  </a:solidFill>
                                </a:ln>
                              </wps:spPr>
                              <wps:txbx>
                                <w:txbxContent>
                                  <w:p>
                                    <w:pPr>
                                      <w:jc w:val="center"/>
                                      <w:rPr>
                                        <w:szCs w:val="21"/>
                                      </w:rPr>
                                    </w:pPr>
                                    <w:r>
                                      <w:rPr>
                                        <w:rFonts w:hint="eastAsia"/>
                                        <w:szCs w:val="21"/>
                                      </w:rPr>
                                      <w:t>澧县污水处理厂</w:t>
                                    </w:r>
                                  </w:p>
                                </w:txbxContent>
                              </wps:txbx>
                              <wps:bodyPr rot="0" spcFirstLastPara="0" vert="horz" wrap="square" lIns="91440" tIns="45720" rIns="91440" bIns="45720" numCol="1" spcCol="0" rtlCol="0" fromWordArt="0" anchor="t" anchorCtr="0" forceAA="0" compatLnSpc="1">
                                <a:noAutofit/>
                              </wps:bodyPr>
                            </wps:wsp>
                            <wps:wsp>
                              <wps:cNvPr id="23898798" name="文本框 1"/>
                              <wps:cNvSpPr txBox="1"/>
                              <wps:spPr>
                                <a:xfrm>
                                  <a:off x="1742100" y="352425"/>
                                  <a:ext cx="619760" cy="276225"/>
                                </a:xfrm>
                                <a:prstGeom prst="rect">
                                  <a:avLst/>
                                </a:prstGeom>
                                <a:noFill/>
                                <a:ln w="6350">
                                  <a:noFill/>
                                </a:ln>
                              </wps:spPr>
                              <wps:txbx>
                                <w:txbxContent>
                                  <w:p>
                                    <w:pPr>
                                      <w:jc w:val="center"/>
                                      <w:rPr>
                                        <w:szCs w:val="21"/>
                                      </w:rPr>
                                    </w:pPr>
                                    <w:r>
                                      <w:rPr>
                                        <w:szCs w:val="21"/>
                                      </w:rPr>
                                      <w:t>394.2</w:t>
                                    </w:r>
                                  </w:p>
                                </w:txbxContent>
                              </wps:txbx>
                              <wps:bodyPr rot="0" spcFirstLastPara="0" vert="horz" wrap="square" lIns="91440" tIns="45720" rIns="91440" bIns="45720" numCol="1" spcCol="0" rtlCol="0" fromWordArt="0" anchor="t" anchorCtr="0" forceAA="0" compatLnSpc="1">
                                <a:noAutofit/>
                              </wps:bodyPr>
                            </wps:wsp>
                            <wps:wsp>
                              <wps:cNvPr id="834231639" name="文本框 1"/>
                              <wps:cNvSpPr txBox="1"/>
                              <wps:spPr>
                                <a:xfrm>
                                  <a:off x="1809410" y="1275375"/>
                                  <a:ext cx="619760" cy="276225"/>
                                </a:xfrm>
                                <a:prstGeom prst="rect">
                                  <a:avLst/>
                                </a:prstGeom>
                                <a:noFill/>
                                <a:ln w="6350">
                                  <a:noFill/>
                                </a:ln>
                              </wps:spPr>
                              <wps:txbx>
                                <w:txbxContent>
                                  <w:p>
                                    <w:pPr>
                                      <w:jc w:val="center"/>
                                      <w:rPr>
                                        <w:szCs w:val="21"/>
                                      </w:rPr>
                                    </w:pPr>
                                    <w:r>
                                      <w:rPr>
                                        <w:szCs w:val="21"/>
                                      </w:rPr>
                                      <w:t>5110</w:t>
                                    </w:r>
                                  </w:p>
                                </w:txbxContent>
                              </wps:txbx>
                              <wps:bodyPr rot="0" spcFirstLastPara="0" vert="horz" wrap="square" lIns="91440" tIns="45720" rIns="91440" bIns="45720" numCol="1" spcCol="0" rtlCol="0" fromWordArt="0" anchor="t" anchorCtr="0" forceAA="0" compatLnSpc="1">
                                <a:noAutofit/>
                              </wps:bodyPr>
                            </wps:wsp>
                            <wps:wsp>
                              <wps:cNvPr id="333925591" name="文本框 1"/>
                              <wps:cNvSpPr txBox="1"/>
                              <wps:spPr>
                                <a:xfrm>
                                  <a:off x="1865925" y="2151675"/>
                                  <a:ext cx="619760" cy="276225"/>
                                </a:xfrm>
                                <a:prstGeom prst="rect">
                                  <a:avLst/>
                                </a:prstGeom>
                                <a:noFill/>
                                <a:ln w="6350">
                                  <a:noFill/>
                                </a:ln>
                              </wps:spPr>
                              <wps:txbx>
                                <w:txbxContent>
                                  <w:p>
                                    <w:pPr>
                                      <w:jc w:val="center"/>
                                      <w:rPr>
                                        <w:szCs w:val="21"/>
                                      </w:rPr>
                                    </w:pPr>
                                    <w:r>
                                      <w:rPr>
                                        <w:szCs w:val="21"/>
                                      </w:rPr>
                                      <w:t>2190</w:t>
                                    </w:r>
                                  </w:p>
                                </w:txbxContent>
                              </wps:txbx>
                              <wps:bodyPr rot="0" spcFirstLastPara="0" vert="horz" wrap="square" lIns="91440" tIns="45720" rIns="91440" bIns="45720" numCol="1" spcCol="0" rtlCol="0" fromWordArt="0" anchor="t" anchorCtr="0" forceAA="0" compatLnSpc="1">
                                <a:noAutofit/>
                              </wps:bodyPr>
                            </wps:wsp>
                            <wps:wsp>
                              <wps:cNvPr id="710845980" name="文本框 1"/>
                              <wps:cNvSpPr txBox="1"/>
                              <wps:spPr>
                                <a:xfrm>
                                  <a:off x="2046900" y="3008925"/>
                                  <a:ext cx="619760" cy="276225"/>
                                </a:xfrm>
                                <a:prstGeom prst="rect">
                                  <a:avLst/>
                                </a:prstGeom>
                                <a:noFill/>
                                <a:ln w="6350">
                                  <a:noFill/>
                                </a:ln>
                              </wps:spPr>
                              <wps:txbx>
                                <w:txbxContent>
                                  <w:p>
                                    <w:pPr>
                                      <w:jc w:val="center"/>
                                      <w:rPr>
                                        <w:szCs w:val="21"/>
                                      </w:rPr>
                                    </w:pPr>
                                    <w:r>
                                      <w:rPr>
                                        <w:szCs w:val="21"/>
                                      </w:rPr>
                                      <w:t>281.1</w:t>
                                    </w:r>
                                  </w:p>
                                </w:txbxContent>
                              </wps:txbx>
                              <wps:bodyPr rot="0" spcFirstLastPara="0" vert="horz" wrap="square" lIns="91440" tIns="45720" rIns="91440" bIns="45720" numCol="1" spcCol="0" rtlCol="0" fromWordArt="0" anchor="t" anchorCtr="0" forceAA="0" compatLnSpc="1">
                                <a:noAutofit/>
                              </wps:bodyPr>
                            </wps:wsp>
                            <wps:wsp>
                              <wps:cNvPr id="1258381275" name="文本框 1"/>
                              <wps:cNvSpPr txBox="1"/>
                              <wps:spPr>
                                <a:xfrm>
                                  <a:off x="2094525" y="3789975"/>
                                  <a:ext cx="619760" cy="276225"/>
                                </a:xfrm>
                                <a:prstGeom prst="rect">
                                  <a:avLst/>
                                </a:prstGeom>
                                <a:noFill/>
                                <a:ln w="6350">
                                  <a:noFill/>
                                </a:ln>
                              </wps:spPr>
                              <wps:txbx>
                                <w:txbxContent>
                                  <w:p>
                                    <w:pPr>
                                      <w:jc w:val="center"/>
                                      <w:rPr>
                                        <w:szCs w:val="21"/>
                                      </w:rPr>
                                    </w:pPr>
                                    <w:r>
                                      <w:rPr>
                                        <w:szCs w:val="21"/>
                                      </w:rPr>
                                      <w:t>1635.2</w:t>
                                    </w:r>
                                  </w:p>
                                </w:txbxContent>
                              </wps:txbx>
                              <wps:bodyPr rot="0" spcFirstLastPara="0" vert="horz" wrap="square" lIns="91440" tIns="45720" rIns="91440" bIns="45720" numCol="1" spcCol="0" rtlCol="0" fromWordArt="0" anchor="t" anchorCtr="0" forceAA="0" compatLnSpc="1">
                                <a:noAutofit/>
                              </wps:bodyPr>
                            </wps:wsp>
                            <wps:wsp>
                              <wps:cNvPr id="1886186853" name="文本框 1"/>
                              <wps:cNvSpPr txBox="1"/>
                              <wps:spPr>
                                <a:xfrm>
                                  <a:off x="3113700" y="4237650"/>
                                  <a:ext cx="619760" cy="276225"/>
                                </a:xfrm>
                                <a:prstGeom prst="rect">
                                  <a:avLst/>
                                </a:prstGeom>
                                <a:noFill/>
                                <a:ln w="6350">
                                  <a:noFill/>
                                </a:ln>
                              </wps:spPr>
                              <wps:txbx>
                                <w:txbxContent>
                                  <w:p>
                                    <w:pPr>
                                      <w:jc w:val="center"/>
                                      <w:rPr>
                                        <w:szCs w:val="21"/>
                                      </w:rPr>
                                    </w:pPr>
                                    <w:r>
                                      <w:rPr>
                                        <w:szCs w:val="21"/>
                                      </w:rPr>
                                      <w:t>9610.5</w:t>
                                    </w:r>
                                  </w:p>
                                </w:txbxContent>
                              </wps:txbx>
                              <wps:bodyPr rot="0" spcFirstLastPara="0" vert="horz" wrap="square" lIns="91440" tIns="45720" rIns="91440" bIns="45720" numCol="1" spcCol="0" rtlCol="0" fromWordArt="0" anchor="t" anchorCtr="0" forceAA="0" compatLnSpc="1">
                                <a:noAutofit/>
                              </wps:bodyPr>
                            </wps:wsp>
                            <wps:wsp>
                              <wps:cNvPr id="302440583" name="文本框 1"/>
                              <wps:cNvSpPr txBox="1"/>
                              <wps:spPr>
                                <a:xfrm>
                                  <a:off x="513374" y="5505450"/>
                                  <a:ext cx="1324611" cy="276225"/>
                                </a:xfrm>
                                <a:prstGeom prst="rect">
                                  <a:avLst/>
                                </a:prstGeom>
                                <a:noFill/>
                                <a:ln w="6350">
                                  <a:noFill/>
                                </a:ln>
                              </wps:spPr>
                              <wps:txbx>
                                <w:txbxContent>
                                  <w:p>
                                    <w:pPr>
                                      <w:jc w:val="center"/>
                                      <w:rPr>
                                        <w:szCs w:val="21"/>
                                      </w:rPr>
                                    </w:pPr>
                                    <w:r>
                                      <w:rPr>
                                        <w:rFonts w:hint="eastAsia"/>
                                        <w:szCs w:val="21"/>
                                      </w:rPr>
                                      <w:t>新鲜水</w:t>
                                    </w:r>
                                    <w:r>
                                      <w:rPr>
                                        <w:szCs w:val="21"/>
                                      </w:rPr>
                                      <w:t>12012.15</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w:pict>
                    <v:group id="画布 7" o:spid="_x0000_s1026" o:spt="203" style="height:468.75pt;width:312pt;" coordsize="3962401,5953125" editas="canvas" o:gfxdata="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">
                      <o:lock v:ext="edit" aspectratio="f"/>
                      <v:shape id="画布 7" o:spid="_x0000_s1026" style="position:absolute;left:0;top:0;height:5953125;width:3962401;" fillcolor="#FFFFFF" filled="t" stroked="f" coordsize="21600,21600" o:gfxdata="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">
                        <v:fill on="t" focussize="0,0"/>
                        <v:stroke on="f"/>
                        <v:imagedata o:title=""/>
                        <o:lock v:ext="edit" aspectratio="t"/>
                      </v:shape>
                      <v:line id="_x0000_s1026" o:spid="_x0000_s1026" o:spt="20" style="position:absolute;left:466725;top:600075;height:5181600;width:0;" filled="f" stroked="t" coordsize="21600,21600" o:gfxdata="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cpFt9QAAAAFAQAADwAAAAAAAAABACAAAAAiAAAAZHJzL2Rvd25yZXYueG1sUEsBAhQA&#10;FAAAAAgAh07iQP2nPeb2AQAAzQMAAA4AAAAAAAAAAQAgAAAAIwEAAGRycy9lMm9Eb2MueG1sUEsF&#10;BgAAAAAGAAYAWQEAAIsFAAAAAA==&#10;">
                        <v:fill on="f" focussize="0,0"/>
                        <v:stroke weight="0.5pt" color="#000000 [3200]" miterlimit="8" joinstyle="miter"/>
                        <v:imagedata o:title=""/>
                        <o:lock v:ext="edit" aspectratio="f"/>
                      </v:line>
                      <v:shape id="_x0000_s1026" o:spid="_x0000_s1026" o:spt="32" type="#_x0000_t32" style="position:absolute;left:476250;top:600075;height:0;width:371475;" filled="f" stroked="t" coordsize="21600,21600" o:gfxdata="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9606NQAAAAFAQAADwAAAAAA&#10;AAABACAAAAAiAAAAZHJzL2Rvd25yZXYueG1sUEsBAhQAFAAAAAgAh07iQAvJndEXAgAA+gMAAA4A&#10;AAAAAAAAAQAgAAAAIwEAAGRycy9lMm9Eb2MueG1sUEsFBgAAAAAGAAYAWQEAAKwFAAAAAA==&#10;">
                        <v:fill on="f" focussize="0,0"/>
                        <v:stroke weight="0.5pt" color="#000000 [3200]" miterlimit="8" joinstyle="miter" endarrow="block"/>
                        <v:imagedata o:title=""/>
                        <o:lock v:ext="edit" aspectratio="f"/>
                      </v:shape>
                      <v:shape id="_x0000_s1026" o:spid="_x0000_s1026" o:spt="202" type="#_x0000_t202" style="position:absolute;left:866774;top:457200;height:276225;width:733426;" fillcolor="#FFFFFF [3201]" filled="t" stroked="t" coordsize="21600,21600" o:gfxdata="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Rfu4LTAAAABQEAAA8AAAAAAAAAAQAgAAAAIgAAAGRycy9kb3ducmV2LnhtbFBLAQIU&#10;ABQAAAAIAIdO4kD6fn5zagIAANAEAAAOAAAAAAAAAAEAIAAAACIBAABkcnMvZTJvRG9jLnhtbFBL&#10;BQYAAAAABgAGAFkBAAD+BQAAAAA=&#10;">
                        <v:fill on="t" focussize="0,0"/>
                        <v:stroke weight="0.5pt" color="#000000" joinstyle="round"/>
                        <v:imagedata o:title=""/>
                        <o:lock v:ext="edit" aspectratio="f"/>
                        <v:textbox>
                          <w:txbxContent>
                            <w:p>
                              <w:pPr>
                                <w:jc w:val="center"/>
                              </w:pPr>
                              <w:r>
                                <w:rPr>
                                  <w:rFonts w:hint="eastAsia"/>
                                </w:rPr>
                                <w:t>门诊病人</w:t>
                              </w:r>
                            </w:p>
                          </w:txbxContent>
                        </v:textbox>
                      </v:shape>
                      <v:shape id="_x0000_s1026" o:spid="_x0000_s1026" o:spt="32" type="#_x0000_t32" style="position:absolute;left:476250;top:1513500;height:0;width:371475;" filled="f" stroked="t" coordsize="21600,21600" o:gfxdata="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3rTo1AAAAAUBAAAPAAAA&#10;AAAAAAEAIAAAACIAAABkcnMvZG93bnJldi54bWxQSwECFAAUAAAACACHTuJAzjL10xkCAAD7AwAA&#10;DgAAAAAAAAABACAAAAAjAQAAZHJzL2Uyb0RvYy54bWxQSwUGAAAAAAYABgBZAQAArgUAAAAA&#10;">
                        <v:fill on="f" focussize="0,0"/>
                        <v:stroke weight="0.5pt" color="#000000 [3200]" miterlimit="8" joinstyle="miter" endarrow="block"/>
                        <v:imagedata o:title=""/>
                        <o:lock v:ext="edit" aspectratio="f"/>
                      </v:shape>
                      <v:shape id="文本框 1" o:spid="_x0000_s1026" o:spt="202" type="#_x0000_t202" style="position:absolute;left:857250;top:1380150;height:276225;width:733425;" fillcolor="#FFFFFF [3201]" filled="t" stroked="t" coordsize="21600,21600" o:gfxdata="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Rfu4LTAAAABQEAAA8A&#10;AAAAAAAAAQAgAAAAIgAAAGRycy9kb3ducmV2LnhtbFBLAQIUABQAAAAIAIdO4kCdf5r1VQIAAJkE&#10;AAAOAAAAAAAAAAEAIAAAACIBAABkcnMvZTJvRG9jLnhtbFBLBQYAAAAABgAGAFkBAADpBQAAAAA=&#10;">
                        <v:fill on="t" focussize="0,0"/>
                        <v:stroke weight="0.5pt" color="#000000" joinstyle="round"/>
                        <v:imagedata o:title=""/>
                        <o:lock v:ext="edit" aspectratio="f"/>
                        <v:textbox>
                          <w:txbxContent>
                            <w:p>
                              <w:pPr>
                                <w:jc w:val="center"/>
                                <w:rPr>
                                  <w:szCs w:val="21"/>
                                </w:rPr>
                              </w:pPr>
                              <w:r>
                                <w:rPr>
                                  <w:rFonts w:hint="eastAsia"/>
                                  <w:szCs w:val="21"/>
                                </w:rPr>
                                <w:t>住院病人</w:t>
                              </w:r>
                            </w:p>
                          </w:txbxContent>
                        </v:textbox>
                      </v:shape>
                      <v:shape id="_x0000_s1026" o:spid="_x0000_s1026" o:spt="32" type="#_x0000_t32" style="position:absolute;left:476250;top:2398055;height:0;width:371475;" filled="f" stroked="t" coordsize="21600,21600" o:gfxdata="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3rTo1AAAAAUBAAAPAAAA&#10;AAAAAAEAIAAAACIAAABkcnMvZG93bnJldi54bWxQSwECFAAUAAAACACHTuJA5z9R3RkCAAD7AwAA&#10;DgAAAAAAAAABACAAAAAjAQAAZHJzL2Uyb0RvYy54bWxQSwUGAAAAAAYABgBZAQAArgUAAAAA&#10;">
                        <v:fill on="f" focussize="0,0"/>
                        <v:stroke weight="0.5pt" color="#000000 [3200]" miterlimit="8" joinstyle="miter" endarrow="block"/>
                        <v:imagedata o:title=""/>
                        <o:lock v:ext="edit" aspectratio="f"/>
                      </v:shape>
                      <v:shape id="_x0000_s1026" o:spid="_x0000_s1026" o:spt="32" type="#_x0000_t32" style="position:absolute;left:1200150;top:352425;flip:y;height:95250;width:190500;" filled="f" stroked="t" coordsize="21600,21600" o:gfxdata="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AU2snV&#10;AAAABQEAAA8AAAAAAAAAAQAgAAAAIgAAAGRycy9kb3ducmV2LnhtbFBLAQIUABQAAAAIAIdO4kCt&#10;1dFMIwIAAAsEAAAOAAAAAAAAAAEAIAAAACQBAABkcnMvZTJvRG9jLnhtbFBLBQYAAAAABgAGAFkB&#10;AAC5BQAAAAA=&#10;">
                        <v:fill on="f" focussize="0,0"/>
                        <v:stroke weight="0.5pt" color="#000000 [3200]" miterlimit="8" joinstyle="miter" dashstyle="dashDot" endarrow="block"/>
                        <v:imagedata o:title=""/>
                        <o:lock v:ext="edit" aspectratio="f"/>
                      </v:shape>
                      <v:shape id="_x0000_s1026" o:spid="_x0000_s1026" o:spt="32" type="#_x0000_t32" style="position:absolute;left:1218225;top:1275375;flip:y;height:95250;width:190500;" filled="f" stroked="t" coordsize="21600,21600" o:gfxdata="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w&#10;FNrJ1QAAAAUBAAAPAAAAAAAAAAEAIAAAACIAAABkcnMvZG93bnJldi54bWxQSwECFAAUAAAACACH&#10;TuJAQJEtBScCAAAMBAAADgAAAAAAAAABACAAAAAkAQAAZHJzL2Uyb0RvYy54bWxQSwUGAAAAAAYA&#10;BgBZAQAAvQUAAAAA&#10;">
                        <v:fill on="f" focussize="0,0"/>
                        <v:stroke weight="0.5pt" color="#000000 [3200]" miterlimit="8" joinstyle="miter" dashstyle="dashDot" endarrow="block"/>
                        <v:imagedata o:title=""/>
                        <o:lock v:ext="edit" aspectratio="f"/>
                      </v:shape>
                      <v:shape id="文本框 1" o:spid="_x0000_s1026" o:spt="202" type="#_x0000_t202" style="position:absolute;left:866774;top:2256450;height:276225;width:733425;" fillcolor="#FFFFFF [3201]" filled="t" stroked="t" coordsize="21600,21600" o:gfxdata="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EX7uC0wAAAAUBAAAP&#10;AAAAAAAAAAEAIAAAACIAAABkcnMvZG93bnJldi54bWxQSwECFAAUAAAACACHTuJAzpRWA1YCAACZ&#10;BAAADgAAAAAAAAABACAAAAAiAQAAZHJzL2Uyb0RvYy54bWxQSwUGAAAAAAYABgBZAQAA6gUAAAAA&#10;">
                        <v:fill on="t" focussize="0,0"/>
                        <v:stroke weight="0.5pt" color="#000000" joinstyle="round"/>
                        <v:imagedata o:title=""/>
                        <o:lock v:ext="edit" aspectratio="f"/>
                        <v:textbox>
                          <w:txbxContent>
                            <w:p>
                              <w:pPr>
                                <w:jc w:val="center"/>
                                <w:rPr>
                                  <w:szCs w:val="21"/>
                                </w:rPr>
                              </w:pPr>
                              <w:r>
                                <w:rPr>
                                  <w:rFonts w:hint="eastAsia"/>
                                  <w:szCs w:val="21"/>
                                </w:rPr>
                                <w:t>医务人员</w:t>
                              </w:r>
                            </w:p>
                          </w:txbxContent>
                        </v:textbox>
                      </v:shape>
                      <v:shape id="_x0000_s1026" o:spid="_x0000_s1026" o:spt="32" type="#_x0000_t32" style="position:absolute;left:1200150;top:2151675;flip:y;height:95250;width:190500;" filled="f" stroked="t" coordsize="21600,21600" o:gfxdata="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AU2snV&#10;AAAABQEAAA8AAAAAAAAAAQAgAAAAIgAAAGRycy9kb3ducmV2LnhtbFBLAQIUABQAAAAIAIdO4kDY&#10;VAX5IwIAAAwEAAAOAAAAAAAAAAEAIAAAACQBAABkcnMvZTJvRG9jLnhtbFBLBQYAAAAABgAGAFkB&#10;AAC5BQAAAAA=&#10;">
                        <v:fill on="f" focussize="0,0"/>
                        <v:stroke weight="0.5pt" color="#000000 [3200]" miterlimit="8" joinstyle="miter" dashstyle="dashDot" endarrow="block"/>
                        <v:imagedata o:title=""/>
                        <o:lock v:ext="edit" aspectratio="f"/>
                      </v:shape>
                      <v:shape id="_x0000_s1026" o:spid="_x0000_s1026" o:spt="32" type="#_x0000_t32" style="position:absolute;left:476250;top:3215935;height:0;width:371475;" filled="f" stroked="t" coordsize="21600,21600" o:gfxdata="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vetOjUAAAABQEAAA8A&#10;AAAAAAAAAQAgAAAAIgAAAGRycy9kb3ducmV2LnhtbFBLAQIUABQAAAAIAIdO4kBDM3LYGwIAAPsD&#10;AAAOAAAAAAAAAAEAIAAAACMBAABkcnMvZTJvRG9jLnhtbFBLBQYAAAAABgAGAFkBAACwBQAAAAA=&#10;">
                        <v:fill on="f" focussize="0,0"/>
                        <v:stroke weight="0.5pt" color="#000000 [3200]" miterlimit="8" joinstyle="miter" endarrow="block"/>
                        <v:imagedata o:title=""/>
                        <o:lock v:ext="edit" aspectratio="f"/>
                      </v:shape>
                      <v:shape id="文本框 1" o:spid="_x0000_s1026" o:spt="202" type="#_x0000_t202" style="position:absolute;left:866775;top:3085125;height:276225;width:733425;" fillcolor="#FFFFFF [3201]" filled="t" stroked="t" coordsize="21600,21600" o:gfxdata="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Rfu4LTAAAA&#10;BQEAAA8AAAAAAAAAAQAgAAAAIgAAAGRycy9kb3ducmV2LnhtbFBLAQIUABQAAAAIAIdO4kBR2Ac3&#10;WwIAAJoEAAAOAAAAAAAAAAEAIAAAACIBAABkcnMvZTJvRG9jLnhtbFBLBQYAAAAABgAGAFkBAADv&#10;BQAAAAA=&#10;">
                        <v:fill on="t" focussize="0,0"/>
                        <v:stroke weight="0.5pt" color="#000000" joinstyle="round"/>
                        <v:imagedata o:title=""/>
                        <o:lock v:ext="edit" aspectratio="f"/>
                        <v:textbox>
                          <w:txbxContent>
                            <w:p>
                              <w:pPr>
                                <w:jc w:val="center"/>
                                <w:rPr>
                                  <w:szCs w:val="21"/>
                                </w:rPr>
                              </w:pPr>
                              <w:r>
                                <w:rPr>
                                  <w:rFonts w:hint="eastAsia"/>
                                  <w:szCs w:val="21"/>
                                </w:rPr>
                                <w:t>地面保洁</w:t>
                              </w:r>
                            </w:p>
                          </w:txbxContent>
                        </v:textbox>
                      </v:shape>
                      <v:shape id="_x0000_s1026" o:spid="_x0000_s1026" o:spt="32" type="#_x0000_t32" style="position:absolute;left:476250;top:4033815;height:0;width:371475;" filled="f" stroked="t" coordsize="21600,21600" o:gfxdata="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vetOjUAAAABQEAAA8AAAAA&#10;AAAAAQAgAAAAIgAAAGRycy9kb3ducmV2LnhtbFBLAQIUABQAAAAIAIdO4kAmzX/YGAIAAPsDAAAO&#10;AAAAAAAAAAEAIAAAACMBAABkcnMvZTJvRG9jLnhtbFBLBQYAAAAABgAGAFkBAACtBQAAAAA=&#10;">
                        <v:fill on="f" focussize="0,0"/>
                        <v:stroke weight="0.5pt" color="#000000 [3200]" miterlimit="8" joinstyle="miter" endarrow="block"/>
                        <v:imagedata o:title=""/>
                        <o:lock v:ext="edit" aspectratio="f"/>
                      </v:shape>
                      <v:shape id="文本框 1" o:spid="_x0000_s1026" o:spt="202" type="#_x0000_t202" style="position:absolute;left:866774;top:3894750;height:276225;width:733425;" fillcolor="#FFFFFF [3201]" filled="t" stroked="t" coordsize="21600,21600" o:gfxdata="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EX7uC0wAAAAUB&#10;AAAPAAAAAAAAAAEAIAAAACIAAABkcnMvZG93bnJldi54bWxQSwECFAAUAAAACACHTuJAI3N3O1kC&#10;AACaBAAADgAAAAAAAAABACAAAAAiAQAAZHJzL2Uyb0RvYy54bWxQSwUGAAAAAAYABgBZAQAA7QUA&#10;AAAA&#10;">
                        <v:fill on="t" focussize="0,0"/>
                        <v:stroke weight="0.5pt" color="#000000" joinstyle="round"/>
                        <v:imagedata o:title=""/>
                        <o:lock v:ext="edit" aspectratio="f"/>
                        <v:textbox>
                          <w:txbxContent>
                            <w:p>
                              <w:pPr>
                                <w:jc w:val="center"/>
                                <w:rPr>
                                  <w:szCs w:val="21"/>
                                </w:rPr>
                              </w:pPr>
                              <w:r>
                                <w:rPr>
                                  <w:rFonts w:hint="eastAsia"/>
                                  <w:szCs w:val="21"/>
                                </w:rPr>
                                <w:t>洗衣房</w:t>
                              </w:r>
                            </w:p>
                          </w:txbxContent>
                        </v:textbox>
                      </v:shape>
                      <v:shape id="_x0000_s1026" o:spid="_x0000_s1026" o:spt="32" type="#_x0000_t32" style="position:absolute;left:1227750;top:3780450;flip:y;height:95250;width:190500;" filled="f" stroked="t" coordsize="21600,21600" o:gfxdata="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BTa&#10;ydUAAAAFAQAADwAAAAAAAAABACAAAAAiAAAAZHJzL2Rvd25yZXYueG1sUEsBAhQAFAAAAAgAh07i&#10;QFXDOCclAgAADgQAAA4AAAAAAAAAAQAgAAAAJAEAAGRycy9lMm9Eb2MueG1sUEsFBgAAAAAGAAYA&#10;WQEAALsFAAAAAA==&#10;">
                        <v:fill on="f" focussize="0,0"/>
                        <v:stroke weight="0.5pt" color="#000000 [3200]" miterlimit="8" joinstyle="miter" dashstyle="dashDot" endarrow="block"/>
                        <v:imagedata o:title=""/>
                        <o:lock v:ext="edit" aspectratio="f"/>
                      </v:shape>
                      <v:shape id="_x0000_s1026" o:spid="_x0000_s1026" o:spt="32" type="#_x0000_t32" style="position:absolute;left:1200150;top:2980350;flip:y;height:95250;width:190500;" filled="f" stroked="t" coordsize="21600,21600" o:gfxdata="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AU2snV&#10;AAAABQEAAA8AAAAAAAAAAQAgAAAAIgAAAGRycy9kb3ducmV2LnhtbFBLAQIUABQAAAAIAIdO4kDW&#10;d1VKIwIAAAwEAAAOAAAAAAAAAAEAIAAAACQBAABkcnMvZTJvRG9jLnhtbFBLBQYAAAAABgAGAFkB&#10;AAC5BQAAAAA=&#10;">
                        <v:fill on="f" focussize="0,0"/>
                        <v:stroke weight="0.5pt" color="#000000 [3200]" miterlimit="8" joinstyle="miter" dashstyle="dashDot" endarrow="block"/>
                        <v:imagedata o:title=""/>
                        <o:lock v:ext="edit" aspectratio="f"/>
                      </v:shape>
                      <v:shape id="文本框 1" o:spid="_x0000_s1026" o:spt="202" type="#_x0000_t202" style="position:absolute;left:322875;top:352425;height:276225;width:620099;" filled="f" stroked="f" coordsize="21600,21600" o:gfxdata="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10lSlNcAAAAFAQAADwAAAAAAAAABACAAAAAiAAAAZHJzL2Rvd25y&#10;ZXYueG1sUEsBAhQAFAAAAAgAh07iQMg6D+84AgAARwQAAA4AAAAAAAAAAQAgAAAAJgEAAGRycy9l&#10;Mm9Eb2MueG1sUEsFBgAAAAAGAAYAWQEAANAFAAAAAA==&#10;">
                        <v:fill on="f" focussize="0,0"/>
                        <v:stroke on="f" weight="0.5pt"/>
                        <v:imagedata o:title=""/>
                        <o:lock v:ext="edit" aspectratio="f"/>
                        <v:textbox>
                          <w:txbxContent>
                            <w:p>
                              <w:pPr>
                                <w:jc w:val="center"/>
                                <w:rPr>
                                  <w:szCs w:val="21"/>
                                </w:rPr>
                              </w:pPr>
                              <w:r>
                                <w:rPr>
                                  <w:rFonts w:hint="eastAsia"/>
                                  <w:szCs w:val="21"/>
                                </w:rPr>
                                <w:t>4</w:t>
                              </w:r>
                              <w:r>
                                <w:rPr>
                                  <w:szCs w:val="21"/>
                                </w:rPr>
                                <w:t>92.75</w:t>
                              </w:r>
                            </w:p>
                          </w:txbxContent>
                        </v:textbox>
                      </v:shape>
                      <v:shape id="文本框 1" o:spid="_x0000_s1026" o:spt="202" type="#_x0000_t202" style="position:absolute;left:360975;top:1265850;height:276225;width:619760;" filled="f" stroked="f" coordsize="21600,21600" o:gfxdata="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XSVKU1wAAAAUBAAAPAAAAAAAAAAEAIAAAACIAAABkcnMvZG93bnJl&#10;di54bWxQSwECFAAUAAAACACHTuJAeHr7lTcCAABHBAAADgAAAAAAAAABACAAAAAmAQAAZHJzL2Uy&#10;b0RvYy54bWxQSwUGAAAAAAYABgBZAQAAzwUAAAAA&#10;">
                        <v:fill on="f" focussize="0,0"/>
                        <v:stroke on="f" weight="0.5pt"/>
                        <v:imagedata o:title=""/>
                        <o:lock v:ext="edit" aspectratio="f"/>
                        <v:textbox>
                          <w:txbxContent>
                            <w:p>
                              <w:pPr>
                                <w:jc w:val="center"/>
                                <w:rPr>
                                  <w:szCs w:val="21"/>
                                </w:rPr>
                              </w:pPr>
                              <w:r>
                                <w:rPr>
                                  <w:szCs w:val="21"/>
                                </w:rPr>
                                <w:t>6387.5</w:t>
                              </w:r>
                            </w:p>
                          </w:txbxContent>
                        </v:textbox>
                      </v:shape>
                      <v:shape id="文本框 1" o:spid="_x0000_s1026" o:spt="202" type="#_x0000_t202" style="position:absolute;left:360975;top:2161200;height:276225;width:619760;" filled="f" stroked="f" coordsize="21600,21600" o:gfxdata="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dJUpTXAAAABQEAAA8AAAAAAAAAAQAgAAAAIgAAAGRycy9kb3du&#10;cmV2LnhtbFBLAQIUABQAAAAIAIdO4kBNDqb4OQIAAEkEAAAOAAAAAAAAAAEAIAAAACYBAABkcnMv&#10;ZTJvRG9jLnhtbFBLBQYAAAAABgAGAFkBAADRBQAAAAA=&#10;">
                        <v:fill on="f" focussize="0,0"/>
                        <v:stroke on="f" weight="0.5pt"/>
                        <v:imagedata o:title=""/>
                        <o:lock v:ext="edit" aspectratio="f"/>
                        <v:textbox>
                          <w:txbxContent>
                            <w:p>
                              <w:pPr>
                                <w:jc w:val="center"/>
                                <w:rPr>
                                  <w:szCs w:val="21"/>
                                </w:rPr>
                              </w:pPr>
                              <w:r>
                                <w:rPr>
                                  <w:szCs w:val="21"/>
                                </w:rPr>
                                <w:t>2737.5</w:t>
                              </w:r>
                            </w:p>
                          </w:txbxContent>
                        </v:textbox>
                      </v:shape>
                      <v:shape id="文本框 1" o:spid="_x0000_s1026" o:spt="202" type="#_x0000_t202" style="position:absolute;left:360975;top:2951775;height:276225;width:619760;" filled="f" stroked="f" coordsize="21600,21600" o:gfxdata="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XSVKU1wAAAAUBAAAPAAAAAAAAAAEAIAAAACIAAABkcnMvZG93&#10;bnJldi54bWxQSwECFAAUAAAACACHTuJAmC7ChjoCAABIBAAADgAAAAAAAAABACAAAAAmAQAAZHJz&#10;L2Uyb0RvYy54bWxQSwUGAAAAAAYABgBZAQAA0gUAAAAA&#10;">
                        <v:fill on="f" focussize="0,0"/>
                        <v:stroke on="f" weight="0.5pt"/>
                        <v:imagedata o:title=""/>
                        <o:lock v:ext="edit" aspectratio="f"/>
                        <v:textbox>
                          <w:txbxContent>
                            <w:p>
                              <w:pPr>
                                <w:jc w:val="center"/>
                                <w:rPr>
                                  <w:szCs w:val="21"/>
                                </w:rPr>
                              </w:pPr>
                              <w:r>
                                <w:rPr>
                                  <w:szCs w:val="21"/>
                                </w:rPr>
                                <w:t>350.4</w:t>
                              </w:r>
                            </w:p>
                          </w:txbxContent>
                        </v:textbox>
                      </v:shape>
                      <v:shape id="文本框 1" o:spid="_x0000_s1026" o:spt="202" type="#_x0000_t202" style="position:absolute;left:360975;top:3780450;height:276225;width:619760;" filled="f" stroked="f" coordsize="21600,21600" o:gfxdata="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XSVKU1wAAAAUBAAAPAAAAAAAAAAEAIAAAACIAAABkcnMvZG93&#10;bnJldi54bWxQSwECFAAUAAAACACHTuJABDUY0ToCAABIBAAADgAAAAAAAAABACAAAAAmAQAAZHJz&#10;L2Uyb0RvYy54bWxQSwUGAAAAAAYABgBZAQAA0gUAAAAA&#10;">
                        <v:fill on="f" focussize="0,0"/>
                        <v:stroke on="f" weight="0.5pt"/>
                        <v:imagedata o:title=""/>
                        <o:lock v:ext="edit" aspectratio="f"/>
                        <v:textbox>
                          <w:txbxContent>
                            <w:p>
                              <w:pPr>
                                <w:jc w:val="center"/>
                                <w:rPr>
                                  <w:szCs w:val="21"/>
                                </w:rPr>
                              </w:pPr>
                              <w:r>
                                <w:rPr>
                                  <w:szCs w:val="21"/>
                                </w:rPr>
                                <w:t>2044</w:t>
                              </w:r>
                            </w:p>
                          </w:txbxContent>
                        </v:textbox>
                      </v:shape>
                      <v:shape id="文本框 1" o:spid="_x0000_s1026" o:spt="202" type="#_x0000_t202" style="position:absolute;left:789600;top:76200;height:276225;width:1001100;" filled="f" stroked="f" coordsize="21600,21600" o:gfxdata="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dJUpTXAAAABQEAAA8AAAAAAAAAAQAgAAAAIgAAAGRycy9kb3ducmV2&#10;LnhtbFBLAQIUABQAAAAIAIdO4kA40S+7NgIAAEgEAAAOAAAAAAAAAAEAIAAAACYBAABkcnMvZTJv&#10;RG9jLnhtbFBLBQYAAAAABgAGAFkBAADOBQAAAAA=&#10;">
                        <v:fill on="f" focussize="0,0"/>
                        <v:stroke on="f" weight="0.5pt"/>
                        <v:imagedata o:title=""/>
                        <o:lock v:ext="edit" aspectratio="f"/>
                        <v:textbox>
                          <w:txbxContent>
                            <w:p>
                              <w:pPr>
                                <w:jc w:val="center"/>
                                <w:rPr>
                                  <w:szCs w:val="21"/>
                                </w:rPr>
                              </w:pPr>
                              <w:r>
                                <w:rPr>
                                  <w:rFonts w:hint="eastAsia"/>
                                  <w:szCs w:val="21"/>
                                </w:rPr>
                                <w:t>损耗</w:t>
                              </w:r>
                              <w:r>
                                <w:rPr>
                                  <w:szCs w:val="21"/>
                                </w:rPr>
                                <w:t>98.55</w:t>
                              </w:r>
                            </w:p>
                          </w:txbxContent>
                        </v:textbox>
                      </v:shape>
                      <v:shape id="文本框 1" o:spid="_x0000_s1026" o:spt="202" type="#_x0000_t202" style="position:absolute;left:789600;top:1008675;height:276225;width:1000760;" filled="f" stroked="f" coordsize="21600,21600" o:gfxdata="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XSVKU1wAAAAUBAAAPAAAAAAAAAAEAIAAAACIAAABkcnMvZG93&#10;bnJldi54bWxQSwECFAAUAAAACACHTuJAhe/qxToCAABJBAAADgAAAAAAAAABACAAAAAmAQAAZHJz&#10;L2Uyb0RvYy54bWxQSwUGAAAAAAYABgBZAQAA0gUAAAAA&#10;">
                        <v:fill on="f" focussize="0,0"/>
                        <v:stroke on="f" weight="0.5pt"/>
                        <v:imagedata o:title=""/>
                        <o:lock v:ext="edit" aspectratio="f"/>
                        <v:textbox>
                          <w:txbxContent>
                            <w:p>
                              <w:pPr>
                                <w:jc w:val="center"/>
                                <w:rPr>
                                  <w:szCs w:val="21"/>
                                </w:rPr>
                              </w:pPr>
                              <w:r>
                                <w:rPr>
                                  <w:rFonts w:hint="eastAsia"/>
                                  <w:szCs w:val="21"/>
                                </w:rPr>
                                <w:t>损耗</w:t>
                              </w:r>
                              <w:r>
                                <w:rPr>
                                  <w:szCs w:val="21"/>
                                </w:rPr>
                                <w:t>1277.5</w:t>
                              </w:r>
                            </w:p>
                          </w:txbxContent>
                        </v:textbox>
                      </v:shape>
                      <v:shape id="文本框 1" o:spid="_x0000_s1026" o:spt="202" type="#_x0000_t202" style="position:absolute;left:808650;top:1904025;height:276225;width:1000760;" filled="f" stroked="f" coordsize="21600,21600" o:gfxdata="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0lSlNcAAAAFAQAADwAAAAAAAAABACAAAAAiAAAAZHJzL2Rv&#10;d25yZXYueG1sUEsBAhQAFAAAAAgAh07iQF7CiW07AgAASgQAAA4AAAAAAAAAAQAgAAAAJgEAAGRy&#10;cy9lMm9Eb2MueG1sUEsFBgAAAAAGAAYAWQEAANMFAAAAAA==&#10;">
                        <v:fill on="f" focussize="0,0"/>
                        <v:stroke on="f" weight="0.5pt"/>
                        <v:imagedata o:title=""/>
                        <o:lock v:ext="edit" aspectratio="f"/>
                        <v:textbox>
                          <w:txbxContent>
                            <w:p>
                              <w:pPr>
                                <w:jc w:val="center"/>
                                <w:rPr>
                                  <w:szCs w:val="21"/>
                                </w:rPr>
                              </w:pPr>
                              <w:r>
                                <w:rPr>
                                  <w:rFonts w:hint="eastAsia"/>
                                  <w:szCs w:val="21"/>
                                </w:rPr>
                                <w:t>损耗</w:t>
                              </w:r>
                              <w:r>
                                <w:rPr>
                                  <w:szCs w:val="21"/>
                                </w:rPr>
                                <w:t>547.5</w:t>
                              </w:r>
                            </w:p>
                          </w:txbxContent>
                        </v:textbox>
                      </v:shape>
                      <v:shape id="文本框 1" o:spid="_x0000_s1026" o:spt="202" type="#_x0000_t202" style="position:absolute;left:847725;top:3532800;height:276225;width:1000760;" filled="f" stroked="f" coordsize="21600,21600" o:gfxdata="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0lSlNcAAAAFAQAADwAAAAAAAAABACAAAAAiAAAAZHJzL2Rv&#10;d25yZXYueG1sUEsBAhQAFAAAAAgAh07iQAzYMTU7AgAASQQAAA4AAAAAAAAAAQAgAAAAJgEAAGRy&#10;cy9lMm9Eb2MueG1sUEsFBgAAAAAGAAYAWQEAANMFAAAAAA==&#10;">
                        <v:fill on="f" focussize="0,0"/>
                        <v:stroke on="f" weight="0.5pt"/>
                        <v:imagedata o:title=""/>
                        <o:lock v:ext="edit" aspectratio="f"/>
                        <v:textbox>
                          <w:txbxContent>
                            <w:p>
                              <w:pPr>
                                <w:jc w:val="center"/>
                                <w:rPr>
                                  <w:szCs w:val="21"/>
                                </w:rPr>
                              </w:pPr>
                              <w:r>
                                <w:rPr>
                                  <w:rFonts w:hint="eastAsia"/>
                                  <w:szCs w:val="21"/>
                                </w:rPr>
                                <w:t>损耗</w:t>
                              </w:r>
                              <w:r>
                                <w:rPr>
                                  <w:szCs w:val="21"/>
                                </w:rPr>
                                <w:t>408.8</w:t>
                              </w:r>
                            </w:p>
                          </w:txbxContent>
                        </v:textbox>
                      </v:shape>
                      <v:shape id="文本框 1" o:spid="_x0000_s1026" o:spt="202" type="#_x0000_t202" style="position:absolute;left:837225;top:2723175;height:276225;width:1000760;" filled="f" stroked="f" coordsize="21600,21600" o:gfxdata="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0lSlNcAAAAFAQAADwAAAAAAAAABACAAAAAiAAAAZHJzL2Rv&#10;d25yZXYueG1sUEsBAhQAFAAAAAgAh07iQLVCGlI7AgAASgQAAA4AAAAAAAAAAQAgAAAAJgEAAGRy&#10;cy9lMm9Eb2MueG1sUEsFBgAAAAAGAAYAWQEAANMFAAAAAA==&#10;">
                        <v:fill on="f" focussize="0,0"/>
                        <v:stroke on="f" weight="0.5pt"/>
                        <v:imagedata o:title=""/>
                        <o:lock v:ext="edit" aspectratio="f"/>
                        <v:textbox>
                          <w:txbxContent>
                            <w:p>
                              <w:pPr>
                                <w:jc w:val="center"/>
                                <w:rPr>
                                  <w:szCs w:val="21"/>
                                </w:rPr>
                              </w:pPr>
                              <w:r>
                                <w:rPr>
                                  <w:rFonts w:hint="eastAsia"/>
                                  <w:szCs w:val="21"/>
                                </w:rPr>
                                <w:t>损耗</w:t>
                              </w:r>
                              <w:r>
                                <w:rPr>
                                  <w:szCs w:val="21"/>
                                </w:rPr>
                                <w:t>69.3</w:t>
                              </w:r>
                            </w:p>
                          </w:txbxContent>
                        </v:textbox>
                      </v:shape>
                      <v:line id="_x0000_s1026" o:spid="_x0000_s1026" o:spt="20" style="position:absolute;left:1600200;top:589575;height:0;width:857250;" filled="f" stroked="t" coordsize="21600,21600" o:gfxdata="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cpFt9QAAAAFAQAADwAAAAAAAAABACAAAAAiAAAAZHJzL2Rvd25yZXYueG1sUEsBAhQA&#10;FAAAAAgAh07iQIdtZ+z2AQAAywMAAA4AAAAAAAAAAQAgAAAAIwEAAGRycy9lMm9Eb2MueG1sUEsF&#10;BgAAAAAGAAYAWQEAAIsFAAAAAA==&#10;">
                        <v:fill on="f" focussize="0,0"/>
                        <v:stroke weight="0.5pt" color="#000000 [3200]" miterlimit="8" joinstyle="miter"/>
                        <v:imagedata o:title=""/>
                        <o:lock v:ext="edit" aspectratio="f"/>
                      </v:line>
                      <v:line id="_x0000_s1026" o:spid="_x0000_s1026" o:spt="20" style="position:absolute;left:1600200;top:1523025;height:0;width:857250;" filled="f" stroked="t" coordsize="21600,21600" o:gfxdata="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9ykW31AAAAAUBAAAPAAAAAAAAAAEAIAAAACIAAABkcnMvZG93bnJldi54bWxQSwECFAAU&#10;AAAACACHTuJA7I40vPUBAADOAwAADgAAAAAAAAABACAAAAAjAQAAZHJzL2Uyb0RvYy54bWxQSwUG&#10;AAAAAAYABgBZAQAAigUAAAAA&#10;">
                        <v:fill on="f" focussize="0,0"/>
                        <v:stroke weight="0.5pt" color="#000000 [3200]" miterlimit="8" joinstyle="miter"/>
                        <v:imagedata o:title=""/>
                        <o:lock v:ext="edit" aspectratio="f"/>
                      </v:line>
                      <v:line id="_x0000_s1026" o:spid="_x0000_s1026" o:spt="20" style="position:absolute;left:1600200;top:2386285;height:0;width:857250;" filled="f" stroked="t" coordsize="21600,21600" o:gfxdata="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3KRbfUAAAABQEAAA8AAAAAAAAAAQAgAAAAIgAAAGRycy9kb3ducmV2LnhtbFBLAQIU&#10;ABQAAAAIAIdO4kAIycgy9wEAAM4DAAAOAAAAAAAAAAEAIAAAACMBAABkcnMvZTJvRG9jLnhtbFBL&#10;BQYAAAAABgAGAFkBAACMBQAAAAA=&#10;">
                        <v:fill on="f" focussize="0,0"/>
                        <v:stroke weight="0.5pt" color="#000000 [3200]" miterlimit="8" joinstyle="miter"/>
                        <v:imagedata o:title=""/>
                        <o:lock v:ext="edit" aspectratio="f"/>
                      </v:line>
                      <v:line id="_x0000_s1026" o:spid="_x0000_s1026" o:spt="20" style="position:absolute;left:2466975;top:590550;flip:y;height:1819275;width:0;" filled="f" stroked="t" coordsize="21600,21600" o:gfxdata="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teKgNQAAAAFAQAADwAAAAAAAAABACAAAAAiAAAAZHJzL2Rvd25yZXYu&#10;eG1sUEsBAhQAFAAAAAgAh07iQEHo+tv/AQAA2AMAAA4AAAAAAAAAAQAgAAAAIwEAAGRycy9lMm9E&#10;b2MueG1sUEsFBgAAAAAGAAYAWQEAAJQFAAAAAA==&#10;">
                        <v:fill on="f" focussize="0,0"/>
                        <v:stroke weight="0.5pt" color="#000000 [3200]" miterlimit="8" joinstyle="miter"/>
                        <v:imagedata o:title=""/>
                        <o:lock v:ext="edit" aspectratio="f"/>
                      </v:line>
                      <v:shape id="_x0000_s1026" o:spid="_x0000_s1026" o:spt="32" type="#_x0000_t32" style="position:absolute;left:2447925;top:1523025;height:0;width:419100;" filled="f" stroked="t" coordsize="21600,21600" o:gfxdata="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3rTo1AAAAAUBAAAPAAAA&#10;AAAAAAEAIAAAACIAAABkcnMvZG93bnJldi54bWxQSwECFAAUAAAACACHTuJAdqSpSBkCAAD+AwAA&#10;DgAAAAAAAAABACAAAAAjAQAAZHJzL2Uyb0RvYy54bWxQSwUGAAAAAAYABgBZAQAArgUAAAAA&#10;">
                        <v:fill on="f" focussize="0,0"/>
                        <v:stroke weight="0.5pt" color="#000000 [3200]" miterlimit="8" joinstyle="miter" endarrow="block"/>
                        <v:imagedata o:title=""/>
                        <o:lock v:ext="edit" aspectratio="f"/>
                      </v:shape>
                      <v:shape id="文本框 1" o:spid="_x0000_s1026" o:spt="202" type="#_x0000_t202" style="position:absolute;left:2876550;top:1388700;height:276225;width:600075;" fillcolor="#FFFFFF [3201]" filled="t" stroked="t" coordsize="21600,21600" o:gfxdata="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xF+7gtMAAAAFAQAA&#10;DwAAAAAAAAABACAAAAAiAAAAZHJzL2Rvd25yZXYueG1sUEsBAhQAFAAAAAgAh07iQDBdauZXAgAA&#10;mwQAAA4AAAAAAAAAAQAgAAAAIgEAAGRycy9lMm9Eb2MueG1sUEsFBgAAAAAGAAYAWQEAAOsFAAAA&#10;AA==&#10;">
                        <v:fill on="t" focussize="0,0"/>
                        <v:stroke weight="0.5pt" color="#000000" joinstyle="round"/>
                        <v:imagedata o:title=""/>
                        <o:lock v:ext="edit" aspectratio="f"/>
                        <v:textbox>
                          <w:txbxContent>
                            <w:p>
                              <w:pPr>
                                <w:jc w:val="center"/>
                                <w:rPr>
                                  <w:szCs w:val="21"/>
                                </w:rPr>
                              </w:pPr>
                              <w:r>
                                <w:rPr>
                                  <w:rFonts w:hint="eastAsia"/>
                                  <w:szCs w:val="21"/>
                                </w:rPr>
                                <w:t>化粪池</w:t>
                              </w:r>
                            </w:p>
                          </w:txbxContent>
                        </v:textbox>
                      </v:shape>
                      <v:shape id="文本框 1" o:spid="_x0000_s1026" o:spt="202" type="#_x0000_t202" style="position:absolute;left:2608875;top:4694850;height:276225;width:1153500;" fillcolor="#FFFFFF [3201]" filled="t" stroked="t" coordsize="21600,21600" o:gfxdata="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EX7uC0wAAAAUB&#10;AAAPAAAAAAAAAAEAIAAAACIAAABkcnMvZG93bnJldi54bWxQSwECFAAUAAAACACHTuJAQeoOalkC&#10;AACcBAAADgAAAAAAAAABACAAAAAiAQAAZHJzL2Uyb0RvYy54bWxQSwUGAAAAAAYABgBZAQAA7QUA&#10;AAAA&#10;">
                        <v:fill on="t" focussize="0,0"/>
                        <v:stroke weight="0.5pt" color="#000000" joinstyle="round"/>
                        <v:imagedata o:title=""/>
                        <o:lock v:ext="edit" aspectratio="f"/>
                        <v:textbox>
                          <w:txbxContent>
                            <w:p>
                              <w:pPr>
                                <w:jc w:val="center"/>
                                <w:rPr>
                                  <w:szCs w:val="21"/>
                                </w:rPr>
                              </w:pPr>
                              <w:r>
                                <w:rPr>
                                  <w:rFonts w:hint="eastAsia"/>
                                  <w:szCs w:val="21"/>
                                </w:rPr>
                                <w:t>自建污水处理站</w:t>
                              </w:r>
                            </w:p>
                          </w:txbxContent>
                        </v:textbox>
                      </v:shape>
                      <v:shape id="_x0000_s1026" o:spid="_x0000_s1026" o:spt="32" type="#_x0000_t32" style="position:absolute;left:3171825;top:1664925;height:3021375;width:0;" filled="f" stroked="t" coordsize="21600,21600" o:gfxdata="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9606NQAAAAFAQAADwAA&#10;AAAAAAABACAAAAAiAAAAZHJzL2Rvd25yZXYueG1sUEsBAhQAFAAAAAgAh07iQPYD+5gaAgAA/QMA&#10;AA4AAAAAAAAAAQAgAAAAIwEAAGRycy9lMm9Eb2MueG1sUEsFBgAAAAAGAAYAWQEAAK8FAAAAAA==&#10;">
                        <v:fill on="f" focussize="0,0"/>
                        <v:stroke weight="0.5pt" color="#000000 [3200]" miterlimit="8" joinstyle="miter" endarrow="block"/>
                        <v:imagedata o:title=""/>
                        <o:lock v:ext="edit" aspectratio="f"/>
                      </v:shape>
                      <v:line id="_x0000_s1026" o:spid="_x0000_s1026" o:spt="20" style="position:absolute;left:1590675;top:3228000;height:0;width:1571625;" filled="f" stroked="t" coordsize="21600,21600" o:gfxdata="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3KRbfUAAAABQEAAA8AAAAAAAAAAQAgAAAAIgAAAGRycy9kb3ducmV2LnhtbFBL&#10;AQIUABQAAAAIAIdO4kBKO8X0+gEAAM8DAAAOAAAAAAAAAAEAIAAAACMBAABkcnMvZTJvRG9jLnht&#10;bFBLBQYAAAAABgAGAFkBAACPBQAAAAA=&#10;">
                        <v:fill on="f" focussize="0,0"/>
                        <v:stroke weight="0.5pt" color="#000000 [3200]" miterlimit="8" joinstyle="miter"/>
                        <v:imagedata o:title=""/>
                        <o:lock v:ext="edit" aspectratio="f"/>
                      </v:line>
                      <v:line id="_x0000_s1026" o:spid="_x0000_s1026" o:spt="20" style="position:absolute;left:1600199;top:4033815;height:0;width:1571625;" filled="f" stroked="t" coordsize="21600,21600" o:gfxdata="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cpFt9QAAAAFAQAADwAAAAAAAAABACAAAAAiAAAAZHJzL2Rvd25yZXYueG1s&#10;UEsBAhQAFAAAAAgAh07iQJWmGnX8AQAAzwMAAA4AAAAAAAAAAQAgAAAAIwEAAGRycy9lMm9Eb2Mu&#10;eG1sUEsFBgAAAAAGAAYAWQEAAJEFAAAAAA==&#10;">
                        <v:fill on="f" focussize="0,0"/>
                        <v:stroke weight="0.5pt" color="#000000 [3200]" miterlimit="8" joinstyle="miter"/>
                        <v:imagedata o:title=""/>
                        <o:lock v:ext="edit" aspectratio="f"/>
                      </v:line>
                      <v:shape id="_x0000_s1026" o:spid="_x0000_s1026" o:spt="32" type="#_x0000_t32" style="position:absolute;left:3181350;top:4971075;height:410550;width:0;" filled="f" stroked="t" coordsize="21600,21600" o:gfxdata="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3rTo1AAAAAUBAAAPAAAAAAAA&#10;AAEAIAAAACIAAABkcnMvZG93bnJldi54bWxQSwECFAAUAAAACACHTuJASzCzFBYCAAD6AwAADgAA&#10;AAAAAAABACAAAAAjAQAAZHJzL2Uyb0RvYy54bWxQSwUGAAAAAAYABgBZAQAAqwUAAAAA&#10;">
                        <v:fill on="f" focussize="0,0"/>
                        <v:stroke weight="0.5pt" color="#000000 [3200]" miterlimit="8" joinstyle="miter" endarrow="block"/>
                        <v:imagedata o:title=""/>
                        <o:lock v:ext="edit" aspectratio="f"/>
                      </v:shape>
                      <v:shape id="文本框 1" o:spid="_x0000_s1026" o:spt="202" type="#_x0000_t202" style="position:absolute;left:2618400;top:5391150;height:276225;width:1153160;" fillcolor="#FFFFFF [3201]" filled="t" stroked="t" coordsize="21600,21600" o:gfxdata="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EX7uC0wAAAAUB&#10;AAAPAAAAAAAAAAEAIAAAACIAAABkcnMvZG93bnJldi54bWxQSwECFAAUAAAACACHTuJAKRize1kC&#10;AACcBAAADgAAAAAAAAABACAAAAAiAQAAZHJzL2Uyb0RvYy54bWxQSwUGAAAAAAYABgBZAQAA7QUA&#10;AAAA&#10;">
                        <v:fill on="t" focussize="0,0"/>
                        <v:stroke weight="0.5pt" color="#000000" joinstyle="round"/>
                        <v:imagedata o:title=""/>
                        <o:lock v:ext="edit" aspectratio="f"/>
                        <v:textbox>
                          <w:txbxContent>
                            <w:p>
                              <w:pPr>
                                <w:jc w:val="center"/>
                                <w:rPr>
                                  <w:szCs w:val="21"/>
                                </w:rPr>
                              </w:pPr>
                              <w:r>
                                <w:rPr>
                                  <w:rFonts w:hint="eastAsia"/>
                                  <w:szCs w:val="21"/>
                                </w:rPr>
                                <w:t>澧县污水处理厂</w:t>
                              </w:r>
                            </w:p>
                          </w:txbxContent>
                        </v:textbox>
                      </v:shape>
                      <v:shape id="文本框 1" o:spid="_x0000_s1026" o:spt="202" type="#_x0000_t202" style="position:absolute;left:1742100;top:352425;height:276225;width:619760;" filled="f" stroked="f" coordsize="21600,21600" o:gfxdata="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XSVKU1wAAAAUBAAAPAAAAAAAAAAEAIAAAACIAAABkcnMvZG93bnJl&#10;di54bWxQSwECFAAUAAAACACHTuJAXAE0QDcCAABHBAAADgAAAAAAAAABACAAAAAmAQAAZHJzL2Uy&#10;b0RvYy54bWxQSwUGAAAAAAYABgBZAQAAzwUAAAAA&#10;">
                        <v:fill on="f" focussize="0,0"/>
                        <v:stroke on="f" weight="0.5pt"/>
                        <v:imagedata o:title=""/>
                        <o:lock v:ext="edit" aspectratio="f"/>
                        <v:textbox>
                          <w:txbxContent>
                            <w:p>
                              <w:pPr>
                                <w:jc w:val="center"/>
                                <w:rPr>
                                  <w:szCs w:val="21"/>
                                </w:rPr>
                              </w:pPr>
                              <w:r>
                                <w:rPr>
                                  <w:szCs w:val="21"/>
                                </w:rPr>
                                <w:t>394.2</w:t>
                              </w:r>
                            </w:p>
                          </w:txbxContent>
                        </v:textbox>
                      </v:shape>
                      <v:shape id="文本框 1" o:spid="_x0000_s1026" o:spt="202" type="#_x0000_t202" style="position:absolute;left:1809410;top:1275375;height:276225;width:619760;" filled="f" stroked="f" coordsize="21600,21600" o:gfxdata="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XSVKU1wAAAAUBAAAPAAAAAAAAAAEAIAAAACIAAABkcnMvZG93&#10;bnJldi54bWxQSwECFAAUAAAACACHTuJAdd8oVToCAABJBAAADgAAAAAAAAABACAAAAAmAQAAZHJz&#10;L2Uyb0RvYy54bWxQSwUGAAAAAAYABgBZAQAA0gUAAAAA&#10;">
                        <v:fill on="f" focussize="0,0"/>
                        <v:stroke on="f" weight="0.5pt"/>
                        <v:imagedata o:title=""/>
                        <o:lock v:ext="edit" aspectratio="f"/>
                        <v:textbox>
                          <w:txbxContent>
                            <w:p>
                              <w:pPr>
                                <w:jc w:val="center"/>
                                <w:rPr>
                                  <w:szCs w:val="21"/>
                                </w:rPr>
                              </w:pPr>
                              <w:r>
                                <w:rPr>
                                  <w:szCs w:val="21"/>
                                </w:rPr>
                                <w:t>5110</w:t>
                              </w:r>
                            </w:p>
                          </w:txbxContent>
                        </v:textbox>
                      </v:shape>
                      <v:shape id="文本框 1" o:spid="_x0000_s1026" o:spt="202" type="#_x0000_t202" style="position:absolute;left:1865925;top:2151675;height:276225;width:619760;" filled="f" stroked="f" coordsize="21600,21600" o:gfxdata="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XSVKU1wAAAAUBAAAPAAAAAAAAAAEAIAAAACIAAABkcnMvZG93&#10;bnJldi54bWxQSwECFAAUAAAACACHTuJAO7ax2zoCAABJBAAADgAAAAAAAAABACAAAAAmAQAAZHJz&#10;L2Uyb0RvYy54bWxQSwUGAAAAAAYABgBZAQAA0gUAAAAA&#10;">
                        <v:fill on="f" focussize="0,0"/>
                        <v:stroke on="f" weight="0.5pt"/>
                        <v:imagedata o:title=""/>
                        <o:lock v:ext="edit" aspectratio="f"/>
                        <v:textbox>
                          <w:txbxContent>
                            <w:p>
                              <w:pPr>
                                <w:jc w:val="center"/>
                                <w:rPr>
                                  <w:szCs w:val="21"/>
                                </w:rPr>
                              </w:pPr>
                              <w:r>
                                <w:rPr>
                                  <w:szCs w:val="21"/>
                                </w:rPr>
                                <w:t>2190</w:t>
                              </w:r>
                            </w:p>
                          </w:txbxContent>
                        </v:textbox>
                      </v:shape>
                      <v:shape id="文本框 1" o:spid="_x0000_s1026" o:spt="202" type="#_x0000_t202" style="position:absolute;left:2046900;top:3008925;height:276225;width:619760;" filled="f" stroked="f" coordsize="21600,21600" o:gfxdata="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XSVKU1wAAAAUBAAAPAAAAAAAAAAEAIAAAACIAAABkcnMvZG93&#10;bnJldi54bWxQSwECFAAUAAAACACHTuJAE0wvkzoCAABJBAAADgAAAAAAAAABACAAAAAmAQAAZHJz&#10;L2Uyb0RvYy54bWxQSwUGAAAAAAYABgBZAQAA0gUAAAAA&#10;">
                        <v:fill on="f" focussize="0,0"/>
                        <v:stroke on="f" weight="0.5pt"/>
                        <v:imagedata o:title=""/>
                        <o:lock v:ext="edit" aspectratio="f"/>
                        <v:textbox>
                          <w:txbxContent>
                            <w:p>
                              <w:pPr>
                                <w:jc w:val="center"/>
                                <w:rPr>
                                  <w:szCs w:val="21"/>
                                </w:rPr>
                              </w:pPr>
                              <w:r>
                                <w:rPr>
                                  <w:szCs w:val="21"/>
                                </w:rPr>
                                <w:t>281.1</w:t>
                              </w:r>
                            </w:p>
                          </w:txbxContent>
                        </v:textbox>
                      </v:shape>
                      <v:shape id="文本框 1" o:spid="_x0000_s1026" o:spt="202" type="#_x0000_t202" style="position:absolute;left:2094525;top:3789975;height:276225;width:619760;" filled="f" stroked="f" coordsize="21600,21600" o:gfxdata="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0lSlNcAAAAFAQAADwAAAAAAAAABACAAAAAiAAAAZHJzL2Rv&#10;d25yZXYueG1sUEsBAhQAFAAAAAgAh07iQBp71OI7AgAASgQAAA4AAAAAAAAAAQAgAAAAJgEAAGRy&#10;cy9lMm9Eb2MueG1sUEsFBgAAAAAGAAYAWQEAANMFAAAAAA==&#10;">
                        <v:fill on="f" focussize="0,0"/>
                        <v:stroke on="f" weight="0.5pt"/>
                        <v:imagedata o:title=""/>
                        <o:lock v:ext="edit" aspectratio="f"/>
                        <v:textbox>
                          <w:txbxContent>
                            <w:p>
                              <w:pPr>
                                <w:jc w:val="center"/>
                                <w:rPr>
                                  <w:szCs w:val="21"/>
                                </w:rPr>
                              </w:pPr>
                              <w:r>
                                <w:rPr>
                                  <w:szCs w:val="21"/>
                                </w:rPr>
                                <w:t>1635.2</w:t>
                              </w:r>
                            </w:p>
                          </w:txbxContent>
                        </v:textbox>
                      </v:shape>
                      <v:shape id="文本框 1" o:spid="_x0000_s1026" o:spt="202" type="#_x0000_t202" style="position:absolute;left:3113700;top:4237650;height:276225;width:619760;" filled="f" stroked="f" coordsize="21600,21600" o:gfxdata="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0lSlNcAAAAFAQAADwAAAAAAAAABACAAAAAiAAAAZHJzL2Rv&#10;d25yZXYueG1sUEsBAhQAFAAAAAgAh07iQJ0rtqg7AgAASgQAAA4AAAAAAAAAAQAgAAAAJgEAAGRy&#10;cy9lMm9Eb2MueG1sUEsFBgAAAAAGAAYAWQEAANMFAAAAAA==&#10;">
                        <v:fill on="f" focussize="0,0"/>
                        <v:stroke on="f" weight="0.5pt"/>
                        <v:imagedata o:title=""/>
                        <o:lock v:ext="edit" aspectratio="f"/>
                        <v:textbox>
                          <w:txbxContent>
                            <w:p>
                              <w:pPr>
                                <w:jc w:val="center"/>
                                <w:rPr>
                                  <w:szCs w:val="21"/>
                                </w:rPr>
                              </w:pPr>
                              <w:r>
                                <w:rPr>
                                  <w:szCs w:val="21"/>
                                </w:rPr>
                                <w:t>9610.5</w:t>
                              </w:r>
                            </w:p>
                          </w:txbxContent>
                        </v:textbox>
                      </v:shape>
                      <v:shape id="文本框 1" o:spid="_x0000_s1026" o:spt="202" type="#_x0000_t202" style="position:absolute;left:513374;top:5505450;height:276225;width:1324611;" filled="f" stroked="f" coordsize="21600,21600" o:gfxdata="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dJUpTXAAAABQEAAA8AAAAAAAAAAQAgAAAAIgAAAGRycy9kb3du&#10;cmV2LnhtbFBLAQIUABQAAAAIAIdO4kAtcxR3OQIAAEkEAAAOAAAAAAAAAAEAIAAAACYBAABkcnMv&#10;ZTJvRG9jLnhtbFBLBQYAAAAABgAGAFkBAADRBQAAAAA=&#10;">
                        <v:fill on="f" focussize="0,0"/>
                        <v:stroke on="f" weight="0.5pt"/>
                        <v:imagedata o:title=""/>
                        <o:lock v:ext="edit" aspectratio="f"/>
                        <v:textbox>
                          <w:txbxContent>
                            <w:p>
                              <w:pPr>
                                <w:jc w:val="center"/>
                                <w:rPr>
                                  <w:szCs w:val="21"/>
                                </w:rPr>
                              </w:pPr>
                              <w:r>
                                <w:rPr>
                                  <w:rFonts w:hint="eastAsia"/>
                                  <w:szCs w:val="21"/>
                                </w:rPr>
                                <w:t>新鲜水</w:t>
                              </w:r>
                              <w:r>
                                <w:rPr>
                                  <w:szCs w:val="21"/>
                                </w:rPr>
                                <w:t>12012.15</w:t>
                              </w:r>
                            </w:p>
                          </w:txbxContent>
                        </v:textbox>
                      </v:shape>
                      <w10:wrap type="none"/>
                      <w10:anchorlock/>
                    </v:group>
                  </w:pict>
                </mc:Fallback>
              </mc:AlternateContent>
            </w:r>
          </w:p>
          <w:p>
            <w:pPr>
              <w:spacing w:line="360" w:lineRule="auto"/>
              <w:ind w:firstLine="442" w:firstLineChars="200"/>
              <w:jc w:val="center"/>
              <w:rPr>
                <w:b/>
                <w:sz w:val="22"/>
                <w:szCs w:val="22"/>
                <w:u w:val="single"/>
              </w:rPr>
            </w:pPr>
            <w:r>
              <w:rPr>
                <w:rFonts w:hint="eastAsia"/>
                <w:b/>
                <w:sz w:val="22"/>
                <w:szCs w:val="22"/>
                <w:u w:val="single"/>
              </w:rPr>
              <w:t>图2</w:t>
            </w:r>
            <w:r>
              <w:rPr>
                <w:b/>
                <w:sz w:val="22"/>
                <w:szCs w:val="22"/>
                <w:u w:val="single"/>
              </w:rPr>
              <w:t xml:space="preserve">-1    </w:t>
            </w:r>
            <w:r>
              <w:rPr>
                <w:rFonts w:hint="eastAsia"/>
                <w:b/>
                <w:sz w:val="22"/>
                <w:szCs w:val="22"/>
                <w:u w:val="single"/>
              </w:rPr>
              <w:t xml:space="preserve">院区水平衡图 </w:t>
            </w:r>
            <w:r>
              <w:rPr>
                <w:b/>
                <w:sz w:val="22"/>
                <w:szCs w:val="22"/>
                <w:u w:val="single"/>
              </w:rPr>
              <w:t xml:space="preserve"> </w:t>
            </w:r>
            <w:r>
              <w:rPr>
                <w:rFonts w:hint="eastAsia"/>
                <w:b/>
                <w:sz w:val="22"/>
                <w:szCs w:val="22"/>
                <w:u w:val="single"/>
              </w:rPr>
              <w:t>单位：m</w:t>
            </w:r>
            <w:r>
              <w:rPr>
                <w:b/>
                <w:sz w:val="22"/>
                <w:szCs w:val="22"/>
                <w:u w:val="single"/>
                <w:vertAlign w:val="superscript"/>
              </w:rPr>
              <w:t>3</w:t>
            </w:r>
            <w:r>
              <w:rPr>
                <w:b/>
                <w:sz w:val="22"/>
                <w:szCs w:val="22"/>
                <w:u w:val="single"/>
              </w:rPr>
              <w:t>/a</w:t>
            </w:r>
          </w:p>
          <w:p>
            <w:pPr>
              <w:spacing w:line="360" w:lineRule="auto"/>
              <w:ind w:firstLine="480" w:firstLineChars="200"/>
              <w:rPr>
                <w:bCs/>
                <w:sz w:val="24"/>
              </w:rPr>
            </w:pPr>
            <w:r>
              <w:rPr>
                <w:rFonts w:hint="eastAsia"/>
                <w:bCs/>
                <w:sz w:val="24"/>
              </w:rPr>
              <w:t>8、总平面布置</w:t>
            </w:r>
          </w:p>
          <w:p>
            <w:pPr>
              <w:spacing w:line="360" w:lineRule="auto"/>
              <w:ind w:firstLine="480" w:firstLineChars="200"/>
              <w:rPr>
                <w:sz w:val="24"/>
              </w:rPr>
            </w:pPr>
            <w:r>
              <w:rPr>
                <w:rFonts w:hint="eastAsia"/>
                <w:bCs/>
                <w:sz w:val="24"/>
              </w:rPr>
              <w:t>院区综合楼位于南侧，临津澧大道，其中：</w:t>
            </w:r>
            <w:r>
              <w:rPr>
                <w:rFonts w:hint="eastAsia"/>
                <w:sz w:val="24"/>
              </w:rPr>
              <w:t>综合楼共计6层，其中</w:t>
            </w:r>
            <w:r>
              <w:rPr>
                <w:sz w:val="24"/>
              </w:rPr>
              <w:t>1层为</w:t>
            </w:r>
            <w:r>
              <w:rPr>
                <w:rFonts w:hint="eastAsia"/>
                <w:sz w:val="24"/>
              </w:rPr>
              <w:t>药房、收费室、儿科门诊、内外科门诊、妇科门诊、门诊治疗室、高血压门诊、放射科、口腔科；</w:t>
            </w:r>
            <w:r>
              <w:rPr>
                <w:sz w:val="24"/>
              </w:rPr>
              <w:t>2层为</w:t>
            </w:r>
            <w:r>
              <w:rPr>
                <w:rFonts w:hint="eastAsia"/>
                <w:sz w:val="24"/>
              </w:rPr>
              <w:t>B超室、生化化验室、儿保室、精防办公室、妇保室、档案室、预计接种室；</w:t>
            </w:r>
            <w:r>
              <w:rPr>
                <w:sz w:val="24"/>
              </w:rPr>
              <w:t>3层</w:t>
            </w:r>
            <w:r>
              <w:rPr>
                <w:rFonts w:hint="eastAsia"/>
                <w:sz w:val="24"/>
              </w:rPr>
              <w:t>中医馆以及办公室；4层综合住院部、办公室、治疗室、医药库房；5层空置；6层会议室、精神病咨询室、食堂。</w:t>
            </w:r>
          </w:p>
          <w:p>
            <w:pPr>
              <w:spacing w:line="360" w:lineRule="auto"/>
              <w:ind w:firstLine="480" w:firstLineChars="200"/>
              <w:rPr>
                <w:bCs/>
                <w:sz w:val="24"/>
              </w:rPr>
            </w:pPr>
            <w:r>
              <w:rPr>
                <w:rFonts w:hint="eastAsia"/>
                <w:bCs/>
                <w:sz w:val="24"/>
              </w:rPr>
              <w:t>院区自建污水处理站位于院区北侧，污水处理站东侧为医疗废物暂存间；院区东北侧为洗衣房；院区总排口位于院区西侧。</w:t>
            </w:r>
          </w:p>
          <w:p>
            <w:pPr>
              <w:spacing w:line="360" w:lineRule="auto"/>
              <w:ind w:firstLine="480" w:firstLineChars="200"/>
              <w:rPr>
                <w:bCs/>
                <w:sz w:val="24"/>
              </w:rPr>
            </w:pPr>
            <w:r>
              <w:rPr>
                <w:rFonts w:hint="eastAsia"/>
                <w:bCs/>
                <w:sz w:val="24"/>
              </w:rPr>
              <w:t>详见附图2项目平面布置图。</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60" w:hRule="atLeast"/>
          <w:jc w:val="center"/>
        </w:trPr>
        <w:tc>
          <w:tcPr>
            <w:tcW w:w="456" w:type="dxa"/>
            <w:vAlign w:val="center"/>
          </w:tcPr>
          <w:p>
            <w:pPr>
              <w:pStyle w:val="9"/>
              <w:adjustRightInd w:val="0"/>
              <w:snapToGrid w:val="0"/>
              <w:spacing w:before="0" w:beforeAutospacing="0" w:after="0" w:afterAutospacing="0"/>
              <w:jc w:val="center"/>
              <w:rPr>
                <w:rFonts w:cs="宋体"/>
                <w:szCs w:val="24"/>
              </w:rPr>
            </w:pPr>
            <w:r>
              <w:rPr>
                <w:rFonts w:hint="eastAsia" w:cs="宋体"/>
                <w:szCs w:val="24"/>
              </w:rPr>
              <w:t>工艺流程和产排污环节</w:t>
            </w:r>
          </w:p>
        </w:tc>
        <w:tc>
          <w:tcPr>
            <w:tcW w:w="7830" w:type="dxa"/>
          </w:tcPr>
          <w:p>
            <w:pPr>
              <w:adjustRightInd w:val="0"/>
              <w:snapToGrid w:val="0"/>
              <w:spacing w:line="360" w:lineRule="auto"/>
              <w:rPr>
                <w:b/>
                <w:bCs/>
                <w:sz w:val="24"/>
              </w:rPr>
            </w:pPr>
            <w:r>
              <w:rPr>
                <w:b/>
                <w:bCs/>
                <w:sz w:val="24"/>
              </w:rPr>
              <w:t>一、施工期工艺流程</w:t>
            </w:r>
          </w:p>
          <w:p>
            <w:pPr>
              <w:adjustRightInd w:val="0"/>
              <w:snapToGrid w:val="0"/>
              <w:spacing w:line="360" w:lineRule="auto"/>
              <w:ind w:firstLine="480" w:firstLineChars="200"/>
              <w:rPr>
                <w:sz w:val="24"/>
              </w:rPr>
            </w:pPr>
            <w:r>
              <w:rPr>
                <w:sz w:val="24"/>
              </w:rPr>
              <w:t>项目施工期</w:t>
            </w:r>
            <w:r>
              <w:rPr>
                <w:rFonts w:hint="eastAsia"/>
                <w:sz w:val="24"/>
              </w:rPr>
              <w:t>已完成，环评不进行评价。</w:t>
            </w:r>
          </w:p>
          <w:p>
            <w:pPr>
              <w:adjustRightInd w:val="0"/>
              <w:snapToGrid w:val="0"/>
              <w:spacing w:line="360" w:lineRule="auto"/>
              <w:rPr>
                <w:b/>
                <w:bCs/>
                <w:sz w:val="24"/>
              </w:rPr>
            </w:pPr>
            <w:r>
              <w:rPr>
                <w:b/>
                <w:bCs/>
                <w:sz w:val="24"/>
              </w:rPr>
              <w:t>二、运营期工艺流程</w:t>
            </w:r>
          </w:p>
          <w:p>
            <w:pPr>
              <w:pStyle w:val="11"/>
              <w:spacing w:after="0" w:line="360" w:lineRule="auto"/>
              <w:ind w:firstLine="480" w:firstLineChars="200"/>
              <w:rPr>
                <w:sz w:val="24"/>
              </w:rPr>
            </w:pPr>
            <w:r>
              <w:rPr>
                <w:rFonts w:hint="eastAsia"/>
                <w:sz w:val="24"/>
              </w:rPr>
              <w:t>本项目具体工艺如下。</w:t>
            </w:r>
          </w:p>
          <w:p>
            <w:pPr>
              <w:pStyle w:val="4"/>
              <w:jc w:val="center"/>
            </w:pPr>
            <w:r>
              <mc:AlternateContent>
                <mc:Choice Requires="wpc">
                  <w:drawing>
                    <wp:inline distT="0" distB="0" distL="0" distR="0">
                      <wp:extent cx="4494530" cy="3435350"/>
                      <wp:effectExtent l="0" t="0" r="1270" b="3175"/>
                      <wp:docPr id="1462187183" name="画布 8"/>
                      <wp:cNvGraphicFramePr/>
                      <a:graphic xmlns:a="http://schemas.openxmlformats.org/drawingml/2006/main">
                        <a:graphicData uri="http://schemas.microsoft.com/office/word/2010/wordprocessingCanvas">
                          <wpc:wpc>
                            <wpc:bg>
                              <a:noFill/>
                            </wpc:bg>
                            <wpc:whole>
                              <a:ln>
                                <a:noFill/>
                              </a:ln>
                            </wpc:whole>
                            <wps:wsp>
                              <wps:cNvPr id="531594835" name="文本框 6"/>
                              <wps:cNvSpPr txBox="1">
                                <a:spLocks noChangeArrowheads="1"/>
                              </wps:cNvSpPr>
                              <wps:spPr bwMode="auto">
                                <a:xfrm>
                                  <a:off x="2040890" y="24765"/>
                                  <a:ext cx="828040" cy="323850"/>
                                </a:xfrm>
                                <a:prstGeom prst="rect">
                                  <a:avLst/>
                                </a:prstGeom>
                                <a:solidFill>
                                  <a:srgbClr val="FFFFFF"/>
                                </a:solidFill>
                                <a:ln w="9525" cmpd="sng">
                                  <a:solidFill>
                                    <a:srgbClr val="000000"/>
                                  </a:solidFill>
                                  <a:miter lim="800000"/>
                                </a:ln>
                                <a:effectLst/>
                              </wps:spPr>
                              <wps:txbx>
                                <w:txbxContent>
                                  <w:p>
                                    <w:pPr>
                                      <w:jc w:val="center"/>
                                    </w:pPr>
                                    <w:r>
                                      <w:rPr>
                                        <w:rFonts w:hint="eastAsia"/>
                                      </w:rPr>
                                      <w:t>开药治疗</w:t>
                                    </w:r>
                                  </w:p>
                                </w:txbxContent>
                              </wps:txbx>
                              <wps:bodyPr rot="0" vert="horz" wrap="square" lIns="91440" tIns="45720" rIns="91440" bIns="45720" anchor="t" anchorCtr="0" upright="1">
                                <a:noAutofit/>
                              </wps:bodyPr>
                            </wps:wsp>
                            <wps:wsp>
                              <wps:cNvPr id="1644768593" name="文本框 7"/>
                              <wps:cNvSpPr txBox="1">
                                <a:spLocks noChangeArrowheads="1"/>
                              </wps:cNvSpPr>
                              <wps:spPr bwMode="auto">
                                <a:xfrm>
                                  <a:off x="71755" y="312420"/>
                                  <a:ext cx="520700" cy="317500"/>
                                </a:xfrm>
                                <a:prstGeom prst="rect">
                                  <a:avLst/>
                                </a:prstGeom>
                                <a:solidFill>
                                  <a:srgbClr val="FFFFFF"/>
                                </a:solidFill>
                                <a:ln w="9525" cmpd="sng">
                                  <a:solidFill>
                                    <a:srgbClr val="000000"/>
                                  </a:solidFill>
                                  <a:miter lim="800000"/>
                                </a:ln>
                                <a:effectLst/>
                              </wps:spPr>
                              <wps:txbx>
                                <w:txbxContent>
                                  <w:p>
                                    <w:pPr>
                                      <w:jc w:val="center"/>
                                    </w:pPr>
                                    <w:r>
                                      <w:rPr>
                                        <w:rFonts w:hint="eastAsia"/>
                                      </w:rPr>
                                      <w:t>接待</w:t>
                                    </w:r>
                                  </w:p>
                                </w:txbxContent>
                              </wps:txbx>
                              <wps:bodyPr rot="0" vert="horz" wrap="square" lIns="91440" tIns="45720" rIns="91440" bIns="45720" anchor="t" anchorCtr="0" upright="1">
                                <a:noAutofit/>
                              </wps:bodyPr>
                            </wps:wsp>
                            <wps:wsp>
                              <wps:cNvPr id="952200975" name="文本框 8"/>
                              <wps:cNvSpPr txBox="1">
                                <a:spLocks noChangeArrowheads="1"/>
                              </wps:cNvSpPr>
                              <wps:spPr bwMode="auto">
                                <a:xfrm>
                                  <a:off x="786130" y="312420"/>
                                  <a:ext cx="854075" cy="317500"/>
                                </a:xfrm>
                                <a:prstGeom prst="rect">
                                  <a:avLst/>
                                </a:prstGeom>
                                <a:solidFill>
                                  <a:srgbClr val="FFFFFF"/>
                                </a:solidFill>
                                <a:ln w="9525" cmpd="sng">
                                  <a:solidFill>
                                    <a:srgbClr val="000000"/>
                                  </a:solidFill>
                                  <a:miter lim="800000"/>
                                </a:ln>
                                <a:effectLst/>
                              </wps:spPr>
                              <wps:txbx>
                                <w:txbxContent>
                                  <w:p>
                                    <w:pPr>
                                      <w:jc w:val="center"/>
                                    </w:pPr>
                                    <w:r>
                                      <w:rPr>
                                        <w:rFonts w:hint="eastAsia"/>
                                      </w:rPr>
                                      <w:t>检查、诊断</w:t>
                                    </w:r>
                                  </w:p>
                                </w:txbxContent>
                              </wps:txbx>
                              <wps:bodyPr rot="0" vert="horz" wrap="square" lIns="91440" tIns="45720" rIns="91440" bIns="45720" anchor="t" anchorCtr="0" upright="1">
                                <a:noAutofit/>
                              </wps:bodyPr>
                            </wps:wsp>
                            <wps:wsp>
                              <wps:cNvPr id="900794862" name="文本框 9"/>
                              <wps:cNvSpPr txBox="1">
                                <a:spLocks noChangeArrowheads="1"/>
                              </wps:cNvSpPr>
                              <wps:spPr bwMode="auto">
                                <a:xfrm>
                                  <a:off x="1957070" y="1082675"/>
                                  <a:ext cx="607060" cy="317500"/>
                                </a:xfrm>
                                <a:prstGeom prst="rect">
                                  <a:avLst/>
                                </a:prstGeom>
                                <a:noFill/>
                                <a:ln>
                                  <a:noFill/>
                                </a:ln>
                                <a:effectLst/>
                              </wps:spPr>
                              <wps:txbx>
                                <w:txbxContent>
                                  <w:p>
                                    <w:pPr>
                                      <w:jc w:val="center"/>
                                    </w:pPr>
                                    <w:r>
                                      <w:rPr>
                                        <w:rFonts w:hint="eastAsia"/>
                                      </w:rPr>
                                      <w:t>产污</w:t>
                                    </w:r>
                                  </w:p>
                                </w:txbxContent>
                              </wps:txbx>
                              <wps:bodyPr rot="0" vert="horz" wrap="square" lIns="91440" tIns="45720" rIns="91440" bIns="45720" anchor="t" anchorCtr="0" upright="1">
                                <a:noAutofit/>
                              </wps:bodyPr>
                            </wps:wsp>
                            <wps:wsp>
                              <wps:cNvPr id="678510066" name="文本框 10"/>
                              <wps:cNvSpPr txBox="1">
                                <a:spLocks noChangeArrowheads="1"/>
                              </wps:cNvSpPr>
                              <wps:spPr bwMode="auto">
                                <a:xfrm>
                                  <a:off x="3053080" y="24765"/>
                                  <a:ext cx="825500" cy="317500"/>
                                </a:xfrm>
                                <a:prstGeom prst="rect">
                                  <a:avLst/>
                                </a:prstGeom>
                                <a:solidFill>
                                  <a:srgbClr val="FFFFFF"/>
                                </a:solidFill>
                                <a:ln w="9525" cmpd="sng">
                                  <a:solidFill>
                                    <a:srgbClr val="000000"/>
                                  </a:solidFill>
                                  <a:miter lim="800000"/>
                                </a:ln>
                                <a:effectLst/>
                              </wps:spPr>
                              <wps:txbx>
                                <w:txbxContent>
                                  <w:p>
                                    <w:pPr>
                                      <w:jc w:val="center"/>
                                    </w:pPr>
                                    <w:r>
                                      <w:rPr>
                                        <w:rFonts w:hint="eastAsia"/>
                                      </w:rPr>
                                      <w:t>离院</w:t>
                                    </w:r>
                                  </w:p>
                                </w:txbxContent>
                              </wps:txbx>
                              <wps:bodyPr rot="0" vert="horz" wrap="square" lIns="91440" tIns="45720" rIns="91440" bIns="45720" anchor="t" anchorCtr="0" upright="1">
                                <a:noAutofit/>
                              </wps:bodyPr>
                            </wps:wsp>
                            <wps:wsp>
                              <wps:cNvPr id="1383114477" name="自选图形 11"/>
                              <wps:cNvCnPr>
                                <a:cxnSpLocks noChangeShapeType="1"/>
                              </wps:cNvCnPr>
                              <wps:spPr bwMode="auto">
                                <a:xfrm>
                                  <a:off x="601980" y="471170"/>
                                  <a:ext cx="193675" cy="0"/>
                                </a:xfrm>
                                <a:prstGeom prst="straightConnector1">
                                  <a:avLst/>
                                </a:prstGeom>
                                <a:noFill/>
                                <a:ln w="9525" cmpd="sng">
                                  <a:solidFill>
                                    <a:srgbClr val="000000"/>
                                  </a:solidFill>
                                  <a:round/>
                                  <a:tailEnd type="triangle" w="med" len="med"/>
                                </a:ln>
                                <a:effectLst/>
                              </wps:spPr>
                              <wps:bodyPr/>
                            </wps:wsp>
                            <wps:wsp>
                              <wps:cNvPr id="97011800" name="自选图形 12"/>
                              <wps:cNvCnPr>
                                <a:cxnSpLocks noChangeShapeType="1"/>
                              </wps:cNvCnPr>
                              <wps:spPr bwMode="auto">
                                <a:xfrm>
                                  <a:off x="2494280" y="763270"/>
                                  <a:ext cx="0" cy="120650"/>
                                </a:xfrm>
                                <a:prstGeom prst="straightConnector1">
                                  <a:avLst/>
                                </a:prstGeom>
                                <a:noFill/>
                                <a:ln w="9525" cmpd="sng">
                                  <a:solidFill>
                                    <a:srgbClr val="000000"/>
                                  </a:solidFill>
                                  <a:round/>
                                  <a:tailEnd type="triangle" w="med" len="med"/>
                                </a:ln>
                                <a:effectLst/>
                              </wps:spPr>
                              <wps:bodyPr/>
                            </wps:wsp>
                            <wps:wsp>
                              <wps:cNvPr id="1991463603" name="直线 13"/>
                              <wps:cNvCnPr>
                                <a:cxnSpLocks noChangeShapeType="1"/>
                              </wps:cNvCnPr>
                              <wps:spPr bwMode="auto">
                                <a:xfrm>
                                  <a:off x="2214880" y="1948815"/>
                                  <a:ext cx="0" cy="190500"/>
                                </a:xfrm>
                                <a:prstGeom prst="line">
                                  <a:avLst/>
                                </a:prstGeom>
                                <a:noFill/>
                                <a:ln w="9525" cmpd="sng">
                                  <a:solidFill>
                                    <a:srgbClr val="000000"/>
                                  </a:solidFill>
                                  <a:round/>
                                  <a:tailEnd type="triangle" w="med" len="med"/>
                                </a:ln>
                                <a:effectLst/>
                              </wps:spPr>
                              <wps:bodyPr/>
                            </wps:wsp>
                            <wps:wsp>
                              <wps:cNvPr id="503685331" name="文本框 14"/>
                              <wps:cNvSpPr txBox="1">
                                <a:spLocks noChangeArrowheads="1"/>
                              </wps:cNvSpPr>
                              <wps:spPr bwMode="auto">
                                <a:xfrm>
                                  <a:off x="2042160" y="548640"/>
                                  <a:ext cx="825500" cy="317500"/>
                                </a:xfrm>
                                <a:prstGeom prst="rect">
                                  <a:avLst/>
                                </a:prstGeom>
                                <a:solidFill>
                                  <a:srgbClr val="FFFFFF"/>
                                </a:solidFill>
                                <a:ln w="9525" cmpd="sng">
                                  <a:solidFill>
                                    <a:srgbClr val="000000"/>
                                  </a:solidFill>
                                  <a:miter lim="800000"/>
                                </a:ln>
                                <a:effectLst/>
                              </wps:spPr>
                              <wps:txbx>
                                <w:txbxContent>
                                  <w:p>
                                    <w:pPr>
                                      <w:jc w:val="center"/>
                                    </w:pPr>
                                    <w:r>
                                      <w:rPr>
                                        <w:rFonts w:hint="eastAsia"/>
                                      </w:rPr>
                                      <w:t>住院治疗</w:t>
                                    </w:r>
                                  </w:p>
                                </w:txbxContent>
                              </wps:txbx>
                              <wps:bodyPr rot="0" vert="horz" wrap="square" lIns="91440" tIns="45720" rIns="91440" bIns="45720" anchor="t" anchorCtr="0" upright="1">
                                <a:noAutofit/>
                              </wps:bodyPr>
                            </wps:wsp>
                            <wps:wsp>
                              <wps:cNvPr id="1215884605" name="文本框 15"/>
                              <wps:cNvSpPr txBox="1">
                                <a:spLocks noChangeArrowheads="1"/>
                              </wps:cNvSpPr>
                              <wps:spPr bwMode="auto">
                                <a:xfrm>
                                  <a:off x="3053080" y="548640"/>
                                  <a:ext cx="825500" cy="317500"/>
                                </a:xfrm>
                                <a:prstGeom prst="rect">
                                  <a:avLst/>
                                </a:prstGeom>
                                <a:solidFill>
                                  <a:srgbClr val="FFFFFF"/>
                                </a:solidFill>
                                <a:ln w="9525" cmpd="sng">
                                  <a:solidFill>
                                    <a:srgbClr val="000000"/>
                                  </a:solidFill>
                                  <a:miter lim="800000"/>
                                </a:ln>
                                <a:effectLst/>
                              </wps:spPr>
                              <wps:txbx>
                                <w:txbxContent>
                                  <w:p>
                                    <w:pPr>
                                      <w:jc w:val="center"/>
                                    </w:pPr>
                                    <w:r>
                                      <w:rPr>
                                        <w:rFonts w:hint="eastAsia"/>
                                      </w:rPr>
                                      <w:t>出院</w:t>
                                    </w:r>
                                  </w:p>
                                </w:txbxContent>
                              </wps:txbx>
                              <wps:bodyPr rot="0" vert="horz" wrap="square" lIns="91440" tIns="45720" rIns="91440" bIns="45720" anchor="t" anchorCtr="0" upright="1">
                                <a:noAutofit/>
                              </wps:bodyPr>
                            </wps:wsp>
                            <wps:wsp>
                              <wps:cNvPr id="402944258" name="自选图形 16"/>
                              <wps:cNvCnPr>
                                <a:cxnSpLocks noChangeShapeType="1"/>
                              </wps:cNvCnPr>
                              <wps:spPr bwMode="auto">
                                <a:xfrm rot="10800000" flipH="1" flipV="1">
                                  <a:off x="2040890" y="186690"/>
                                  <a:ext cx="3175" cy="520700"/>
                                </a:xfrm>
                                <a:prstGeom prst="bentConnector3">
                                  <a:avLst>
                                    <a:gd name="adj1" fmla="val -8539995"/>
                                  </a:avLst>
                                </a:prstGeom>
                                <a:noFill/>
                                <a:ln w="9525" cmpd="sng">
                                  <a:solidFill>
                                    <a:srgbClr val="000000"/>
                                  </a:solidFill>
                                  <a:miter lim="800000"/>
                                  <a:headEnd type="triangle" w="med" len="med"/>
                                  <a:tailEnd type="triangle" w="med" len="med"/>
                                </a:ln>
                                <a:effectLst/>
                              </wps:spPr>
                              <wps:bodyPr/>
                            </wps:wsp>
                            <wps:wsp>
                              <wps:cNvPr id="886871804" name="直线 17"/>
                              <wps:cNvCnPr>
                                <a:cxnSpLocks noChangeShapeType="1"/>
                              </wps:cNvCnPr>
                              <wps:spPr bwMode="auto">
                                <a:xfrm>
                                  <a:off x="1652905" y="461645"/>
                                  <a:ext cx="123825" cy="635"/>
                                </a:xfrm>
                                <a:prstGeom prst="line">
                                  <a:avLst/>
                                </a:prstGeom>
                                <a:noFill/>
                                <a:ln w="9525" cmpd="sng">
                                  <a:solidFill>
                                    <a:srgbClr val="000000"/>
                                  </a:solidFill>
                                  <a:round/>
                                </a:ln>
                                <a:effectLst/>
                              </wps:spPr>
                              <wps:bodyPr/>
                            </wps:wsp>
                            <wps:wsp>
                              <wps:cNvPr id="1676782837" name="自选图形 18"/>
                              <wps:cNvCnPr>
                                <a:cxnSpLocks noChangeShapeType="1"/>
                              </wps:cNvCnPr>
                              <wps:spPr bwMode="auto">
                                <a:xfrm>
                                  <a:off x="2887980" y="185420"/>
                                  <a:ext cx="190500" cy="0"/>
                                </a:xfrm>
                                <a:prstGeom prst="straightConnector1">
                                  <a:avLst/>
                                </a:prstGeom>
                                <a:noFill/>
                                <a:ln w="9525" cmpd="sng">
                                  <a:solidFill>
                                    <a:srgbClr val="000000"/>
                                  </a:solidFill>
                                  <a:round/>
                                  <a:tailEnd type="triangle" w="med" len="med"/>
                                </a:ln>
                                <a:effectLst/>
                              </wps:spPr>
                              <wps:bodyPr/>
                            </wps:wsp>
                            <wps:wsp>
                              <wps:cNvPr id="1135522796" name="自选图形 19"/>
                              <wps:cNvCnPr>
                                <a:cxnSpLocks noChangeShapeType="1"/>
                              </wps:cNvCnPr>
                              <wps:spPr bwMode="auto">
                                <a:xfrm>
                                  <a:off x="2868930" y="709295"/>
                                  <a:ext cx="190500" cy="0"/>
                                </a:xfrm>
                                <a:prstGeom prst="straightConnector1">
                                  <a:avLst/>
                                </a:prstGeom>
                                <a:noFill/>
                                <a:ln w="9525" cmpd="sng">
                                  <a:solidFill>
                                    <a:srgbClr val="000000"/>
                                  </a:solidFill>
                                  <a:round/>
                                  <a:tailEnd type="triangle" w="med" len="med"/>
                                </a:ln>
                                <a:effectLst/>
                              </wps:spPr>
                              <wps:bodyPr/>
                            </wps:wsp>
                            <wps:wsp>
                              <wps:cNvPr id="660930011" name="自选图形 20"/>
                              <wps:cNvSpPr/>
                              <wps:spPr bwMode="auto">
                                <a:xfrm rot="16200000">
                                  <a:off x="2080861" y="-381001"/>
                                  <a:ext cx="372110" cy="3047365"/>
                                </a:xfrm>
                                <a:prstGeom prst="rightBrace">
                                  <a:avLst>
                                    <a:gd name="adj1" fmla="val 68245"/>
                                    <a:gd name="adj2" fmla="val 50000"/>
                                  </a:avLst>
                                </a:prstGeom>
                                <a:noFill/>
                                <a:ln w="9525" cmpd="sng">
                                  <a:solidFill>
                                    <a:srgbClr val="000000"/>
                                  </a:solidFill>
                                  <a:prstDash val="dash"/>
                                  <a:round/>
                                </a:ln>
                                <a:effectLst/>
                              </wps:spPr>
                              <wps:bodyPr rot="0" vert="horz" wrap="square" lIns="91440" tIns="45720" rIns="91440" bIns="45720" anchor="t" anchorCtr="0" upright="1">
                                <a:noAutofit/>
                              </wps:bodyPr>
                            </wps:wsp>
                            <wps:wsp>
                              <wps:cNvPr id="941593298" name="文本框 21"/>
                              <wps:cNvSpPr txBox="1">
                                <a:spLocks noChangeArrowheads="1"/>
                              </wps:cNvSpPr>
                              <wps:spPr bwMode="auto">
                                <a:xfrm>
                                  <a:off x="2691130" y="1482725"/>
                                  <a:ext cx="730250" cy="317500"/>
                                </a:xfrm>
                                <a:prstGeom prst="rect">
                                  <a:avLst/>
                                </a:prstGeom>
                                <a:solidFill>
                                  <a:srgbClr val="FFFFFF"/>
                                </a:solidFill>
                                <a:ln w="9525" cmpd="sng">
                                  <a:solidFill>
                                    <a:srgbClr val="000000"/>
                                  </a:solidFill>
                                  <a:prstDash val="dash"/>
                                  <a:miter lim="800000"/>
                                </a:ln>
                                <a:effectLst/>
                              </wps:spPr>
                              <wps:txbx>
                                <w:txbxContent>
                                  <w:p>
                                    <w:pPr>
                                      <w:jc w:val="center"/>
                                    </w:pPr>
                                    <w:r>
                                      <w:rPr>
                                        <w:rFonts w:hint="eastAsia"/>
                                      </w:rPr>
                                      <w:t>生活垃圾</w:t>
                                    </w:r>
                                  </w:p>
                                </w:txbxContent>
                              </wps:txbx>
                              <wps:bodyPr rot="0" vert="horz" wrap="square" lIns="91440" tIns="45720" rIns="91440" bIns="45720" anchor="t" anchorCtr="0" upright="1">
                                <a:noAutofit/>
                              </wps:bodyPr>
                            </wps:wsp>
                            <wps:wsp>
                              <wps:cNvPr id="369652889" name="文本框 22"/>
                              <wps:cNvSpPr txBox="1">
                                <a:spLocks noChangeArrowheads="1"/>
                              </wps:cNvSpPr>
                              <wps:spPr bwMode="auto">
                                <a:xfrm>
                                  <a:off x="3554730" y="1482725"/>
                                  <a:ext cx="800100" cy="317500"/>
                                </a:xfrm>
                                <a:prstGeom prst="rect">
                                  <a:avLst/>
                                </a:prstGeom>
                                <a:solidFill>
                                  <a:srgbClr val="FFFFFF"/>
                                </a:solidFill>
                                <a:ln w="9525" cmpd="sng">
                                  <a:solidFill>
                                    <a:srgbClr val="000000"/>
                                  </a:solidFill>
                                  <a:prstDash val="dash"/>
                                  <a:miter lim="800000"/>
                                </a:ln>
                                <a:effectLst/>
                              </wps:spPr>
                              <wps:txbx>
                                <w:txbxContent>
                                  <w:p>
                                    <w:pPr>
                                      <w:jc w:val="center"/>
                                    </w:pPr>
                                    <w:r>
                                      <w:rPr>
                                        <w:rFonts w:hint="eastAsia"/>
                                      </w:rPr>
                                      <w:t>医疗废物</w:t>
                                    </w:r>
                                  </w:p>
                                </w:txbxContent>
                              </wps:txbx>
                              <wps:bodyPr rot="0" vert="horz" wrap="square" lIns="91440" tIns="45720" rIns="91440" bIns="45720" anchor="t" anchorCtr="0" upright="1">
                                <a:noAutofit/>
                              </wps:bodyPr>
                            </wps:wsp>
                            <wps:wsp>
                              <wps:cNvPr id="376772584" name="文本框 23"/>
                              <wps:cNvSpPr txBox="1">
                                <a:spLocks noChangeArrowheads="1"/>
                              </wps:cNvSpPr>
                              <wps:spPr bwMode="auto">
                                <a:xfrm>
                                  <a:off x="33655" y="1482725"/>
                                  <a:ext cx="749300" cy="317500"/>
                                </a:xfrm>
                                <a:prstGeom prst="rect">
                                  <a:avLst/>
                                </a:prstGeom>
                                <a:solidFill>
                                  <a:srgbClr val="FFFFFF"/>
                                </a:solidFill>
                                <a:ln w="9525" cmpd="sng">
                                  <a:solidFill>
                                    <a:srgbClr val="000000"/>
                                  </a:solidFill>
                                  <a:prstDash val="dash"/>
                                  <a:miter lim="800000"/>
                                </a:ln>
                                <a:effectLst/>
                              </wps:spPr>
                              <wps:txbx>
                                <w:txbxContent>
                                  <w:p>
                                    <w:pPr>
                                      <w:jc w:val="center"/>
                                    </w:pPr>
                                    <w:r>
                                      <w:rPr>
                                        <w:rFonts w:hint="eastAsia"/>
                                      </w:rPr>
                                      <w:t>生活污水</w:t>
                                    </w:r>
                                  </w:p>
                                </w:txbxContent>
                              </wps:txbx>
                              <wps:bodyPr rot="0" vert="horz" wrap="square" lIns="91440" tIns="45720" rIns="91440" bIns="45720" anchor="t" anchorCtr="0" upright="1">
                                <a:noAutofit/>
                              </wps:bodyPr>
                            </wps:wsp>
                            <wps:wsp>
                              <wps:cNvPr id="1353017876" name="文本框 24"/>
                              <wps:cNvSpPr txBox="1">
                                <a:spLocks noChangeArrowheads="1"/>
                              </wps:cNvSpPr>
                              <wps:spPr bwMode="auto">
                                <a:xfrm>
                                  <a:off x="1770380" y="1482725"/>
                                  <a:ext cx="825500" cy="469900"/>
                                </a:xfrm>
                                <a:prstGeom prst="rect">
                                  <a:avLst/>
                                </a:prstGeom>
                                <a:solidFill>
                                  <a:srgbClr val="FFFFFF"/>
                                </a:solidFill>
                                <a:ln w="9525" cmpd="sng">
                                  <a:solidFill>
                                    <a:srgbClr val="000000"/>
                                  </a:solidFill>
                                  <a:prstDash val="dash"/>
                                  <a:miter lim="800000"/>
                                </a:ln>
                                <a:effectLst/>
                              </wps:spPr>
                              <wps:txbx>
                                <w:txbxContent>
                                  <w:p>
                                    <w:pPr>
                                      <w:jc w:val="center"/>
                                    </w:pPr>
                                    <w:r>
                                      <w:rPr>
                                        <w:rFonts w:hint="eastAsia"/>
                                      </w:rPr>
                                      <w:t>污水处理设施恶臭</w:t>
                                    </w:r>
                                  </w:p>
                                </w:txbxContent>
                              </wps:txbx>
                              <wps:bodyPr rot="0" vert="horz" wrap="square" lIns="91440" tIns="45720" rIns="91440" bIns="45720" anchor="t" anchorCtr="0" upright="1">
                                <a:noAutofit/>
                              </wps:bodyPr>
                            </wps:wsp>
                            <wps:wsp>
                              <wps:cNvPr id="32261217" name="文本框 25"/>
                              <wps:cNvSpPr txBox="1">
                                <a:spLocks noChangeArrowheads="1"/>
                              </wps:cNvSpPr>
                              <wps:spPr bwMode="auto">
                                <a:xfrm>
                                  <a:off x="871855" y="1482725"/>
                                  <a:ext cx="774700" cy="317500"/>
                                </a:xfrm>
                                <a:prstGeom prst="rect">
                                  <a:avLst/>
                                </a:prstGeom>
                                <a:solidFill>
                                  <a:srgbClr val="FFFFFF"/>
                                </a:solidFill>
                                <a:ln w="9525" cmpd="sng">
                                  <a:solidFill>
                                    <a:srgbClr val="000000"/>
                                  </a:solidFill>
                                  <a:prstDash val="dash"/>
                                  <a:miter lim="800000"/>
                                </a:ln>
                                <a:effectLst/>
                              </wps:spPr>
                              <wps:txbx>
                                <w:txbxContent>
                                  <w:p>
                                    <w:pPr>
                                      <w:jc w:val="center"/>
                                    </w:pPr>
                                    <w:r>
                                      <w:rPr>
                                        <w:rFonts w:hint="eastAsia"/>
                                      </w:rPr>
                                      <w:t>医疗废水</w:t>
                                    </w:r>
                                  </w:p>
                                </w:txbxContent>
                              </wps:txbx>
                              <wps:bodyPr rot="0" vert="horz" wrap="square" lIns="91440" tIns="45720" rIns="91440" bIns="45720" anchor="t" anchorCtr="0" upright="1">
                                <a:noAutofit/>
                              </wps:bodyPr>
                            </wps:wsp>
                            <wps:wsp>
                              <wps:cNvPr id="1895386815" name="直线 26"/>
                              <wps:cNvCnPr>
                                <a:cxnSpLocks noChangeShapeType="1"/>
                              </wps:cNvCnPr>
                              <wps:spPr bwMode="auto">
                                <a:xfrm>
                                  <a:off x="3091180" y="1815465"/>
                                  <a:ext cx="0" cy="190500"/>
                                </a:xfrm>
                                <a:prstGeom prst="line">
                                  <a:avLst/>
                                </a:prstGeom>
                                <a:noFill/>
                                <a:ln w="9525" cmpd="sng">
                                  <a:solidFill>
                                    <a:srgbClr val="000000"/>
                                  </a:solidFill>
                                  <a:round/>
                                  <a:tailEnd type="triangle" w="med" len="med"/>
                                </a:ln>
                                <a:effectLst/>
                              </wps:spPr>
                              <wps:bodyPr/>
                            </wps:wsp>
                            <wps:wsp>
                              <wps:cNvPr id="870826331" name="直线 27"/>
                              <wps:cNvCnPr>
                                <a:cxnSpLocks noChangeShapeType="1"/>
                              </wps:cNvCnPr>
                              <wps:spPr bwMode="auto">
                                <a:xfrm>
                                  <a:off x="4015105" y="1805940"/>
                                  <a:ext cx="0" cy="190500"/>
                                </a:xfrm>
                                <a:prstGeom prst="line">
                                  <a:avLst/>
                                </a:prstGeom>
                                <a:noFill/>
                                <a:ln w="9525" cmpd="sng">
                                  <a:solidFill>
                                    <a:srgbClr val="000000"/>
                                  </a:solidFill>
                                  <a:round/>
                                  <a:tailEnd type="triangle" w="med" len="med"/>
                                </a:ln>
                                <a:effectLst/>
                              </wps:spPr>
                              <wps:bodyPr/>
                            </wps:wsp>
                            <wps:wsp>
                              <wps:cNvPr id="1918610021" name="直线 28"/>
                              <wps:cNvCnPr>
                                <a:cxnSpLocks noChangeShapeType="1"/>
                              </wps:cNvCnPr>
                              <wps:spPr bwMode="auto">
                                <a:xfrm>
                                  <a:off x="852805" y="2015490"/>
                                  <a:ext cx="0" cy="190500"/>
                                </a:xfrm>
                                <a:prstGeom prst="line">
                                  <a:avLst/>
                                </a:prstGeom>
                                <a:noFill/>
                                <a:ln w="9525" cmpd="sng">
                                  <a:solidFill>
                                    <a:srgbClr val="000000"/>
                                  </a:solidFill>
                                  <a:round/>
                                  <a:tailEnd type="triangle" w="med" len="med"/>
                                </a:ln>
                                <a:effectLst/>
                              </wps:spPr>
                              <wps:bodyPr/>
                            </wps:wsp>
                            <wps:wsp>
                              <wps:cNvPr id="1236519193" name="文本框 29"/>
                              <wps:cNvSpPr txBox="1">
                                <a:spLocks noChangeArrowheads="1"/>
                              </wps:cNvSpPr>
                              <wps:spPr bwMode="auto">
                                <a:xfrm>
                                  <a:off x="481330" y="2205990"/>
                                  <a:ext cx="774700" cy="285750"/>
                                </a:xfrm>
                                <a:prstGeom prst="rect">
                                  <a:avLst/>
                                </a:prstGeom>
                                <a:solidFill>
                                  <a:srgbClr val="FFFFFF"/>
                                </a:solidFill>
                                <a:ln w="9525" cmpd="sng">
                                  <a:solidFill>
                                    <a:srgbClr val="000000"/>
                                  </a:solidFill>
                                  <a:prstDash val="dash"/>
                                  <a:miter lim="800000"/>
                                </a:ln>
                                <a:effectLst/>
                              </wps:spPr>
                              <wps:txbx>
                                <w:txbxContent>
                                  <w:p>
                                    <w:pPr>
                                      <w:jc w:val="center"/>
                                    </w:pPr>
                                    <w:r>
                                      <w:rPr>
                                        <w:rFonts w:hint="eastAsia"/>
                                      </w:rPr>
                                      <w:t>化粪池</w:t>
                                    </w:r>
                                  </w:p>
                                </w:txbxContent>
                              </wps:txbx>
                              <wps:bodyPr rot="0" vert="horz" wrap="square" lIns="91440" tIns="45720" rIns="91440" bIns="45720" anchor="t" anchorCtr="0" upright="1">
                                <a:noAutofit/>
                              </wps:bodyPr>
                            </wps:wsp>
                            <wps:wsp>
                              <wps:cNvPr id="1454401461" name="文本框 30"/>
                              <wps:cNvSpPr txBox="1">
                                <a:spLocks noChangeArrowheads="1"/>
                              </wps:cNvSpPr>
                              <wps:spPr bwMode="auto">
                                <a:xfrm>
                                  <a:off x="328295" y="2673350"/>
                                  <a:ext cx="1056640" cy="264795"/>
                                </a:xfrm>
                                <a:prstGeom prst="rect">
                                  <a:avLst/>
                                </a:prstGeom>
                                <a:solidFill>
                                  <a:srgbClr val="FFFFFF"/>
                                </a:solidFill>
                                <a:ln w="9525" cmpd="sng">
                                  <a:solidFill>
                                    <a:srgbClr val="000000"/>
                                  </a:solidFill>
                                  <a:prstDash val="dash"/>
                                  <a:miter lim="800000"/>
                                </a:ln>
                                <a:effectLst/>
                              </wps:spPr>
                              <wps:txbx>
                                <w:txbxContent>
                                  <w:p>
                                    <w:pPr>
                                      <w:jc w:val="center"/>
                                    </w:pPr>
                                    <w:r>
                                      <w:rPr>
                                        <w:rFonts w:hint="eastAsia"/>
                                      </w:rPr>
                                      <w:t>污水处理设施</w:t>
                                    </w:r>
                                  </w:p>
                                </w:txbxContent>
                              </wps:txbx>
                              <wps:bodyPr rot="0" vert="horz" wrap="square" lIns="91440" tIns="45720" rIns="91440" bIns="45720" anchor="t" anchorCtr="0" upright="1">
                                <a:noAutofit/>
                              </wps:bodyPr>
                            </wps:wsp>
                            <wps:wsp>
                              <wps:cNvPr id="1698259488" name="文本框 31"/>
                              <wps:cNvSpPr txBox="1">
                                <a:spLocks noChangeArrowheads="1"/>
                              </wps:cNvSpPr>
                              <wps:spPr bwMode="auto">
                                <a:xfrm>
                                  <a:off x="367030" y="3111500"/>
                                  <a:ext cx="1003300" cy="317500"/>
                                </a:xfrm>
                                <a:prstGeom prst="rect">
                                  <a:avLst/>
                                </a:prstGeom>
                                <a:solidFill>
                                  <a:srgbClr val="FFFFFF"/>
                                </a:solidFill>
                                <a:ln w="9525" cmpd="sng">
                                  <a:solidFill>
                                    <a:srgbClr val="000000"/>
                                  </a:solidFill>
                                  <a:prstDash val="dash"/>
                                  <a:miter lim="800000"/>
                                </a:ln>
                                <a:effectLst/>
                              </wps:spPr>
                              <wps:txbx>
                                <w:txbxContent>
                                  <w:p>
                                    <w:pPr>
                                      <w:jc w:val="center"/>
                                    </w:pPr>
                                    <w:r>
                                      <w:rPr>
                                        <w:rFonts w:hint="eastAsia"/>
                                      </w:rPr>
                                      <w:t>市政污水管网</w:t>
                                    </w:r>
                                  </w:p>
                                </w:txbxContent>
                              </wps:txbx>
                              <wps:bodyPr rot="0" vert="horz" wrap="square" lIns="91440" tIns="45720" rIns="91440" bIns="45720" anchor="t" anchorCtr="0" upright="1">
                                <a:noAutofit/>
                              </wps:bodyPr>
                            </wps:wsp>
                            <wps:wsp>
                              <wps:cNvPr id="441083277" name="文本框 32"/>
                              <wps:cNvSpPr txBox="1">
                                <a:spLocks noChangeArrowheads="1"/>
                              </wps:cNvSpPr>
                              <wps:spPr bwMode="auto">
                                <a:xfrm>
                                  <a:off x="1795780" y="2158365"/>
                                  <a:ext cx="774700" cy="317500"/>
                                </a:xfrm>
                                <a:prstGeom prst="rect">
                                  <a:avLst/>
                                </a:prstGeom>
                                <a:solidFill>
                                  <a:srgbClr val="FFFFFF"/>
                                </a:solidFill>
                                <a:ln w="9525" cmpd="sng">
                                  <a:solidFill>
                                    <a:srgbClr val="000000"/>
                                  </a:solidFill>
                                  <a:prstDash val="dash"/>
                                  <a:miter lim="800000"/>
                                </a:ln>
                                <a:effectLst/>
                              </wps:spPr>
                              <wps:txbx>
                                <w:txbxContent>
                                  <w:p>
                                    <w:pPr>
                                      <w:jc w:val="center"/>
                                    </w:pPr>
                                    <w:r>
                                      <w:rPr>
                                        <w:rFonts w:hint="eastAsia"/>
                                      </w:rPr>
                                      <w:t>封闭设计</w:t>
                                    </w:r>
                                  </w:p>
                                </w:txbxContent>
                              </wps:txbx>
                              <wps:bodyPr rot="0" vert="horz" wrap="square" lIns="91440" tIns="45720" rIns="91440" bIns="45720" anchor="t" anchorCtr="0" upright="1">
                                <a:noAutofit/>
                              </wps:bodyPr>
                            </wps:wsp>
                            <wps:wsp>
                              <wps:cNvPr id="803249883" name="文本框 33"/>
                              <wps:cNvSpPr txBox="1">
                                <a:spLocks noChangeArrowheads="1"/>
                              </wps:cNvSpPr>
                              <wps:spPr bwMode="auto">
                                <a:xfrm>
                                  <a:off x="2668905" y="2025015"/>
                                  <a:ext cx="774700" cy="317500"/>
                                </a:xfrm>
                                <a:prstGeom prst="rect">
                                  <a:avLst/>
                                </a:prstGeom>
                                <a:solidFill>
                                  <a:srgbClr val="FFFFFF"/>
                                </a:solidFill>
                                <a:ln w="9525" cmpd="sng">
                                  <a:solidFill>
                                    <a:srgbClr val="000000"/>
                                  </a:solidFill>
                                  <a:prstDash val="dash"/>
                                  <a:miter lim="800000"/>
                                </a:ln>
                                <a:effectLst/>
                              </wps:spPr>
                              <wps:txbx>
                                <w:txbxContent>
                                  <w:p>
                                    <w:pPr>
                                      <w:jc w:val="center"/>
                                    </w:pPr>
                                    <w:r>
                                      <w:rPr>
                                        <w:rFonts w:hint="eastAsia"/>
                                      </w:rPr>
                                      <w:t>环卫清运</w:t>
                                    </w:r>
                                  </w:p>
                                </w:txbxContent>
                              </wps:txbx>
                              <wps:bodyPr rot="0" vert="horz" wrap="square" lIns="91440" tIns="45720" rIns="91440" bIns="45720" anchor="t" anchorCtr="0" upright="1">
                                <a:noAutofit/>
                              </wps:bodyPr>
                            </wps:wsp>
                            <wps:wsp>
                              <wps:cNvPr id="1658542627" name="文本框 34"/>
                              <wps:cNvSpPr txBox="1">
                                <a:spLocks noChangeArrowheads="1"/>
                              </wps:cNvSpPr>
                              <wps:spPr bwMode="auto">
                                <a:xfrm>
                                  <a:off x="3567430" y="2005330"/>
                                  <a:ext cx="774700" cy="440690"/>
                                </a:xfrm>
                                <a:prstGeom prst="rect">
                                  <a:avLst/>
                                </a:prstGeom>
                                <a:solidFill>
                                  <a:srgbClr val="FFFFFF"/>
                                </a:solidFill>
                                <a:ln w="9525" cmpd="sng">
                                  <a:solidFill>
                                    <a:srgbClr val="000000"/>
                                  </a:solidFill>
                                  <a:prstDash val="dash"/>
                                  <a:miter lim="800000"/>
                                </a:ln>
                                <a:effectLst/>
                              </wps:spPr>
                              <wps:txbx>
                                <w:txbxContent>
                                  <w:p>
                                    <w:pPr>
                                      <w:jc w:val="center"/>
                                    </w:pPr>
                                    <w:r>
                                      <w:rPr>
                                        <w:rFonts w:hint="eastAsia"/>
                                      </w:rPr>
                                      <w:t>有资质单位处理</w:t>
                                    </w:r>
                                  </w:p>
                                </w:txbxContent>
                              </wps:txbx>
                              <wps:bodyPr rot="0" vert="horz" wrap="square" lIns="91440" tIns="45720" rIns="91440" bIns="45720" anchor="t" anchorCtr="0" upright="1">
                                <a:noAutofit/>
                              </wps:bodyPr>
                            </wps:wsp>
                            <wps:wsp>
                              <wps:cNvPr id="1757988977" name="自选图形 35"/>
                              <wps:cNvCnPr>
                                <a:cxnSpLocks noChangeShapeType="1"/>
                              </wps:cNvCnPr>
                              <wps:spPr bwMode="auto">
                                <a:xfrm rot="5400000" flipV="1">
                                  <a:off x="833720" y="1374741"/>
                                  <a:ext cx="3175" cy="850900"/>
                                </a:xfrm>
                                <a:prstGeom prst="bentConnector3">
                                  <a:avLst>
                                    <a:gd name="adj1" fmla="val 6360000"/>
                                  </a:avLst>
                                </a:prstGeom>
                                <a:noFill/>
                                <a:ln w="9525" cmpd="sng">
                                  <a:solidFill>
                                    <a:srgbClr val="000000"/>
                                  </a:solidFill>
                                  <a:miter lim="800000"/>
                                </a:ln>
                                <a:effectLst/>
                              </wps:spPr>
                              <wps:bodyPr/>
                            </wps:wsp>
                            <wps:wsp>
                              <wps:cNvPr id="1227628888" name="直线 36"/>
                              <wps:cNvCnPr>
                                <a:cxnSpLocks noChangeShapeType="1"/>
                              </wps:cNvCnPr>
                              <wps:spPr bwMode="auto">
                                <a:xfrm>
                                  <a:off x="883920" y="2480945"/>
                                  <a:ext cx="0" cy="190500"/>
                                </a:xfrm>
                                <a:prstGeom prst="line">
                                  <a:avLst/>
                                </a:prstGeom>
                                <a:noFill/>
                                <a:ln w="9525" cmpd="sng">
                                  <a:solidFill>
                                    <a:srgbClr val="000000"/>
                                  </a:solidFill>
                                  <a:round/>
                                  <a:tailEnd type="triangle" w="med" len="med"/>
                                </a:ln>
                                <a:effectLst/>
                              </wps:spPr>
                              <wps:bodyPr/>
                            </wps:wsp>
                            <wps:wsp>
                              <wps:cNvPr id="1687333243" name="直线 37"/>
                              <wps:cNvCnPr>
                                <a:cxnSpLocks noChangeShapeType="1"/>
                              </wps:cNvCnPr>
                              <wps:spPr bwMode="auto">
                                <a:xfrm>
                                  <a:off x="884555" y="2947035"/>
                                  <a:ext cx="0" cy="190500"/>
                                </a:xfrm>
                                <a:prstGeom prst="line">
                                  <a:avLst/>
                                </a:prstGeom>
                                <a:noFill/>
                                <a:ln w="9525" cmpd="sng">
                                  <a:solidFill>
                                    <a:srgbClr val="000000"/>
                                  </a:solidFill>
                                  <a:round/>
                                  <a:tailEnd type="triangle" w="med" len="med"/>
                                </a:ln>
                                <a:effectLst/>
                              </wps:spPr>
                              <wps:bodyPr/>
                            </wps:wsp>
                          </wpc:wpc>
                        </a:graphicData>
                      </a:graphic>
                    </wp:inline>
                  </w:drawing>
                </mc:Choice>
                <mc:Fallback>
                  <w:pict>
                    <v:group id="画布 8" o:spid="_x0000_s1026" o:spt="203" style="height:270.5pt;width:353.9pt;" coordsize="4494530,3435350" editas="canvas" o:gfxdata="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">
                      <o:lock v:ext="edit" aspectratio="f"/>
                      <v:shape id="画布 8" o:spid="_x0000_s1026" style="position:absolute;left:0;top:0;height:3435350;width:4494530;" filled="f" stroked="f" coordsize="21600,21600" o:gfxdata="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">
                        <v:fill on="f" focussize="0,0"/>
                        <v:stroke on="f"/>
                        <v:imagedata o:title=""/>
                        <o:lock v:ext="edit" aspectratio="f"/>
                      </v:shape>
                      <v:shape id="文本框 6" o:spid="_x0000_s1026" o:spt="202" type="#_x0000_t202" style="position:absolute;left:2040890;top:24765;height:323850;width:828040;" fillcolor="#FFFFFF" filled="t" stroked="t" coordsize="21600,21600" o:gfxdata="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dhZ+N&#10;1QAAAAUBAAAPAAAAAAAAAAEAIAAAACIAAABkcnMvZG93bnJldi54bWxQSwECFAAUAAAACACHTuJA&#10;/qHoQV0CAACxBAAADgAAAAAAAAABACAAAAAkAQAAZHJzL2Uyb0RvYy54bWxQSwUGAAAAAAYABgBZ&#10;AQAA8wUAAAAA&#10;">
                        <v:fill on="t" focussize="0,0"/>
                        <v:stroke color="#000000" miterlimit="8" joinstyle="miter"/>
                        <v:imagedata o:title=""/>
                        <o:lock v:ext="edit" aspectratio="f"/>
                        <v:textbox>
                          <w:txbxContent>
                            <w:p>
                              <w:pPr>
                                <w:jc w:val="center"/>
                              </w:pPr>
                              <w:r>
                                <w:rPr>
                                  <w:rFonts w:hint="eastAsia"/>
                                </w:rPr>
                                <w:t>开药治疗</w:t>
                              </w:r>
                            </w:p>
                          </w:txbxContent>
                        </v:textbox>
                      </v:shape>
                      <v:shape id="文本框 7" o:spid="_x0000_s1026" o:spt="202" type="#_x0000_t202" style="position:absolute;left:71755;top:312420;height:317500;width:520700;" fillcolor="#FFFFFF" filled="t" stroked="t" coordsize="21600,21600" o:gfxdata="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YWfjdUA&#10;AAAFAQAADwAAAAAAAAABACAAAAAiAAAAZHJzL2Rvd25yZXYueG1sUEsBAhQAFAAAAAgAh07iQFpq&#10;rXRbAgAAsQQAAA4AAAAAAAAAAQAgAAAAJAEAAGRycy9lMm9Eb2MueG1sUEsFBgAAAAAGAAYAWQEA&#10;APEFAAAAAA==&#10;">
                        <v:fill on="t" focussize="0,0"/>
                        <v:stroke color="#000000" miterlimit="8" joinstyle="miter"/>
                        <v:imagedata o:title=""/>
                        <o:lock v:ext="edit" aspectratio="f"/>
                        <v:textbox>
                          <w:txbxContent>
                            <w:p>
                              <w:pPr>
                                <w:jc w:val="center"/>
                              </w:pPr>
                              <w:r>
                                <w:rPr>
                                  <w:rFonts w:hint="eastAsia"/>
                                </w:rPr>
                                <w:t>接待</w:t>
                              </w:r>
                            </w:p>
                          </w:txbxContent>
                        </v:textbox>
                      </v:shape>
                      <v:shape id="文本框 8" o:spid="_x0000_s1026" o:spt="202" type="#_x0000_t202" style="position:absolute;left:786130;top:312420;height:317500;width:854075;" fillcolor="#FFFFFF" filled="t" stroked="t" coordsize="21600,21600" o:gfxdata="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YWfjdUAAAAF&#10;AQAADwAAAAAAAAABACAAAAAiAAAAZHJzL2Rvd25yZXYueG1sUEsBAhQAFAAAAAgAh07iQC0UEgRY&#10;AgAAsQQAAA4AAAAAAAAAAQAgAAAAJAEAAGRycy9lMm9Eb2MueG1sUEsFBgAAAAAGAAYAWQEAAO4F&#10;AAAAAA==&#10;">
                        <v:fill on="t" focussize="0,0"/>
                        <v:stroke color="#000000" miterlimit="8" joinstyle="miter"/>
                        <v:imagedata o:title=""/>
                        <o:lock v:ext="edit" aspectratio="f"/>
                        <v:textbox>
                          <w:txbxContent>
                            <w:p>
                              <w:pPr>
                                <w:jc w:val="center"/>
                              </w:pPr>
                              <w:r>
                                <w:rPr>
                                  <w:rFonts w:hint="eastAsia"/>
                                </w:rPr>
                                <w:t>检查、诊断</w:t>
                              </w:r>
                            </w:p>
                          </w:txbxContent>
                        </v:textbox>
                      </v:shape>
                      <v:shape id="文本框 9" o:spid="_x0000_s1026" o:spt="202" type="#_x0000_t202" style="position:absolute;left:1957070;top:1082675;height:317500;width:607060;" filled="f" stroked="f" coordsize="21600,21600" o:gfxdata="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rbDMNQAAAAFAQAADwAAAAAAAAABACAAAAAiAAAAZHJzL2Rvd25yZXYueG1sUEsBAhQAFAAA&#10;AAgAh07iQCIp6G0sAgAANgQAAA4AAAAAAAAAAQAgAAAAIwEAAGRycy9lMm9Eb2MueG1sUEsFBgAA&#10;AAAGAAYAWQEAAMEFAAAAAA==&#10;">
                        <v:fill on="f" focussize="0,0"/>
                        <v:stroke on="f"/>
                        <v:imagedata o:title=""/>
                        <o:lock v:ext="edit" aspectratio="f"/>
                        <v:textbox>
                          <w:txbxContent>
                            <w:p>
                              <w:pPr>
                                <w:jc w:val="center"/>
                              </w:pPr>
                              <w:r>
                                <w:rPr>
                                  <w:rFonts w:hint="eastAsia"/>
                                </w:rPr>
                                <w:t>产污</w:t>
                              </w:r>
                            </w:p>
                          </w:txbxContent>
                        </v:textbox>
                      </v:shape>
                      <v:shape id="文本框 10" o:spid="_x0000_s1026" o:spt="202" type="#_x0000_t202" style="position:absolute;left:3053080;top:24765;height:317500;width:825500;" fillcolor="#FFFFFF" filled="t" stroked="t" coordsize="21600,21600" o:gfxdata="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2Fn43V&#10;AAAABQEAAA8AAAAAAAAAAQAgAAAAIgAAAGRycy9kb3ducmV2LnhtbFBLAQIUABQAAAAIAIdO4kCf&#10;wYrEXAIAALIEAAAOAAAAAAAAAAEAIAAAACQBAABkcnMvZTJvRG9jLnhtbFBLBQYAAAAABgAGAFkB&#10;AADyBQAAAAA=&#10;">
                        <v:fill on="t" focussize="0,0"/>
                        <v:stroke color="#000000" miterlimit="8" joinstyle="miter"/>
                        <v:imagedata o:title=""/>
                        <o:lock v:ext="edit" aspectratio="f"/>
                        <v:textbox>
                          <w:txbxContent>
                            <w:p>
                              <w:pPr>
                                <w:jc w:val="center"/>
                              </w:pPr>
                              <w:r>
                                <w:rPr>
                                  <w:rFonts w:hint="eastAsia"/>
                                </w:rPr>
                                <w:t>离院</w:t>
                              </w:r>
                            </w:p>
                          </w:txbxContent>
                        </v:textbox>
                      </v:shape>
                      <v:shape id="自选图形 11" o:spid="_x0000_s1026" o:spt="32" type="#_x0000_t32" style="position:absolute;left:601980;top:471170;height:0;width:193675;" filled="f" stroked="t" coordsize="21600,21600" o:gfxdata="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XVdl9cAAAAFAQAADwAAAAAAAAABACAAAAAiAAAAZHJzL2Rvd25yZXYueG1sUEsBAhQAFAAAAAgA&#10;h07iQAAZv64mAgAADwQAAA4AAAAAAAAAAQAgAAAAJgEAAGRycy9lMm9Eb2MueG1sUEsFBgAAAAAG&#10;AAYAWQEAAL4FAAAAAA==&#10;">
                        <v:fill on="f" focussize="0,0"/>
                        <v:stroke color="#000000" joinstyle="round" endarrow="block"/>
                        <v:imagedata o:title=""/>
                        <o:lock v:ext="edit" aspectratio="f"/>
                      </v:shape>
                      <v:shape id="自选图形 12" o:spid="_x0000_s1026" o:spt="32" type="#_x0000_t32" style="position:absolute;left:2494280;top:763270;height:120650;width:0;" filled="f" stroked="t" coordsize="21600,21600" o:gfxdata="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1&#10;dV2X1wAAAAUBAAAPAAAAAAAAAAEAIAAAACIAAABkcnMvZG93bnJldi54bWxQSwECFAAUAAAACACH&#10;TuJAPgWQdyUCAAAOBAAADgAAAAAAAAABACAAAAAmAQAAZHJzL2Uyb0RvYy54bWxQSwUGAAAAAAYA&#10;BgBZAQAAvQUAAAAA&#10;">
                        <v:fill on="f" focussize="0,0"/>
                        <v:stroke color="#000000" joinstyle="round" endarrow="block"/>
                        <v:imagedata o:title=""/>
                        <o:lock v:ext="edit" aspectratio="f"/>
                      </v:shape>
                      <v:line id="直线 13" o:spid="_x0000_s1026" o:spt="20" style="position:absolute;left:2214880;top:1948815;height:190500;width:0;" filled="f" stroked="t" coordsize="21600,21600" o:gfxdata="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8ZJ+3WAAAABQEAAA8AAAAAAAAAAQAg&#10;AAAAIgAAAGRycy9kb3ducmV2LnhtbFBLAQIUABQAAAAIAIdO4kDnvrtUEAIAAP0DAAAOAAAAAAAA&#10;AAEAIAAAACUBAABkcnMvZTJvRG9jLnhtbFBLBQYAAAAABgAGAFkBAACnBQAAAAA=&#10;">
                        <v:fill on="f" focussize="0,0"/>
                        <v:stroke color="#000000" joinstyle="round" endarrow="block"/>
                        <v:imagedata o:title=""/>
                        <o:lock v:ext="edit" aspectratio="f"/>
                      </v:line>
                      <v:shape id="文本框 14" o:spid="_x0000_s1026" o:spt="202" type="#_x0000_t202" style="position:absolute;left:2042160;top:548640;height:317500;width:825500;" fillcolor="#FFFFFF" filled="t" stroked="t" coordsize="21600,21600" o:gfxdata="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2Fn43V&#10;AAAABQEAAA8AAAAAAAAAAQAgAAAAIgAAAGRycy9kb3ducmV2LnhtbFBLAQIUABQAAAAIAIdO4kCd&#10;gbUAXAIAALMEAAAOAAAAAAAAAAEAIAAAACQBAABkcnMvZTJvRG9jLnhtbFBLBQYAAAAABgAGAFkB&#10;AADyBQAAAAA=&#10;">
                        <v:fill on="t" focussize="0,0"/>
                        <v:stroke color="#000000" miterlimit="8" joinstyle="miter"/>
                        <v:imagedata o:title=""/>
                        <o:lock v:ext="edit" aspectratio="f"/>
                        <v:textbox>
                          <w:txbxContent>
                            <w:p>
                              <w:pPr>
                                <w:jc w:val="center"/>
                              </w:pPr>
                              <w:r>
                                <w:rPr>
                                  <w:rFonts w:hint="eastAsia"/>
                                </w:rPr>
                                <w:t>住院治疗</w:t>
                              </w:r>
                            </w:p>
                          </w:txbxContent>
                        </v:textbox>
                      </v:shape>
                      <v:shape id="文本框 15" o:spid="_x0000_s1026" o:spt="202" type="#_x0000_t202" style="position:absolute;left:3053080;top:548640;height:317500;width:825500;" fillcolor="#FFFFFF" filled="t" stroked="t" coordsize="21600,21600" o:gfxdata="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2Fn43V&#10;AAAABQEAAA8AAAAAAAAAAQAgAAAAIgAAAGRycy9kb3ducmV2LnhtbFBLAQIUABQAAAAIAIdO4kD0&#10;gu/AXAIAALQEAAAOAAAAAAAAAAEAIAAAACQBAABkcnMvZTJvRG9jLnhtbFBLBQYAAAAABgAGAFkB&#10;AADyBQAAAAA=&#10;">
                        <v:fill on="t" focussize="0,0"/>
                        <v:stroke color="#000000" miterlimit="8" joinstyle="miter"/>
                        <v:imagedata o:title=""/>
                        <o:lock v:ext="edit" aspectratio="f"/>
                        <v:textbox>
                          <w:txbxContent>
                            <w:p>
                              <w:pPr>
                                <w:jc w:val="center"/>
                              </w:pPr>
                              <w:r>
                                <w:rPr>
                                  <w:rFonts w:hint="eastAsia"/>
                                </w:rPr>
                                <w:t>出院</w:t>
                              </w:r>
                            </w:p>
                          </w:txbxContent>
                        </v:textbox>
                      </v:shape>
                      <v:shape id="自选图形 16" o:spid="_x0000_s1026" o:spt="34" type="#_x0000_t34" style="position:absolute;left:2040890;top:186690;flip:x y;height:520700;width:3175;rotation:11796480f;" filled="f" stroked="t" coordsize="21600,21600" o:gfxdata="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6&#10;ELUr1AAAAAUBAAAPAAAAAAAAAAEAIAAAACIAAABkcnMvZG93bnJldi54bWxQSwECFAAUAAAACACH&#10;TuJAM7rVrWECAACcBAAADgAAAAAAAAABACAAAAAjAQAAZHJzL2Uyb0RvYy54bWxQSwUGAAAAAAYA&#10;BgBZAQAA9gUAAAAA&#10;" adj="-1844639">
                        <v:fill on="f" focussize="0,0"/>
                        <v:stroke color="#000000" miterlimit="8" joinstyle="miter" startarrow="block" endarrow="block"/>
                        <v:imagedata o:title=""/>
                        <o:lock v:ext="edit" aspectratio="f"/>
                      </v:shape>
                      <v:line id="直线 17" o:spid="_x0000_s1026" o:spt="20" style="position:absolute;left:1652905;top:461645;height:635;width:123825;" filled="f" stroked="t" coordsize="21600,21600" o:gfxdata="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xthI3UAAAABQEAAA8AAAAAAAAAAQAgAAAAIgAAAGRycy9kb3ducmV2LnhtbFBLAQIU&#10;ABQAAAAIAIdO4kDy/zJz9wEAAM8DAAAOAAAAAAAAAAEAIAAAACMBAABkcnMvZTJvRG9jLnhtbFBL&#10;BQYAAAAABgAGAFkBAACMBQAAAAA=&#10;">
                        <v:fill on="f" focussize="0,0"/>
                        <v:stroke color="#000000" joinstyle="round"/>
                        <v:imagedata o:title=""/>
                        <o:lock v:ext="edit" aspectratio="f"/>
                      </v:line>
                      <v:shape id="自选图形 18" o:spid="_x0000_s1026" o:spt="32" type="#_x0000_t32" style="position:absolute;left:2887980;top:185420;height:0;width:190500;" filled="f" stroked="t" coordsize="21600,21600" o:gfxdata="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V1XZfXAAAABQEAAA8AAAAAAAAAAQAgAAAAIgAAAGRycy9kb3ducmV2LnhtbFBLAQIUABQAAAAI&#10;AIdO4kAbcs6JJwIAABAEAAAOAAAAAAAAAAEAIAAAACYBAABkcnMvZTJvRG9jLnhtbFBLBQYAAAAA&#10;BgAGAFkBAAC/BQAAAAA=&#10;">
                        <v:fill on="f" focussize="0,0"/>
                        <v:stroke color="#000000" joinstyle="round" endarrow="block"/>
                        <v:imagedata o:title=""/>
                        <o:lock v:ext="edit" aspectratio="f"/>
                      </v:shape>
                      <v:shape id="自选图形 19" o:spid="_x0000_s1026" o:spt="32" type="#_x0000_t32" style="position:absolute;left:2868930;top:709295;height:0;width:190500;" filled="f" stroked="t" coordsize="21600,21600" o:gfxdata="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XVdl9cAAAAFAQAADwAAAAAAAAABACAAAAAiAAAAZHJzL2Rvd25yZXYueG1sUEsBAhQAFAAA&#10;AAgAh07iQETHul8pAgAAEAQAAA4AAAAAAAAAAQAgAAAAJgEAAGRycy9lMm9Eb2MueG1sUEsFBgAA&#10;AAAGAAYAWQEAAMEFAAAAAA==&#10;">
                        <v:fill on="f" focussize="0,0"/>
                        <v:stroke color="#000000" joinstyle="round" endarrow="block"/>
                        <v:imagedata o:title=""/>
                        <o:lock v:ext="edit" aspectratio="f"/>
                      </v:shape>
                      <v:shape id="自选图形 20" o:spid="_x0000_s1026" o:spt="88" type="#_x0000_t88" style="position:absolute;left:2080861;top:-381001;height:3047365;width:372110;rotation:-5898240f;" filled="f" stroked="t" coordsize="21600,21600" o:gfxdata="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YSOhT0gAAAAUBAAAPAAAAAAAAAAEAIAAAACIAAABkcnMvZG93bnJl&#10;di54bWxQSwECFAAUAAAACACHTuJAHcu5yXUCAAC7BAAADgAAAAAAAAABACAAAAAhAQAAZHJzL2Uy&#10;b0RvYy54bWxQSwUGAAAAAAYABgBZAQAACAYAAAAA&#10;" adj="1799,10800">
                        <v:fill on="f" focussize="0,0"/>
                        <v:stroke color="#000000" joinstyle="round" dashstyle="dash"/>
                        <v:imagedata o:title=""/>
                        <o:lock v:ext="edit" aspectratio="f"/>
                      </v:shape>
                      <v:shape id="文本框 21" o:spid="_x0000_s1026" o:spt="202" type="#_x0000_t202" style="position:absolute;left:2691130;top:1482725;height:317500;width:730250;" fillcolor="#FFFFFF" filled="t" stroked="t" coordsize="21600,21600" o:gfxdata="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HeMmbUAAAABQEAAA8AAAAAAAAAAQAgAAAAIgAAAGRycy9kb3ducmV2LnhtbFBL&#10;AQIUABQAAAAIAIdO4kBub9UTbAIAAMwEAAAOAAAAAAAAAAEAIAAAACMBAABkcnMvZTJvRG9jLnht&#10;bFBLBQYAAAAABgAGAFkBAAABBgAAAAA=&#10;">
                        <v:fill on="t" focussize="0,0"/>
                        <v:stroke color="#000000" miterlimit="8" joinstyle="miter" dashstyle="dash"/>
                        <v:imagedata o:title=""/>
                        <o:lock v:ext="edit" aspectratio="f"/>
                        <v:textbox>
                          <w:txbxContent>
                            <w:p>
                              <w:pPr>
                                <w:jc w:val="center"/>
                              </w:pPr>
                              <w:r>
                                <w:rPr>
                                  <w:rFonts w:hint="eastAsia"/>
                                </w:rPr>
                                <w:t>生活垃圾</w:t>
                              </w:r>
                            </w:p>
                          </w:txbxContent>
                        </v:textbox>
                      </v:shape>
                      <v:shape id="文本框 22" o:spid="_x0000_s1026" o:spt="202" type="#_x0000_t202" style="position:absolute;left:3554730;top:1482725;height:317500;width:800100;" fillcolor="#FFFFFF" filled="t" stroked="t" coordsize="21600,21600" o:gfxdata="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3jJm1AAAAAUBAAAPAAAAAAAAAAEAIAAAACIAAABkcnMvZG93bnJldi54bWxQSwEC&#10;FAAUAAAACACHTuJAMMCW02oCAADMBAAADgAAAAAAAAABACAAAAAjAQAAZHJzL2Uyb0RvYy54bWxQ&#10;SwUGAAAAAAYABgBZAQAA/wUAAAAA&#10;">
                        <v:fill on="t" focussize="0,0"/>
                        <v:stroke color="#000000" miterlimit="8" joinstyle="miter" dashstyle="dash"/>
                        <v:imagedata o:title=""/>
                        <o:lock v:ext="edit" aspectratio="f"/>
                        <v:textbox>
                          <w:txbxContent>
                            <w:p>
                              <w:pPr>
                                <w:jc w:val="center"/>
                              </w:pPr>
                              <w:r>
                                <w:rPr>
                                  <w:rFonts w:hint="eastAsia"/>
                                </w:rPr>
                                <w:t>医疗废物</w:t>
                              </w:r>
                            </w:p>
                          </w:txbxContent>
                        </v:textbox>
                      </v:shape>
                      <v:shape id="文本框 23" o:spid="_x0000_s1026" o:spt="202" type="#_x0000_t202" style="position:absolute;left:33655;top:1482725;height:317500;width:749300;" fillcolor="#FFFFFF" filled="t" stroked="t" coordsize="21600,21600" o:gfxdata="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B3jJm1AAAAAUBAAAPAAAAAAAAAAEAIAAAACIAAABkcnMvZG93bnJldi54bWxQSwECFAAU&#10;AAAACACHTuJAEvxIMWcCAADKBAAADgAAAAAAAAABACAAAAAjAQAAZHJzL2Uyb0RvYy54bWxQSwUG&#10;AAAAAAYABgBZAQAA/AUAAAAA&#10;">
                        <v:fill on="t" focussize="0,0"/>
                        <v:stroke color="#000000" miterlimit="8" joinstyle="miter" dashstyle="dash"/>
                        <v:imagedata o:title=""/>
                        <o:lock v:ext="edit" aspectratio="f"/>
                        <v:textbox>
                          <w:txbxContent>
                            <w:p>
                              <w:pPr>
                                <w:jc w:val="center"/>
                              </w:pPr>
                              <w:r>
                                <w:rPr>
                                  <w:rFonts w:hint="eastAsia"/>
                                </w:rPr>
                                <w:t>生活污水</w:t>
                              </w:r>
                            </w:p>
                          </w:txbxContent>
                        </v:textbox>
                      </v:shape>
                      <v:shape id="文本框 24" o:spid="_x0000_s1026" o:spt="202" type="#_x0000_t202" style="position:absolute;left:1770380;top:1482725;height:469900;width:825500;" fillcolor="#FFFFFF" filled="t" stroked="t" coordsize="21600,21600" o:gfxdata="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B3jJm1AAAAAUBAAAPAAAAAAAAAAEAIAAAACIAAABkcnMvZG93bnJldi54bWxQSwECFAAU&#10;AAAACACHTuJADRYCEWcCAADNBAAADgAAAAAAAAABACAAAAAjAQAAZHJzL2Uyb0RvYy54bWxQSwUG&#10;AAAAAAYABgBZAQAA/AUAAAAA&#10;">
                        <v:fill on="t" focussize="0,0"/>
                        <v:stroke color="#000000" miterlimit="8" joinstyle="miter" dashstyle="dash"/>
                        <v:imagedata o:title=""/>
                        <o:lock v:ext="edit" aspectratio="f"/>
                        <v:textbox>
                          <w:txbxContent>
                            <w:p>
                              <w:pPr>
                                <w:jc w:val="center"/>
                              </w:pPr>
                              <w:r>
                                <w:rPr>
                                  <w:rFonts w:hint="eastAsia"/>
                                </w:rPr>
                                <w:t>污水处理设施恶臭</w:t>
                              </w:r>
                            </w:p>
                          </w:txbxContent>
                        </v:textbox>
                      </v:shape>
                      <v:shape id="文本框 25" o:spid="_x0000_s1026" o:spt="202" type="#_x0000_t202" style="position:absolute;left:871855;top:1482725;height:317500;width:774700;" fillcolor="#FFFFFF" filled="t" stroked="t" coordsize="21600,21600" o:gfxdata="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d4yZtQAAAAFAQAADwAAAAAAAAABACAAAAAiAAAAZHJzL2Rvd25yZXYueG1sUEsBAhQA&#10;FAAAAAgAh07iQN+5om9oAgAAygQAAA4AAAAAAAAAAQAgAAAAIwEAAGRycy9lMm9Eb2MueG1sUEsF&#10;BgAAAAAGAAYAWQEAAP0FAAAAAA==&#10;">
                        <v:fill on="t" focussize="0,0"/>
                        <v:stroke color="#000000" miterlimit="8" joinstyle="miter" dashstyle="dash"/>
                        <v:imagedata o:title=""/>
                        <o:lock v:ext="edit" aspectratio="f"/>
                        <v:textbox>
                          <w:txbxContent>
                            <w:p>
                              <w:pPr>
                                <w:jc w:val="center"/>
                              </w:pPr>
                              <w:r>
                                <w:rPr>
                                  <w:rFonts w:hint="eastAsia"/>
                                </w:rPr>
                                <w:t>医疗废水</w:t>
                              </w:r>
                            </w:p>
                          </w:txbxContent>
                        </v:textbox>
                      </v:shape>
                      <v:line id="直线 26" o:spid="_x0000_s1026" o:spt="20" style="position:absolute;left:3091180;top:1815465;height:190500;width:0;" filled="f" stroked="t" coordsize="21600,21600" o:gfxdata="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xkn7dYAAAAFAQAADwAAAAAAAAAB&#10;ACAAAAAiAAAAZHJzL2Rvd25yZXYueG1sUEsBAhQAFAAAAAgAh07iQH4dhg8SAgAA/QMAAA4AAAAA&#10;AAAAAQAgAAAAJQEAAGRycy9lMm9Eb2MueG1sUEsFBgAAAAAGAAYAWQEAAKkFAAAAAA==&#10;">
                        <v:fill on="f" focussize="0,0"/>
                        <v:stroke color="#000000" joinstyle="round" endarrow="block"/>
                        <v:imagedata o:title=""/>
                        <o:lock v:ext="edit" aspectratio="f"/>
                      </v:line>
                      <v:line id="直线 27" o:spid="_x0000_s1026" o:spt="20" style="position:absolute;left:4015105;top:1805940;height:190500;width:0;" filled="f" stroked="t" coordsize="21600,21600" o:gfxdata="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GSft1gAAAAUBAAAPAAAAAAAAAAEA&#10;IAAAACIAAABkcnMvZG93bnJldi54bWxQSwECFAAUAAAACACHTuJAduh62hECAAD8AwAADgAAAAAA&#10;AAABACAAAAAlAQAAZHJzL2Uyb0RvYy54bWxQSwUGAAAAAAYABgBZAQAAqAUAAAAA&#10;">
                        <v:fill on="f" focussize="0,0"/>
                        <v:stroke color="#000000" joinstyle="round" endarrow="block"/>
                        <v:imagedata o:title=""/>
                        <o:lock v:ext="edit" aspectratio="f"/>
                      </v:line>
                      <v:line id="直线 28" o:spid="_x0000_s1026" o:spt="20" style="position:absolute;left:852805;top:2015490;height:190500;width:0;" filled="f" stroked="t" coordsize="21600,21600" o:gfxdata="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8ZJ+3WAAAABQEAAA8AAAAAAAAAAQAg&#10;AAAAIgAAAGRycy9kb3ducmV2LnhtbFBLAQIUABQAAAAIAIdO4kCuCAeJEAIAAPwDAAAOAAAAAAAA&#10;AAEAIAAAACUBAABkcnMvZTJvRG9jLnhtbFBLBQYAAAAABgAGAFkBAACnBQAAAAA=&#10;">
                        <v:fill on="f" focussize="0,0"/>
                        <v:stroke color="#000000" joinstyle="round" endarrow="block"/>
                        <v:imagedata o:title=""/>
                        <o:lock v:ext="edit" aspectratio="f"/>
                      </v:line>
                      <v:shape id="文本框 29" o:spid="_x0000_s1026" o:spt="202" type="#_x0000_t202" style="position:absolute;left:481330;top:2205990;height:285750;width:774700;" fillcolor="#FFFFFF" filled="t" stroked="t" coordsize="21600,21600" o:gfxdata="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3jJm1AAAAAUBAAAPAAAAAAAAAAEAIAAAACIAAABkcnMvZG93bnJldi54bWxQSwEC&#10;FAAUAAAACACHTuJA5XaKfGoCAADMBAAADgAAAAAAAAABACAAAAAjAQAAZHJzL2Uyb0RvYy54bWxQ&#10;SwUGAAAAAAYABgBZAQAA/wUAAAAA&#10;">
                        <v:fill on="t" focussize="0,0"/>
                        <v:stroke color="#000000" miterlimit="8" joinstyle="miter" dashstyle="dash"/>
                        <v:imagedata o:title=""/>
                        <o:lock v:ext="edit" aspectratio="f"/>
                        <v:textbox>
                          <w:txbxContent>
                            <w:p>
                              <w:pPr>
                                <w:jc w:val="center"/>
                              </w:pPr>
                              <w:r>
                                <w:rPr>
                                  <w:rFonts w:hint="eastAsia"/>
                                </w:rPr>
                                <w:t>化粪池</w:t>
                              </w:r>
                            </w:p>
                          </w:txbxContent>
                        </v:textbox>
                      </v:shape>
                      <v:shape id="文本框 30" o:spid="_x0000_s1026" o:spt="202" type="#_x0000_t202" style="position:absolute;left:328295;top:2673350;height:264795;width:1056640;" fillcolor="#FFFFFF" filled="t" stroked="t" coordsize="21600,21600" o:gfxdata="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HeMmbUAAAABQEAAA8AAAAAAAAAAQAgAAAAIgAAAGRycy9kb3ducmV2LnhtbFBLAQIU&#10;ABQAAAAIAIdO4kAP4g4faQIAAM0EAAAOAAAAAAAAAAEAIAAAACMBAABkcnMvZTJvRG9jLnhtbFBL&#10;BQYAAAAABgAGAFkBAAD+BQAAAAA=&#10;">
                        <v:fill on="t" focussize="0,0"/>
                        <v:stroke color="#000000" miterlimit="8" joinstyle="miter" dashstyle="dash"/>
                        <v:imagedata o:title=""/>
                        <o:lock v:ext="edit" aspectratio="f"/>
                        <v:textbox>
                          <w:txbxContent>
                            <w:p>
                              <w:pPr>
                                <w:jc w:val="center"/>
                              </w:pPr>
                              <w:r>
                                <w:rPr>
                                  <w:rFonts w:hint="eastAsia"/>
                                </w:rPr>
                                <w:t>污水处理设施</w:t>
                              </w:r>
                            </w:p>
                          </w:txbxContent>
                        </v:textbox>
                      </v:shape>
                      <v:shape id="文本框 31" o:spid="_x0000_s1026" o:spt="202" type="#_x0000_t202" style="position:absolute;left:367030;top:3111500;height:317500;width:1003300;" fillcolor="#FFFFFF" filled="t" stroked="t" coordsize="21600,21600" o:gfxdata="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HeMmbUAAAABQEAAA8AAAAAAAAAAQAgAAAAIgAAAGRycy9kb3ducmV2LnhtbFBLAQIU&#10;ABQAAAAIAIdO4kCuzlZwaQIAAM0EAAAOAAAAAAAAAAEAIAAAACMBAABkcnMvZTJvRG9jLnhtbFBL&#10;BQYAAAAABgAGAFkBAAD+BQAAAAA=&#10;">
                        <v:fill on="t" focussize="0,0"/>
                        <v:stroke color="#000000" miterlimit="8" joinstyle="miter" dashstyle="dash"/>
                        <v:imagedata o:title=""/>
                        <o:lock v:ext="edit" aspectratio="f"/>
                        <v:textbox>
                          <w:txbxContent>
                            <w:p>
                              <w:pPr>
                                <w:jc w:val="center"/>
                              </w:pPr>
                              <w:r>
                                <w:rPr>
                                  <w:rFonts w:hint="eastAsia"/>
                                </w:rPr>
                                <w:t>市政污水管网</w:t>
                              </w:r>
                            </w:p>
                          </w:txbxContent>
                        </v:textbox>
                      </v:shape>
                      <v:shape id="文本框 32" o:spid="_x0000_s1026" o:spt="202" type="#_x0000_t202" style="position:absolute;left:1795780;top:2158365;height:317500;width:774700;" fillcolor="#FFFFFF" filled="t" stroked="t" coordsize="21600,21600" o:gfxdata="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3jJm1AAAAAUBAAAPAAAAAAAAAAEAIAAAACIAAABkcnMvZG93bnJldi54bWxQSwEC&#10;FAAUAAAACACHTuJA6VNHeWoCAADMBAAADgAAAAAAAAABACAAAAAjAQAAZHJzL2Uyb0RvYy54bWxQ&#10;SwUGAAAAAAYABgBZAQAA/wUAAAAA&#10;">
                        <v:fill on="t" focussize="0,0"/>
                        <v:stroke color="#000000" miterlimit="8" joinstyle="miter" dashstyle="dash"/>
                        <v:imagedata o:title=""/>
                        <o:lock v:ext="edit" aspectratio="f"/>
                        <v:textbox>
                          <w:txbxContent>
                            <w:p>
                              <w:pPr>
                                <w:jc w:val="center"/>
                              </w:pPr>
                              <w:r>
                                <w:rPr>
                                  <w:rFonts w:hint="eastAsia"/>
                                </w:rPr>
                                <w:t>封闭设计</w:t>
                              </w:r>
                            </w:p>
                          </w:txbxContent>
                        </v:textbox>
                      </v:shape>
                      <v:shape id="文本框 33" o:spid="_x0000_s1026" o:spt="202" type="#_x0000_t202" style="position:absolute;left:2668905;top:2025015;height:317500;width:774700;" fillcolor="#FFFFFF" filled="t" stroked="t" coordsize="21600,21600" o:gfxdata="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d4yZtQAAAAFAQAADwAAAAAAAAABACAAAAAiAAAAZHJzL2Rvd25yZXYueG1sUEsB&#10;AhQAFAAAAAgAh07iQP0iw/VrAgAAzAQAAA4AAAAAAAAAAQAgAAAAIwEAAGRycy9lMm9Eb2MueG1s&#10;UEsFBgAAAAAGAAYAWQEAAAAGAAAAAA==&#10;">
                        <v:fill on="t" focussize="0,0"/>
                        <v:stroke color="#000000" miterlimit="8" joinstyle="miter" dashstyle="dash"/>
                        <v:imagedata o:title=""/>
                        <o:lock v:ext="edit" aspectratio="f"/>
                        <v:textbox>
                          <w:txbxContent>
                            <w:p>
                              <w:pPr>
                                <w:jc w:val="center"/>
                              </w:pPr>
                              <w:r>
                                <w:rPr>
                                  <w:rFonts w:hint="eastAsia"/>
                                </w:rPr>
                                <w:t>环卫清运</w:t>
                              </w:r>
                            </w:p>
                          </w:txbxContent>
                        </v:textbox>
                      </v:shape>
                      <v:shape id="文本框 34" o:spid="_x0000_s1026" o:spt="202" type="#_x0000_t202" style="position:absolute;left:3567430;top:2005330;height:440690;width:774700;" fillcolor="#FFFFFF" filled="t" stroked="t" coordsize="21600,21600" o:gfxdata="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HeMmbUAAAABQEAAA8AAAAAAAAAAQAgAAAAIgAAAGRycy9kb3ducmV2LnhtbFBL&#10;AQIUABQAAAAIAIdO4kCWr57XbAIAAM0EAAAOAAAAAAAAAAEAIAAAACMBAABkcnMvZTJvRG9jLnht&#10;bFBLBQYAAAAABgAGAFkBAAABBgAAAAA=&#10;">
                        <v:fill on="t" focussize="0,0"/>
                        <v:stroke color="#000000" miterlimit="8" joinstyle="miter" dashstyle="dash"/>
                        <v:imagedata o:title=""/>
                        <o:lock v:ext="edit" aspectratio="f"/>
                        <v:textbox>
                          <w:txbxContent>
                            <w:p>
                              <w:pPr>
                                <w:jc w:val="center"/>
                              </w:pPr>
                              <w:r>
                                <w:rPr>
                                  <w:rFonts w:hint="eastAsia"/>
                                </w:rPr>
                                <w:t>有资质单位处理</w:t>
                              </w:r>
                            </w:p>
                          </w:txbxContent>
                        </v:textbox>
                      </v:shape>
                      <v:shape id="自选图形 35" o:spid="_x0000_s1026" o:spt="34" type="#_x0000_t34" style="position:absolute;left:833720;top:1374741;flip:y;height:850900;width:3175;rotation:-5898240f;" filled="f" stroked="t" coordsize="21600,21600" o:gfxdata="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DIzRNYAAAAFAQAADwAAAAAAAAABACAAAAAiAAAAZHJzL2Rvd25y&#10;ZXYueG1sUEsBAhQAFAAAAAgAh07iQCrYp2E5AgAANQQAAA4AAAAAAAAAAQAgAAAAJQEAAGRycy9l&#10;Mm9Eb2MueG1sUEsFBgAAAAAGAAYAWQEAANAFAAAAAA==&#10;" adj="1373760">
                        <v:fill on="f" focussize="0,0"/>
                        <v:stroke color="#000000" miterlimit="8" joinstyle="miter"/>
                        <v:imagedata o:title=""/>
                        <o:lock v:ext="edit" aspectratio="f"/>
                      </v:shape>
                      <v:line id="直线 36" o:spid="_x0000_s1026" o:spt="20" style="position:absolute;left:883920;top:2480945;height:190500;width:0;" filled="f" stroked="t" coordsize="21600,21600" o:gfxdata="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xkn7dYAAAAFAQAADwAAAAAAAAAB&#10;ACAAAAAiAAAAZHJzL2Rvd25yZXYueG1sUEsBAhQAFAAAAAgAh07iQEVHwooSAgAA/AMAAA4AAAAA&#10;AAAAAQAgAAAAJQEAAGRycy9lMm9Eb2MueG1sUEsFBgAAAAAGAAYAWQEAAKkFAAAAAA==&#10;">
                        <v:fill on="f" focussize="0,0"/>
                        <v:stroke color="#000000" joinstyle="round" endarrow="block"/>
                        <v:imagedata o:title=""/>
                        <o:lock v:ext="edit" aspectratio="f"/>
                      </v:line>
                      <v:line id="直线 37" o:spid="_x0000_s1026" o:spt="20" style="position:absolute;left:884555;top:2947035;height:190500;width:0;" filled="f" stroked="t" coordsize="21600,21600" o:gfxdata="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GSft1gAAAAUBAAAPAAAAAAAA&#10;AAEAIAAAACIAAABkcnMvZG93bnJldi54bWxQSwECFAAUAAAACACHTuJA6MPjthQCAAD8AwAADgAA&#10;AAAAAAABACAAAAAlAQAAZHJzL2Uyb0RvYy54bWxQSwUGAAAAAAYABgBZAQAAqwUAAAAA&#10;">
                        <v:fill on="f" focussize="0,0"/>
                        <v:stroke color="#000000" joinstyle="round" endarrow="block"/>
                        <v:imagedata o:title=""/>
                        <o:lock v:ext="edit" aspectratio="f"/>
                      </v:line>
                      <w10:wrap type="none"/>
                      <w10:anchorlock/>
                    </v:group>
                  </w:pict>
                </mc:Fallback>
              </mc:AlternateContent>
            </w:r>
          </w:p>
          <w:p>
            <w:pPr>
              <w:pStyle w:val="4"/>
              <w:jc w:val="center"/>
              <w:rPr>
                <w:b/>
                <w:bCs/>
                <w:szCs w:val="21"/>
              </w:rPr>
            </w:pPr>
            <w:r>
              <w:rPr>
                <w:rFonts w:hint="eastAsia"/>
                <w:b/>
                <w:bCs/>
                <w:szCs w:val="21"/>
              </w:rPr>
              <w:t>图2-2  项目工艺</w:t>
            </w:r>
            <w:r>
              <w:rPr>
                <w:b/>
                <w:bCs/>
                <w:szCs w:val="21"/>
              </w:rPr>
              <w:t>流程及产污节点图</w:t>
            </w:r>
          </w:p>
          <w:p>
            <w:pPr>
              <w:widowControl/>
              <w:spacing w:line="360" w:lineRule="auto"/>
              <w:ind w:firstLine="482" w:firstLineChars="200"/>
              <w:jc w:val="left"/>
              <w:rPr>
                <w:rFonts w:hAnsi="宋体"/>
                <w:b/>
                <w:bCs/>
                <w:sz w:val="24"/>
              </w:rPr>
            </w:pPr>
            <w:r>
              <w:rPr>
                <w:rFonts w:hint="eastAsia" w:hAnsi="宋体"/>
                <w:b/>
                <w:bCs/>
                <w:sz w:val="24"/>
              </w:rPr>
              <w:t>工艺流程说明：</w:t>
            </w:r>
          </w:p>
          <w:p>
            <w:pPr>
              <w:spacing w:line="360" w:lineRule="auto"/>
              <w:ind w:firstLine="480" w:firstLineChars="200"/>
              <w:rPr>
                <w:kern w:val="0"/>
                <w:sz w:val="24"/>
                <w:szCs w:val="20"/>
              </w:rPr>
            </w:pPr>
            <w:r>
              <w:rPr>
                <w:rFonts w:hint="eastAsia"/>
                <w:kern w:val="0"/>
                <w:sz w:val="24"/>
                <w:szCs w:val="20"/>
              </w:rPr>
              <w:t>本项目主要科室有</w:t>
            </w:r>
            <w:r>
              <w:rPr>
                <w:rFonts w:hint="eastAsia"/>
                <w:sz w:val="24"/>
              </w:rPr>
              <w:t>中医理疗科、内科门诊、骨科门诊、妇产科等。项目不设传染病房</w:t>
            </w:r>
            <w:r>
              <w:rPr>
                <w:rFonts w:hint="eastAsia"/>
                <w:kern w:val="0"/>
                <w:sz w:val="24"/>
                <w:szCs w:val="20"/>
              </w:rPr>
              <w:t>。</w:t>
            </w:r>
          </w:p>
          <w:p>
            <w:pPr>
              <w:spacing w:line="360" w:lineRule="auto"/>
              <w:ind w:firstLine="480" w:firstLineChars="200"/>
              <w:rPr>
                <w:kern w:val="0"/>
                <w:sz w:val="24"/>
                <w:szCs w:val="20"/>
              </w:rPr>
            </w:pPr>
            <w:r>
              <w:rPr>
                <w:rFonts w:hint="eastAsia"/>
                <w:kern w:val="0"/>
                <w:sz w:val="24"/>
                <w:szCs w:val="20"/>
              </w:rPr>
              <w:t>根据病人的诊断情况，采取直接取药、门诊治疗等治疗后出院；还有部分患者需要留院进行进一步诊治，办理入院手续。住院病患已康复，经医生同意，办理出院手续，出院回家调理。</w:t>
            </w:r>
          </w:p>
          <w:p>
            <w:pPr>
              <w:spacing w:line="360" w:lineRule="auto"/>
              <w:ind w:firstLine="480" w:firstLineChars="200"/>
              <w:rPr>
                <w:kern w:val="0"/>
                <w:sz w:val="24"/>
                <w:szCs w:val="20"/>
              </w:rPr>
            </w:pPr>
            <w:r>
              <w:rPr>
                <w:rFonts w:hint="eastAsia"/>
                <w:kern w:val="0"/>
                <w:sz w:val="24"/>
                <w:szCs w:val="20"/>
              </w:rPr>
              <w:t>医院内洗片采用激光打印机打印片子，无洗片废水医院，检验科采用先进的试纸进行检测，无含铬废水、检验科酸碱废水。血液检验采用试剂盒，无含氰废水产生，检验科用完的试剂作为医疗危险废物处理。医院备用发电机使用轻质柴油，产生的污染较小。</w:t>
            </w:r>
          </w:p>
          <w:p>
            <w:pPr>
              <w:spacing w:line="360" w:lineRule="auto"/>
              <w:ind w:firstLine="480"/>
              <w:rPr>
                <w:sz w:val="24"/>
                <w:szCs w:val="32"/>
              </w:rPr>
            </w:pPr>
            <w:r>
              <w:rPr>
                <w:rFonts w:hint="eastAsia"/>
                <w:sz w:val="24"/>
                <w:szCs w:val="32"/>
              </w:rPr>
              <w:t>综上，拟建项目产污环节如下表所示：</w:t>
            </w:r>
          </w:p>
          <w:p>
            <w:pPr>
              <w:spacing w:line="360" w:lineRule="auto"/>
              <w:ind w:firstLine="480"/>
              <w:rPr>
                <w:sz w:val="24"/>
                <w:szCs w:val="32"/>
              </w:rPr>
            </w:pPr>
          </w:p>
          <w:p>
            <w:pPr>
              <w:pStyle w:val="21"/>
              <w:ind w:firstLine="442"/>
              <w:jc w:val="center"/>
              <w:rPr>
                <w:rFonts w:ascii="Times New Roman" w:eastAsia="宋体" w:cs="Times New Roman"/>
                <w:b/>
                <w:color w:val="auto"/>
                <w:kern w:val="2"/>
                <w:sz w:val="22"/>
                <w:szCs w:val="22"/>
              </w:rPr>
            </w:pPr>
            <w:r>
              <w:rPr>
                <w:rFonts w:hint="eastAsia" w:ascii="Times New Roman" w:eastAsia="宋体" w:cs="Times New Roman"/>
                <w:b/>
                <w:color w:val="auto"/>
                <w:kern w:val="2"/>
                <w:sz w:val="22"/>
                <w:szCs w:val="22"/>
              </w:rPr>
              <w:t>表2-</w:t>
            </w:r>
            <w:r>
              <w:rPr>
                <w:rFonts w:ascii="Times New Roman" w:eastAsia="宋体" w:cs="Times New Roman"/>
                <w:b/>
                <w:color w:val="auto"/>
                <w:kern w:val="2"/>
                <w:sz w:val="22"/>
                <w:szCs w:val="22"/>
              </w:rPr>
              <w:t>5</w:t>
            </w:r>
            <w:r>
              <w:rPr>
                <w:rFonts w:hint="eastAsia" w:ascii="Times New Roman" w:eastAsia="宋体" w:cs="Times New Roman"/>
                <w:b/>
                <w:color w:val="auto"/>
                <w:kern w:val="2"/>
                <w:sz w:val="22"/>
                <w:szCs w:val="22"/>
              </w:rPr>
              <w:t xml:space="preserve">    项目产污环节汇总一览表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755"/>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6" w:type="dxa"/>
                  <w:vAlign w:val="center"/>
                </w:tcPr>
                <w:p>
                  <w:pPr>
                    <w:adjustRightInd w:val="0"/>
                    <w:jc w:val="center"/>
                    <w:rPr>
                      <w:kern w:val="0"/>
                      <w:sz w:val="21"/>
                      <w:szCs w:val="21"/>
                    </w:rPr>
                  </w:pPr>
                  <w:r>
                    <w:rPr>
                      <w:rFonts w:hint="eastAsia"/>
                      <w:kern w:val="0"/>
                      <w:sz w:val="21"/>
                      <w:szCs w:val="21"/>
                    </w:rPr>
                    <w:t>类别</w:t>
                  </w:r>
                </w:p>
              </w:tc>
              <w:tc>
                <w:tcPr>
                  <w:tcW w:w="1755" w:type="dxa"/>
                  <w:vAlign w:val="center"/>
                </w:tcPr>
                <w:p>
                  <w:pPr>
                    <w:adjustRightInd w:val="0"/>
                    <w:jc w:val="center"/>
                    <w:rPr>
                      <w:kern w:val="0"/>
                      <w:sz w:val="21"/>
                      <w:szCs w:val="21"/>
                    </w:rPr>
                  </w:pPr>
                  <w:r>
                    <w:rPr>
                      <w:rFonts w:hint="eastAsia"/>
                      <w:kern w:val="0"/>
                      <w:sz w:val="21"/>
                      <w:szCs w:val="21"/>
                    </w:rPr>
                    <w:t>产生环节</w:t>
                  </w:r>
                </w:p>
              </w:tc>
              <w:tc>
                <w:tcPr>
                  <w:tcW w:w="4723" w:type="dxa"/>
                  <w:vAlign w:val="center"/>
                </w:tcPr>
                <w:p>
                  <w:pPr>
                    <w:adjustRightInd w:val="0"/>
                    <w:jc w:val="center"/>
                    <w:rPr>
                      <w:kern w:val="0"/>
                      <w:sz w:val="21"/>
                      <w:szCs w:val="21"/>
                    </w:rPr>
                  </w:pPr>
                  <w:r>
                    <w:rPr>
                      <w:rFonts w:hint="eastAsia"/>
                      <w:kern w:val="0"/>
                      <w:sz w:val="21"/>
                      <w:szCs w:val="21"/>
                    </w:rPr>
                    <w:t>主要污染因子或污染物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6" w:type="dxa"/>
                  <w:vMerge w:val="restart"/>
                  <w:vAlign w:val="center"/>
                </w:tcPr>
                <w:p>
                  <w:pPr>
                    <w:adjustRightInd w:val="0"/>
                    <w:jc w:val="center"/>
                    <w:rPr>
                      <w:kern w:val="0"/>
                      <w:sz w:val="21"/>
                      <w:szCs w:val="21"/>
                    </w:rPr>
                  </w:pPr>
                  <w:r>
                    <w:rPr>
                      <w:rFonts w:hint="eastAsia"/>
                      <w:kern w:val="0"/>
                      <w:sz w:val="21"/>
                      <w:szCs w:val="21"/>
                    </w:rPr>
                    <w:t>废气</w:t>
                  </w:r>
                </w:p>
              </w:tc>
              <w:tc>
                <w:tcPr>
                  <w:tcW w:w="1755" w:type="dxa"/>
                  <w:vAlign w:val="center"/>
                </w:tcPr>
                <w:p>
                  <w:pPr>
                    <w:adjustRightInd w:val="0"/>
                    <w:jc w:val="center"/>
                    <w:rPr>
                      <w:kern w:val="0"/>
                      <w:sz w:val="21"/>
                      <w:szCs w:val="21"/>
                    </w:rPr>
                  </w:pPr>
                  <w:r>
                    <w:rPr>
                      <w:rFonts w:hint="eastAsia"/>
                      <w:kern w:val="0"/>
                      <w:sz w:val="21"/>
                      <w:szCs w:val="21"/>
                    </w:rPr>
                    <w:t>柴油发电机烟气</w:t>
                  </w:r>
                </w:p>
              </w:tc>
              <w:tc>
                <w:tcPr>
                  <w:tcW w:w="4723" w:type="dxa"/>
                  <w:vAlign w:val="center"/>
                </w:tcPr>
                <w:p>
                  <w:pPr>
                    <w:adjustRightInd w:val="0"/>
                    <w:jc w:val="center"/>
                    <w:rPr>
                      <w:kern w:val="0"/>
                      <w:sz w:val="21"/>
                      <w:szCs w:val="21"/>
                    </w:rPr>
                  </w:pPr>
                  <w:r>
                    <w:rPr>
                      <w:kern w:val="0"/>
                      <w:sz w:val="21"/>
                      <w:szCs w:val="21"/>
                    </w:rPr>
                    <w:t>SO</w:t>
                  </w:r>
                  <w:r>
                    <w:rPr>
                      <w:kern w:val="0"/>
                      <w:sz w:val="21"/>
                      <w:szCs w:val="21"/>
                      <w:vertAlign w:val="subscript"/>
                    </w:rPr>
                    <w:t>2</w:t>
                  </w:r>
                  <w:r>
                    <w:rPr>
                      <w:kern w:val="0"/>
                      <w:sz w:val="21"/>
                      <w:szCs w:val="21"/>
                    </w:rPr>
                    <w:t>、CO、NO</w:t>
                  </w:r>
                  <w:r>
                    <w:rPr>
                      <w:kern w:val="0"/>
                      <w:sz w:val="21"/>
                      <w:szCs w:val="21"/>
                      <w:vertAlign w:val="subscript"/>
                    </w:rPr>
                    <w:t>X</w:t>
                  </w:r>
                  <w:r>
                    <w:rPr>
                      <w:kern w:val="0"/>
                      <w:sz w:val="21"/>
                      <w:szCs w:val="21"/>
                    </w:rPr>
                    <w:t>、PM</w:t>
                  </w:r>
                  <w:r>
                    <w:rPr>
                      <w:kern w:val="0"/>
                      <w:sz w:val="21"/>
                      <w:szCs w:val="21"/>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6" w:type="dxa"/>
                  <w:vMerge w:val="continue"/>
                  <w:vAlign w:val="center"/>
                </w:tcPr>
                <w:p>
                  <w:pPr>
                    <w:adjustRightInd w:val="0"/>
                    <w:jc w:val="center"/>
                    <w:rPr>
                      <w:kern w:val="0"/>
                      <w:sz w:val="21"/>
                      <w:szCs w:val="21"/>
                    </w:rPr>
                  </w:pPr>
                </w:p>
              </w:tc>
              <w:tc>
                <w:tcPr>
                  <w:tcW w:w="1755" w:type="dxa"/>
                  <w:vAlign w:val="center"/>
                </w:tcPr>
                <w:p>
                  <w:pPr>
                    <w:adjustRightInd w:val="0"/>
                    <w:jc w:val="center"/>
                    <w:rPr>
                      <w:kern w:val="0"/>
                      <w:sz w:val="21"/>
                      <w:szCs w:val="21"/>
                    </w:rPr>
                  </w:pPr>
                  <w:r>
                    <w:rPr>
                      <w:rFonts w:hint="eastAsia"/>
                      <w:kern w:val="0"/>
                      <w:sz w:val="21"/>
                      <w:szCs w:val="21"/>
                    </w:rPr>
                    <w:t>食堂油烟</w:t>
                  </w:r>
                </w:p>
              </w:tc>
              <w:tc>
                <w:tcPr>
                  <w:tcW w:w="4723" w:type="dxa"/>
                  <w:vAlign w:val="center"/>
                </w:tcPr>
                <w:p>
                  <w:pPr>
                    <w:adjustRightInd w:val="0"/>
                    <w:jc w:val="center"/>
                    <w:rPr>
                      <w:kern w:val="0"/>
                      <w:sz w:val="21"/>
                      <w:szCs w:val="21"/>
                    </w:rPr>
                  </w:pPr>
                  <w:r>
                    <w:rPr>
                      <w:rFonts w:hint="eastAsia"/>
                      <w:kern w:val="0"/>
                      <w:sz w:val="21"/>
                      <w:szCs w:val="21"/>
                    </w:rPr>
                    <w:t>油烟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6" w:type="dxa"/>
                  <w:vMerge w:val="continue"/>
                  <w:vAlign w:val="center"/>
                </w:tcPr>
                <w:p>
                  <w:pPr>
                    <w:adjustRightInd w:val="0"/>
                    <w:jc w:val="center"/>
                    <w:rPr>
                      <w:kern w:val="0"/>
                      <w:sz w:val="21"/>
                      <w:szCs w:val="21"/>
                    </w:rPr>
                  </w:pPr>
                </w:p>
              </w:tc>
              <w:tc>
                <w:tcPr>
                  <w:tcW w:w="1755" w:type="dxa"/>
                  <w:vAlign w:val="center"/>
                </w:tcPr>
                <w:p>
                  <w:pPr>
                    <w:adjustRightInd w:val="0"/>
                    <w:jc w:val="center"/>
                    <w:rPr>
                      <w:kern w:val="0"/>
                      <w:sz w:val="21"/>
                      <w:szCs w:val="21"/>
                    </w:rPr>
                  </w:pPr>
                  <w:r>
                    <w:rPr>
                      <w:rFonts w:hint="eastAsia"/>
                      <w:kern w:val="0"/>
                      <w:sz w:val="21"/>
                      <w:szCs w:val="21"/>
                    </w:rPr>
                    <w:t>污水处理设施</w:t>
                  </w:r>
                </w:p>
              </w:tc>
              <w:tc>
                <w:tcPr>
                  <w:tcW w:w="4723" w:type="dxa"/>
                  <w:vAlign w:val="center"/>
                </w:tcPr>
                <w:p>
                  <w:pPr>
                    <w:adjustRightInd w:val="0"/>
                    <w:jc w:val="center"/>
                    <w:rPr>
                      <w:kern w:val="0"/>
                      <w:sz w:val="21"/>
                      <w:szCs w:val="21"/>
                    </w:rPr>
                  </w:pPr>
                  <w:r>
                    <w:rPr>
                      <w:rFonts w:hint="eastAsia"/>
                      <w:kern w:val="0"/>
                      <w:sz w:val="21"/>
                      <w:szCs w:val="21"/>
                    </w:rPr>
                    <w:t>NH</w:t>
                  </w:r>
                  <w:r>
                    <w:rPr>
                      <w:rFonts w:hint="eastAsia"/>
                      <w:kern w:val="0"/>
                      <w:sz w:val="21"/>
                      <w:szCs w:val="21"/>
                      <w:vertAlign w:val="subscript"/>
                    </w:rPr>
                    <w:t>3</w:t>
                  </w:r>
                  <w:r>
                    <w:rPr>
                      <w:rFonts w:hint="eastAsia"/>
                      <w:kern w:val="0"/>
                      <w:sz w:val="21"/>
                      <w:szCs w:val="21"/>
                    </w:rPr>
                    <w:t>、H</w:t>
                  </w:r>
                  <w:r>
                    <w:rPr>
                      <w:rFonts w:hint="eastAsia"/>
                      <w:kern w:val="0"/>
                      <w:sz w:val="21"/>
                      <w:szCs w:val="21"/>
                      <w:vertAlign w:val="subscript"/>
                    </w:rPr>
                    <w:t>2</w:t>
                  </w:r>
                  <w:r>
                    <w:rPr>
                      <w:rFonts w:hint="eastAsia"/>
                      <w:kern w:val="0"/>
                      <w:sz w:val="21"/>
                      <w:szCs w:val="21"/>
                    </w:rPr>
                    <w:t>S、臭气浓度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6" w:type="dxa"/>
                  <w:vAlign w:val="center"/>
                </w:tcPr>
                <w:p>
                  <w:pPr>
                    <w:adjustRightInd w:val="0"/>
                    <w:jc w:val="center"/>
                    <w:rPr>
                      <w:kern w:val="0"/>
                      <w:sz w:val="21"/>
                      <w:szCs w:val="21"/>
                    </w:rPr>
                  </w:pPr>
                  <w:r>
                    <w:rPr>
                      <w:rFonts w:hint="eastAsia"/>
                      <w:kern w:val="0"/>
                      <w:sz w:val="21"/>
                      <w:szCs w:val="21"/>
                    </w:rPr>
                    <w:t>废水</w:t>
                  </w:r>
                </w:p>
              </w:tc>
              <w:tc>
                <w:tcPr>
                  <w:tcW w:w="1755" w:type="dxa"/>
                  <w:vAlign w:val="center"/>
                </w:tcPr>
                <w:p>
                  <w:pPr>
                    <w:adjustRightInd w:val="0"/>
                    <w:jc w:val="center"/>
                    <w:rPr>
                      <w:kern w:val="0"/>
                      <w:sz w:val="21"/>
                      <w:szCs w:val="21"/>
                    </w:rPr>
                  </w:pPr>
                  <w:r>
                    <w:rPr>
                      <w:rFonts w:hint="eastAsia"/>
                      <w:kern w:val="0"/>
                      <w:sz w:val="21"/>
                      <w:szCs w:val="21"/>
                    </w:rPr>
                    <w:t>医疗废水</w:t>
                  </w:r>
                </w:p>
              </w:tc>
              <w:tc>
                <w:tcPr>
                  <w:tcW w:w="4723" w:type="dxa"/>
                  <w:vAlign w:val="center"/>
                </w:tcPr>
                <w:p>
                  <w:pPr>
                    <w:adjustRightInd w:val="0"/>
                    <w:jc w:val="center"/>
                    <w:rPr>
                      <w:kern w:val="0"/>
                      <w:sz w:val="21"/>
                      <w:szCs w:val="22"/>
                    </w:rPr>
                  </w:pPr>
                  <w:r>
                    <w:rPr>
                      <w:rFonts w:hint="eastAsia"/>
                      <w:kern w:val="0"/>
                      <w:sz w:val="21"/>
                      <w:szCs w:val="22"/>
                    </w:rPr>
                    <w:t>阴离子表面活性剂、总余氯（以Cl计）、氨氮、粪大肠菌群、化学需氧量、动植物油、悬浮物、pH值、五日生化需氧量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6" w:type="dxa"/>
                  <w:vMerge w:val="restart"/>
                  <w:vAlign w:val="center"/>
                </w:tcPr>
                <w:p>
                  <w:pPr>
                    <w:adjustRightInd w:val="0"/>
                    <w:jc w:val="center"/>
                    <w:rPr>
                      <w:kern w:val="0"/>
                      <w:sz w:val="21"/>
                      <w:szCs w:val="21"/>
                    </w:rPr>
                  </w:pPr>
                  <w:r>
                    <w:rPr>
                      <w:rFonts w:hint="eastAsia"/>
                      <w:kern w:val="0"/>
                      <w:sz w:val="21"/>
                      <w:szCs w:val="21"/>
                    </w:rPr>
                    <w:t>固废</w:t>
                  </w:r>
                </w:p>
              </w:tc>
              <w:tc>
                <w:tcPr>
                  <w:tcW w:w="1755" w:type="dxa"/>
                  <w:vAlign w:val="center"/>
                </w:tcPr>
                <w:p>
                  <w:pPr>
                    <w:adjustRightInd w:val="0"/>
                    <w:jc w:val="center"/>
                    <w:rPr>
                      <w:kern w:val="0"/>
                      <w:sz w:val="21"/>
                      <w:szCs w:val="21"/>
                    </w:rPr>
                  </w:pPr>
                  <w:r>
                    <w:rPr>
                      <w:rFonts w:hint="eastAsia"/>
                      <w:kern w:val="0"/>
                      <w:sz w:val="21"/>
                      <w:szCs w:val="21"/>
                    </w:rPr>
                    <w:t>综合医疗废物</w:t>
                  </w:r>
                </w:p>
              </w:tc>
              <w:tc>
                <w:tcPr>
                  <w:tcW w:w="4723" w:type="dxa"/>
                  <w:vAlign w:val="center"/>
                </w:tcPr>
                <w:p>
                  <w:pPr>
                    <w:adjustRightInd w:val="0"/>
                    <w:jc w:val="center"/>
                    <w:rPr>
                      <w:kern w:val="0"/>
                      <w:sz w:val="21"/>
                      <w:szCs w:val="21"/>
                    </w:rPr>
                  </w:pPr>
                  <w:r>
                    <w:rPr>
                      <w:rFonts w:hint="eastAsia"/>
                      <w:kern w:val="0"/>
                      <w:sz w:val="21"/>
                      <w:szCs w:val="21"/>
                    </w:rPr>
                    <w:t>住院病人治疗过程中产生的病理性废物、损伤性废物、药物性废物、感染性废物和化学性废物。检验废液主要有有机废液及酸性废液等，检验室第一次冲洗水、含有大量的病原微生物、寄生虫，还含有其他有害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6" w:type="dxa"/>
                  <w:vMerge w:val="continue"/>
                  <w:vAlign w:val="center"/>
                </w:tcPr>
                <w:p>
                  <w:pPr>
                    <w:adjustRightInd w:val="0"/>
                    <w:jc w:val="center"/>
                    <w:rPr>
                      <w:kern w:val="0"/>
                      <w:sz w:val="21"/>
                      <w:szCs w:val="21"/>
                    </w:rPr>
                  </w:pPr>
                </w:p>
              </w:tc>
              <w:tc>
                <w:tcPr>
                  <w:tcW w:w="1755" w:type="dxa"/>
                  <w:vAlign w:val="center"/>
                </w:tcPr>
                <w:p>
                  <w:pPr>
                    <w:adjustRightInd w:val="0"/>
                    <w:jc w:val="center"/>
                    <w:rPr>
                      <w:kern w:val="0"/>
                      <w:sz w:val="21"/>
                      <w:szCs w:val="21"/>
                    </w:rPr>
                  </w:pPr>
                  <w:r>
                    <w:rPr>
                      <w:rFonts w:hint="eastAsia"/>
                      <w:kern w:val="0"/>
                      <w:sz w:val="21"/>
                      <w:szCs w:val="21"/>
                    </w:rPr>
                    <w:t>废水处理站</w:t>
                  </w:r>
                </w:p>
              </w:tc>
              <w:tc>
                <w:tcPr>
                  <w:tcW w:w="4723" w:type="dxa"/>
                  <w:vAlign w:val="center"/>
                </w:tcPr>
                <w:p>
                  <w:pPr>
                    <w:adjustRightInd w:val="0"/>
                    <w:jc w:val="center"/>
                    <w:rPr>
                      <w:kern w:val="0"/>
                      <w:sz w:val="21"/>
                      <w:szCs w:val="21"/>
                    </w:rPr>
                  </w:pPr>
                  <w:r>
                    <w:rPr>
                      <w:rFonts w:hint="eastAsia"/>
                      <w:kern w:val="0"/>
                      <w:sz w:val="21"/>
                      <w:szCs w:val="21"/>
                    </w:rPr>
                    <w:t>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6" w:type="dxa"/>
                  <w:vMerge w:val="continue"/>
                  <w:vAlign w:val="center"/>
                </w:tcPr>
                <w:p>
                  <w:pPr>
                    <w:adjustRightInd w:val="0"/>
                    <w:jc w:val="center"/>
                    <w:rPr>
                      <w:kern w:val="0"/>
                      <w:sz w:val="21"/>
                      <w:szCs w:val="21"/>
                    </w:rPr>
                  </w:pPr>
                </w:p>
              </w:tc>
              <w:tc>
                <w:tcPr>
                  <w:tcW w:w="1755" w:type="dxa"/>
                  <w:vAlign w:val="center"/>
                </w:tcPr>
                <w:p>
                  <w:pPr>
                    <w:adjustRightInd w:val="0"/>
                    <w:jc w:val="center"/>
                    <w:rPr>
                      <w:kern w:val="0"/>
                      <w:sz w:val="21"/>
                      <w:szCs w:val="21"/>
                    </w:rPr>
                  </w:pPr>
                  <w:r>
                    <w:rPr>
                      <w:rFonts w:hint="eastAsia"/>
                      <w:kern w:val="0"/>
                      <w:sz w:val="21"/>
                      <w:szCs w:val="21"/>
                    </w:rPr>
                    <w:t>生活垃圾</w:t>
                  </w:r>
                </w:p>
              </w:tc>
              <w:tc>
                <w:tcPr>
                  <w:tcW w:w="4723" w:type="dxa"/>
                  <w:vAlign w:val="center"/>
                </w:tcPr>
                <w:p>
                  <w:pPr>
                    <w:adjustRightInd w:val="0"/>
                    <w:jc w:val="center"/>
                    <w:rPr>
                      <w:kern w:val="0"/>
                      <w:sz w:val="21"/>
                      <w:szCs w:val="21"/>
                    </w:rPr>
                  </w:pPr>
                  <w:r>
                    <w:rPr>
                      <w:rFonts w:hint="eastAsia"/>
                      <w:kern w:val="0"/>
                      <w:sz w:val="21"/>
                      <w:szCs w:val="21"/>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6" w:type="dxa"/>
                  <w:vAlign w:val="center"/>
                </w:tcPr>
                <w:p>
                  <w:pPr>
                    <w:adjustRightInd w:val="0"/>
                    <w:jc w:val="center"/>
                    <w:rPr>
                      <w:kern w:val="0"/>
                      <w:sz w:val="21"/>
                      <w:szCs w:val="21"/>
                    </w:rPr>
                  </w:pPr>
                  <w:r>
                    <w:rPr>
                      <w:rFonts w:hint="eastAsia"/>
                      <w:kern w:val="0"/>
                      <w:sz w:val="21"/>
                      <w:szCs w:val="21"/>
                    </w:rPr>
                    <w:t>噪声</w:t>
                  </w:r>
                </w:p>
              </w:tc>
              <w:tc>
                <w:tcPr>
                  <w:tcW w:w="1755" w:type="dxa"/>
                  <w:vAlign w:val="center"/>
                </w:tcPr>
                <w:p>
                  <w:pPr>
                    <w:adjustRightInd w:val="0"/>
                    <w:jc w:val="center"/>
                    <w:rPr>
                      <w:kern w:val="0"/>
                      <w:sz w:val="21"/>
                      <w:szCs w:val="21"/>
                    </w:rPr>
                  </w:pPr>
                  <w:r>
                    <w:rPr>
                      <w:rFonts w:hint="eastAsia"/>
                      <w:kern w:val="0"/>
                      <w:sz w:val="21"/>
                      <w:szCs w:val="21"/>
                    </w:rPr>
                    <w:t>设备运行</w:t>
                  </w:r>
                </w:p>
              </w:tc>
              <w:tc>
                <w:tcPr>
                  <w:tcW w:w="4723" w:type="dxa"/>
                  <w:vAlign w:val="center"/>
                </w:tcPr>
                <w:p>
                  <w:pPr>
                    <w:adjustRightInd w:val="0"/>
                    <w:jc w:val="center"/>
                    <w:rPr>
                      <w:kern w:val="0"/>
                      <w:sz w:val="21"/>
                      <w:szCs w:val="21"/>
                    </w:rPr>
                  </w:pPr>
                  <w:r>
                    <w:rPr>
                      <w:rFonts w:hint="eastAsia"/>
                      <w:kern w:val="0"/>
                      <w:sz w:val="21"/>
                      <w:szCs w:val="21"/>
                    </w:rPr>
                    <w:t>等效声级 dB(A)</w:t>
                  </w:r>
                </w:p>
              </w:tc>
            </w:tr>
          </w:tbl>
          <w:p>
            <w:pPr>
              <w:spacing w:line="360" w:lineRule="auto"/>
              <w:ind w:firstLine="480"/>
              <w:rPr>
                <w:b/>
              </w:rPr>
            </w:pPr>
          </w:p>
          <w:p>
            <w:pPr>
              <w:spacing w:line="360" w:lineRule="auto"/>
              <w:ind w:firstLine="480"/>
              <w:rPr>
                <w:b/>
              </w:rPr>
            </w:pPr>
          </w:p>
          <w:p>
            <w:pPr>
              <w:spacing w:line="360" w:lineRule="auto"/>
              <w:ind w:firstLine="480"/>
              <w:rPr>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456" w:type="dxa"/>
            <w:vAlign w:val="center"/>
          </w:tcPr>
          <w:p>
            <w:pPr>
              <w:pStyle w:val="9"/>
              <w:adjustRightInd w:val="0"/>
              <w:snapToGrid w:val="0"/>
              <w:spacing w:before="0" w:beforeAutospacing="0" w:after="0" w:afterAutospacing="0"/>
              <w:jc w:val="center"/>
              <w:rPr>
                <w:rFonts w:cs="宋体"/>
                <w:szCs w:val="24"/>
              </w:rPr>
            </w:pPr>
            <w:r>
              <w:rPr>
                <w:rFonts w:hint="eastAsia" w:cs="宋体"/>
                <w:bCs/>
                <w:kern w:val="2"/>
                <w:szCs w:val="24"/>
              </w:rPr>
              <w:t>与项目有关的原有环境污染问题</w:t>
            </w:r>
          </w:p>
        </w:tc>
        <w:tc>
          <w:tcPr>
            <w:tcW w:w="7830" w:type="dxa"/>
          </w:tcPr>
          <w:p>
            <w:pPr>
              <w:spacing w:line="360" w:lineRule="auto"/>
              <w:ind w:firstLine="480" w:firstLineChars="200"/>
              <w:rPr>
                <w:bCs/>
                <w:sz w:val="24"/>
              </w:rPr>
            </w:pPr>
            <w:r>
              <w:rPr>
                <w:rFonts w:hint="eastAsia"/>
                <w:bCs/>
                <w:sz w:val="24"/>
              </w:rPr>
              <w:t>本项目位于</w:t>
            </w:r>
            <w:r>
              <w:rPr>
                <w:rFonts w:hint="eastAsia"/>
                <w:sz w:val="24"/>
              </w:rPr>
              <w:t>常德市澧县澧浦街道羊古社区，于20</w:t>
            </w:r>
            <w:r>
              <w:rPr>
                <w:sz w:val="24"/>
              </w:rPr>
              <w:t>17</w:t>
            </w:r>
            <w:r>
              <w:rPr>
                <w:rFonts w:hint="eastAsia"/>
                <w:sz w:val="24"/>
              </w:rPr>
              <w:t>年投入运营，项目运营至今，一直未办理相关环评与环保验收手续，根据《关于加强“未批先建”建设项目环境影响评价管理工作的通知》（环办环评[2018]18号）文件第二条、第五条规定，本项目属于2015年1月1日《环境保护法》实施后建成</w:t>
            </w:r>
            <w:r>
              <w:rPr>
                <w:rFonts w:hint="eastAsia"/>
                <w:bCs/>
                <w:sz w:val="24"/>
              </w:rPr>
              <w:t>完成项目，因此本次评价为建设单位完善环评手续。项目在营业期间未与周边居民发生环境污染纠纷，无任何环保投诉</w:t>
            </w:r>
            <w:r>
              <w:rPr>
                <w:rFonts w:hint="eastAsia"/>
                <w:sz w:val="24"/>
              </w:rPr>
              <w:t>。为</w:t>
            </w:r>
            <w:r>
              <w:rPr>
                <w:sz w:val="24"/>
              </w:rPr>
              <w:t>落实环保责任</w:t>
            </w:r>
            <w:r>
              <w:rPr>
                <w:rFonts w:hint="eastAsia"/>
                <w:sz w:val="24"/>
              </w:rPr>
              <w:t>，</w:t>
            </w:r>
            <w:r>
              <w:rPr>
                <w:sz w:val="24"/>
              </w:rPr>
              <w:t>企业主动申请</w:t>
            </w:r>
            <w:r>
              <w:rPr>
                <w:rFonts w:hint="eastAsia"/>
                <w:sz w:val="24"/>
              </w:rPr>
              <w:t>补</w:t>
            </w:r>
            <w:r>
              <w:rPr>
                <w:sz w:val="24"/>
              </w:rPr>
              <w:t>办理</w:t>
            </w:r>
            <w:r>
              <w:rPr>
                <w:rFonts w:hint="eastAsia"/>
                <w:sz w:val="24"/>
              </w:rPr>
              <w:t>环评</w:t>
            </w:r>
            <w:r>
              <w:rPr>
                <w:sz w:val="24"/>
              </w:rPr>
              <w:t>手续。</w:t>
            </w:r>
          </w:p>
          <w:p>
            <w:pPr>
              <w:spacing w:line="360" w:lineRule="auto"/>
              <w:ind w:firstLine="480" w:firstLineChars="200"/>
              <w:rPr>
                <w:sz w:val="24"/>
              </w:rPr>
            </w:pPr>
            <w:r>
              <w:rPr>
                <w:rFonts w:hint="eastAsia"/>
                <w:sz w:val="24"/>
              </w:rPr>
              <w:t>1、现有项目实际产排污情况及环保措施</w:t>
            </w:r>
          </w:p>
          <w:p>
            <w:pPr>
              <w:spacing w:line="360" w:lineRule="auto"/>
              <w:ind w:firstLine="480" w:firstLineChars="200"/>
              <w:rPr>
                <w:sz w:val="24"/>
              </w:rPr>
            </w:pPr>
            <w:r>
              <w:rPr>
                <w:rFonts w:hint="eastAsia"/>
                <w:sz w:val="24"/>
              </w:rPr>
              <w:t>目前医院处于正常运行过程，根据现场探勘，项目运营过程中产生的废气、废水、噪声、固废等情况如下：</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废气</w:t>
            </w:r>
          </w:p>
          <w:p>
            <w:pPr>
              <w:spacing w:line="360" w:lineRule="auto"/>
              <w:ind w:firstLine="480" w:firstLineChars="200"/>
              <w:rPr>
                <w:sz w:val="24"/>
              </w:rPr>
            </w:pPr>
            <w:r>
              <w:rPr>
                <w:rFonts w:hint="eastAsia"/>
                <w:sz w:val="24"/>
              </w:rPr>
              <w:t>厂区内废气污染源主要为备用柴油发电机烟气与自建污水处理站产生恶臭。其中柴油发电机仅在院区停电时启用，烟气经柴油发电机自带除尘器处理后，再通过发电机配套排气烟管排放，本次环评期间，柴油发电机未启用；厂区内自建污水处理站为一体化污水处理设施，其中调节池为地下加盖，A</w:t>
            </w:r>
            <w:r>
              <w:rPr>
                <w:sz w:val="24"/>
              </w:rPr>
              <w:t>O</w:t>
            </w:r>
            <w:r>
              <w:rPr>
                <w:rFonts w:hint="eastAsia"/>
                <w:sz w:val="24"/>
              </w:rPr>
              <w:t>与消毒工段均进行了加盖处理。</w:t>
            </w:r>
          </w:p>
          <w:p>
            <w:pPr>
              <w:spacing w:line="360" w:lineRule="auto"/>
              <w:ind w:firstLine="480" w:firstLineChars="200"/>
              <w:rPr>
                <w:sz w:val="24"/>
              </w:rPr>
            </w:pPr>
            <w:r>
              <w:rPr>
                <w:rFonts w:hint="eastAsia"/>
                <w:sz w:val="24"/>
              </w:rPr>
              <w:t>为了解院区无组织排放的恶臭污染物是否达标，本次评价期间委托湖南华科检测技术有限公司于</w:t>
            </w:r>
            <w:r>
              <w:rPr>
                <w:sz w:val="24"/>
              </w:rPr>
              <w:t>202</w:t>
            </w:r>
            <w:r>
              <w:rPr>
                <w:rFonts w:hint="eastAsia"/>
                <w:sz w:val="24"/>
              </w:rPr>
              <w:t>4年6月20日-21日对项目无组织废气进行监测，监测点监测统计结果见下表。</w:t>
            </w:r>
          </w:p>
          <w:p>
            <w:pPr>
              <w:spacing w:line="240" w:lineRule="atLeast"/>
              <w:jc w:val="center"/>
              <w:rPr>
                <w:b/>
                <w:bCs/>
                <w:szCs w:val="21"/>
              </w:rPr>
            </w:pPr>
            <w:r>
              <w:rPr>
                <w:rFonts w:hint="eastAsia"/>
                <w:b/>
                <w:bCs/>
                <w:szCs w:val="21"/>
              </w:rPr>
              <w:t>表2-</w:t>
            </w:r>
            <w:r>
              <w:rPr>
                <w:b/>
                <w:bCs/>
                <w:szCs w:val="21"/>
              </w:rPr>
              <w:t>6</w:t>
            </w:r>
            <w:r>
              <w:rPr>
                <w:rFonts w:hint="eastAsia"/>
                <w:b/>
                <w:bCs/>
                <w:szCs w:val="21"/>
              </w:rPr>
              <w:t xml:space="preserve"> </w:t>
            </w:r>
            <w:r>
              <w:rPr>
                <w:b/>
                <w:bCs/>
                <w:szCs w:val="21"/>
              </w:rPr>
              <w:t xml:space="preserve">  </w:t>
            </w:r>
            <w:r>
              <w:rPr>
                <w:rFonts w:hint="eastAsia"/>
                <w:b/>
                <w:bCs/>
                <w:szCs w:val="21"/>
              </w:rPr>
              <w:t xml:space="preserve"> 无组织废气监测结果</w:t>
            </w: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63"/>
              <w:gridCol w:w="1469"/>
              <w:gridCol w:w="1388"/>
              <w:gridCol w:w="1393"/>
              <w:gridCol w:w="1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restart"/>
                  <w:tcBorders>
                    <w:top w:val="single" w:color="auto" w:sz="4" w:space="0"/>
                    <w:left w:val="single" w:color="auto" w:sz="0" w:space="0"/>
                    <w:bottom w:val="nil"/>
                  </w:tcBorders>
                  <w:vAlign w:val="center"/>
                </w:tcPr>
                <w:p>
                  <w:pPr>
                    <w:pStyle w:val="27"/>
                    <w:spacing w:line="240" w:lineRule="auto"/>
                    <w:ind w:firstLine="0" w:firstLineChars="0"/>
                    <w:jc w:val="center"/>
                    <w:rPr>
                      <w:kern w:val="0"/>
                      <w:sz w:val="21"/>
                      <w:szCs w:val="21"/>
                    </w:rPr>
                  </w:pPr>
                  <w:r>
                    <w:rPr>
                      <w:rFonts w:hint="eastAsia"/>
                      <w:kern w:val="0"/>
                      <w:sz w:val="21"/>
                      <w:szCs w:val="21"/>
                    </w:rPr>
                    <w:t>采样点位</w:t>
                  </w:r>
                </w:p>
              </w:tc>
              <w:tc>
                <w:tcPr>
                  <w:tcW w:w="1879" w:type="pct"/>
                  <w:gridSpan w:val="2"/>
                  <w:vMerge w:val="restart"/>
                  <w:tcBorders>
                    <w:top w:val="single" w:color="auto" w:sz="4" w:space="0"/>
                    <w:bottom w:val="nil"/>
                  </w:tcBorders>
                  <w:vAlign w:val="center"/>
                </w:tcPr>
                <w:p>
                  <w:pPr>
                    <w:pStyle w:val="27"/>
                    <w:spacing w:line="240" w:lineRule="auto"/>
                    <w:ind w:firstLine="0" w:firstLineChars="0"/>
                    <w:jc w:val="center"/>
                    <w:rPr>
                      <w:kern w:val="0"/>
                      <w:sz w:val="21"/>
                      <w:szCs w:val="21"/>
                    </w:rPr>
                  </w:pPr>
                  <w:r>
                    <w:rPr>
                      <w:rFonts w:hint="eastAsia"/>
                      <w:kern w:val="0"/>
                      <w:sz w:val="21"/>
                      <w:szCs w:val="21"/>
                    </w:rPr>
                    <w:t>采样日期</w:t>
                  </w:r>
                </w:p>
              </w:tc>
              <w:tc>
                <w:tcPr>
                  <w:tcW w:w="1830" w:type="pct"/>
                  <w:gridSpan w:val="2"/>
                  <w:tcBorders>
                    <w:top w:val="single" w:color="auto" w:sz="4" w:space="0"/>
                    <w:right w:val="single" w:color="auto" w:sz="4" w:space="0"/>
                  </w:tcBorders>
                  <w:vAlign w:val="center"/>
                </w:tcPr>
                <w:p>
                  <w:pPr>
                    <w:pStyle w:val="27"/>
                    <w:spacing w:line="240" w:lineRule="auto"/>
                    <w:ind w:firstLine="0" w:firstLineChars="0"/>
                    <w:jc w:val="center"/>
                    <w:rPr>
                      <w:kern w:val="0"/>
                      <w:sz w:val="21"/>
                      <w:szCs w:val="21"/>
                    </w:rPr>
                  </w:pPr>
                  <w:r>
                    <w:rPr>
                      <w:rFonts w:hint="eastAsia"/>
                      <w:kern w:val="0"/>
                      <w:sz w:val="21"/>
                      <w:szCs w:val="21"/>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continue"/>
                  <w:tcBorders>
                    <w:top w:val="nil"/>
                    <w:left w:val="single" w:color="auto" w:sz="4" w:space="0"/>
                    <w:bottom w:val="nil"/>
                  </w:tcBorders>
                  <w:vAlign w:val="center"/>
                </w:tcPr>
                <w:p>
                  <w:pPr>
                    <w:pStyle w:val="27"/>
                    <w:spacing w:line="240" w:lineRule="auto"/>
                    <w:ind w:firstLine="0" w:firstLineChars="0"/>
                    <w:jc w:val="center"/>
                    <w:rPr>
                      <w:kern w:val="0"/>
                      <w:sz w:val="21"/>
                      <w:szCs w:val="21"/>
                    </w:rPr>
                  </w:pPr>
                </w:p>
              </w:tc>
              <w:tc>
                <w:tcPr>
                  <w:tcW w:w="1879" w:type="pct"/>
                  <w:gridSpan w:val="2"/>
                  <w:vMerge w:val="continue"/>
                  <w:tcBorders>
                    <w:top w:val="nil"/>
                    <w:bottom w:val="nil"/>
                  </w:tcBorders>
                  <w:vAlign w:val="center"/>
                </w:tcPr>
                <w:p>
                  <w:pPr>
                    <w:pStyle w:val="27"/>
                    <w:spacing w:line="240" w:lineRule="auto"/>
                    <w:ind w:firstLine="0" w:firstLineChars="0"/>
                    <w:jc w:val="center"/>
                    <w:rPr>
                      <w:kern w:val="0"/>
                      <w:sz w:val="21"/>
                      <w:szCs w:val="21"/>
                    </w:rPr>
                  </w:pP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硫化氢</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continue"/>
                  <w:tcBorders>
                    <w:top w:val="nil"/>
                    <w:left w:val="single" w:color="auto" w:sz="4" w:space="0"/>
                  </w:tcBorders>
                  <w:vAlign w:val="center"/>
                </w:tcPr>
                <w:p>
                  <w:pPr>
                    <w:pStyle w:val="27"/>
                    <w:spacing w:line="240" w:lineRule="auto"/>
                    <w:ind w:firstLine="0" w:firstLineChars="0"/>
                    <w:jc w:val="center"/>
                    <w:rPr>
                      <w:kern w:val="0"/>
                      <w:sz w:val="21"/>
                      <w:szCs w:val="21"/>
                    </w:rPr>
                  </w:pPr>
                </w:p>
              </w:tc>
              <w:tc>
                <w:tcPr>
                  <w:tcW w:w="1879" w:type="pct"/>
                  <w:gridSpan w:val="2"/>
                  <w:vMerge w:val="continue"/>
                  <w:tcBorders>
                    <w:top w:val="nil"/>
                  </w:tcBorders>
                  <w:vAlign w:val="center"/>
                </w:tcPr>
                <w:p>
                  <w:pPr>
                    <w:pStyle w:val="27"/>
                    <w:spacing w:line="240" w:lineRule="auto"/>
                    <w:ind w:firstLine="0" w:firstLineChars="0"/>
                    <w:jc w:val="center"/>
                    <w:rPr>
                      <w:kern w:val="0"/>
                      <w:sz w:val="21"/>
                      <w:szCs w:val="21"/>
                    </w:rPr>
                  </w:pP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mg/m</w:t>
                  </w:r>
                  <w:r>
                    <w:rPr>
                      <w:rFonts w:hint="eastAsia"/>
                      <w:kern w:val="0"/>
                      <w:sz w:val="21"/>
                      <w:szCs w:val="21"/>
                      <w:vertAlign w:val="superscript"/>
                    </w:rPr>
                    <w:t>3</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mg/m</w:t>
                  </w:r>
                  <w:r>
                    <w:rPr>
                      <w:rFonts w:hint="eastAsia"/>
                      <w:kern w:val="0"/>
                      <w:sz w:val="21"/>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1291" w:type="pct"/>
                  <w:vMerge w:val="restart"/>
                  <w:tcBorders>
                    <w:left w:val="single" w:color="auto" w:sz="4" w:space="0"/>
                    <w:bottom w:val="nil"/>
                  </w:tcBorders>
                  <w:vAlign w:val="center"/>
                </w:tcPr>
                <w:p>
                  <w:pPr>
                    <w:pStyle w:val="27"/>
                    <w:spacing w:line="240" w:lineRule="auto"/>
                    <w:ind w:firstLine="0" w:firstLineChars="0"/>
                    <w:jc w:val="center"/>
                    <w:rPr>
                      <w:kern w:val="0"/>
                      <w:sz w:val="21"/>
                      <w:szCs w:val="21"/>
                    </w:rPr>
                  </w:pPr>
                  <w:r>
                    <w:rPr>
                      <w:rFonts w:hint="eastAsia"/>
                      <w:kern w:val="0"/>
                      <w:sz w:val="21"/>
                      <w:szCs w:val="21"/>
                    </w:rPr>
                    <w:t>G1 厂界上风向</w:t>
                  </w:r>
                </w:p>
              </w:tc>
              <w:tc>
                <w:tcPr>
                  <w:tcW w:w="966" w:type="pct"/>
                  <w:vMerge w:val="restart"/>
                  <w:tcBorders>
                    <w:bottom w:val="nil"/>
                  </w:tcBorders>
                  <w:vAlign w:val="center"/>
                </w:tcPr>
                <w:p>
                  <w:pPr>
                    <w:pStyle w:val="27"/>
                    <w:spacing w:line="240" w:lineRule="auto"/>
                    <w:ind w:firstLine="0" w:firstLineChars="0"/>
                    <w:jc w:val="center"/>
                    <w:rPr>
                      <w:kern w:val="0"/>
                      <w:sz w:val="21"/>
                      <w:szCs w:val="21"/>
                    </w:rPr>
                  </w:pPr>
                  <w:r>
                    <w:rPr>
                      <w:rFonts w:hint="eastAsia"/>
                      <w:kern w:val="0"/>
                      <w:sz w:val="21"/>
                      <w:szCs w:val="21"/>
                    </w:rPr>
                    <w:t>2024.6.20</w:t>
                  </w: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第一次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continue"/>
                  <w:tcBorders>
                    <w:top w:val="nil"/>
                    <w:left w:val="single" w:color="auto" w:sz="4" w:space="0"/>
                    <w:bottom w:val="nil"/>
                  </w:tcBorders>
                  <w:vAlign w:val="center"/>
                </w:tcPr>
                <w:p>
                  <w:pPr>
                    <w:pStyle w:val="27"/>
                    <w:spacing w:line="240" w:lineRule="auto"/>
                    <w:ind w:firstLine="0" w:firstLineChars="0"/>
                    <w:jc w:val="center"/>
                    <w:rPr>
                      <w:kern w:val="0"/>
                      <w:sz w:val="21"/>
                      <w:szCs w:val="21"/>
                    </w:rPr>
                  </w:pPr>
                </w:p>
              </w:tc>
              <w:tc>
                <w:tcPr>
                  <w:tcW w:w="966" w:type="pct"/>
                  <w:vMerge w:val="continue"/>
                  <w:tcBorders>
                    <w:top w:val="nil"/>
                    <w:bottom w:val="nil"/>
                  </w:tcBorders>
                  <w:vAlign w:val="center"/>
                </w:tcPr>
                <w:p>
                  <w:pPr>
                    <w:pStyle w:val="27"/>
                    <w:spacing w:line="240" w:lineRule="auto"/>
                    <w:ind w:firstLine="0" w:firstLineChars="0"/>
                    <w:jc w:val="center"/>
                    <w:rPr>
                      <w:kern w:val="0"/>
                      <w:sz w:val="21"/>
                      <w:szCs w:val="21"/>
                    </w:rPr>
                  </w:pP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第二次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0.012</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continue"/>
                  <w:tcBorders>
                    <w:top w:val="nil"/>
                    <w:left w:val="single" w:color="auto" w:sz="4" w:space="0"/>
                    <w:bottom w:val="nil"/>
                  </w:tcBorders>
                  <w:vAlign w:val="center"/>
                </w:tcPr>
                <w:p>
                  <w:pPr>
                    <w:pStyle w:val="27"/>
                    <w:spacing w:line="240" w:lineRule="auto"/>
                    <w:ind w:firstLine="0" w:firstLineChars="0"/>
                    <w:jc w:val="center"/>
                    <w:rPr>
                      <w:kern w:val="0"/>
                      <w:sz w:val="21"/>
                      <w:szCs w:val="21"/>
                    </w:rPr>
                  </w:pPr>
                </w:p>
              </w:tc>
              <w:tc>
                <w:tcPr>
                  <w:tcW w:w="966" w:type="pct"/>
                  <w:vMerge w:val="continue"/>
                  <w:tcBorders>
                    <w:top w:val="nil"/>
                  </w:tcBorders>
                  <w:vAlign w:val="center"/>
                </w:tcPr>
                <w:p>
                  <w:pPr>
                    <w:pStyle w:val="27"/>
                    <w:spacing w:line="240" w:lineRule="auto"/>
                    <w:ind w:firstLine="0" w:firstLineChars="0"/>
                    <w:jc w:val="center"/>
                    <w:rPr>
                      <w:kern w:val="0"/>
                      <w:sz w:val="21"/>
                      <w:szCs w:val="21"/>
                    </w:rPr>
                  </w:pP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第三次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0.012</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continue"/>
                  <w:tcBorders>
                    <w:top w:val="nil"/>
                    <w:left w:val="single" w:color="auto" w:sz="4" w:space="0"/>
                    <w:bottom w:val="nil"/>
                  </w:tcBorders>
                  <w:vAlign w:val="center"/>
                </w:tcPr>
                <w:p>
                  <w:pPr>
                    <w:pStyle w:val="27"/>
                    <w:spacing w:line="240" w:lineRule="auto"/>
                    <w:ind w:firstLine="0" w:firstLineChars="0"/>
                    <w:jc w:val="center"/>
                    <w:rPr>
                      <w:kern w:val="0"/>
                      <w:sz w:val="21"/>
                      <w:szCs w:val="21"/>
                    </w:rPr>
                  </w:pPr>
                </w:p>
              </w:tc>
              <w:tc>
                <w:tcPr>
                  <w:tcW w:w="966" w:type="pct"/>
                  <w:vMerge w:val="restart"/>
                  <w:tcBorders>
                    <w:bottom w:val="nil"/>
                  </w:tcBorders>
                  <w:vAlign w:val="center"/>
                </w:tcPr>
                <w:p>
                  <w:pPr>
                    <w:pStyle w:val="27"/>
                    <w:spacing w:line="240" w:lineRule="auto"/>
                    <w:ind w:firstLine="0" w:firstLineChars="0"/>
                    <w:jc w:val="center"/>
                    <w:rPr>
                      <w:kern w:val="0"/>
                      <w:sz w:val="21"/>
                      <w:szCs w:val="21"/>
                    </w:rPr>
                  </w:pPr>
                  <w:r>
                    <w:rPr>
                      <w:rFonts w:hint="eastAsia"/>
                      <w:kern w:val="0"/>
                      <w:sz w:val="21"/>
                      <w:szCs w:val="21"/>
                    </w:rPr>
                    <w:t>2024.6.21</w:t>
                  </w: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第一次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0.011</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continue"/>
                  <w:tcBorders>
                    <w:top w:val="nil"/>
                    <w:left w:val="single" w:color="auto" w:sz="4" w:space="0"/>
                    <w:bottom w:val="nil"/>
                  </w:tcBorders>
                  <w:vAlign w:val="center"/>
                </w:tcPr>
                <w:p>
                  <w:pPr>
                    <w:pStyle w:val="27"/>
                    <w:spacing w:line="240" w:lineRule="auto"/>
                    <w:ind w:firstLine="0" w:firstLineChars="0"/>
                    <w:jc w:val="center"/>
                    <w:rPr>
                      <w:kern w:val="0"/>
                      <w:sz w:val="21"/>
                      <w:szCs w:val="21"/>
                    </w:rPr>
                  </w:pPr>
                </w:p>
              </w:tc>
              <w:tc>
                <w:tcPr>
                  <w:tcW w:w="966" w:type="pct"/>
                  <w:vMerge w:val="continue"/>
                  <w:tcBorders>
                    <w:top w:val="nil"/>
                    <w:bottom w:val="nil"/>
                  </w:tcBorders>
                  <w:vAlign w:val="center"/>
                </w:tcPr>
                <w:p>
                  <w:pPr>
                    <w:pStyle w:val="27"/>
                    <w:spacing w:line="240" w:lineRule="auto"/>
                    <w:ind w:firstLine="0" w:firstLineChars="0"/>
                    <w:jc w:val="center"/>
                    <w:rPr>
                      <w:kern w:val="0"/>
                      <w:sz w:val="21"/>
                      <w:szCs w:val="21"/>
                    </w:rPr>
                  </w:pP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第二次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0.011</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continue"/>
                  <w:tcBorders>
                    <w:top w:val="nil"/>
                    <w:left w:val="single" w:color="auto" w:sz="4" w:space="0"/>
                  </w:tcBorders>
                  <w:vAlign w:val="center"/>
                </w:tcPr>
                <w:p>
                  <w:pPr>
                    <w:pStyle w:val="27"/>
                    <w:spacing w:line="240" w:lineRule="auto"/>
                    <w:ind w:firstLine="0" w:firstLineChars="0"/>
                    <w:jc w:val="center"/>
                    <w:rPr>
                      <w:kern w:val="0"/>
                      <w:sz w:val="21"/>
                      <w:szCs w:val="21"/>
                    </w:rPr>
                  </w:pPr>
                </w:p>
              </w:tc>
              <w:tc>
                <w:tcPr>
                  <w:tcW w:w="966" w:type="pct"/>
                  <w:vMerge w:val="continue"/>
                  <w:tcBorders>
                    <w:top w:val="nil"/>
                  </w:tcBorders>
                  <w:vAlign w:val="center"/>
                </w:tcPr>
                <w:p>
                  <w:pPr>
                    <w:pStyle w:val="27"/>
                    <w:spacing w:line="240" w:lineRule="auto"/>
                    <w:ind w:firstLine="0" w:firstLineChars="0"/>
                    <w:jc w:val="center"/>
                    <w:rPr>
                      <w:kern w:val="0"/>
                      <w:sz w:val="21"/>
                      <w:szCs w:val="21"/>
                    </w:rPr>
                  </w:pP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第三次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0.011</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restart"/>
                  <w:tcBorders>
                    <w:left w:val="single" w:color="auto" w:sz="4" w:space="0"/>
                    <w:bottom w:val="nil"/>
                  </w:tcBorders>
                  <w:vAlign w:val="center"/>
                </w:tcPr>
                <w:p>
                  <w:pPr>
                    <w:pStyle w:val="27"/>
                    <w:spacing w:line="240" w:lineRule="auto"/>
                    <w:ind w:firstLine="0" w:firstLineChars="0"/>
                    <w:jc w:val="center"/>
                    <w:rPr>
                      <w:kern w:val="0"/>
                      <w:sz w:val="21"/>
                      <w:szCs w:val="21"/>
                    </w:rPr>
                  </w:pPr>
                  <w:r>
                    <w:rPr>
                      <w:rFonts w:hint="eastAsia"/>
                      <w:kern w:val="0"/>
                      <w:sz w:val="21"/>
                      <w:szCs w:val="21"/>
                    </w:rPr>
                    <w:t>G2 厂界下风向</w:t>
                  </w:r>
                </w:p>
              </w:tc>
              <w:tc>
                <w:tcPr>
                  <w:tcW w:w="966" w:type="pct"/>
                  <w:vMerge w:val="restart"/>
                  <w:tcBorders>
                    <w:bottom w:val="nil"/>
                  </w:tcBorders>
                  <w:vAlign w:val="center"/>
                </w:tcPr>
                <w:p>
                  <w:pPr>
                    <w:pStyle w:val="27"/>
                    <w:spacing w:line="240" w:lineRule="auto"/>
                    <w:ind w:firstLine="0" w:firstLineChars="0"/>
                    <w:jc w:val="center"/>
                    <w:rPr>
                      <w:kern w:val="0"/>
                      <w:sz w:val="21"/>
                      <w:szCs w:val="21"/>
                    </w:rPr>
                  </w:pPr>
                  <w:r>
                    <w:rPr>
                      <w:rFonts w:hint="eastAsia"/>
                      <w:kern w:val="0"/>
                      <w:sz w:val="21"/>
                      <w:szCs w:val="21"/>
                    </w:rPr>
                    <w:t>2024.6.20</w:t>
                  </w: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第一次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0.018</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continue"/>
                  <w:tcBorders>
                    <w:top w:val="nil"/>
                    <w:left w:val="single" w:color="auto" w:sz="4" w:space="0"/>
                    <w:bottom w:val="nil"/>
                  </w:tcBorders>
                  <w:vAlign w:val="center"/>
                </w:tcPr>
                <w:p>
                  <w:pPr>
                    <w:pStyle w:val="27"/>
                    <w:spacing w:line="240" w:lineRule="auto"/>
                    <w:ind w:firstLine="0" w:firstLineChars="0"/>
                    <w:jc w:val="center"/>
                    <w:rPr>
                      <w:kern w:val="0"/>
                      <w:sz w:val="21"/>
                      <w:szCs w:val="21"/>
                    </w:rPr>
                  </w:pPr>
                </w:p>
              </w:tc>
              <w:tc>
                <w:tcPr>
                  <w:tcW w:w="966" w:type="pct"/>
                  <w:vMerge w:val="continue"/>
                  <w:tcBorders>
                    <w:top w:val="nil"/>
                    <w:bottom w:val="nil"/>
                  </w:tcBorders>
                  <w:vAlign w:val="center"/>
                </w:tcPr>
                <w:p>
                  <w:pPr>
                    <w:pStyle w:val="27"/>
                    <w:spacing w:line="240" w:lineRule="auto"/>
                    <w:ind w:firstLine="0" w:firstLineChars="0"/>
                    <w:jc w:val="center"/>
                    <w:rPr>
                      <w:kern w:val="0"/>
                      <w:sz w:val="21"/>
                      <w:szCs w:val="21"/>
                    </w:rPr>
                  </w:pP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第二次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0.016</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continue"/>
                  <w:tcBorders>
                    <w:top w:val="nil"/>
                    <w:left w:val="single" w:color="auto" w:sz="4" w:space="0"/>
                    <w:bottom w:val="nil"/>
                  </w:tcBorders>
                  <w:vAlign w:val="center"/>
                </w:tcPr>
                <w:p>
                  <w:pPr>
                    <w:pStyle w:val="27"/>
                    <w:spacing w:line="240" w:lineRule="auto"/>
                    <w:ind w:firstLine="0" w:firstLineChars="0"/>
                    <w:jc w:val="center"/>
                    <w:rPr>
                      <w:kern w:val="0"/>
                      <w:sz w:val="21"/>
                      <w:szCs w:val="21"/>
                    </w:rPr>
                  </w:pPr>
                </w:p>
              </w:tc>
              <w:tc>
                <w:tcPr>
                  <w:tcW w:w="966" w:type="pct"/>
                  <w:vMerge w:val="continue"/>
                  <w:tcBorders>
                    <w:top w:val="nil"/>
                  </w:tcBorders>
                  <w:vAlign w:val="center"/>
                </w:tcPr>
                <w:p>
                  <w:pPr>
                    <w:pStyle w:val="27"/>
                    <w:spacing w:line="240" w:lineRule="auto"/>
                    <w:ind w:firstLine="0" w:firstLineChars="0"/>
                    <w:jc w:val="center"/>
                    <w:rPr>
                      <w:kern w:val="0"/>
                      <w:sz w:val="21"/>
                      <w:szCs w:val="21"/>
                    </w:rPr>
                  </w:pP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第三次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0.015</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continue"/>
                  <w:tcBorders>
                    <w:top w:val="nil"/>
                    <w:left w:val="single" w:color="auto" w:sz="4" w:space="0"/>
                    <w:bottom w:val="nil"/>
                  </w:tcBorders>
                  <w:vAlign w:val="center"/>
                </w:tcPr>
                <w:p>
                  <w:pPr>
                    <w:pStyle w:val="27"/>
                    <w:spacing w:line="240" w:lineRule="auto"/>
                    <w:ind w:firstLine="0" w:firstLineChars="0"/>
                    <w:jc w:val="center"/>
                    <w:rPr>
                      <w:kern w:val="0"/>
                      <w:sz w:val="21"/>
                      <w:szCs w:val="21"/>
                    </w:rPr>
                  </w:pPr>
                </w:p>
              </w:tc>
              <w:tc>
                <w:tcPr>
                  <w:tcW w:w="966" w:type="pct"/>
                  <w:vMerge w:val="restart"/>
                  <w:tcBorders>
                    <w:bottom w:val="nil"/>
                  </w:tcBorders>
                  <w:vAlign w:val="center"/>
                </w:tcPr>
                <w:p>
                  <w:pPr>
                    <w:pStyle w:val="27"/>
                    <w:spacing w:line="240" w:lineRule="auto"/>
                    <w:ind w:firstLine="0" w:firstLineChars="0"/>
                    <w:jc w:val="center"/>
                    <w:rPr>
                      <w:kern w:val="0"/>
                      <w:sz w:val="21"/>
                      <w:szCs w:val="21"/>
                    </w:rPr>
                  </w:pPr>
                  <w:r>
                    <w:rPr>
                      <w:rFonts w:hint="eastAsia"/>
                      <w:kern w:val="0"/>
                      <w:sz w:val="21"/>
                      <w:szCs w:val="21"/>
                    </w:rPr>
                    <w:t>2024.6.21</w:t>
                  </w: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第一次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0.016</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continue"/>
                  <w:tcBorders>
                    <w:top w:val="nil"/>
                    <w:left w:val="single" w:color="auto" w:sz="4" w:space="0"/>
                    <w:bottom w:val="nil"/>
                  </w:tcBorders>
                  <w:vAlign w:val="center"/>
                </w:tcPr>
                <w:p>
                  <w:pPr>
                    <w:pStyle w:val="27"/>
                    <w:spacing w:line="240" w:lineRule="auto"/>
                    <w:ind w:firstLine="0" w:firstLineChars="0"/>
                    <w:jc w:val="center"/>
                    <w:rPr>
                      <w:kern w:val="0"/>
                      <w:sz w:val="21"/>
                      <w:szCs w:val="21"/>
                    </w:rPr>
                  </w:pPr>
                </w:p>
              </w:tc>
              <w:tc>
                <w:tcPr>
                  <w:tcW w:w="966" w:type="pct"/>
                  <w:vMerge w:val="continue"/>
                  <w:tcBorders>
                    <w:top w:val="nil"/>
                    <w:bottom w:val="nil"/>
                  </w:tcBorders>
                  <w:vAlign w:val="center"/>
                </w:tcPr>
                <w:p>
                  <w:pPr>
                    <w:pStyle w:val="27"/>
                    <w:spacing w:line="240" w:lineRule="auto"/>
                    <w:ind w:firstLine="0" w:firstLineChars="0"/>
                    <w:jc w:val="center"/>
                    <w:rPr>
                      <w:kern w:val="0"/>
                      <w:sz w:val="21"/>
                      <w:szCs w:val="21"/>
                    </w:rPr>
                  </w:pP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第二次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0.019</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continue"/>
                  <w:tcBorders>
                    <w:top w:val="nil"/>
                    <w:left w:val="single" w:color="auto" w:sz="4" w:space="0"/>
                  </w:tcBorders>
                  <w:vAlign w:val="center"/>
                </w:tcPr>
                <w:p>
                  <w:pPr>
                    <w:pStyle w:val="27"/>
                    <w:spacing w:line="240" w:lineRule="auto"/>
                    <w:ind w:firstLine="0" w:firstLineChars="0"/>
                    <w:jc w:val="center"/>
                    <w:rPr>
                      <w:kern w:val="0"/>
                      <w:sz w:val="21"/>
                      <w:szCs w:val="21"/>
                    </w:rPr>
                  </w:pPr>
                </w:p>
              </w:tc>
              <w:tc>
                <w:tcPr>
                  <w:tcW w:w="966" w:type="pct"/>
                  <w:vMerge w:val="continue"/>
                  <w:tcBorders>
                    <w:top w:val="nil"/>
                  </w:tcBorders>
                  <w:vAlign w:val="center"/>
                </w:tcPr>
                <w:p>
                  <w:pPr>
                    <w:pStyle w:val="27"/>
                    <w:spacing w:line="240" w:lineRule="auto"/>
                    <w:ind w:firstLine="0" w:firstLineChars="0"/>
                    <w:jc w:val="center"/>
                    <w:rPr>
                      <w:kern w:val="0"/>
                      <w:sz w:val="21"/>
                      <w:szCs w:val="21"/>
                    </w:rPr>
                  </w:pP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第三次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0.016</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restart"/>
                  <w:tcBorders>
                    <w:top w:val="nil"/>
                    <w:left w:val="single" w:color="auto" w:sz="4" w:space="0"/>
                  </w:tcBorders>
                  <w:vAlign w:val="center"/>
                </w:tcPr>
                <w:p>
                  <w:pPr>
                    <w:pStyle w:val="27"/>
                    <w:spacing w:line="240" w:lineRule="auto"/>
                    <w:ind w:firstLine="0" w:firstLineChars="0"/>
                    <w:jc w:val="center"/>
                    <w:rPr>
                      <w:kern w:val="0"/>
                      <w:sz w:val="21"/>
                      <w:szCs w:val="21"/>
                    </w:rPr>
                  </w:pPr>
                  <w:r>
                    <w:rPr>
                      <w:rFonts w:hint="eastAsia"/>
                      <w:kern w:val="0"/>
                      <w:sz w:val="21"/>
                      <w:szCs w:val="21"/>
                    </w:rPr>
                    <w:t>G3 厂界下风向</w:t>
                  </w:r>
                </w:p>
              </w:tc>
              <w:tc>
                <w:tcPr>
                  <w:tcW w:w="966" w:type="pct"/>
                  <w:vMerge w:val="restart"/>
                  <w:tcBorders>
                    <w:top w:val="nil"/>
                  </w:tcBorders>
                  <w:vAlign w:val="center"/>
                </w:tcPr>
                <w:p>
                  <w:pPr>
                    <w:pStyle w:val="27"/>
                    <w:spacing w:line="240" w:lineRule="auto"/>
                    <w:ind w:firstLine="0" w:firstLineChars="0"/>
                    <w:jc w:val="center"/>
                    <w:rPr>
                      <w:kern w:val="0"/>
                      <w:sz w:val="21"/>
                      <w:szCs w:val="21"/>
                    </w:rPr>
                  </w:pPr>
                  <w:r>
                    <w:rPr>
                      <w:rFonts w:hint="eastAsia"/>
                      <w:kern w:val="0"/>
                      <w:sz w:val="21"/>
                      <w:szCs w:val="21"/>
                    </w:rPr>
                    <w:t>2024.6.20</w:t>
                  </w: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第一次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0.016</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continue"/>
                  <w:tcBorders>
                    <w:left w:val="single" w:color="auto" w:sz="4" w:space="0"/>
                  </w:tcBorders>
                  <w:vAlign w:val="center"/>
                </w:tcPr>
                <w:p>
                  <w:pPr>
                    <w:pStyle w:val="27"/>
                    <w:spacing w:line="240" w:lineRule="auto"/>
                    <w:ind w:firstLine="0" w:firstLineChars="0"/>
                    <w:jc w:val="center"/>
                    <w:rPr>
                      <w:kern w:val="0"/>
                      <w:sz w:val="21"/>
                      <w:szCs w:val="21"/>
                    </w:rPr>
                  </w:pPr>
                </w:p>
              </w:tc>
              <w:tc>
                <w:tcPr>
                  <w:tcW w:w="966" w:type="pct"/>
                  <w:vMerge w:val="continue"/>
                  <w:vAlign w:val="center"/>
                </w:tcPr>
                <w:p>
                  <w:pPr>
                    <w:pStyle w:val="27"/>
                    <w:spacing w:line="240" w:lineRule="auto"/>
                    <w:ind w:firstLine="0" w:firstLineChars="0"/>
                    <w:jc w:val="center"/>
                    <w:rPr>
                      <w:kern w:val="0"/>
                      <w:sz w:val="21"/>
                      <w:szCs w:val="21"/>
                    </w:rPr>
                  </w:pP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第二次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0.016</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continue"/>
                  <w:tcBorders>
                    <w:left w:val="single" w:color="auto" w:sz="4" w:space="0"/>
                  </w:tcBorders>
                  <w:vAlign w:val="center"/>
                </w:tcPr>
                <w:p>
                  <w:pPr>
                    <w:pStyle w:val="27"/>
                    <w:spacing w:line="240" w:lineRule="auto"/>
                    <w:ind w:firstLine="0" w:firstLineChars="0"/>
                    <w:jc w:val="center"/>
                    <w:rPr>
                      <w:kern w:val="0"/>
                      <w:sz w:val="21"/>
                      <w:szCs w:val="21"/>
                    </w:rPr>
                  </w:pPr>
                </w:p>
              </w:tc>
              <w:tc>
                <w:tcPr>
                  <w:tcW w:w="966" w:type="pct"/>
                  <w:vMerge w:val="continue"/>
                  <w:vAlign w:val="center"/>
                </w:tcPr>
                <w:p>
                  <w:pPr>
                    <w:pStyle w:val="27"/>
                    <w:spacing w:line="240" w:lineRule="auto"/>
                    <w:ind w:firstLine="0" w:firstLineChars="0"/>
                    <w:jc w:val="center"/>
                    <w:rPr>
                      <w:kern w:val="0"/>
                      <w:sz w:val="21"/>
                      <w:szCs w:val="21"/>
                    </w:rPr>
                  </w:pP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第三次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0.019</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continue"/>
                  <w:tcBorders>
                    <w:left w:val="single" w:color="auto" w:sz="4" w:space="0"/>
                  </w:tcBorders>
                  <w:vAlign w:val="center"/>
                </w:tcPr>
                <w:p>
                  <w:pPr>
                    <w:pStyle w:val="27"/>
                    <w:spacing w:line="240" w:lineRule="auto"/>
                    <w:ind w:firstLine="0" w:firstLineChars="0"/>
                    <w:jc w:val="center"/>
                    <w:rPr>
                      <w:kern w:val="0"/>
                      <w:sz w:val="21"/>
                      <w:szCs w:val="21"/>
                    </w:rPr>
                  </w:pPr>
                </w:p>
              </w:tc>
              <w:tc>
                <w:tcPr>
                  <w:tcW w:w="966" w:type="pct"/>
                  <w:vMerge w:val="restart"/>
                  <w:tcBorders>
                    <w:top w:val="nil"/>
                  </w:tcBorders>
                  <w:vAlign w:val="center"/>
                </w:tcPr>
                <w:p>
                  <w:pPr>
                    <w:pStyle w:val="27"/>
                    <w:spacing w:line="240" w:lineRule="auto"/>
                    <w:ind w:firstLine="0" w:firstLineChars="0"/>
                    <w:jc w:val="center"/>
                    <w:rPr>
                      <w:kern w:val="0"/>
                      <w:sz w:val="21"/>
                      <w:szCs w:val="21"/>
                    </w:rPr>
                  </w:pPr>
                  <w:r>
                    <w:rPr>
                      <w:rFonts w:hint="eastAsia"/>
                      <w:kern w:val="0"/>
                      <w:sz w:val="21"/>
                      <w:szCs w:val="21"/>
                    </w:rPr>
                    <w:t>2024.6.21</w:t>
                  </w: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第一次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0.017</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continue"/>
                  <w:tcBorders>
                    <w:left w:val="single" w:color="auto" w:sz="4" w:space="0"/>
                  </w:tcBorders>
                  <w:vAlign w:val="center"/>
                </w:tcPr>
                <w:p>
                  <w:pPr>
                    <w:pStyle w:val="27"/>
                    <w:spacing w:line="240" w:lineRule="auto"/>
                    <w:ind w:firstLine="0" w:firstLineChars="0"/>
                    <w:jc w:val="center"/>
                    <w:rPr>
                      <w:kern w:val="0"/>
                      <w:sz w:val="21"/>
                      <w:szCs w:val="21"/>
                    </w:rPr>
                  </w:pPr>
                </w:p>
              </w:tc>
              <w:tc>
                <w:tcPr>
                  <w:tcW w:w="966" w:type="pct"/>
                  <w:vMerge w:val="continue"/>
                  <w:vAlign w:val="center"/>
                </w:tcPr>
                <w:p>
                  <w:pPr>
                    <w:pStyle w:val="27"/>
                    <w:spacing w:line="240" w:lineRule="auto"/>
                    <w:ind w:firstLine="0" w:firstLineChars="0"/>
                    <w:jc w:val="center"/>
                    <w:rPr>
                      <w:kern w:val="0"/>
                      <w:sz w:val="21"/>
                      <w:szCs w:val="21"/>
                    </w:rPr>
                  </w:pP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第二次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0.017</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291" w:type="pct"/>
                  <w:vMerge w:val="continue"/>
                  <w:tcBorders>
                    <w:left w:val="single" w:color="auto" w:sz="4" w:space="0"/>
                  </w:tcBorders>
                  <w:vAlign w:val="center"/>
                </w:tcPr>
                <w:p>
                  <w:pPr>
                    <w:pStyle w:val="27"/>
                    <w:spacing w:line="240" w:lineRule="auto"/>
                    <w:ind w:firstLine="0" w:firstLineChars="0"/>
                    <w:jc w:val="center"/>
                    <w:rPr>
                      <w:kern w:val="0"/>
                      <w:sz w:val="21"/>
                      <w:szCs w:val="21"/>
                    </w:rPr>
                  </w:pPr>
                </w:p>
              </w:tc>
              <w:tc>
                <w:tcPr>
                  <w:tcW w:w="966" w:type="pct"/>
                  <w:vMerge w:val="continue"/>
                  <w:vAlign w:val="center"/>
                </w:tcPr>
                <w:p>
                  <w:pPr>
                    <w:pStyle w:val="27"/>
                    <w:spacing w:line="240" w:lineRule="auto"/>
                    <w:ind w:firstLine="0" w:firstLineChars="0"/>
                    <w:jc w:val="center"/>
                    <w:rPr>
                      <w:kern w:val="0"/>
                      <w:sz w:val="21"/>
                      <w:szCs w:val="21"/>
                    </w:rPr>
                  </w:pPr>
                </w:p>
              </w:tc>
              <w:tc>
                <w:tcPr>
                  <w:tcW w:w="913" w:type="pct"/>
                  <w:vAlign w:val="center"/>
                </w:tcPr>
                <w:p>
                  <w:pPr>
                    <w:pStyle w:val="27"/>
                    <w:spacing w:line="240" w:lineRule="auto"/>
                    <w:ind w:firstLine="0" w:firstLineChars="0"/>
                    <w:jc w:val="center"/>
                    <w:rPr>
                      <w:kern w:val="0"/>
                      <w:sz w:val="21"/>
                      <w:szCs w:val="21"/>
                    </w:rPr>
                  </w:pPr>
                  <w:r>
                    <w:rPr>
                      <w:rFonts w:hint="eastAsia"/>
                      <w:kern w:val="0"/>
                      <w:sz w:val="21"/>
                      <w:szCs w:val="21"/>
                    </w:rPr>
                    <w:t>第三次</w:t>
                  </w:r>
                </w:p>
              </w:tc>
              <w:tc>
                <w:tcPr>
                  <w:tcW w:w="916" w:type="pct"/>
                  <w:vAlign w:val="center"/>
                </w:tcPr>
                <w:p>
                  <w:pPr>
                    <w:pStyle w:val="27"/>
                    <w:spacing w:line="240" w:lineRule="auto"/>
                    <w:ind w:firstLine="0" w:firstLineChars="0"/>
                    <w:jc w:val="center"/>
                    <w:rPr>
                      <w:kern w:val="0"/>
                      <w:sz w:val="21"/>
                      <w:szCs w:val="21"/>
                    </w:rPr>
                  </w:pPr>
                  <w:r>
                    <w:rPr>
                      <w:rFonts w:hint="eastAsia"/>
                      <w:kern w:val="0"/>
                      <w:sz w:val="21"/>
                      <w:szCs w:val="21"/>
                    </w:rPr>
                    <w:t>0.016</w:t>
                  </w:r>
                </w:p>
              </w:tc>
              <w:tc>
                <w:tcPr>
                  <w:tcW w:w="914" w:type="pct"/>
                  <w:vAlign w:val="center"/>
                </w:tcPr>
                <w:p>
                  <w:pPr>
                    <w:pStyle w:val="27"/>
                    <w:spacing w:line="240" w:lineRule="auto"/>
                    <w:ind w:firstLine="0" w:firstLineChars="0"/>
                    <w:jc w:val="center"/>
                    <w:rPr>
                      <w:kern w:val="0"/>
                      <w:sz w:val="21"/>
                      <w:szCs w:val="21"/>
                    </w:rPr>
                  </w:pPr>
                  <w:r>
                    <w:rPr>
                      <w:rFonts w:hint="eastAsia"/>
                      <w:kern w:val="0"/>
                      <w:sz w:val="21"/>
                      <w:szCs w:val="21"/>
                    </w:rPr>
                    <w:t>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170" w:type="pct"/>
                  <w:gridSpan w:val="3"/>
                  <w:tcBorders>
                    <w:left w:val="single" w:color="auto" w:sz="4" w:space="0"/>
                    <w:bottom w:val="single" w:color="auto" w:sz="4" w:space="0"/>
                  </w:tcBorders>
                  <w:vAlign w:val="center"/>
                </w:tcPr>
                <w:p>
                  <w:pPr>
                    <w:pStyle w:val="27"/>
                    <w:spacing w:line="240" w:lineRule="auto"/>
                    <w:ind w:firstLine="0" w:firstLineChars="0"/>
                    <w:jc w:val="center"/>
                    <w:rPr>
                      <w:kern w:val="0"/>
                      <w:sz w:val="21"/>
                      <w:szCs w:val="21"/>
                    </w:rPr>
                  </w:pPr>
                  <w:r>
                    <w:rPr>
                      <w:rFonts w:hint="eastAsia"/>
                      <w:kern w:val="0"/>
                      <w:sz w:val="21"/>
                      <w:szCs w:val="21"/>
                    </w:rPr>
                    <w:t>标准限值</w:t>
                  </w:r>
                </w:p>
              </w:tc>
              <w:tc>
                <w:tcPr>
                  <w:tcW w:w="916" w:type="pct"/>
                  <w:tcBorders>
                    <w:bottom w:val="single" w:color="auto" w:sz="4" w:space="0"/>
                  </w:tcBorders>
                  <w:vAlign w:val="center"/>
                </w:tcPr>
                <w:p>
                  <w:pPr>
                    <w:pStyle w:val="27"/>
                    <w:spacing w:line="240" w:lineRule="auto"/>
                    <w:ind w:firstLine="0" w:firstLineChars="0"/>
                    <w:jc w:val="center"/>
                    <w:rPr>
                      <w:kern w:val="0"/>
                      <w:sz w:val="21"/>
                      <w:szCs w:val="21"/>
                    </w:rPr>
                  </w:pPr>
                  <w:r>
                    <w:rPr>
                      <w:rFonts w:hint="eastAsia"/>
                      <w:kern w:val="0"/>
                      <w:sz w:val="21"/>
                      <w:szCs w:val="21"/>
                    </w:rPr>
                    <w:t>0.03</w:t>
                  </w:r>
                </w:p>
              </w:tc>
              <w:tc>
                <w:tcPr>
                  <w:tcW w:w="914" w:type="pct"/>
                  <w:tcBorders>
                    <w:bottom w:val="single" w:color="auto" w:sz="4" w:space="0"/>
                  </w:tcBorders>
                  <w:vAlign w:val="center"/>
                </w:tcPr>
                <w:p>
                  <w:pPr>
                    <w:pStyle w:val="27"/>
                    <w:spacing w:line="240" w:lineRule="auto"/>
                    <w:ind w:firstLine="0" w:firstLineChars="0"/>
                    <w:jc w:val="center"/>
                    <w:rPr>
                      <w:kern w:val="0"/>
                      <w:sz w:val="21"/>
                      <w:szCs w:val="21"/>
                    </w:rPr>
                  </w:pPr>
                  <w:r>
                    <w:rPr>
                      <w:rFonts w:hint="eastAsia"/>
                      <w:kern w:val="0"/>
                      <w:sz w:val="21"/>
                      <w:szCs w:val="21"/>
                    </w:rPr>
                    <w:t>1.0</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由上表监测结果可知，本项目污水处理设施无组织排放的废气监测因子氨、硫化氢均能够达到《医疗机构水污染物排放标准》（GB18466-2005）表3中污水处理设施周边大气污染物控制标准。</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废水</w:t>
            </w:r>
          </w:p>
          <w:p>
            <w:pPr>
              <w:spacing w:line="360" w:lineRule="auto"/>
              <w:ind w:firstLine="480" w:firstLineChars="200"/>
              <w:rPr>
                <w:sz w:val="24"/>
              </w:rPr>
            </w:pPr>
            <w:r>
              <w:rPr>
                <w:rFonts w:hint="eastAsia"/>
                <w:sz w:val="24"/>
              </w:rPr>
              <w:t>院区内综合楼产生的生活废水经化粪池处理后，与地面保洁废水、洗衣房废水汇总为院区医疗废水，经院区自建污水处理站处理，其处理工艺为“A</w:t>
            </w:r>
            <w:r>
              <w:rPr>
                <w:sz w:val="24"/>
              </w:rPr>
              <w:t>O+</w:t>
            </w:r>
            <w:r>
              <w:rPr>
                <w:rFonts w:hint="eastAsia"/>
                <w:sz w:val="24"/>
              </w:rPr>
              <w:t>二氧化氯消毒”工艺，处理达标后的医疗废水，经院区西侧排入澧县市政污水管网，进入澧县污水处理厂深度处理。</w:t>
            </w:r>
          </w:p>
          <w:p>
            <w:pPr>
              <w:pStyle w:val="4"/>
              <w:spacing w:after="0" w:line="360" w:lineRule="auto"/>
              <w:ind w:firstLine="480" w:firstLineChars="200"/>
              <w:rPr>
                <w:sz w:val="24"/>
              </w:rPr>
            </w:pPr>
            <w:r>
              <w:rPr>
                <w:rFonts w:hint="eastAsia"/>
                <w:sz w:val="24"/>
              </w:rPr>
              <w:t>为进一步了解项目废水处理措施是否能可行，本项目委托湖南华科检测技术有限公司于</w:t>
            </w:r>
            <w:r>
              <w:rPr>
                <w:kern w:val="0"/>
                <w:sz w:val="24"/>
                <w:szCs w:val="20"/>
              </w:rPr>
              <w:t>202</w:t>
            </w:r>
            <w:r>
              <w:rPr>
                <w:rFonts w:hint="eastAsia"/>
                <w:kern w:val="0"/>
                <w:sz w:val="24"/>
                <w:szCs w:val="20"/>
              </w:rPr>
              <w:t>4年6月7日-8</w:t>
            </w:r>
            <w:r>
              <w:rPr>
                <w:rFonts w:hint="eastAsia"/>
                <w:sz w:val="24"/>
              </w:rPr>
              <w:t>日对废水排口进行检测，其检测结果如下：</w:t>
            </w:r>
          </w:p>
          <w:p>
            <w:pPr>
              <w:spacing w:line="240" w:lineRule="atLeast"/>
              <w:jc w:val="center"/>
              <w:rPr>
                <w:b/>
                <w:bCs/>
                <w:szCs w:val="21"/>
              </w:rPr>
            </w:pPr>
            <w:r>
              <w:rPr>
                <w:rFonts w:hint="eastAsia"/>
                <w:b/>
                <w:bCs/>
                <w:szCs w:val="21"/>
              </w:rPr>
              <w:t>表2-</w:t>
            </w:r>
            <w:r>
              <w:rPr>
                <w:b/>
                <w:bCs/>
                <w:szCs w:val="21"/>
              </w:rPr>
              <w:t>7</w:t>
            </w:r>
            <w:r>
              <w:rPr>
                <w:rFonts w:hint="eastAsia"/>
                <w:b/>
                <w:bCs/>
                <w:szCs w:val="21"/>
              </w:rPr>
              <w:t xml:space="preserve"> </w:t>
            </w:r>
            <w:r>
              <w:rPr>
                <w:b/>
                <w:bCs/>
                <w:szCs w:val="21"/>
              </w:rPr>
              <w:t xml:space="preserve">  </w:t>
            </w:r>
            <w:r>
              <w:rPr>
                <w:rFonts w:hint="eastAsia"/>
                <w:b/>
                <w:bCs/>
                <w:szCs w:val="21"/>
              </w:rPr>
              <w:t xml:space="preserve"> 院区总排口水质监测结果</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2268"/>
              <w:gridCol w:w="1418"/>
              <w:gridCol w:w="1559"/>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jc w:val="center"/>
                    <w:rPr>
                      <w:kern w:val="0"/>
                      <w:sz w:val="22"/>
                      <w:szCs w:val="22"/>
                    </w:rPr>
                  </w:pPr>
                  <w:r>
                    <w:rPr>
                      <w:rFonts w:hint="eastAsia"/>
                      <w:kern w:val="0"/>
                      <w:sz w:val="22"/>
                      <w:szCs w:val="22"/>
                    </w:rPr>
                    <w:t>监测点位</w:t>
                  </w:r>
                </w:p>
              </w:tc>
              <w:tc>
                <w:tcPr>
                  <w:tcW w:w="2268" w:type="dxa"/>
                  <w:vAlign w:val="center"/>
                </w:tcPr>
                <w:p>
                  <w:pPr>
                    <w:jc w:val="center"/>
                    <w:rPr>
                      <w:kern w:val="0"/>
                      <w:sz w:val="22"/>
                      <w:szCs w:val="22"/>
                    </w:rPr>
                  </w:pPr>
                  <w:r>
                    <w:rPr>
                      <w:rFonts w:hint="eastAsia"/>
                      <w:kern w:val="0"/>
                      <w:sz w:val="22"/>
                      <w:szCs w:val="22"/>
                    </w:rPr>
                    <w:t>监测因子</w:t>
                  </w:r>
                </w:p>
              </w:tc>
              <w:tc>
                <w:tcPr>
                  <w:tcW w:w="1418" w:type="dxa"/>
                  <w:vAlign w:val="center"/>
                </w:tcPr>
                <w:p>
                  <w:pPr>
                    <w:jc w:val="center"/>
                    <w:rPr>
                      <w:kern w:val="0"/>
                      <w:sz w:val="22"/>
                      <w:szCs w:val="22"/>
                    </w:rPr>
                  </w:pPr>
                  <w:r>
                    <w:rPr>
                      <w:rFonts w:hint="eastAsia"/>
                      <w:kern w:val="0"/>
                      <w:sz w:val="22"/>
                      <w:szCs w:val="22"/>
                    </w:rPr>
                    <w:t>浓度范围</w:t>
                  </w:r>
                </w:p>
              </w:tc>
              <w:tc>
                <w:tcPr>
                  <w:tcW w:w="1559" w:type="dxa"/>
                  <w:vAlign w:val="center"/>
                </w:tcPr>
                <w:p>
                  <w:pPr>
                    <w:jc w:val="center"/>
                    <w:rPr>
                      <w:kern w:val="0"/>
                      <w:sz w:val="22"/>
                      <w:szCs w:val="22"/>
                    </w:rPr>
                  </w:pPr>
                  <w:r>
                    <w:rPr>
                      <w:rFonts w:hint="eastAsia"/>
                      <w:kern w:val="0"/>
                      <w:sz w:val="22"/>
                      <w:szCs w:val="22"/>
                    </w:rPr>
                    <w:t>排放标准</w:t>
                  </w:r>
                </w:p>
              </w:tc>
              <w:tc>
                <w:tcPr>
                  <w:tcW w:w="1233" w:type="dxa"/>
                </w:tcPr>
                <w:p>
                  <w:pPr>
                    <w:jc w:val="center"/>
                    <w:rPr>
                      <w:kern w:val="0"/>
                      <w:sz w:val="22"/>
                      <w:szCs w:val="22"/>
                    </w:rPr>
                  </w:pPr>
                  <w:r>
                    <w:rPr>
                      <w:rFonts w:hint="eastAsia"/>
                      <w:kern w:val="0"/>
                      <w:sz w:val="22"/>
                      <w:szCs w:val="22"/>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Merge w:val="restart"/>
                  <w:vAlign w:val="center"/>
                </w:tcPr>
                <w:p>
                  <w:pPr>
                    <w:jc w:val="center"/>
                    <w:rPr>
                      <w:kern w:val="0"/>
                      <w:sz w:val="22"/>
                      <w:szCs w:val="22"/>
                    </w:rPr>
                  </w:pPr>
                  <w:r>
                    <w:rPr>
                      <w:rFonts w:hint="eastAsia"/>
                      <w:kern w:val="0"/>
                      <w:sz w:val="22"/>
                      <w:szCs w:val="22"/>
                    </w:rPr>
                    <w:t>废水总</w:t>
                  </w:r>
                </w:p>
                <w:p>
                  <w:pPr>
                    <w:jc w:val="center"/>
                    <w:rPr>
                      <w:kern w:val="0"/>
                      <w:sz w:val="22"/>
                      <w:szCs w:val="22"/>
                    </w:rPr>
                  </w:pPr>
                  <w:r>
                    <w:rPr>
                      <w:rFonts w:hint="eastAsia"/>
                      <w:kern w:val="0"/>
                      <w:sz w:val="22"/>
                      <w:szCs w:val="22"/>
                    </w:rPr>
                    <w:t>排口</w:t>
                  </w:r>
                </w:p>
              </w:tc>
              <w:tc>
                <w:tcPr>
                  <w:tcW w:w="2268" w:type="dxa"/>
                  <w:vAlign w:val="center"/>
                </w:tcPr>
                <w:p>
                  <w:pPr>
                    <w:jc w:val="center"/>
                    <w:rPr>
                      <w:kern w:val="0"/>
                      <w:sz w:val="22"/>
                      <w:szCs w:val="22"/>
                    </w:rPr>
                  </w:pPr>
                  <w:r>
                    <w:rPr>
                      <w:rFonts w:hint="eastAsia"/>
                      <w:kern w:val="0"/>
                      <w:sz w:val="22"/>
                      <w:szCs w:val="22"/>
                    </w:rPr>
                    <w:t>阴离子表面活性剂</w:t>
                  </w:r>
                </w:p>
              </w:tc>
              <w:tc>
                <w:tcPr>
                  <w:tcW w:w="1418" w:type="dxa"/>
                  <w:vAlign w:val="center"/>
                </w:tcPr>
                <w:p>
                  <w:pPr>
                    <w:jc w:val="center"/>
                    <w:rPr>
                      <w:kern w:val="0"/>
                      <w:sz w:val="22"/>
                      <w:szCs w:val="22"/>
                    </w:rPr>
                  </w:pPr>
                  <w:r>
                    <w:rPr>
                      <w:rFonts w:hint="eastAsia"/>
                      <w:kern w:val="0"/>
                      <w:sz w:val="22"/>
                      <w:szCs w:val="22"/>
                    </w:rPr>
                    <w:t>0.22-0.27</w:t>
                  </w:r>
                </w:p>
              </w:tc>
              <w:tc>
                <w:tcPr>
                  <w:tcW w:w="1559" w:type="dxa"/>
                  <w:vAlign w:val="center"/>
                </w:tcPr>
                <w:p>
                  <w:pPr>
                    <w:jc w:val="center"/>
                    <w:rPr>
                      <w:kern w:val="0"/>
                      <w:sz w:val="22"/>
                      <w:szCs w:val="22"/>
                    </w:rPr>
                  </w:pPr>
                  <w:r>
                    <w:rPr>
                      <w:rFonts w:hint="eastAsia"/>
                      <w:kern w:val="0"/>
                      <w:sz w:val="22"/>
                      <w:szCs w:val="22"/>
                    </w:rPr>
                    <w:t>10</w:t>
                  </w:r>
                </w:p>
              </w:tc>
              <w:tc>
                <w:tcPr>
                  <w:tcW w:w="1233" w:type="dxa"/>
                </w:tcPr>
                <w:p>
                  <w:pPr>
                    <w:jc w:val="center"/>
                    <w:rPr>
                      <w:kern w:val="0"/>
                      <w:sz w:val="22"/>
                      <w:szCs w:val="22"/>
                    </w:rPr>
                  </w:pPr>
                  <w:r>
                    <w:rPr>
                      <w:rFonts w:hint="eastAsia"/>
                      <w:kern w:val="0"/>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Merge w:val="continue"/>
                  <w:vAlign w:val="center"/>
                </w:tcPr>
                <w:p>
                  <w:pPr>
                    <w:jc w:val="center"/>
                    <w:rPr>
                      <w:kern w:val="0"/>
                      <w:sz w:val="22"/>
                      <w:szCs w:val="22"/>
                    </w:rPr>
                  </w:pPr>
                </w:p>
              </w:tc>
              <w:tc>
                <w:tcPr>
                  <w:tcW w:w="2268" w:type="dxa"/>
                  <w:vAlign w:val="center"/>
                </w:tcPr>
                <w:p>
                  <w:pPr>
                    <w:jc w:val="center"/>
                    <w:rPr>
                      <w:kern w:val="0"/>
                      <w:sz w:val="22"/>
                      <w:szCs w:val="22"/>
                    </w:rPr>
                  </w:pPr>
                  <w:r>
                    <w:rPr>
                      <w:rFonts w:hint="eastAsia"/>
                      <w:kern w:val="0"/>
                      <w:sz w:val="22"/>
                      <w:szCs w:val="22"/>
                    </w:rPr>
                    <w:t>总余氯（以Cl计）</w:t>
                  </w:r>
                </w:p>
              </w:tc>
              <w:tc>
                <w:tcPr>
                  <w:tcW w:w="1418" w:type="dxa"/>
                  <w:vAlign w:val="center"/>
                </w:tcPr>
                <w:p>
                  <w:pPr>
                    <w:jc w:val="center"/>
                    <w:rPr>
                      <w:kern w:val="0"/>
                      <w:sz w:val="22"/>
                      <w:szCs w:val="22"/>
                    </w:rPr>
                  </w:pPr>
                  <w:r>
                    <w:rPr>
                      <w:rFonts w:hint="eastAsia"/>
                      <w:kern w:val="0"/>
                      <w:sz w:val="22"/>
                      <w:szCs w:val="22"/>
                    </w:rPr>
                    <w:t>0.17-0.18</w:t>
                  </w:r>
                </w:p>
              </w:tc>
              <w:tc>
                <w:tcPr>
                  <w:tcW w:w="1559" w:type="dxa"/>
                  <w:vAlign w:val="center"/>
                </w:tcPr>
                <w:p>
                  <w:pPr>
                    <w:jc w:val="center"/>
                    <w:rPr>
                      <w:kern w:val="0"/>
                      <w:sz w:val="22"/>
                      <w:szCs w:val="22"/>
                    </w:rPr>
                  </w:pPr>
                  <w:r>
                    <w:rPr>
                      <w:rFonts w:hint="eastAsia"/>
                      <w:kern w:val="0"/>
                      <w:sz w:val="22"/>
                      <w:szCs w:val="22"/>
                    </w:rPr>
                    <w:t>/</w:t>
                  </w:r>
                </w:p>
              </w:tc>
              <w:tc>
                <w:tcPr>
                  <w:tcW w:w="1233" w:type="dxa"/>
                </w:tcPr>
                <w:p>
                  <w:pPr>
                    <w:jc w:val="center"/>
                    <w:rPr>
                      <w:kern w:val="0"/>
                      <w:sz w:val="22"/>
                      <w:szCs w:val="22"/>
                    </w:rPr>
                  </w:pPr>
                  <w:r>
                    <w:rPr>
                      <w:rFonts w:hint="eastAsia"/>
                      <w:kern w:val="0"/>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Merge w:val="continue"/>
                  <w:vAlign w:val="center"/>
                </w:tcPr>
                <w:p>
                  <w:pPr>
                    <w:jc w:val="center"/>
                    <w:rPr>
                      <w:kern w:val="0"/>
                      <w:sz w:val="22"/>
                      <w:szCs w:val="22"/>
                    </w:rPr>
                  </w:pPr>
                </w:p>
              </w:tc>
              <w:tc>
                <w:tcPr>
                  <w:tcW w:w="2268" w:type="dxa"/>
                  <w:vAlign w:val="center"/>
                </w:tcPr>
                <w:p>
                  <w:pPr>
                    <w:jc w:val="center"/>
                    <w:rPr>
                      <w:kern w:val="0"/>
                      <w:sz w:val="22"/>
                      <w:szCs w:val="22"/>
                    </w:rPr>
                  </w:pPr>
                  <w:r>
                    <w:rPr>
                      <w:rFonts w:hint="eastAsia"/>
                      <w:kern w:val="0"/>
                      <w:sz w:val="22"/>
                      <w:szCs w:val="22"/>
                    </w:rPr>
                    <w:t>氨氮</w:t>
                  </w:r>
                </w:p>
              </w:tc>
              <w:tc>
                <w:tcPr>
                  <w:tcW w:w="1418" w:type="dxa"/>
                  <w:vAlign w:val="center"/>
                </w:tcPr>
                <w:p>
                  <w:pPr>
                    <w:jc w:val="center"/>
                    <w:rPr>
                      <w:kern w:val="0"/>
                      <w:sz w:val="22"/>
                      <w:szCs w:val="22"/>
                    </w:rPr>
                  </w:pPr>
                  <w:r>
                    <w:rPr>
                      <w:rFonts w:hint="eastAsia"/>
                      <w:kern w:val="0"/>
                      <w:sz w:val="22"/>
                      <w:szCs w:val="22"/>
                    </w:rPr>
                    <w:t>5.22-5.77</w:t>
                  </w:r>
                </w:p>
              </w:tc>
              <w:tc>
                <w:tcPr>
                  <w:tcW w:w="1559" w:type="dxa"/>
                  <w:vAlign w:val="center"/>
                </w:tcPr>
                <w:p>
                  <w:pPr>
                    <w:jc w:val="center"/>
                    <w:rPr>
                      <w:kern w:val="0"/>
                      <w:sz w:val="22"/>
                      <w:szCs w:val="22"/>
                    </w:rPr>
                  </w:pPr>
                  <w:r>
                    <w:rPr>
                      <w:rFonts w:hint="eastAsia"/>
                      <w:kern w:val="0"/>
                      <w:sz w:val="22"/>
                      <w:szCs w:val="22"/>
                    </w:rPr>
                    <w:t>/</w:t>
                  </w:r>
                </w:p>
              </w:tc>
              <w:tc>
                <w:tcPr>
                  <w:tcW w:w="1233" w:type="dxa"/>
                </w:tcPr>
                <w:p>
                  <w:pPr>
                    <w:jc w:val="center"/>
                    <w:rPr>
                      <w:kern w:val="0"/>
                      <w:sz w:val="22"/>
                      <w:szCs w:val="22"/>
                    </w:rPr>
                  </w:pPr>
                  <w:r>
                    <w:rPr>
                      <w:rFonts w:hint="eastAsia"/>
                      <w:kern w:val="0"/>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Merge w:val="continue"/>
                  <w:vAlign w:val="center"/>
                </w:tcPr>
                <w:p>
                  <w:pPr>
                    <w:jc w:val="center"/>
                    <w:rPr>
                      <w:kern w:val="0"/>
                      <w:sz w:val="22"/>
                      <w:szCs w:val="22"/>
                    </w:rPr>
                  </w:pPr>
                </w:p>
              </w:tc>
              <w:tc>
                <w:tcPr>
                  <w:tcW w:w="2268" w:type="dxa"/>
                  <w:vAlign w:val="center"/>
                </w:tcPr>
                <w:p>
                  <w:pPr>
                    <w:jc w:val="center"/>
                    <w:rPr>
                      <w:kern w:val="0"/>
                      <w:sz w:val="22"/>
                      <w:szCs w:val="22"/>
                    </w:rPr>
                  </w:pPr>
                  <w:r>
                    <w:rPr>
                      <w:rFonts w:hint="eastAsia"/>
                      <w:kern w:val="0"/>
                      <w:sz w:val="22"/>
                      <w:szCs w:val="22"/>
                    </w:rPr>
                    <w:t>粪大肠菌群</w:t>
                  </w:r>
                </w:p>
              </w:tc>
              <w:tc>
                <w:tcPr>
                  <w:tcW w:w="1418" w:type="dxa"/>
                  <w:vAlign w:val="center"/>
                </w:tcPr>
                <w:p>
                  <w:pPr>
                    <w:jc w:val="center"/>
                    <w:rPr>
                      <w:kern w:val="0"/>
                      <w:sz w:val="22"/>
                      <w:szCs w:val="22"/>
                    </w:rPr>
                  </w:pPr>
                  <w:r>
                    <w:rPr>
                      <w:rFonts w:hint="eastAsia"/>
                      <w:kern w:val="0"/>
                      <w:sz w:val="22"/>
                      <w:szCs w:val="22"/>
                    </w:rPr>
                    <w:t>230-410</w:t>
                  </w:r>
                </w:p>
              </w:tc>
              <w:tc>
                <w:tcPr>
                  <w:tcW w:w="1559" w:type="dxa"/>
                  <w:vAlign w:val="center"/>
                </w:tcPr>
                <w:p>
                  <w:pPr>
                    <w:jc w:val="center"/>
                    <w:rPr>
                      <w:kern w:val="0"/>
                      <w:sz w:val="22"/>
                      <w:szCs w:val="22"/>
                    </w:rPr>
                  </w:pPr>
                  <w:r>
                    <w:rPr>
                      <w:rFonts w:hint="eastAsia"/>
                      <w:kern w:val="0"/>
                      <w:sz w:val="22"/>
                      <w:szCs w:val="22"/>
                    </w:rPr>
                    <w:t>5000</w:t>
                  </w:r>
                </w:p>
              </w:tc>
              <w:tc>
                <w:tcPr>
                  <w:tcW w:w="1233" w:type="dxa"/>
                </w:tcPr>
                <w:p>
                  <w:pPr>
                    <w:jc w:val="center"/>
                    <w:rPr>
                      <w:kern w:val="0"/>
                      <w:sz w:val="22"/>
                      <w:szCs w:val="22"/>
                    </w:rPr>
                  </w:pPr>
                  <w:r>
                    <w:rPr>
                      <w:rFonts w:hint="eastAsia"/>
                      <w:kern w:val="0"/>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Merge w:val="continue"/>
                  <w:vAlign w:val="center"/>
                </w:tcPr>
                <w:p>
                  <w:pPr>
                    <w:jc w:val="center"/>
                    <w:rPr>
                      <w:kern w:val="0"/>
                      <w:sz w:val="22"/>
                      <w:szCs w:val="22"/>
                    </w:rPr>
                  </w:pPr>
                </w:p>
              </w:tc>
              <w:tc>
                <w:tcPr>
                  <w:tcW w:w="2268" w:type="dxa"/>
                  <w:vAlign w:val="center"/>
                </w:tcPr>
                <w:p>
                  <w:pPr>
                    <w:jc w:val="center"/>
                    <w:rPr>
                      <w:kern w:val="0"/>
                      <w:sz w:val="22"/>
                      <w:szCs w:val="22"/>
                    </w:rPr>
                  </w:pPr>
                  <w:r>
                    <w:rPr>
                      <w:rFonts w:hint="eastAsia"/>
                      <w:kern w:val="0"/>
                      <w:sz w:val="22"/>
                      <w:szCs w:val="22"/>
                    </w:rPr>
                    <w:t>化学需氧量</w:t>
                  </w:r>
                </w:p>
              </w:tc>
              <w:tc>
                <w:tcPr>
                  <w:tcW w:w="1418" w:type="dxa"/>
                  <w:vAlign w:val="center"/>
                </w:tcPr>
                <w:p>
                  <w:pPr>
                    <w:jc w:val="center"/>
                    <w:rPr>
                      <w:kern w:val="0"/>
                      <w:sz w:val="22"/>
                      <w:szCs w:val="22"/>
                    </w:rPr>
                  </w:pPr>
                  <w:r>
                    <w:rPr>
                      <w:rFonts w:hint="eastAsia"/>
                      <w:kern w:val="0"/>
                      <w:sz w:val="22"/>
                      <w:szCs w:val="22"/>
                    </w:rPr>
                    <w:t>20-28</w:t>
                  </w:r>
                </w:p>
              </w:tc>
              <w:tc>
                <w:tcPr>
                  <w:tcW w:w="1559" w:type="dxa"/>
                  <w:vAlign w:val="center"/>
                </w:tcPr>
                <w:p>
                  <w:pPr>
                    <w:jc w:val="center"/>
                    <w:rPr>
                      <w:kern w:val="0"/>
                      <w:sz w:val="22"/>
                      <w:szCs w:val="22"/>
                    </w:rPr>
                  </w:pPr>
                  <w:r>
                    <w:rPr>
                      <w:rFonts w:hint="eastAsia"/>
                      <w:kern w:val="0"/>
                      <w:sz w:val="22"/>
                      <w:szCs w:val="22"/>
                    </w:rPr>
                    <w:t>250</w:t>
                  </w:r>
                </w:p>
              </w:tc>
              <w:tc>
                <w:tcPr>
                  <w:tcW w:w="1233" w:type="dxa"/>
                </w:tcPr>
                <w:p>
                  <w:pPr>
                    <w:jc w:val="center"/>
                    <w:rPr>
                      <w:kern w:val="0"/>
                      <w:sz w:val="22"/>
                      <w:szCs w:val="22"/>
                    </w:rPr>
                  </w:pPr>
                  <w:r>
                    <w:rPr>
                      <w:rFonts w:hint="eastAsia"/>
                      <w:kern w:val="0"/>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Merge w:val="continue"/>
                  <w:vAlign w:val="center"/>
                </w:tcPr>
                <w:p>
                  <w:pPr>
                    <w:jc w:val="center"/>
                    <w:rPr>
                      <w:kern w:val="0"/>
                      <w:sz w:val="22"/>
                      <w:szCs w:val="22"/>
                    </w:rPr>
                  </w:pPr>
                </w:p>
              </w:tc>
              <w:tc>
                <w:tcPr>
                  <w:tcW w:w="2268" w:type="dxa"/>
                  <w:vAlign w:val="center"/>
                </w:tcPr>
                <w:p>
                  <w:pPr>
                    <w:jc w:val="center"/>
                    <w:rPr>
                      <w:kern w:val="0"/>
                      <w:sz w:val="22"/>
                      <w:szCs w:val="22"/>
                    </w:rPr>
                  </w:pPr>
                  <w:r>
                    <w:rPr>
                      <w:rFonts w:hint="eastAsia"/>
                      <w:kern w:val="0"/>
                      <w:sz w:val="22"/>
                      <w:szCs w:val="22"/>
                    </w:rPr>
                    <w:t>动植物油</w:t>
                  </w:r>
                </w:p>
              </w:tc>
              <w:tc>
                <w:tcPr>
                  <w:tcW w:w="1418" w:type="dxa"/>
                  <w:vAlign w:val="center"/>
                </w:tcPr>
                <w:p>
                  <w:pPr>
                    <w:jc w:val="center"/>
                    <w:rPr>
                      <w:kern w:val="0"/>
                      <w:sz w:val="22"/>
                      <w:szCs w:val="22"/>
                    </w:rPr>
                  </w:pPr>
                  <w:r>
                    <w:rPr>
                      <w:rFonts w:hint="eastAsia"/>
                      <w:kern w:val="0"/>
                      <w:sz w:val="22"/>
                      <w:szCs w:val="22"/>
                    </w:rPr>
                    <w:t>0.73-0.89</w:t>
                  </w:r>
                </w:p>
              </w:tc>
              <w:tc>
                <w:tcPr>
                  <w:tcW w:w="1559" w:type="dxa"/>
                  <w:vAlign w:val="center"/>
                </w:tcPr>
                <w:p>
                  <w:pPr>
                    <w:jc w:val="center"/>
                    <w:rPr>
                      <w:kern w:val="0"/>
                      <w:sz w:val="22"/>
                      <w:szCs w:val="22"/>
                    </w:rPr>
                  </w:pPr>
                  <w:r>
                    <w:rPr>
                      <w:rFonts w:hint="eastAsia"/>
                      <w:kern w:val="0"/>
                      <w:sz w:val="22"/>
                      <w:szCs w:val="22"/>
                    </w:rPr>
                    <w:t>20</w:t>
                  </w:r>
                </w:p>
              </w:tc>
              <w:tc>
                <w:tcPr>
                  <w:tcW w:w="1233" w:type="dxa"/>
                </w:tcPr>
                <w:p>
                  <w:pPr>
                    <w:jc w:val="center"/>
                    <w:rPr>
                      <w:kern w:val="0"/>
                      <w:sz w:val="22"/>
                      <w:szCs w:val="22"/>
                    </w:rPr>
                  </w:pPr>
                  <w:r>
                    <w:rPr>
                      <w:rFonts w:hint="eastAsia"/>
                      <w:kern w:val="0"/>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Merge w:val="continue"/>
                  <w:vAlign w:val="center"/>
                </w:tcPr>
                <w:p>
                  <w:pPr>
                    <w:jc w:val="center"/>
                    <w:rPr>
                      <w:kern w:val="0"/>
                      <w:sz w:val="22"/>
                      <w:szCs w:val="22"/>
                    </w:rPr>
                  </w:pPr>
                </w:p>
              </w:tc>
              <w:tc>
                <w:tcPr>
                  <w:tcW w:w="2268" w:type="dxa"/>
                  <w:vAlign w:val="center"/>
                </w:tcPr>
                <w:p>
                  <w:pPr>
                    <w:jc w:val="center"/>
                    <w:rPr>
                      <w:kern w:val="0"/>
                      <w:sz w:val="22"/>
                      <w:szCs w:val="22"/>
                    </w:rPr>
                  </w:pPr>
                  <w:r>
                    <w:rPr>
                      <w:rFonts w:hint="eastAsia"/>
                      <w:kern w:val="0"/>
                      <w:sz w:val="22"/>
                      <w:szCs w:val="22"/>
                    </w:rPr>
                    <w:t>悬浮物</w:t>
                  </w:r>
                </w:p>
              </w:tc>
              <w:tc>
                <w:tcPr>
                  <w:tcW w:w="1418" w:type="dxa"/>
                  <w:vAlign w:val="center"/>
                </w:tcPr>
                <w:p>
                  <w:pPr>
                    <w:jc w:val="center"/>
                    <w:rPr>
                      <w:kern w:val="0"/>
                      <w:sz w:val="22"/>
                      <w:szCs w:val="22"/>
                    </w:rPr>
                  </w:pPr>
                  <w:r>
                    <w:rPr>
                      <w:rFonts w:hint="eastAsia"/>
                      <w:kern w:val="0"/>
                      <w:sz w:val="22"/>
                      <w:szCs w:val="22"/>
                    </w:rPr>
                    <w:t>14-18</w:t>
                  </w:r>
                </w:p>
              </w:tc>
              <w:tc>
                <w:tcPr>
                  <w:tcW w:w="1559" w:type="dxa"/>
                  <w:vAlign w:val="center"/>
                </w:tcPr>
                <w:p>
                  <w:pPr>
                    <w:jc w:val="center"/>
                    <w:rPr>
                      <w:kern w:val="0"/>
                      <w:sz w:val="22"/>
                      <w:szCs w:val="22"/>
                    </w:rPr>
                  </w:pPr>
                  <w:r>
                    <w:rPr>
                      <w:rFonts w:hint="eastAsia"/>
                      <w:kern w:val="0"/>
                      <w:sz w:val="22"/>
                      <w:szCs w:val="22"/>
                    </w:rPr>
                    <w:t>60</w:t>
                  </w:r>
                </w:p>
              </w:tc>
              <w:tc>
                <w:tcPr>
                  <w:tcW w:w="1233" w:type="dxa"/>
                </w:tcPr>
                <w:p>
                  <w:pPr>
                    <w:jc w:val="center"/>
                    <w:rPr>
                      <w:kern w:val="0"/>
                      <w:sz w:val="22"/>
                      <w:szCs w:val="22"/>
                    </w:rPr>
                  </w:pPr>
                  <w:r>
                    <w:rPr>
                      <w:rFonts w:hint="eastAsia"/>
                      <w:kern w:val="0"/>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Merge w:val="continue"/>
                  <w:vAlign w:val="center"/>
                </w:tcPr>
                <w:p>
                  <w:pPr>
                    <w:jc w:val="center"/>
                    <w:rPr>
                      <w:kern w:val="0"/>
                      <w:sz w:val="22"/>
                      <w:szCs w:val="22"/>
                    </w:rPr>
                  </w:pPr>
                </w:p>
              </w:tc>
              <w:tc>
                <w:tcPr>
                  <w:tcW w:w="2268" w:type="dxa"/>
                  <w:vAlign w:val="center"/>
                </w:tcPr>
                <w:p>
                  <w:pPr>
                    <w:jc w:val="center"/>
                    <w:rPr>
                      <w:kern w:val="0"/>
                      <w:sz w:val="22"/>
                      <w:szCs w:val="22"/>
                    </w:rPr>
                  </w:pPr>
                  <w:r>
                    <w:rPr>
                      <w:rFonts w:hint="eastAsia"/>
                      <w:kern w:val="0"/>
                      <w:sz w:val="22"/>
                      <w:szCs w:val="22"/>
                    </w:rPr>
                    <w:t>p</w:t>
                  </w:r>
                  <w:r>
                    <w:rPr>
                      <w:kern w:val="0"/>
                      <w:sz w:val="22"/>
                      <w:szCs w:val="22"/>
                    </w:rPr>
                    <w:t>H</w:t>
                  </w:r>
                </w:p>
              </w:tc>
              <w:tc>
                <w:tcPr>
                  <w:tcW w:w="1418" w:type="dxa"/>
                  <w:vAlign w:val="center"/>
                </w:tcPr>
                <w:p>
                  <w:pPr>
                    <w:jc w:val="center"/>
                    <w:rPr>
                      <w:kern w:val="0"/>
                      <w:sz w:val="22"/>
                      <w:szCs w:val="22"/>
                    </w:rPr>
                  </w:pPr>
                  <w:r>
                    <w:rPr>
                      <w:rFonts w:hint="eastAsia"/>
                      <w:kern w:val="0"/>
                      <w:sz w:val="22"/>
                      <w:szCs w:val="22"/>
                    </w:rPr>
                    <w:t>6.8-7.6</w:t>
                  </w:r>
                </w:p>
              </w:tc>
              <w:tc>
                <w:tcPr>
                  <w:tcW w:w="1559" w:type="dxa"/>
                  <w:vAlign w:val="center"/>
                </w:tcPr>
                <w:p>
                  <w:pPr>
                    <w:jc w:val="center"/>
                    <w:rPr>
                      <w:kern w:val="0"/>
                      <w:sz w:val="22"/>
                      <w:szCs w:val="22"/>
                    </w:rPr>
                  </w:pPr>
                  <w:r>
                    <w:rPr>
                      <w:rFonts w:hint="eastAsia"/>
                      <w:kern w:val="0"/>
                      <w:sz w:val="22"/>
                      <w:szCs w:val="22"/>
                    </w:rPr>
                    <w:t>6-9</w:t>
                  </w:r>
                </w:p>
              </w:tc>
              <w:tc>
                <w:tcPr>
                  <w:tcW w:w="1233" w:type="dxa"/>
                </w:tcPr>
                <w:p>
                  <w:pPr>
                    <w:jc w:val="center"/>
                    <w:rPr>
                      <w:kern w:val="0"/>
                      <w:sz w:val="22"/>
                      <w:szCs w:val="22"/>
                    </w:rPr>
                  </w:pPr>
                  <w:r>
                    <w:rPr>
                      <w:rFonts w:hint="eastAsia"/>
                      <w:kern w:val="0"/>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Merge w:val="continue"/>
                  <w:vAlign w:val="center"/>
                </w:tcPr>
                <w:p>
                  <w:pPr>
                    <w:jc w:val="center"/>
                    <w:rPr>
                      <w:kern w:val="0"/>
                      <w:sz w:val="22"/>
                      <w:szCs w:val="22"/>
                    </w:rPr>
                  </w:pPr>
                </w:p>
              </w:tc>
              <w:tc>
                <w:tcPr>
                  <w:tcW w:w="2268" w:type="dxa"/>
                  <w:vAlign w:val="center"/>
                </w:tcPr>
                <w:p>
                  <w:pPr>
                    <w:jc w:val="center"/>
                    <w:rPr>
                      <w:kern w:val="0"/>
                      <w:sz w:val="22"/>
                      <w:szCs w:val="22"/>
                    </w:rPr>
                  </w:pPr>
                  <w:r>
                    <w:rPr>
                      <w:rFonts w:hint="eastAsia"/>
                      <w:kern w:val="0"/>
                      <w:sz w:val="22"/>
                      <w:szCs w:val="22"/>
                    </w:rPr>
                    <w:t>五日生化需氧量</w:t>
                  </w:r>
                </w:p>
              </w:tc>
              <w:tc>
                <w:tcPr>
                  <w:tcW w:w="1418" w:type="dxa"/>
                  <w:vAlign w:val="center"/>
                </w:tcPr>
                <w:p>
                  <w:pPr>
                    <w:jc w:val="center"/>
                    <w:rPr>
                      <w:kern w:val="0"/>
                      <w:sz w:val="22"/>
                      <w:szCs w:val="22"/>
                    </w:rPr>
                  </w:pPr>
                  <w:r>
                    <w:rPr>
                      <w:rFonts w:hint="eastAsia"/>
                      <w:kern w:val="0"/>
                      <w:sz w:val="22"/>
                      <w:szCs w:val="22"/>
                    </w:rPr>
                    <w:t>4.5-5.6</w:t>
                  </w:r>
                </w:p>
              </w:tc>
              <w:tc>
                <w:tcPr>
                  <w:tcW w:w="1559" w:type="dxa"/>
                  <w:vAlign w:val="center"/>
                </w:tcPr>
                <w:p>
                  <w:pPr>
                    <w:jc w:val="center"/>
                    <w:rPr>
                      <w:kern w:val="0"/>
                      <w:sz w:val="22"/>
                      <w:szCs w:val="22"/>
                    </w:rPr>
                  </w:pPr>
                  <w:r>
                    <w:rPr>
                      <w:rFonts w:hint="eastAsia"/>
                      <w:kern w:val="0"/>
                      <w:sz w:val="22"/>
                      <w:szCs w:val="22"/>
                    </w:rPr>
                    <w:t>100</w:t>
                  </w:r>
                </w:p>
              </w:tc>
              <w:tc>
                <w:tcPr>
                  <w:tcW w:w="1233" w:type="dxa"/>
                </w:tcPr>
                <w:p>
                  <w:pPr>
                    <w:jc w:val="center"/>
                    <w:rPr>
                      <w:kern w:val="0"/>
                      <w:sz w:val="22"/>
                      <w:szCs w:val="22"/>
                    </w:rPr>
                  </w:pPr>
                  <w:r>
                    <w:rPr>
                      <w:rFonts w:hint="eastAsia"/>
                      <w:kern w:val="0"/>
                      <w:sz w:val="22"/>
                      <w:szCs w:val="22"/>
                    </w:rPr>
                    <w:t>达标</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从上表可以看出，院区总排口废水监测因子均满足《医疗机构水污染物排放标准》（</w:t>
            </w:r>
            <w:r>
              <w:rPr>
                <w:sz w:val="24"/>
              </w:rPr>
              <w:t>GB18466-2005</w:t>
            </w:r>
            <w:r>
              <w:rPr>
                <w:rFonts w:hint="eastAsia"/>
                <w:sz w:val="24"/>
              </w:rPr>
              <w:t>）表</w:t>
            </w:r>
            <w:r>
              <w:rPr>
                <w:sz w:val="24"/>
              </w:rPr>
              <w:t>2</w:t>
            </w:r>
            <w:r>
              <w:rPr>
                <w:rFonts w:hint="eastAsia"/>
                <w:sz w:val="24"/>
              </w:rPr>
              <w:t>预处理标准，并满足澧县污水处理厂进水水质要求。</w:t>
            </w:r>
          </w:p>
          <w:p>
            <w:pPr>
              <w:pStyle w:val="4"/>
              <w:spacing w:after="0" w:line="360" w:lineRule="auto"/>
              <w:ind w:right="113" w:firstLine="480" w:firstLineChars="200"/>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噪声</w:t>
            </w:r>
          </w:p>
          <w:p>
            <w:pPr>
              <w:pStyle w:val="4"/>
              <w:spacing w:after="0" w:line="360" w:lineRule="auto"/>
              <w:ind w:firstLine="480" w:firstLineChars="200"/>
              <w:rPr>
                <w:sz w:val="24"/>
              </w:rPr>
            </w:pPr>
            <w:r>
              <w:rPr>
                <w:rFonts w:hint="eastAsia"/>
                <w:sz w:val="24"/>
              </w:rPr>
              <w:t>为进一步了解项目医院运行过程中的噪声影响，本项目委托第三方检测公司于</w:t>
            </w:r>
            <w:r>
              <w:rPr>
                <w:kern w:val="0"/>
                <w:sz w:val="24"/>
                <w:szCs w:val="20"/>
              </w:rPr>
              <w:t>202</w:t>
            </w:r>
            <w:r>
              <w:rPr>
                <w:rFonts w:hint="eastAsia"/>
                <w:kern w:val="0"/>
                <w:sz w:val="24"/>
                <w:szCs w:val="20"/>
              </w:rPr>
              <w:t>4年6月7日-8</w:t>
            </w:r>
            <w:r>
              <w:rPr>
                <w:rFonts w:hint="eastAsia"/>
                <w:sz w:val="24"/>
              </w:rPr>
              <w:t>日对医院周边环境进行噪声检测，其检测结果如下：</w:t>
            </w:r>
          </w:p>
          <w:p>
            <w:pPr>
              <w:spacing w:line="240" w:lineRule="atLeast"/>
              <w:jc w:val="center"/>
              <w:rPr>
                <w:b/>
                <w:bCs/>
                <w:szCs w:val="21"/>
              </w:rPr>
            </w:pPr>
          </w:p>
          <w:p>
            <w:pPr>
              <w:spacing w:line="240" w:lineRule="atLeast"/>
              <w:jc w:val="center"/>
              <w:rPr>
                <w:b/>
                <w:bCs/>
                <w:szCs w:val="21"/>
              </w:rPr>
            </w:pPr>
            <w:r>
              <w:rPr>
                <w:rFonts w:hint="eastAsia"/>
                <w:b/>
                <w:bCs/>
                <w:szCs w:val="21"/>
              </w:rPr>
              <w:t>表2-</w:t>
            </w:r>
            <w:r>
              <w:rPr>
                <w:b/>
                <w:bCs/>
                <w:szCs w:val="21"/>
              </w:rPr>
              <w:t xml:space="preserve">8  </w:t>
            </w:r>
            <w:r>
              <w:rPr>
                <w:rFonts w:hint="eastAsia"/>
                <w:b/>
                <w:bCs/>
                <w:szCs w:val="21"/>
              </w:rPr>
              <w:t xml:space="preserve">  噪声检测结果</w:t>
            </w:r>
          </w:p>
          <w:tbl>
            <w:tblPr>
              <w:tblStyle w:val="28"/>
              <w:tblW w:w="4996"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2093"/>
              <w:gridCol w:w="876"/>
              <w:gridCol w:w="797"/>
              <w:gridCol w:w="959"/>
              <w:gridCol w:w="962"/>
              <w:gridCol w:w="950"/>
              <w:gridCol w:w="96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93" w:type="dxa"/>
                  <w:vMerge w:val="restart"/>
                  <w:tcBorders>
                    <w:bottom w:val="nil"/>
                  </w:tcBorders>
                  <w:vAlign w:val="center"/>
                </w:tcPr>
                <w:p>
                  <w:pPr>
                    <w:pStyle w:val="27"/>
                    <w:spacing w:line="240" w:lineRule="auto"/>
                    <w:ind w:firstLine="0" w:firstLineChars="0"/>
                    <w:jc w:val="center"/>
                    <w:rPr>
                      <w:kern w:val="0"/>
                      <w:sz w:val="21"/>
                      <w:szCs w:val="21"/>
                    </w:rPr>
                  </w:pPr>
                  <w:r>
                    <w:rPr>
                      <w:kern w:val="0"/>
                      <w:sz w:val="21"/>
                      <w:szCs w:val="21"/>
                    </w:rPr>
                    <w:t>检测点位</w:t>
                  </w:r>
                </w:p>
              </w:tc>
              <w:tc>
                <w:tcPr>
                  <w:tcW w:w="3594" w:type="dxa"/>
                  <w:gridSpan w:val="4"/>
                  <w:vAlign w:val="center"/>
                </w:tcPr>
                <w:p>
                  <w:pPr>
                    <w:pStyle w:val="27"/>
                    <w:spacing w:line="240" w:lineRule="auto"/>
                    <w:ind w:firstLine="0" w:firstLineChars="0"/>
                    <w:jc w:val="center"/>
                    <w:rPr>
                      <w:kern w:val="0"/>
                      <w:sz w:val="21"/>
                      <w:szCs w:val="21"/>
                    </w:rPr>
                  </w:pPr>
                  <w:r>
                    <w:rPr>
                      <w:kern w:val="0"/>
                      <w:sz w:val="21"/>
                      <w:szCs w:val="21"/>
                    </w:rPr>
                    <w:t>检测结果</w:t>
                  </w:r>
                </w:p>
              </w:tc>
              <w:tc>
                <w:tcPr>
                  <w:tcW w:w="1911" w:type="dxa"/>
                  <w:gridSpan w:val="2"/>
                  <w:vMerge w:val="restart"/>
                  <w:tcBorders>
                    <w:bottom w:val="nil"/>
                  </w:tcBorders>
                  <w:vAlign w:val="center"/>
                </w:tcPr>
                <w:p>
                  <w:pPr>
                    <w:pStyle w:val="27"/>
                    <w:spacing w:line="240" w:lineRule="auto"/>
                    <w:ind w:firstLine="0" w:firstLineChars="0"/>
                    <w:jc w:val="center"/>
                    <w:rPr>
                      <w:kern w:val="0"/>
                      <w:sz w:val="21"/>
                      <w:szCs w:val="21"/>
                    </w:rPr>
                  </w:pPr>
                  <w:r>
                    <w:rPr>
                      <w:kern w:val="0"/>
                      <w:sz w:val="21"/>
                      <w:szCs w:val="21"/>
                    </w:rPr>
                    <w:t>标准限值</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93" w:type="dxa"/>
                  <w:vMerge w:val="continue"/>
                  <w:tcBorders>
                    <w:top w:val="nil"/>
                    <w:bottom w:val="nil"/>
                  </w:tcBorders>
                  <w:vAlign w:val="center"/>
                </w:tcPr>
                <w:p>
                  <w:pPr>
                    <w:pStyle w:val="27"/>
                    <w:spacing w:line="240" w:lineRule="auto"/>
                    <w:ind w:firstLine="0" w:firstLineChars="0"/>
                    <w:jc w:val="center"/>
                    <w:rPr>
                      <w:kern w:val="0"/>
                      <w:sz w:val="21"/>
                      <w:szCs w:val="21"/>
                    </w:rPr>
                  </w:pPr>
                </w:p>
              </w:tc>
              <w:tc>
                <w:tcPr>
                  <w:tcW w:w="1673" w:type="dxa"/>
                  <w:gridSpan w:val="2"/>
                  <w:tcBorders>
                    <w:right w:val="single" w:color="000000" w:sz="2" w:space="0"/>
                  </w:tcBorders>
                  <w:vAlign w:val="center"/>
                </w:tcPr>
                <w:p>
                  <w:pPr>
                    <w:pStyle w:val="27"/>
                    <w:spacing w:line="240" w:lineRule="auto"/>
                    <w:ind w:firstLine="0" w:firstLineChars="0"/>
                    <w:jc w:val="center"/>
                    <w:rPr>
                      <w:kern w:val="0"/>
                      <w:sz w:val="21"/>
                      <w:szCs w:val="21"/>
                    </w:rPr>
                  </w:pPr>
                  <w:r>
                    <w:rPr>
                      <w:kern w:val="0"/>
                      <w:sz w:val="21"/>
                      <w:szCs w:val="21"/>
                    </w:rPr>
                    <w:t>2024.</w:t>
                  </w:r>
                  <w:r>
                    <w:rPr>
                      <w:rFonts w:hint="eastAsia"/>
                      <w:kern w:val="0"/>
                      <w:sz w:val="21"/>
                      <w:szCs w:val="21"/>
                    </w:rPr>
                    <w:t>6</w:t>
                  </w:r>
                  <w:r>
                    <w:rPr>
                      <w:kern w:val="0"/>
                      <w:sz w:val="21"/>
                      <w:szCs w:val="21"/>
                    </w:rPr>
                    <w:t>.</w:t>
                  </w:r>
                  <w:r>
                    <w:rPr>
                      <w:rFonts w:hint="eastAsia"/>
                      <w:kern w:val="0"/>
                      <w:sz w:val="21"/>
                      <w:szCs w:val="21"/>
                    </w:rPr>
                    <w:t>7</w:t>
                  </w:r>
                </w:p>
              </w:tc>
              <w:tc>
                <w:tcPr>
                  <w:tcW w:w="1921" w:type="dxa"/>
                  <w:gridSpan w:val="2"/>
                  <w:tcBorders>
                    <w:left w:val="single" w:color="000000" w:sz="2" w:space="0"/>
                  </w:tcBorders>
                  <w:vAlign w:val="center"/>
                </w:tcPr>
                <w:p>
                  <w:pPr>
                    <w:pStyle w:val="27"/>
                    <w:spacing w:line="240" w:lineRule="auto"/>
                    <w:ind w:firstLine="0" w:firstLineChars="0"/>
                    <w:jc w:val="center"/>
                    <w:rPr>
                      <w:kern w:val="0"/>
                      <w:sz w:val="21"/>
                      <w:szCs w:val="21"/>
                    </w:rPr>
                  </w:pPr>
                  <w:r>
                    <w:rPr>
                      <w:kern w:val="0"/>
                      <w:sz w:val="21"/>
                      <w:szCs w:val="21"/>
                    </w:rPr>
                    <w:t>2024.</w:t>
                  </w:r>
                  <w:r>
                    <w:rPr>
                      <w:rFonts w:hint="eastAsia"/>
                      <w:kern w:val="0"/>
                      <w:sz w:val="21"/>
                      <w:szCs w:val="21"/>
                    </w:rPr>
                    <w:t>6</w:t>
                  </w:r>
                  <w:r>
                    <w:rPr>
                      <w:kern w:val="0"/>
                      <w:sz w:val="21"/>
                      <w:szCs w:val="21"/>
                    </w:rPr>
                    <w:t>.</w:t>
                  </w:r>
                  <w:r>
                    <w:rPr>
                      <w:rFonts w:hint="eastAsia"/>
                      <w:kern w:val="0"/>
                      <w:sz w:val="21"/>
                      <w:szCs w:val="21"/>
                    </w:rPr>
                    <w:t>8</w:t>
                  </w:r>
                </w:p>
              </w:tc>
              <w:tc>
                <w:tcPr>
                  <w:tcW w:w="1911" w:type="dxa"/>
                  <w:gridSpan w:val="2"/>
                  <w:vMerge w:val="continue"/>
                  <w:tcBorders>
                    <w:top w:val="nil"/>
                  </w:tcBorders>
                  <w:vAlign w:val="center"/>
                </w:tcPr>
                <w:p>
                  <w:pPr>
                    <w:pStyle w:val="27"/>
                    <w:spacing w:line="240" w:lineRule="auto"/>
                    <w:ind w:firstLine="0" w:firstLineChars="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93" w:type="dxa"/>
                  <w:vMerge w:val="continue"/>
                  <w:tcBorders>
                    <w:top w:val="nil"/>
                  </w:tcBorders>
                  <w:vAlign w:val="center"/>
                </w:tcPr>
                <w:p>
                  <w:pPr>
                    <w:pStyle w:val="27"/>
                    <w:spacing w:line="240" w:lineRule="auto"/>
                    <w:ind w:firstLine="0" w:firstLineChars="0"/>
                    <w:jc w:val="center"/>
                    <w:rPr>
                      <w:kern w:val="0"/>
                      <w:sz w:val="21"/>
                      <w:szCs w:val="21"/>
                    </w:rPr>
                  </w:pPr>
                </w:p>
              </w:tc>
              <w:tc>
                <w:tcPr>
                  <w:tcW w:w="876" w:type="dxa"/>
                  <w:vAlign w:val="center"/>
                </w:tcPr>
                <w:p>
                  <w:pPr>
                    <w:pStyle w:val="27"/>
                    <w:spacing w:line="240" w:lineRule="auto"/>
                    <w:ind w:firstLine="0" w:firstLineChars="0"/>
                    <w:jc w:val="center"/>
                    <w:rPr>
                      <w:kern w:val="0"/>
                      <w:sz w:val="21"/>
                      <w:szCs w:val="21"/>
                    </w:rPr>
                  </w:pPr>
                  <w:r>
                    <w:rPr>
                      <w:kern w:val="0"/>
                      <w:sz w:val="21"/>
                      <w:szCs w:val="21"/>
                    </w:rPr>
                    <w:t>昼间</w:t>
                  </w:r>
                </w:p>
              </w:tc>
              <w:tc>
                <w:tcPr>
                  <w:tcW w:w="797" w:type="dxa"/>
                  <w:tcBorders>
                    <w:right w:val="single" w:color="000000" w:sz="2" w:space="0"/>
                  </w:tcBorders>
                  <w:vAlign w:val="center"/>
                </w:tcPr>
                <w:p>
                  <w:pPr>
                    <w:pStyle w:val="27"/>
                    <w:spacing w:line="240" w:lineRule="auto"/>
                    <w:ind w:firstLine="0" w:firstLineChars="0"/>
                    <w:jc w:val="center"/>
                    <w:rPr>
                      <w:kern w:val="0"/>
                      <w:sz w:val="21"/>
                      <w:szCs w:val="21"/>
                    </w:rPr>
                  </w:pPr>
                  <w:r>
                    <w:rPr>
                      <w:kern w:val="0"/>
                      <w:sz w:val="21"/>
                      <w:szCs w:val="21"/>
                    </w:rPr>
                    <w:t>夜间</w:t>
                  </w:r>
                </w:p>
              </w:tc>
              <w:tc>
                <w:tcPr>
                  <w:tcW w:w="959" w:type="dxa"/>
                  <w:tcBorders>
                    <w:left w:val="single" w:color="000000" w:sz="2" w:space="0"/>
                    <w:right w:val="single" w:color="000000" w:sz="2" w:space="0"/>
                  </w:tcBorders>
                  <w:vAlign w:val="center"/>
                </w:tcPr>
                <w:p>
                  <w:pPr>
                    <w:pStyle w:val="27"/>
                    <w:spacing w:line="240" w:lineRule="auto"/>
                    <w:ind w:firstLine="0" w:firstLineChars="0"/>
                    <w:jc w:val="center"/>
                    <w:rPr>
                      <w:kern w:val="0"/>
                      <w:sz w:val="21"/>
                      <w:szCs w:val="21"/>
                    </w:rPr>
                  </w:pPr>
                  <w:r>
                    <w:rPr>
                      <w:kern w:val="0"/>
                      <w:sz w:val="21"/>
                      <w:szCs w:val="21"/>
                    </w:rPr>
                    <w:t>昼间</w:t>
                  </w:r>
                </w:p>
              </w:tc>
              <w:tc>
                <w:tcPr>
                  <w:tcW w:w="962" w:type="dxa"/>
                  <w:tcBorders>
                    <w:left w:val="single" w:color="000000" w:sz="2" w:space="0"/>
                  </w:tcBorders>
                  <w:vAlign w:val="center"/>
                </w:tcPr>
                <w:p>
                  <w:pPr>
                    <w:pStyle w:val="27"/>
                    <w:spacing w:line="240" w:lineRule="auto"/>
                    <w:ind w:firstLine="0" w:firstLineChars="0"/>
                    <w:jc w:val="center"/>
                    <w:rPr>
                      <w:kern w:val="0"/>
                      <w:sz w:val="21"/>
                      <w:szCs w:val="21"/>
                    </w:rPr>
                  </w:pPr>
                  <w:r>
                    <w:rPr>
                      <w:kern w:val="0"/>
                      <w:sz w:val="21"/>
                      <w:szCs w:val="21"/>
                    </w:rPr>
                    <w:t>夜间</w:t>
                  </w:r>
                </w:p>
              </w:tc>
              <w:tc>
                <w:tcPr>
                  <w:tcW w:w="950" w:type="dxa"/>
                  <w:tcBorders>
                    <w:bottom w:val="single" w:color="auto" w:sz="4" w:space="0"/>
                    <w:right w:val="single" w:color="auto" w:sz="4" w:space="0"/>
                  </w:tcBorders>
                  <w:vAlign w:val="center"/>
                </w:tcPr>
                <w:p>
                  <w:pPr>
                    <w:pStyle w:val="27"/>
                    <w:spacing w:line="240" w:lineRule="auto"/>
                    <w:ind w:firstLine="0" w:firstLineChars="0"/>
                    <w:jc w:val="center"/>
                    <w:rPr>
                      <w:kern w:val="0"/>
                      <w:sz w:val="21"/>
                      <w:szCs w:val="21"/>
                    </w:rPr>
                  </w:pPr>
                  <w:r>
                    <w:rPr>
                      <w:kern w:val="0"/>
                      <w:sz w:val="21"/>
                      <w:szCs w:val="21"/>
                    </w:rPr>
                    <w:t>昼间</w:t>
                  </w:r>
                </w:p>
              </w:tc>
              <w:tc>
                <w:tcPr>
                  <w:tcW w:w="961" w:type="dxa"/>
                  <w:tcBorders>
                    <w:left w:val="single" w:color="auto" w:sz="4" w:space="0"/>
                    <w:bottom w:val="single" w:color="auto" w:sz="4" w:space="0"/>
                  </w:tcBorders>
                </w:tcPr>
                <w:p>
                  <w:pPr>
                    <w:pStyle w:val="27"/>
                    <w:spacing w:line="240" w:lineRule="auto"/>
                    <w:ind w:firstLine="0" w:firstLineChars="0"/>
                    <w:jc w:val="center"/>
                    <w:rPr>
                      <w:kern w:val="0"/>
                      <w:sz w:val="21"/>
                      <w:szCs w:val="21"/>
                    </w:rPr>
                  </w:pPr>
                  <w:r>
                    <w:rPr>
                      <w:kern w:val="0"/>
                      <w:sz w:val="21"/>
                      <w:szCs w:val="21"/>
                    </w:rPr>
                    <w:t>夜间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93" w:type="dxa"/>
                  <w:vAlign w:val="center"/>
                </w:tcPr>
                <w:p>
                  <w:pPr>
                    <w:pStyle w:val="27"/>
                    <w:spacing w:line="240" w:lineRule="auto"/>
                    <w:ind w:firstLine="0" w:firstLineChars="0"/>
                    <w:jc w:val="center"/>
                    <w:rPr>
                      <w:kern w:val="0"/>
                      <w:sz w:val="21"/>
                      <w:szCs w:val="21"/>
                    </w:rPr>
                  </w:pPr>
                  <w:r>
                    <w:rPr>
                      <w:rFonts w:hint="eastAsia"/>
                      <w:kern w:val="0"/>
                      <w:sz w:val="21"/>
                      <w:szCs w:val="21"/>
                    </w:rPr>
                    <w:t>院区东厂界</w:t>
                  </w:r>
                </w:p>
              </w:tc>
              <w:tc>
                <w:tcPr>
                  <w:tcW w:w="876" w:type="dxa"/>
                  <w:vAlign w:val="center"/>
                </w:tcPr>
                <w:p>
                  <w:pPr>
                    <w:pStyle w:val="27"/>
                    <w:spacing w:line="240" w:lineRule="auto"/>
                    <w:ind w:firstLine="0" w:firstLineChars="0"/>
                    <w:jc w:val="center"/>
                    <w:rPr>
                      <w:kern w:val="0"/>
                      <w:sz w:val="21"/>
                      <w:szCs w:val="21"/>
                    </w:rPr>
                  </w:pPr>
                  <w:r>
                    <w:rPr>
                      <w:rFonts w:hint="eastAsia"/>
                      <w:kern w:val="0"/>
                      <w:sz w:val="21"/>
                      <w:szCs w:val="21"/>
                    </w:rPr>
                    <w:t>57</w:t>
                  </w:r>
                </w:p>
              </w:tc>
              <w:tc>
                <w:tcPr>
                  <w:tcW w:w="797" w:type="dxa"/>
                  <w:tcBorders>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48</w:t>
                  </w:r>
                </w:p>
              </w:tc>
              <w:tc>
                <w:tcPr>
                  <w:tcW w:w="959" w:type="dxa"/>
                  <w:tcBorders>
                    <w:left w:val="single" w:color="000000" w:sz="2" w:space="0"/>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57</w:t>
                  </w:r>
                </w:p>
              </w:tc>
              <w:tc>
                <w:tcPr>
                  <w:tcW w:w="962" w:type="dxa"/>
                  <w:tcBorders>
                    <w:left w:val="single" w:color="000000" w:sz="2" w:space="0"/>
                    <w:right w:val="single" w:color="auto" w:sz="4" w:space="0"/>
                  </w:tcBorders>
                  <w:vAlign w:val="center"/>
                </w:tcPr>
                <w:p>
                  <w:pPr>
                    <w:pStyle w:val="27"/>
                    <w:spacing w:line="240" w:lineRule="auto"/>
                    <w:ind w:firstLine="0" w:firstLineChars="0"/>
                    <w:jc w:val="center"/>
                    <w:rPr>
                      <w:kern w:val="0"/>
                      <w:sz w:val="21"/>
                      <w:szCs w:val="21"/>
                    </w:rPr>
                  </w:pPr>
                  <w:r>
                    <w:rPr>
                      <w:rFonts w:hint="eastAsia"/>
                      <w:kern w:val="0"/>
                      <w:sz w:val="21"/>
                      <w:szCs w:val="21"/>
                    </w:rPr>
                    <w:t>47</w:t>
                  </w:r>
                </w:p>
              </w:tc>
              <w:tc>
                <w:tcPr>
                  <w:tcW w:w="950"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kern w:val="0"/>
                      <w:sz w:val="21"/>
                      <w:szCs w:val="21"/>
                    </w:rPr>
                  </w:pPr>
                  <w:r>
                    <w:rPr>
                      <w:kern w:val="0"/>
                      <w:sz w:val="21"/>
                      <w:szCs w:val="21"/>
                    </w:rPr>
                    <w:t>60</w:t>
                  </w:r>
                </w:p>
              </w:tc>
              <w:tc>
                <w:tcPr>
                  <w:tcW w:w="961" w:type="dxa"/>
                  <w:tcBorders>
                    <w:top w:val="single" w:color="auto" w:sz="4" w:space="0"/>
                    <w:left w:val="single" w:color="auto" w:sz="4" w:space="0"/>
                    <w:bottom w:val="single" w:color="auto" w:sz="4" w:space="0"/>
                  </w:tcBorders>
                  <w:vAlign w:val="center"/>
                </w:tcPr>
                <w:p>
                  <w:pPr>
                    <w:pStyle w:val="27"/>
                    <w:spacing w:line="240" w:lineRule="auto"/>
                    <w:ind w:firstLine="0" w:firstLineChars="0"/>
                    <w:jc w:val="center"/>
                    <w:rPr>
                      <w:kern w:val="0"/>
                      <w:sz w:val="21"/>
                      <w:szCs w:val="21"/>
                    </w:rPr>
                  </w:pPr>
                  <w:r>
                    <w:rPr>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93" w:type="dxa"/>
                </w:tcPr>
                <w:p>
                  <w:pPr>
                    <w:pStyle w:val="27"/>
                    <w:spacing w:line="240" w:lineRule="auto"/>
                    <w:ind w:firstLine="0" w:firstLineChars="0"/>
                    <w:jc w:val="center"/>
                    <w:rPr>
                      <w:kern w:val="0"/>
                      <w:sz w:val="21"/>
                      <w:szCs w:val="21"/>
                    </w:rPr>
                  </w:pPr>
                  <w:r>
                    <w:rPr>
                      <w:rFonts w:hint="eastAsia"/>
                      <w:kern w:val="0"/>
                      <w:sz w:val="21"/>
                      <w:szCs w:val="21"/>
                    </w:rPr>
                    <w:t>院区南厂界</w:t>
                  </w:r>
                </w:p>
              </w:tc>
              <w:tc>
                <w:tcPr>
                  <w:tcW w:w="876" w:type="dxa"/>
                  <w:vAlign w:val="center"/>
                </w:tcPr>
                <w:p>
                  <w:pPr>
                    <w:pStyle w:val="27"/>
                    <w:spacing w:line="240" w:lineRule="auto"/>
                    <w:ind w:firstLine="0" w:firstLineChars="0"/>
                    <w:jc w:val="center"/>
                    <w:rPr>
                      <w:kern w:val="0"/>
                      <w:sz w:val="21"/>
                      <w:szCs w:val="21"/>
                    </w:rPr>
                  </w:pPr>
                  <w:r>
                    <w:rPr>
                      <w:rFonts w:hint="eastAsia"/>
                      <w:kern w:val="0"/>
                      <w:sz w:val="21"/>
                      <w:szCs w:val="21"/>
                    </w:rPr>
                    <w:t>56</w:t>
                  </w:r>
                </w:p>
              </w:tc>
              <w:tc>
                <w:tcPr>
                  <w:tcW w:w="797" w:type="dxa"/>
                  <w:tcBorders>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46</w:t>
                  </w:r>
                </w:p>
              </w:tc>
              <w:tc>
                <w:tcPr>
                  <w:tcW w:w="959" w:type="dxa"/>
                  <w:tcBorders>
                    <w:left w:val="single" w:color="000000" w:sz="2" w:space="0"/>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56</w:t>
                  </w:r>
                </w:p>
              </w:tc>
              <w:tc>
                <w:tcPr>
                  <w:tcW w:w="962" w:type="dxa"/>
                  <w:tcBorders>
                    <w:left w:val="single" w:color="000000" w:sz="2" w:space="0"/>
                    <w:right w:val="single" w:color="auto" w:sz="4" w:space="0"/>
                  </w:tcBorders>
                  <w:vAlign w:val="center"/>
                </w:tcPr>
                <w:p>
                  <w:pPr>
                    <w:pStyle w:val="27"/>
                    <w:spacing w:line="240" w:lineRule="auto"/>
                    <w:ind w:firstLine="0" w:firstLineChars="0"/>
                    <w:jc w:val="center"/>
                    <w:rPr>
                      <w:kern w:val="0"/>
                      <w:sz w:val="21"/>
                      <w:szCs w:val="21"/>
                    </w:rPr>
                  </w:pPr>
                  <w:r>
                    <w:rPr>
                      <w:rFonts w:hint="eastAsia"/>
                      <w:kern w:val="0"/>
                      <w:sz w:val="21"/>
                      <w:szCs w:val="21"/>
                    </w:rPr>
                    <w:t>47</w:t>
                  </w:r>
                </w:p>
              </w:tc>
              <w:tc>
                <w:tcPr>
                  <w:tcW w:w="950"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kern w:val="0"/>
                      <w:sz w:val="21"/>
                      <w:szCs w:val="21"/>
                    </w:rPr>
                  </w:pPr>
                  <w:r>
                    <w:rPr>
                      <w:rFonts w:hint="eastAsia"/>
                      <w:kern w:val="0"/>
                      <w:sz w:val="21"/>
                      <w:szCs w:val="21"/>
                    </w:rPr>
                    <w:t>70</w:t>
                  </w:r>
                </w:p>
              </w:tc>
              <w:tc>
                <w:tcPr>
                  <w:tcW w:w="961" w:type="dxa"/>
                  <w:tcBorders>
                    <w:top w:val="single" w:color="auto" w:sz="4" w:space="0"/>
                    <w:left w:val="single" w:color="auto" w:sz="4" w:space="0"/>
                    <w:bottom w:val="single" w:color="auto" w:sz="4" w:space="0"/>
                  </w:tcBorders>
                </w:tcPr>
                <w:p>
                  <w:pPr>
                    <w:pStyle w:val="27"/>
                    <w:spacing w:line="240" w:lineRule="auto"/>
                    <w:ind w:firstLine="0" w:firstLineChars="0"/>
                    <w:jc w:val="center"/>
                    <w:rPr>
                      <w:kern w:val="0"/>
                      <w:sz w:val="21"/>
                      <w:szCs w:val="21"/>
                    </w:rPr>
                  </w:pPr>
                  <w:r>
                    <w:rPr>
                      <w:rFonts w:hint="eastAsia"/>
                      <w:kern w:val="0"/>
                      <w:sz w:val="21"/>
                      <w:szCs w:val="21"/>
                    </w:rPr>
                    <w:t>55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93" w:type="dxa"/>
                </w:tcPr>
                <w:p>
                  <w:pPr>
                    <w:pStyle w:val="27"/>
                    <w:spacing w:line="240" w:lineRule="auto"/>
                    <w:ind w:firstLine="0" w:firstLineChars="0"/>
                    <w:jc w:val="center"/>
                    <w:rPr>
                      <w:kern w:val="0"/>
                      <w:sz w:val="21"/>
                      <w:szCs w:val="21"/>
                    </w:rPr>
                  </w:pPr>
                  <w:r>
                    <w:rPr>
                      <w:rFonts w:hint="eastAsia"/>
                      <w:kern w:val="0"/>
                      <w:sz w:val="21"/>
                      <w:szCs w:val="21"/>
                    </w:rPr>
                    <w:t>院区西厂界</w:t>
                  </w:r>
                </w:p>
              </w:tc>
              <w:tc>
                <w:tcPr>
                  <w:tcW w:w="876" w:type="dxa"/>
                  <w:vAlign w:val="center"/>
                </w:tcPr>
                <w:p>
                  <w:pPr>
                    <w:pStyle w:val="27"/>
                    <w:spacing w:line="240" w:lineRule="auto"/>
                    <w:ind w:firstLine="0" w:firstLineChars="0"/>
                    <w:jc w:val="center"/>
                    <w:rPr>
                      <w:kern w:val="0"/>
                      <w:sz w:val="21"/>
                      <w:szCs w:val="21"/>
                    </w:rPr>
                  </w:pPr>
                  <w:r>
                    <w:rPr>
                      <w:rFonts w:hint="eastAsia"/>
                      <w:kern w:val="0"/>
                      <w:sz w:val="21"/>
                      <w:szCs w:val="21"/>
                    </w:rPr>
                    <w:t>53</w:t>
                  </w:r>
                </w:p>
              </w:tc>
              <w:tc>
                <w:tcPr>
                  <w:tcW w:w="797" w:type="dxa"/>
                  <w:tcBorders>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47</w:t>
                  </w:r>
                </w:p>
              </w:tc>
              <w:tc>
                <w:tcPr>
                  <w:tcW w:w="959" w:type="dxa"/>
                  <w:tcBorders>
                    <w:left w:val="single" w:color="000000" w:sz="2" w:space="0"/>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54</w:t>
                  </w:r>
                </w:p>
              </w:tc>
              <w:tc>
                <w:tcPr>
                  <w:tcW w:w="962" w:type="dxa"/>
                  <w:tcBorders>
                    <w:left w:val="single" w:color="000000" w:sz="2" w:space="0"/>
                    <w:right w:val="single" w:color="auto" w:sz="4" w:space="0"/>
                  </w:tcBorders>
                  <w:vAlign w:val="center"/>
                </w:tcPr>
                <w:p>
                  <w:pPr>
                    <w:pStyle w:val="27"/>
                    <w:spacing w:line="240" w:lineRule="auto"/>
                    <w:ind w:firstLine="0" w:firstLineChars="0"/>
                    <w:jc w:val="center"/>
                    <w:rPr>
                      <w:kern w:val="0"/>
                      <w:sz w:val="21"/>
                      <w:szCs w:val="21"/>
                    </w:rPr>
                  </w:pPr>
                  <w:r>
                    <w:rPr>
                      <w:rFonts w:hint="eastAsia"/>
                      <w:kern w:val="0"/>
                      <w:sz w:val="21"/>
                      <w:szCs w:val="21"/>
                    </w:rPr>
                    <w:t>44</w:t>
                  </w:r>
                </w:p>
              </w:tc>
              <w:tc>
                <w:tcPr>
                  <w:tcW w:w="950"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kern w:val="0"/>
                      <w:sz w:val="21"/>
                      <w:szCs w:val="21"/>
                    </w:rPr>
                  </w:pPr>
                  <w:r>
                    <w:rPr>
                      <w:kern w:val="0"/>
                      <w:sz w:val="21"/>
                      <w:szCs w:val="21"/>
                    </w:rPr>
                    <w:t>60</w:t>
                  </w:r>
                </w:p>
              </w:tc>
              <w:tc>
                <w:tcPr>
                  <w:tcW w:w="961" w:type="dxa"/>
                  <w:tcBorders>
                    <w:top w:val="single" w:color="auto" w:sz="4" w:space="0"/>
                    <w:left w:val="single" w:color="auto" w:sz="4" w:space="0"/>
                    <w:bottom w:val="single" w:color="auto" w:sz="4" w:space="0"/>
                  </w:tcBorders>
                  <w:vAlign w:val="center"/>
                </w:tcPr>
                <w:p>
                  <w:pPr>
                    <w:pStyle w:val="27"/>
                    <w:spacing w:line="240" w:lineRule="auto"/>
                    <w:ind w:firstLine="0" w:firstLineChars="0"/>
                    <w:jc w:val="center"/>
                    <w:rPr>
                      <w:kern w:val="0"/>
                      <w:sz w:val="21"/>
                      <w:szCs w:val="21"/>
                    </w:rPr>
                  </w:pPr>
                  <w:r>
                    <w:rPr>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93" w:type="dxa"/>
                </w:tcPr>
                <w:p>
                  <w:pPr>
                    <w:pStyle w:val="27"/>
                    <w:spacing w:line="240" w:lineRule="auto"/>
                    <w:ind w:firstLine="0" w:firstLineChars="0"/>
                    <w:jc w:val="center"/>
                    <w:rPr>
                      <w:kern w:val="0"/>
                      <w:sz w:val="21"/>
                      <w:szCs w:val="21"/>
                    </w:rPr>
                  </w:pPr>
                  <w:r>
                    <w:rPr>
                      <w:rFonts w:hint="eastAsia"/>
                      <w:kern w:val="0"/>
                      <w:sz w:val="21"/>
                      <w:szCs w:val="21"/>
                    </w:rPr>
                    <w:t>院区北厂界</w:t>
                  </w:r>
                </w:p>
              </w:tc>
              <w:tc>
                <w:tcPr>
                  <w:tcW w:w="876" w:type="dxa"/>
                  <w:vAlign w:val="center"/>
                </w:tcPr>
                <w:p>
                  <w:pPr>
                    <w:pStyle w:val="27"/>
                    <w:spacing w:line="240" w:lineRule="auto"/>
                    <w:ind w:firstLine="0" w:firstLineChars="0"/>
                    <w:jc w:val="center"/>
                    <w:rPr>
                      <w:kern w:val="0"/>
                      <w:sz w:val="21"/>
                      <w:szCs w:val="21"/>
                    </w:rPr>
                  </w:pPr>
                  <w:r>
                    <w:rPr>
                      <w:rFonts w:hint="eastAsia"/>
                      <w:kern w:val="0"/>
                      <w:sz w:val="21"/>
                      <w:szCs w:val="21"/>
                    </w:rPr>
                    <w:t>53</w:t>
                  </w:r>
                </w:p>
              </w:tc>
              <w:tc>
                <w:tcPr>
                  <w:tcW w:w="797" w:type="dxa"/>
                  <w:tcBorders>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47</w:t>
                  </w:r>
                </w:p>
              </w:tc>
              <w:tc>
                <w:tcPr>
                  <w:tcW w:w="959" w:type="dxa"/>
                  <w:tcBorders>
                    <w:left w:val="single" w:color="000000" w:sz="2" w:space="0"/>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58</w:t>
                  </w:r>
                </w:p>
              </w:tc>
              <w:tc>
                <w:tcPr>
                  <w:tcW w:w="962" w:type="dxa"/>
                  <w:tcBorders>
                    <w:left w:val="single" w:color="000000" w:sz="2" w:space="0"/>
                    <w:bottom w:val="single" w:color="000000" w:sz="2" w:space="0"/>
                    <w:right w:val="single" w:color="auto" w:sz="4" w:space="0"/>
                  </w:tcBorders>
                  <w:vAlign w:val="center"/>
                </w:tcPr>
                <w:p>
                  <w:pPr>
                    <w:pStyle w:val="27"/>
                    <w:spacing w:line="240" w:lineRule="auto"/>
                    <w:ind w:firstLine="0" w:firstLineChars="0"/>
                    <w:jc w:val="center"/>
                    <w:rPr>
                      <w:kern w:val="0"/>
                      <w:sz w:val="21"/>
                      <w:szCs w:val="21"/>
                    </w:rPr>
                  </w:pPr>
                  <w:r>
                    <w:rPr>
                      <w:rFonts w:hint="eastAsia"/>
                      <w:kern w:val="0"/>
                      <w:sz w:val="21"/>
                      <w:szCs w:val="21"/>
                    </w:rPr>
                    <w:t>47</w:t>
                  </w:r>
                </w:p>
              </w:tc>
              <w:tc>
                <w:tcPr>
                  <w:tcW w:w="950"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kern w:val="0"/>
                      <w:sz w:val="21"/>
                      <w:szCs w:val="21"/>
                    </w:rPr>
                  </w:pPr>
                  <w:r>
                    <w:rPr>
                      <w:kern w:val="0"/>
                      <w:sz w:val="21"/>
                      <w:szCs w:val="21"/>
                    </w:rPr>
                    <w:t>60</w:t>
                  </w:r>
                </w:p>
              </w:tc>
              <w:tc>
                <w:tcPr>
                  <w:tcW w:w="961" w:type="dxa"/>
                  <w:tcBorders>
                    <w:top w:val="single" w:color="auto" w:sz="4" w:space="0"/>
                    <w:left w:val="single" w:color="auto" w:sz="4" w:space="0"/>
                    <w:bottom w:val="single" w:color="auto" w:sz="4" w:space="0"/>
                  </w:tcBorders>
                  <w:vAlign w:val="center"/>
                </w:tcPr>
                <w:p>
                  <w:pPr>
                    <w:pStyle w:val="27"/>
                    <w:spacing w:line="240" w:lineRule="auto"/>
                    <w:ind w:firstLine="0" w:firstLineChars="0"/>
                    <w:jc w:val="center"/>
                    <w:rPr>
                      <w:kern w:val="0"/>
                      <w:sz w:val="21"/>
                      <w:szCs w:val="21"/>
                    </w:rPr>
                  </w:pPr>
                  <w:r>
                    <w:rPr>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93" w:type="dxa"/>
                  <w:vAlign w:val="center"/>
                </w:tcPr>
                <w:p>
                  <w:pPr>
                    <w:pStyle w:val="27"/>
                    <w:spacing w:line="240" w:lineRule="auto"/>
                    <w:ind w:firstLine="0" w:firstLineChars="0"/>
                    <w:jc w:val="center"/>
                    <w:rPr>
                      <w:kern w:val="0"/>
                      <w:sz w:val="21"/>
                      <w:szCs w:val="21"/>
                    </w:rPr>
                  </w:pPr>
                  <w:r>
                    <w:rPr>
                      <w:rFonts w:hint="eastAsia"/>
                      <w:kern w:val="0"/>
                      <w:sz w:val="21"/>
                      <w:szCs w:val="21"/>
                    </w:rPr>
                    <w:t>最近</w:t>
                  </w:r>
                  <w:r>
                    <w:rPr>
                      <w:kern w:val="0"/>
                      <w:sz w:val="21"/>
                      <w:szCs w:val="21"/>
                    </w:rPr>
                    <w:t>居民</w:t>
                  </w:r>
                </w:p>
              </w:tc>
              <w:tc>
                <w:tcPr>
                  <w:tcW w:w="876" w:type="dxa"/>
                  <w:vAlign w:val="center"/>
                </w:tcPr>
                <w:p>
                  <w:pPr>
                    <w:pStyle w:val="27"/>
                    <w:spacing w:line="240" w:lineRule="auto"/>
                    <w:ind w:firstLine="0" w:firstLineChars="0"/>
                    <w:jc w:val="center"/>
                    <w:rPr>
                      <w:kern w:val="0"/>
                      <w:sz w:val="21"/>
                      <w:szCs w:val="21"/>
                    </w:rPr>
                  </w:pPr>
                  <w:r>
                    <w:rPr>
                      <w:rFonts w:hint="eastAsia"/>
                      <w:kern w:val="0"/>
                      <w:sz w:val="21"/>
                      <w:szCs w:val="21"/>
                    </w:rPr>
                    <w:t>55</w:t>
                  </w:r>
                </w:p>
              </w:tc>
              <w:tc>
                <w:tcPr>
                  <w:tcW w:w="797" w:type="dxa"/>
                  <w:tcBorders>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47</w:t>
                  </w:r>
                </w:p>
              </w:tc>
              <w:tc>
                <w:tcPr>
                  <w:tcW w:w="959" w:type="dxa"/>
                  <w:tcBorders>
                    <w:left w:val="single" w:color="000000" w:sz="2" w:space="0"/>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57</w:t>
                  </w:r>
                </w:p>
              </w:tc>
              <w:tc>
                <w:tcPr>
                  <w:tcW w:w="962" w:type="dxa"/>
                  <w:tcBorders>
                    <w:top w:val="single" w:color="000000" w:sz="2" w:space="0"/>
                    <w:lef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48</w:t>
                  </w:r>
                </w:p>
              </w:tc>
              <w:tc>
                <w:tcPr>
                  <w:tcW w:w="950" w:type="dxa"/>
                  <w:tcBorders>
                    <w:top w:val="single" w:color="auto" w:sz="4" w:space="0"/>
                    <w:right w:val="single" w:color="auto" w:sz="4" w:space="0"/>
                  </w:tcBorders>
                  <w:vAlign w:val="center"/>
                </w:tcPr>
                <w:p>
                  <w:pPr>
                    <w:pStyle w:val="27"/>
                    <w:spacing w:line="240" w:lineRule="auto"/>
                    <w:ind w:firstLine="0" w:firstLineChars="0"/>
                    <w:jc w:val="center"/>
                    <w:rPr>
                      <w:kern w:val="0"/>
                      <w:sz w:val="21"/>
                      <w:szCs w:val="21"/>
                    </w:rPr>
                  </w:pPr>
                  <w:r>
                    <w:rPr>
                      <w:kern w:val="0"/>
                      <w:sz w:val="21"/>
                      <w:szCs w:val="21"/>
                    </w:rPr>
                    <w:t>60</w:t>
                  </w:r>
                </w:p>
              </w:tc>
              <w:tc>
                <w:tcPr>
                  <w:tcW w:w="961" w:type="dxa"/>
                  <w:tcBorders>
                    <w:top w:val="single" w:color="auto" w:sz="4" w:space="0"/>
                    <w:left w:val="single" w:color="auto" w:sz="4" w:space="0"/>
                  </w:tcBorders>
                </w:tcPr>
                <w:p>
                  <w:pPr>
                    <w:pStyle w:val="27"/>
                    <w:spacing w:line="240" w:lineRule="auto"/>
                    <w:ind w:firstLine="0" w:firstLineChars="0"/>
                    <w:jc w:val="center"/>
                    <w:rPr>
                      <w:kern w:val="0"/>
                      <w:sz w:val="21"/>
                      <w:szCs w:val="21"/>
                    </w:rPr>
                  </w:pPr>
                  <w:r>
                    <w:rPr>
                      <w:kern w:val="0"/>
                      <w:sz w:val="21"/>
                      <w:szCs w:val="21"/>
                    </w:rPr>
                    <w:t>50</w:t>
                  </w:r>
                </w:p>
              </w:tc>
            </w:tr>
          </w:tbl>
          <w:p>
            <w:pPr>
              <w:pStyle w:val="4"/>
              <w:spacing w:after="0" w:line="360" w:lineRule="auto"/>
              <w:ind w:right="113" w:firstLine="480" w:firstLineChars="200"/>
              <w:rPr>
                <w:sz w:val="24"/>
              </w:rPr>
            </w:pPr>
          </w:p>
          <w:p>
            <w:pPr>
              <w:pStyle w:val="4"/>
              <w:spacing w:after="0" w:line="360" w:lineRule="auto"/>
              <w:ind w:right="113" w:firstLine="480" w:firstLineChars="200"/>
              <w:rPr>
                <w:sz w:val="24"/>
              </w:rPr>
            </w:pPr>
            <w:r>
              <w:rPr>
                <w:rFonts w:hint="eastAsia"/>
                <w:sz w:val="24"/>
              </w:rPr>
              <w:t>根据检测结果，医院南侧厂界噪声满足</w:t>
            </w:r>
            <w:r>
              <w:rPr>
                <w:sz w:val="24"/>
              </w:rPr>
              <w:t>《工业企业厂界环境噪声排放标准》（GB12348-2008）</w:t>
            </w:r>
            <w:r>
              <w:rPr>
                <w:rFonts w:hint="eastAsia"/>
                <w:sz w:val="24"/>
              </w:rPr>
              <w:t>4</w:t>
            </w:r>
            <w:r>
              <w:rPr>
                <w:sz w:val="24"/>
              </w:rPr>
              <w:t>类标准</w:t>
            </w:r>
            <w:r>
              <w:rPr>
                <w:rFonts w:hint="eastAsia"/>
                <w:sz w:val="24"/>
              </w:rPr>
              <w:t>，东、西、北侧厂界噪声满足</w:t>
            </w:r>
            <w:r>
              <w:rPr>
                <w:sz w:val="24"/>
              </w:rPr>
              <w:t>《工业企业厂界环境噪声排放标准》（GB12348-2008）</w:t>
            </w:r>
            <w:r>
              <w:rPr>
                <w:rFonts w:hint="eastAsia"/>
                <w:sz w:val="24"/>
              </w:rPr>
              <w:t>2</w:t>
            </w:r>
            <w:r>
              <w:rPr>
                <w:sz w:val="24"/>
              </w:rPr>
              <w:t>类标准</w:t>
            </w:r>
            <w:r>
              <w:rPr>
                <w:rFonts w:hint="eastAsia"/>
                <w:sz w:val="24"/>
              </w:rPr>
              <w:t>，最近居民点处声环境满足《声环境质量标准》（GB 3096-2008）表1中2类标准限值。</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4 \* GB3</w:instrText>
            </w:r>
            <w:r>
              <w:rPr>
                <w:sz w:val="24"/>
              </w:rPr>
              <w:instrText xml:space="preserve"> </w:instrText>
            </w:r>
            <w:r>
              <w:rPr>
                <w:sz w:val="24"/>
              </w:rPr>
              <w:fldChar w:fldCharType="separate"/>
            </w:r>
            <w:r>
              <w:rPr>
                <w:rFonts w:hint="eastAsia"/>
                <w:sz w:val="24"/>
              </w:rPr>
              <w:t>④</w:t>
            </w:r>
            <w:r>
              <w:rPr>
                <w:sz w:val="24"/>
              </w:rPr>
              <w:fldChar w:fldCharType="end"/>
            </w:r>
            <w:r>
              <w:rPr>
                <w:rFonts w:hint="eastAsia"/>
                <w:sz w:val="24"/>
              </w:rPr>
              <w:t>固体废物</w:t>
            </w:r>
          </w:p>
          <w:p>
            <w:pPr>
              <w:spacing w:line="360" w:lineRule="auto"/>
              <w:ind w:firstLine="480" w:firstLineChars="200"/>
              <w:rPr>
                <w:sz w:val="24"/>
              </w:rPr>
            </w:pPr>
            <w:r>
              <w:rPr>
                <w:rFonts w:hint="eastAsia"/>
                <w:sz w:val="24"/>
              </w:rPr>
              <w:t>医院运行过程中产生的生活垃圾收集后由环卫部门处置；废输液瓶（袋）、废包装物等一般医疗废物经集中收集暂存一般固废间后统一交由相关回收公司代为处理；医疗垃圾、废水处理站污泥属于医疗废物，暂存医疗废物暂存间（</w:t>
            </w:r>
            <w:r>
              <w:rPr>
                <w:sz w:val="24"/>
              </w:rPr>
              <w:t>10</w:t>
            </w:r>
            <w:r>
              <w:rPr>
                <w:rFonts w:hint="eastAsia"/>
                <w:sz w:val="24"/>
              </w:rPr>
              <w:t>m</w:t>
            </w:r>
            <w:r>
              <w:rPr>
                <w:rFonts w:hint="eastAsia"/>
                <w:sz w:val="24"/>
                <w:vertAlign w:val="superscript"/>
              </w:rPr>
              <w:t>2</w:t>
            </w:r>
            <w:r>
              <w:rPr>
                <w:rFonts w:hint="eastAsia"/>
                <w:sz w:val="24"/>
              </w:rPr>
              <w:t>），定期委托湖南荣森环保科技有限公司进行处理。</w:t>
            </w:r>
          </w:p>
          <w:p>
            <w:pPr>
              <w:spacing w:line="360" w:lineRule="auto"/>
              <w:ind w:firstLine="480" w:firstLineChars="200"/>
              <w:rPr>
                <w:sz w:val="24"/>
              </w:rPr>
            </w:pPr>
            <w:r>
              <w:rPr>
                <w:rFonts w:hint="eastAsia"/>
                <w:sz w:val="24"/>
              </w:rPr>
              <w:t>2、</w:t>
            </w:r>
            <w:r>
              <w:rPr>
                <w:sz w:val="24"/>
              </w:rPr>
              <w:t>现有工程存在的环境问题</w:t>
            </w:r>
            <w:r>
              <w:rPr>
                <w:rFonts w:hint="eastAsia"/>
                <w:sz w:val="24"/>
              </w:rPr>
              <w:t>及“以新带老”措施</w:t>
            </w:r>
          </w:p>
          <w:p>
            <w:pPr>
              <w:spacing w:line="360" w:lineRule="auto"/>
              <w:ind w:firstLine="480" w:firstLineChars="200"/>
              <w:rPr>
                <w:sz w:val="24"/>
              </w:rPr>
            </w:pPr>
            <w:r>
              <w:rPr>
                <w:rFonts w:hint="eastAsia"/>
                <w:sz w:val="24"/>
              </w:rPr>
              <w:t>根据现场踏勘，现有工程</w:t>
            </w:r>
            <w:r>
              <w:rPr>
                <w:sz w:val="24"/>
              </w:rPr>
              <w:t>存在的环境问题</w:t>
            </w:r>
            <w:r>
              <w:rPr>
                <w:rFonts w:hint="eastAsia"/>
                <w:sz w:val="24"/>
              </w:rPr>
              <w:t>及“以新带老”措施如下表所示：</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42" w:firstLineChars="200"/>
              <w:jc w:val="center"/>
              <w:rPr>
                <w:b/>
                <w:bCs/>
                <w:sz w:val="22"/>
                <w:szCs w:val="22"/>
                <w:u w:val="single"/>
              </w:rPr>
            </w:pPr>
            <w:r>
              <w:rPr>
                <w:rFonts w:hint="eastAsia"/>
                <w:b/>
                <w:bCs/>
                <w:sz w:val="22"/>
                <w:szCs w:val="22"/>
                <w:u w:val="single"/>
              </w:rPr>
              <w:t>表2-</w:t>
            </w:r>
            <w:r>
              <w:rPr>
                <w:b/>
                <w:bCs/>
                <w:sz w:val="22"/>
                <w:szCs w:val="22"/>
                <w:u w:val="single"/>
              </w:rPr>
              <w:t xml:space="preserve">9  </w:t>
            </w:r>
            <w:r>
              <w:rPr>
                <w:rFonts w:hint="eastAsia"/>
                <w:b/>
                <w:bCs/>
                <w:sz w:val="22"/>
                <w:szCs w:val="22"/>
                <w:u w:val="single"/>
              </w:rPr>
              <w:t xml:space="preserve">  现有项目主要污染、防治措施及整改建议一览表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64" w:type="dxa"/>
                <w:bottom w:w="0" w:type="dxa"/>
                <w:right w:w="51" w:type="dxa"/>
              </w:tblCellMar>
            </w:tblPr>
            <w:tblGrid>
              <w:gridCol w:w="798"/>
              <w:gridCol w:w="1124"/>
              <w:gridCol w:w="1423"/>
              <w:gridCol w:w="1571"/>
              <w:gridCol w:w="144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51" w:type="dxa"/>
                </w:tblCellMar>
              </w:tblPrEx>
              <w:trPr>
                <w:cantSplit/>
                <w:trHeight w:val="426" w:hRule="atLeast"/>
                <w:jc w:val="center"/>
              </w:trPr>
              <w:tc>
                <w:tcPr>
                  <w:tcW w:w="525" w:type="pct"/>
                  <w:tcBorders>
                    <w:tl2br w:val="nil"/>
                    <w:tr2bl w:val="nil"/>
                  </w:tcBorders>
                  <w:vAlign w:val="center"/>
                </w:tcPr>
                <w:p>
                  <w:pPr>
                    <w:pStyle w:val="29"/>
                    <w:rPr>
                      <w:szCs w:val="21"/>
                    </w:rPr>
                  </w:pPr>
                  <w:r>
                    <w:rPr>
                      <w:rFonts w:hint="eastAsia"/>
                      <w:szCs w:val="21"/>
                    </w:rPr>
                    <w:t>类型</w:t>
                  </w:r>
                </w:p>
              </w:tc>
              <w:tc>
                <w:tcPr>
                  <w:tcW w:w="739" w:type="pct"/>
                  <w:tcBorders>
                    <w:tl2br w:val="nil"/>
                    <w:tr2bl w:val="nil"/>
                  </w:tcBorders>
                  <w:vAlign w:val="center"/>
                </w:tcPr>
                <w:p>
                  <w:pPr>
                    <w:pStyle w:val="29"/>
                    <w:rPr>
                      <w:szCs w:val="21"/>
                    </w:rPr>
                  </w:pPr>
                  <w:r>
                    <w:rPr>
                      <w:rFonts w:hint="eastAsia"/>
                      <w:szCs w:val="21"/>
                    </w:rPr>
                    <w:t>建设内容</w:t>
                  </w:r>
                </w:p>
              </w:tc>
              <w:tc>
                <w:tcPr>
                  <w:tcW w:w="936" w:type="pct"/>
                  <w:tcBorders>
                    <w:tl2br w:val="nil"/>
                    <w:tr2bl w:val="nil"/>
                  </w:tcBorders>
                  <w:vAlign w:val="center"/>
                </w:tcPr>
                <w:p>
                  <w:pPr>
                    <w:pStyle w:val="29"/>
                    <w:rPr>
                      <w:szCs w:val="21"/>
                    </w:rPr>
                  </w:pPr>
                  <w:r>
                    <w:rPr>
                      <w:rFonts w:hint="eastAsia"/>
                      <w:szCs w:val="21"/>
                    </w:rPr>
                    <w:t>污染物名称</w:t>
                  </w:r>
                </w:p>
              </w:tc>
              <w:tc>
                <w:tcPr>
                  <w:tcW w:w="1033" w:type="pct"/>
                  <w:tcBorders>
                    <w:tl2br w:val="nil"/>
                    <w:tr2bl w:val="nil"/>
                  </w:tcBorders>
                  <w:vAlign w:val="center"/>
                </w:tcPr>
                <w:p>
                  <w:pPr>
                    <w:pStyle w:val="29"/>
                    <w:rPr>
                      <w:szCs w:val="21"/>
                    </w:rPr>
                  </w:pPr>
                  <w:r>
                    <w:rPr>
                      <w:rFonts w:hint="eastAsia"/>
                      <w:szCs w:val="21"/>
                    </w:rPr>
                    <w:t>已采取的防治措施</w:t>
                  </w:r>
                </w:p>
              </w:tc>
              <w:tc>
                <w:tcPr>
                  <w:tcW w:w="953" w:type="pct"/>
                  <w:tcBorders>
                    <w:tl2br w:val="nil"/>
                    <w:tr2bl w:val="nil"/>
                  </w:tcBorders>
                  <w:vAlign w:val="center"/>
                </w:tcPr>
                <w:p>
                  <w:pPr>
                    <w:pStyle w:val="29"/>
                    <w:rPr>
                      <w:szCs w:val="21"/>
                    </w:rPr>
                  </w:pPr>
                  <w:r>
                    <w:rPr>
                      <w:rFonts w:hint="eastAsia"/>
                      <w:szCs w:val="21"/>
                    </w:rPr>
                    <w:t>存在的环境问题</w:t>
                  </w:r>
                </w:p>
              </w:tc>
              <w:tc>
                <w:tcPr>
                  <w:tcW w:w="814" w:type="pct"/>
                  <w:tcBorders>
                    <w:tl2br w:val="nil"/>
                    <w:tr2bl w:val="nil"/>
                  </w:tcBorders>
                  <w:vAlign w:val="center"/>
                </w:tcPr>
                <w:p>
                  <w:pPr>
                    <w:pStyle w:val="29"/>
                    <w:rPr>
                      <w:szCs w:val="21"/>
                    </w:rPr>
                  </w:pPr>
                  <w:r>
                    <w:rPr>
                      <w:rFonts w:hint="eastAsia"/>
                      <w:szCs w:val="21"/>
                    </w:rPr>
                    <w:t>“以新带老”措施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51" w:type="dxa"/>
                </w:tblCellMar>
              </w:tblPrEx>
              <w:trPr>
                <w:cantSplit/>
                <w:trHeight w:val="426" w:hRule="atLeast"/>
                <w:jc w:val="center"/>
              </w:trPr>
              <w:tc>
                <w:tcPr>
                  <w:tcW w:w="525" w:type="pct"/>
                  <w:tcBorders>
                    <w:tl2br w:val="nil"/>
                    <w:tr2bl w:val="nil"/>
                  </w:tcBorders>
                  <w:vAlign w:val="center"/>
                </w:tcPr>
                <w:p>
                  <w:pPr>
                    <w:pStyle w:val="29"/>
                    <w:rPr>
                      <w:szCs w:val="21"/>
                    </w:rPr>
                  </w:pPr>
                  <w:r>
                    <w:rPr>
                      <w:rFonts w:hint="eastAsia"/>
                      <w:szCs w:val="21"/>
                    </w:rPr>
                    <w:t>废水</w:t>
                  </w:r>
                </w:p>
              </w:tc>
              <w:tc>
                <w:tcPr>
                  <w:tcW w:w="739" w:type="pct"/>
                  <w:tcBorders>
                    <w:tl2br w:val="nil"/>
                    <w:tr2bl w:val="nil"/>
                  </w:tcBorders>
                  <w:vAlign w:val="center"/>
                </w:tcPr>
                <w:p>
                  <w:pPr>
                    <w:pStyle w:val="29"/>
                    <w:rPr>
                      <w:szCs w:val="21"/>
                    </w:rPr>
                  </w:pPr>
                  <w:r>
                    <w:rPr>
                      <w:rFonts w:hint="eastAsia"/>
                      <w:szCs w:val="21"/>
                    </w:rPr>
                    <w:t>医疗废水、生活污水</w:t>
                  </w:r>
                </w:p>
              </w:tc>
              <w:tc>
                <w:tcPr>
                  <w:tcW w:w="936" w:type="pct"/>
                  <w:tcBorders>
                    <w:tl2br w:val="nil"/>
                    <w:tr2bl w:val="nil"/>
                  </w:tcBorders>
                  <w:vAlign w:val="center"/>
                </w:tcPr>
                <w:p>
                  <w:pPr>
                    <w:pStyle w:val="29"/>
                    <w:rPr>
                      <w:szCs w:val="21"/>
                    </w:rPr>
                  </w:pPr>
                  <w:r>
                    <w:rPr>
                      <w:rFonts w:hint="eastAsia"/>
                      <w:szCs w:val="21"/>
                    </w:rPr>
                    <w:t>阴离子表面活性剂、总余氯（以Cl计）、氨氮、粪大肠菌群、化学需氧量、动植物油、悬浮物、pH值、五日生化需氧量</w:t>
                  </w:r>
                </w:p>
              </w:tc>
              <w:tc>
                <w:tcPr>
                  <w:tcW w:w="1033" w:type="pct"/>
                  <w:tcBorders>
                    <w:tl2br w:val="nil"/>
                    <w:tr2bl w:val="nil"/>
                  </w:tcBorders>
                  <w:vAlign w:val="center"/>
                </w:tcPr>
                <w:p>
                  <w:pPr>
                    <w:pStyle w:val="29"/>
                    <w:rPr>
                      <w:szCs w:val="21"/>
                    </w:rPr>
                  </w:pPr>
                  <w:r>
                    <w:rPr>
                      <w:rFonts w:hint="eastAsia"/>
                      <w:szCs w:val="21"/>
                    </w:rPr>
                    <w:t>排入化粪池及污水处理设施处理后进入市政污水管网；污水处理设施设置标志标牌</w:t>
                  </w:r>
                </w:p>
              </w:tc>
              <w:tc>
                <w:tcPr>
                  <w:tcW w:w="953" w:type="pct"/>
                  <w:tcBorders>
                    <w:tl2br w:val="nil"/>
                    <w:tr2bl w:val="nil"/>
                  </w:tcBorders>
                  <w:vAlign w:val="center"/>
                </w:tcPr>
                <w:p>
                  <w:pPr>
                    <w:pStyle w:val="29"/>
                    <w:rPr>
                      <w:szCs w:val="21"/>
                    </w:rPr>
                  </w:pPr>
                  <w:r>
                    <w:rPr>
                      <w:rFonts w:hint="eastAsia"/>
                      <w:szCs w:val="21"/>
                    </w:rPr>
                    <w:t>污水排口未设置标示标牌；消毒池出口未设置采样口</w:t>
                  </w:r>
                </w:p>
              </w:tc>
              <w:tc>
                <w:tcPr>
                  <w:tcW w:w="814" w:type="pct"/>
                  <w:tcBorders>
                    <w:tl2br w:val="nil"/>
                    <w:tr2bl w:val="nil"/>
                  </w:tcBorders>
                  <w:vAlign w:val="center"/>
                </w:tcPr>
                <w:p>
                  <w:pPr>
                    <w:pStyle w:val="29"/>
                    <w:rPr>
                      <w:szCs w:val="21"/>
                    </w:rPr>
                  </w:pPr>
                  <w:r>
                    <w:rPr>
                      <w:rFonts w:hint="eastAsia"/>
                      <w:szCs w:val="21"/>
                    </w:rPr>
                    <w:t>污水排口设置标示标牌；消毒池出口设置采样口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51" w:type="dxa"/>
                </w:tblCellMar>
              </w:tblPrEx>
              <w:trPr>
                <w:cantSplit/>
                <w:trHeight w:val="426" w:hRule="atLeast"/>
                <w:jc w:val="center"/>
              </w:trPr>
              <w:tc>
                <w:tcPr>
                  <w:tcW w:w="525" w:type="pct"/>
                  <w:vMerge w:val="restart"/>
                  <w:tcBorders>
                    <w:tl2br w:val="nil"/>
                    <w:tr2bl w:val="nil"/>
                  </w:tcBorders>
                  <w:vAlign w:val="center"/>
                </w:tcPr>
                <w:p>
                  <w:pPr>
                    <w:pStyle w:val="29"/>
                    <w:rPr>
                      <w:szCs w:val="21"/>
                    </w:rPr>
                  </w:pPr>
                  <w:r>
                    <w:rPr>
                      <w:rFonts w:hint="eastAsia"/>
                      <w:szCs w:val="21"/>
                    </w:rPr>
                    <w:t>固废</w:t>
                  </w:r>
                </w:p>
              </w:tc>
              <w:tc>
                <w:tcPr>
                  <w:tcW w:w="739" w:type="pct"/>
                  <w:tcBorders>
                    <w:tl2br w:val="nil"/>
                    <w:tr2bl w:val="nil"/>
                  </w:tcBorders>
                  <w:vAlign w:val="center"/>
                </w:tcPr>
                <w:p>
                  <w:pPr>
                    <w:pStyle w:val="29"/>
                    <w:rPr>
                      <w:szCs w:val="21"/>
                    </w:rPr>
                  </w:pPr>
                  <w:r>
                    <w:rPr>
                      <w:rFonts w:hint="eastAsia"/>
                      <w:szCs w:val="21"/>
                    </w:rPr>
                    <w:t>医疗废物</w:t>
                  </w:r>
                </w:p>
              </w:tc>
              <w:tc>
                <w:tcPr>
                  <w:tcW w:w="936" w:type="pct"/>
                  <w:tcBorders>
                    <w:tl2br w:val="nil"/>
                    <w:tr2bl w:val="nil"/>
                  </w:tcBorders>
                  <w:vAlign w:val="center"/>
                </w:tcPr>
                <w:p>
                  <w:pPr>
                    <w:pStyle w:val="29"/>
                    <w:rPr>
                      <w:szCs w:val="21"/>
                    </w:rPr>
                  </w:pPr>
                  <w:r>
                    <w:rPr>
                      <w:szCs w:val="21"/>
                    </w:rPr>
                    <w:t>医疗垃圾</w:t>
                  </w:r>
                  <w:r>
                    <w:rPr>
                      <w:rFonts w:hint="eastAsia"/>
                      <w:szCs w:val="21"/>
                    </w:rPr>
                    <w:t>、化验废液、</w:t>
                  </w:r>
                  <w:r>
                    <w:rPr>
                      <w:bCs/>
                      <w:szCs w:val="21"/>
                    </w:rPr>
                    <w:t>化验废弃手套、口罩和化验器皿</w:t>
                  </w:r>
                  <w:r>
                    <w:rPr>
                      <w:rFonts w:hint="eastAsia"/>
                      <w:bCs/>
                      <w:szCs w:val="21"/>
                    </w:rPr>
                    <w:t>、</w:t>
                  </w:r>
                  <w:r>
                    <w:rPr>
                      <w:rFonts w:hint="eastAsia"/>
                      <w:szCs w:val="21"/>
                    </w:rPr>
                    <w:t>废水处理站污泥</w:t>
                  </w:r>
                </w:p>
              </w:tc>
              <w:tc>
                <w:tcPr>
                  <w:tcW w:w="1033" w:type="pct"/>
                  <w:tcBorders>
                    <w:tl2br w:val="nil"/>
                    <w:tr2bl w:val="nil"/>
                  </w:tcBorders>
                  <w:vAlign w:val="center"/>
                </w:tcPr>
                <w:p>
                  <w:pPr>
                    <w:pStyle w:val="29"/>
                    <w:rPr>
                      <w:szCs w:val="21"/>
                    </w:rPr>
                  </w:pPr>
                  <w:r>
                    <w:rPr>
                      <w:rFonts w:hint="eastAsia"/>
                      <w:szCs w:val="21"/>
                    </w:rPr>
                    <w:t>委托具有医疗废物处理资质的单位收集、处置。设置有医疗废物间，地面已进行硬化处理，标识标牌清晰。已签订危险废物处置协议</w:t>
                  </w:r>
                </w:p>
              </w:tc>
              <w:tc>
                <w:tcPr>
                  <w:tcW w:w="953" w:type="pct"/>
                  <w:tcBorders>
                    <w:tl2br w:val="nil"/>
                    <w:tr2bl w:val="nil"/>
                  </w:tcBorders>
                  <w:vAlign w:val="center"/>
                </w:tcPr>
                <w:p>
                  <w:pPr>
                    <w:pStyle w:val="29"/>
                    <w:rPr>
                      <w:szCs w:val="21"/>
                    </w:rPr>
                  </w:pPr>
                  <w:r>
                    <w:rPr>
                      <w:rFonts w:hint="eastAsia"/>
                      <w:szCs w:val="21"/>
                    </w:rPr>
                    <w:t>危废间内未将不同的医疗废物进行分区，医疗废物转移台账记录不规范</w:t>
                  </w:r>
                </w:p>
              </w:tc>
              <w:tc>
                <w:tcPr>
                  <w:tcW w:w="814" w:type="pct"/>
                  <w:tcBorders>
                    <w:tl2br w:val="nil"/>
                    <w:tr2bl w:val="nil"/>
                  </w:tcBorders>
                  <w:vAlign w:val="center"/>
                </w:tcPr>
                <w:p>
                  <w:pPr>
                    <w:pStyle w:val="29"/>
                    <w:rPr>
                      <w:szCs w:val="21"/>
                    </w:rPr>
                  </w:pPr>
                  <w:r>
                    <w:rPr>
                      <w:rFonts w:hint="eastAsia"/>
                      <w:szCs w:val="21"/>
                    </w:rPr>
                    <w:t>医疗废物应分区域、分类别、专桶专用摆放暂存，台账规范记录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64" w:type="dxa"/>
                  <w:bottom w:w="0" w:type="dxa"/>
                  <w:right w:w="51" w:type="dxa"/>
                </w:tblCellMar>
              </w:tblPrEx>
              <w:trPr>
                <w:cantSplit/>
                <w:trHeight w:val="426" w:hRule="atLeast"/>
                <w:jc w:val="center"/>
              </w:trPr>
              <w:tc>
                <w:tcPr>
                  <w:tcW w:w="525" w:type="pct"/>
                  <w:vMerge w:val="continue"/>
                  <w:tcBorders>
                    <w:tl2br w:val="nil"/>
                    <w:tr2bl w:val="nil"/>
                  </w:tcBorders>
                  <w:vAlign w:val="center"/>
                </w:tcPr>
                <w:p>
                  <w:pPr>
                    <w:pStyle w:val="29"/>
                    <w:rPr>
                      <w:szCs w:val="21"/>
                    </w:rPr>
                  </w:pPr>
                </w:p>
              </w:tc>
              <w:tc>
                <w:tcPr>
                  <w:tcW w:w="739" w:type="pct"/>
                  <w:tcBorders>
                    <w:tl2br w:val="nil"/>
                    <w:tr2bl w:val="nil"/>
                  </w:tcBorders>
                  <w:vAlign w:val="center"/>
                </w:tcPr>
                <w:p>
                  <w:pPr>
                    <w:pStyle w:val="29"/>
                    <w:rPr>
                      <w:szCs w:val="21"/>
                    </w:rPr>
                  </w:pPr>
                  <w:r>
                    <w:rPr>
                      <w:rFonts w:hint="eastAsia"/>
                      <w:szCs w:val="21"/>
                    </w:rPr>
                    <w:t>一般固废</w:t>
                  </w:r>
                </w:p>
              </w:tc>
              <w:tc>
                <w:tcPr>
                  <w:tcW w:w="936" w:type="pct"/>
                  <w:tcBorders>
                    <w:tl2br w:val="nil"/>
                    <w:tr2bl w:val="nil"/>
                  </w:tcBorders>
                  <w:vAlign w:val="center"/>
                </w:tcPr>
                <w:p>
                  <w:pPr>
                    <w:pStyle w:val="29"/>
                    <w:rPr>
                      <w:szCs w:val="21"/>
                    </w:rPr>
                  </w:pPr>
                  <w:r>
                    <w:rPr>
                      <w:rFonts w:hint="eastAsia"/>
                      <w:szCs w:val="21"/>
                    </w:rPr>
                    <w:t>废输液瓶（袋）、废包装物等</w:t>
                  </w:r>
                </w:p>
              </w:tc>
              <w:tc>
                <w:tcPr>
                  <w:tcW w:w="1033" w:type="pct"/>
                  <w:tcBorders>
                    <w:tl2br w:val="nil"/>
                    <w:tr2bl w:val="nil"/>
                  </w:tcBorders>
                  <w:vAlign w:val="center"/>
                </w:tcPr>
                <w:p>
                  <w:pPr>
                    <w:pStyle w:val="29"/>
                    <w:rPr>
                      <w:szCs w:val="21"/>
                    </w:rPr>
                  </w:pPr>
                  <w:r>
                    <w:rPr>
                      <w:rFonts w:hint="eastAsia"/>
                      <w:szCs w:val="21"/>
                    </w:rPr>
                    <w:t>一般医疗废物</w:t>
                  </w:r>
                  <w:r>
                    <w:rPr>
                      <w:szCs w:val="21"/>
                    </w:rPr>
                    <w:t>经集中收集</w:t>
                  </w:r>
                  <w:r>
                    <w:rPr>
                      <w:rFonts w:hint="eastAsia"/>
                      <w:szCs w:val="21"/>
                    </w:rPr>
                    <w:t>暂存一般固废间</w:t>
                  </w:r>
                  <w:r>
                    <w:rPr>
                      <w:szCs w:val="21"/>
                    </w:rPr>
                    <w:t>后统一交由相关回收公司代为处理</w:t>
                  </w:r>
                </w:p>
              </w:tc>
              <w:tc>
                <w:tcPr>
                  <w:tcW w:w="953" w:type="pct"/>
                  <w:tcBorders>
                    <w:tl2br w:val="nil"/>
                    <w:tr2bl w:val="nil"/>
                  </w:tcBorders>
                  <w:vAlign w:val="center"/>
                </w:tcPr>
                <w:p>
                  <w:pPr>
                    <w:pStyle w:val="29"/>
                    <w:rPr>
                      <w:szCs w:val="21"/>
                    </w:rPr>
                  </w:pPr>
                  <w:r>
                    <w:rPr>
                      <w:rFonts w:hint="eastAsia"/>
                      <w:szCs w:val="21"/>
                    </w:rPr>
                    <w:t>不完全符合，未设置相应的标示标牌</w:t>
                  </w:r>
                </w:p>
              </w:tc>
              <w:tc>
                <w:tcPr>
                  <w:tcW w:w="814" w:type="pct"/>
                  <w:tcBorders>
                    <w:tl2br w:val="nil"/>
                    <w:tr2bl w:val="nil"/>
                  </w:tcBorders>
                  <w:vAlign w:val="center"/>
                </w:tcPr>
                <w:p>
                  <w:pPr>
                    <w:pStyle w:val="29"/>
                    <w:rPr>
                      <w:szCs w:val="21"/>
                    </w:rPr>
                  </w:pPr>
                  <w:r>
                    <w:rPr>
                      <w:rFonts w:hint="eastAsia"/>
                      <w:szCs w:val="21"/>
                    </w:rPr>
                    <w:t>设置标识标牌</w:t>
                  </w:r>
                </w:p>
              </w:tc>
            </w:tr>
          </w:tbl>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tc>
      </w:tr>
    </w:tbl>
    <w:p>
      <w:pPr>
        <w:pStyle w:val="9"/>
        <w:ind w:firstLine="600"/>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76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57" w:type="dxa"/>
            <w:tcBorders>
              <w:top w:val="single" w:color="auto" w:sz="8" w:space="0"/>
              <w:left w:val="single" w:color="auto" w:sz="8" w:space="0"/>
              <w:bottom w:val="single" w:color="auto" w:sz="4" w:space="0"/>
              <w:right w:val="single" w:color="auto" w:sz="4" w:space="0"/>
            </w:tcBorders>
            <w:vAlign w:val="center"/>
          </w:tcPr>
          <w:p>
            <w:pPr>
              <w:adjustRightInd w:val="0"/>
              <w:snapToGrid w:val="0"/>
              <w:jc w:val="center"/>
              <w:rPr>
                <w:kern w:val="0"/>
                <w:sz w:val="24"/>
              </w:rPr>
            </w:pPr>
            <w:r>
              <w:rPr>
                <w:rFonts w:hint="eastAsia"/>
                <w:kern w:val="0"/>
                <w:sz w:val="24"/>
              </w:rPr>
              <w:t>区域</w:t>
            </w:r>
          </w:p>
          <w:p>
            <w:pPr>
              <w:adjustRightInd w:val="0"/>
              <w:snapToGrid w:val="0"/>
              <w:jc w:val="center"/>
              <w:rPr>
                <w:kern w:val="0"/>
                <w:sz w:val="24"/>
              </w:rPr>
            </w:pPr>
            <w:r>
              <w:rPr>
                <w:rFonts w:hint="eastAsia"/>
                <w:kern w:val="0"/>
                <w:sz w:val="24"/>
              </w:rPr>
              <w:t>环境</w:t>
            </w:r>
          </w:p>
          <w:p>
            <w:pPr>
              <w:adjustRightInd w:val="0"/>
              <w:snapToGrid w:val="0"/>
              <w:jc w:val="center"/>
              <w:rPr>
                <w:kern w:val="0"/>
                <w:sz w:val="24"/>
              </w:rPr>
            </w:pPr>
            <w:r>
              <w:rPr>
                <w:rFonts w:hint="eastAsia"/>
                <w:kern w:val="0"/>
                <w:sz w:val="24"/>
              </w:rPr>
              <w:t>质量</w:t>
            </w:r>
          </w:p>
          <w:p>
            <w:pPr>
              <w:adjustRightInd w:val="0"/>
              <w:snapToGrid w:val="0"/>
              <w:jc w:val="center"/>
              <w:rPr>
                <w:kern w:val="0"/>
                <w:sz w:val="24"/>
              </w:rPr>
            </w:pPr>
            <w:r>
              <w:rPr>
                <w:rFonts w:hint="eastAsia"/>
                <w:kern w:val="0"/>
                <w:sz w:val="24"/>
              </w:rPr>
              <w:t>现状</w:t>
            </w:r>
          </w:p>
        </w:tc>
        <w:tc>
          <w:tcPr>
            <w:tcW w:w="7629" w:type="dxa"/>
            <w:tcBorders>
              <w:top w:val="single" w:color="auto" w:sz="8" w:space="0"/>
              <w:left w:val="single" w:color="auto" w:sz="4" w:space="0"/>
              <w:bottom w:val="single" w:color="auto" w:sz="4" w:space="0"/>
              <w:right w:val="single" w:color="auto" w:sz="8" w:space="0"/>
            </w:tcBorders>
            <w:vAlign w:val="center"/>
          </w:tcPr>
          <w:p>
            <w:pPr>
              <w:adjustRightInd w:val="0"/>
              <w:snapToGrid w:val="0"/>
              <w:spacing w:line="360" w:lineRule="auto"/>
              <w:jc w:val="left"/>
              <w:rPr>
                <w:b/>
                <w:bCs/>
                <w:sz w:val="24"/>
              </w:rPr>
            </w:pPr>
            <w:r>
              <w:rPr>
                <w:rFonts w:hint="eastAsia"/>
                <w:b/>
                <w:bCs/>
                <w:sz w:val="24"/>
              </w:rPr>
              <w:t>一、环境空气质量</w:t>
            </w:r>
          </w:p>
          <w:p>
            <w:pPr>
              <w:spacing w:line="360" w:lineRule="auto"/>
              <w:ind w:firstLine="480" w:firstLineChars="200"/>
              <w:rPr>
                <w:sz w:val="24"/>
              </w:rPr>
            </w:pPr>
            <w:r>
              <w:rPr>
                <w:rFonts w:hint="eastAsia"/>
                <w:sz w:val="24"/>
              </w:rPr>
              <w:t>1、基本因子</w:t>
            </w:r>
          </w:p>
          <w:p>
            <w:pPr>
              <w:spacing w:line="360" w:lineRule="auto"/>
              <w:ind w:firstLine="480" w:firstLineChars="200"/>
              <w:rPr>
                <w:sz w:val="24"/>
              </w:rPr>
            </w:pPr>
            <w:r>
              <w:rPr>
                <w:rFonts w:hint="eastAsia"/>
                <w:sz w:val="24"/>
              </w:rPr>
              <w:t>根据《环境影响评价技术导则 大气环境》(HJ2.2-2018)第6.2.1.1条规定：项目所在区域达标判定，优先采用国家或地方生态环境主管部门公开发布的评价基准年环境质量公告或环境质量报告中的数据或结论，并能满足项目评价要求的，可不再进行现状监测。</w:t>
            </w:r>
          </w:p>
          <w:p>
            <w:pPr>
              <w:spacing w:line="360" w:lineRule="auto"/>
              <w:ind w:firstLine="480" w:firstLineChars="200"/>
              <w:rPr>
                <w:sz w:val="24"/>
              </w:rPr>
            </w:pPr>
            <w:r>
              <w:rPr>
                <w:rFonts w:hint="eastAsia"/>
                <w:sz w:val="24"/>
              </w:rPr>
              <w:t>大气环境质量现状，本次环评引用《常德市生态环境局关于2023年12月全市环境质量状况的通报》中附件4“2023年1～12 月常德市环境空气质量状况”，其中澧县市环境空气监测数据及达标情况如下表所示。</w:t>
            </w:r>
          </w:p>
          <w:p>
            <w:pPr>
              <w:spacing w:line="360" w:lineRule="auto"/>
              <w:ind w:firstLine="442" w:firstLineChars="200"/>
              <w:jc w:val="center"/>
              <w:rPr>
                <w:b/>
                <w:bCs/>
                <w:sz w:val="22"/>
              </w:rPr>
            </w:pPr>
            <w:r>
              <w:rPr>
                <w:rFonts w:hint="eastAsia"/>
                <w:b/>
                <w:bCs/>
                <w:sz w:val="22"/>
              </w:rPr>
              <w:t>表</w:t>
            </w:r>
            <w:r>
              <w:rPr>
                <w:b/>
                <w:bCs/>
                <w:sz w:val="22"/>
              </w:rPr>
              <w:t xml:space="preserve">3-1    </w:t>
            </w:r>
            <w:r>
              <w:rPr>
                <w:rFonts w:hint="eastAsia"/>
                <w:b/>
                <w:bCs/>
                <w:sz w:val="22"/>
              </w:rPr>
              <w:t>环境空气现状监测结果及评价</w:t>
            </w:r>
          </w:p>
          <w:tbl>
            <w:tblPr>
              <w:tblStyle w:val="13"/>
              <w:tblW w:w="4996" w:type="pct"/>
              <w:tblInd w:w="13"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060"/>
              <w:gridCol w:w="2126"/>
              <w:gridCol w:w="1083"/>
              <w:gridCol w:w="945"/>
              <w:gridCol w:w="1178"/>
              <w:gridCol w:w="101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11" w:type="dxa"/>
                  <w:tcBorders>
                    <w:top w:val="single" w:color="auto" w:sz="2" w:space="0"/>
                    <w:left w:val="single" w:color="auto" w:sz="2" w:space="0"/>
                    <w:bottom w:val="single" w:color="auto" w:sz="6" w:space="0"/>
                    <w:right w:val="single" w:color="auto" w:sz="6" w:space="0"/>
                  </w:tcBorders>
                  <w:vAlign w:val="center"/>
                </w:tcPr>
                <w:p>
                  <w:pPr>
                    <w:pStyle w:val="30"/>
                    <w:ind w:firstLine="0"/>
                    <w:jc w:val="center"/>
                    <w:rPr>
                      <w:rFonts w:eastAsia="宋体"/>
                      <w:b/>
                      <w:bCs/>
                      <w:color w:val="000000"/>
                      <w:kern w:val="2"/>
                      <w:sz w:val="21"/>
                      <w:szCs w:val="21"/>
                    </w:rPr>
                  </w:pPr>
                  <w:r>
                    <w:rPr>
                      <w:rFonts w:hint="eastAsia" w:ascii="宋体" w:hAnsi="宋体" w:eastAsia="宋体"/>
                      <w:b/>
                      <w:bCs/>
                      <w:color w:val="000000"/>
                      <w:kern w:val="2"/>
                      <w:sz w:val="21"/>
                      <w:szCs w:val="21"/>
                    </w:rPr>
                    <w:t>污染物</w:t>
                  </w:r>
                </w:p>
              </w:tc>
              <w:tc>
                <w:tcPr>
                  <w:tcW w:w="2358" w:type="dxa"/>
                  <w:tcBorders>
                    <w:top w:val="single" w:color="auto" w:sz="2" w:space="0"/>
                    <w:left w:val="single" w:color="auto" w:sz="6" w:space="0"/>
                    <w:bottom w:val="single" w:color="auto" w:sz="6" w:space="0"/>
                    <w:right w:val="single" w:color="auto" w:sz="6" w:space="0"/>
                  </w:tcBorders>
                  <w:vAlign w:val="center"/>
                </w:tcPr>
                <w:p>
                  <w:pPr>
                    <w:pStyle w:val="30"/>
                    <w:ind w:firstLine="0"/>
                    <w:jc w:val="center"/>
                    <w:rPr>
                      <w:rFonts w:eastAsia="宋体"/>
                      <w:b/>
                      <w:bCs/>
                      <w:color w:val="000000"/>
                      <w:kern w:val="2"/>
                      <w:sz w:val="21"/>
                      <w:szCs w:val="21"/>
                    </w:rPr>
                  </w:pPr>
                  <w:r>
                    <w:rPr>
                      <w:rFonts w:hint="eastAsia" w:ascii="宋体" w:hAnsi="宋体" w:eastAsia="宋体"/>
                      <w:b/>
                      <w:bCs/>
                      <w:color w:val="000000"/>
                      <w:kern w:val="2"/>
                      <w:sz w:val="21"/>
                      <w:szCs w:val="21"/>
                    </w:rPr>
                    <w:t>年评价指标</w:t>
                  </w:r>
                </w:p>
              </w:tc>
              <w:tc>
                <w:tcPr>
                  <w:tcW w:w="1158" w:type="dxa"/>
                  <w:tcBorders>
                    <w:top w:val="single" w:color="auto" w:sz="2" w:space="0"/>
                    <w:left w:val="single" w:color="auto" w:sz="6" w:space="0"/>
                    <w:bottom w:val="single" w:color="auto" w:sz="6" w:space="0"/>
                    <w:right w:val="single" w:color="auto" w:sz="6" w:space="0"/>
                  </w:tcBorders>
                  <w:vAlign w:val="center"/>
                </w:tcPr>
                <w:p>
                  <w:pPr>
                    <w:pStyle w:val="30"/>
                    <w:ind w:firstLine="0"/>
                    <w:jc w:val="center"/>
                    <w:rPr>
                      <w:rFonts w:eastAsia="宋体"/>
                      <w:b/>
                      <w:bCs/>
                      <w:color w:val="000000"/>
                      <w:kern w:val="2"/>
                      <w:sz w:val="21"/>
                      <w:szCs w:val="21"/>
                    </w:rPr>
                  </w:pPr>
                  <w:r>
                    <w:rPr>
                      <w:rFonts w:hint="eastAsia" w:ascii="宋体" w:hAnsi="宋体" w:eastAsia="宋体"/>
                      <w:b/>
                      <w:bCs/>
                      <w:color w:val="000000"/>
                      <w:kern w:val="2"/>
                      <w:sz w:val="21"/>
                      <w:szCs w:val="21"/>
                    </w:rPr>
                    <w:t>现状浓度</w:t>
                  </w:r>
                </w:p>
              </w:tc>
              <w:tc>
                <w:tcPr>
                  <w:tcW w:w="1002" w:type="dxa"/>
                  <w:tcBorders>
                    <w:top w:val="single" w:color="auto" w:sz="2" w:space="0"/>
                    <w:left w:val="single" w:color="auto" w:sz="6" w:space="0"/>
                    <w:bottom w:val="single" w:color="auto" w:sz="6" w:space="0"/>
                    <w:right w:val="single" w:color="auto" w:sz="6" w:space="0"/>
                  </w:tcBorders>
                  <w:vAlign w:val="center"/>
                </w:tcPr>
                <w:p>
                  <w:pPr>
                    <w:pStyle w:val="30"/>
                    <w:ind w:firstLine="0"/>
                    <w:jc w:val="center"/>
                    <w:rPr>
                      <w:rFonts w:eastAsia="宋体"/>
                      <w:b/>
                      <w:bCs/>
                      <w:color w:val="000000"/>
                      <w:kern w:val="2"/>
                      <w:sz w:val="21"/>
                      <w:szCs w:val="21"/>
                    </w:rPr>
                  </w:pPr>
                  <w:r>
                    <w:rPr>
                      <w:rFonts w:hint="eastAsia" w:ascii="宋体" w:hAnsi="宋体" w:eastAsia="宋体"/>
                      <w:b/>
                      <w:bCs/>
                      <w:color w:val="000000"/>
                      <w:kern w:val="2"/>
                      <w:sz w:val="21"/>
                      <w:szCs w:val="21"/>
                    </w:rPr>
                    <w:t>标准值</w:t>
                  </w:r>
                </w:p>
              </w:tc>
              <w:tc>
                <w:tcPr>
                  <w:tcW w:w="1245" w:type="dxa"/>
                  <w:tcBorders>
                    <w:top w:val="single" w:color="auto" w:sz="2" w:space="0"/>
                    <w:left w:val="single" w:color="auto" w:sz="6" w:space="0"/>
                    <w:bottom w:val="single" w:color="auto" w:sz="6" w:space="0"/>
                    <w:right w:val="single" w:color="auto" w:sz="6" w:space="0"/>
                  </w:tcBorders>
                  <w:vAlign w:val="center"/>
                </w:tcPr>
                <w:p>
                  <w:pPr>
                    <w:pStyle w:val="30"/>
                    <w:ind w:firstLine="0"/>
                    <w:jc w:val="center"/>
                    <w:rPr>
                      <w:rFonts w:eastAsia="宋体"/>
                      <w:b/>
                      <w:bCs/>
                      <w:color w:val="000000"/>
                      <w:kern w:val="2"/>
                      <w:sz w:val="21"/>
                      <w:szCs w:val="21"/>
                    </w:rPr>
                  </w:pPr>
                  <w:r>
                    <w:rPr>
                      <w:rFonts w:hint="eastAsia" w:ascii="宋体" w:hAnsi="宋体" w:eastAsia="宋体"/>
                      <w:b/>
                      <w:bCs/>
                      <w:color w:val="000000"/>
                      <w:kern w:val="2"/>
                      <w:sz w:val="21"/>
                      <w:szCs w:val="21"/>
                    </w:rPr>
                    <w:t>占标率</w:t>
                  </w:r>
                  <w:r>
                    <w:rPr>
                      <w:rFonts w:hint="eastAsia" w:eastAsia="宋体"/>
                      <w:b/>
                      <w:bCs/>
                      <w:color w:val="000000"/>
                      <w:kern w:val="2"/>
                      <w:sz w:val="21"/>
                      <w:szCs w:val="21"/>
                    </w:rPr>
                    <w:t>/%</w:t>
                  </w:r>
                </w:p>
              </w:tc>
              <w:tc>
                <w:tcPr>
                  <w:tcW w:w="1088" w:type="dxa"/>
                  <w:tcBorders>
                    <w:top w:val="single" w:color="auto" w:sz="2" w:space="0"/>
                    <w:left w:val="single" w:color="auto" w:sz="6" w:space="0"/>
                    <w:bottom w:val="single" w:color="auto" w:sz="6" w:space="0"/>
                    <w:right w:val="single" w:color="auto" w:sz="2" w:space="0"/>
                  </w:tcBorders>
                  <w:vAlign w:val="center"/>
                </w:tcPr>
                <w:p>
                  <w:pPr>
                    <w:pStyle w:val="30"/>
                    <w:ind w:firstLine="0"/>
                    <w:jc w:val="center"/>
                    <w:rPr>
                      <w:rFonts w:ascii="宋体" w:hAnsi="宋体" w:eastAsia="宋体"/>
                      <w:b/>
                      <w:bCs/>
                      <w:color w:val="000000"/>
                      <w:kern w:val="2"/>
                      <w:sz w:val="21"/>
                      <w:szCs w:val="21"/>
                    </w:rPr>
                  </w:pPr>
                  <w:r>
                    <w:rPr>
                      <w:rFonts w:hint="eastAsia" w:ascii="宋体" w:hAnsi="宋体" w:eastAsia="宋体"/>
                      <w:b/>
                      <w:bCs/>
                      <w:color w:val="000000"/>
                      <w:kern w:val="2"/>
                      <w:sz w:val="21"/>
                      <w:szCs w:val="21"/>
                    </w:rPr>
                    <w:t>达标</w:t>
                  </w:r>
                </w:p>
                <w:p>
                  <w:pPr>
                    <w:pStyle w:val="30"/>
                    <w:ind w:firstLine="0"/>
                    <w:jc w:val="center"/>
                    <w:rPr>
                      <w:rFonts w:eastAsia="宋体"/>
                      <w:b/>
                      <w:bCs/>
                      <w:color w:val="000000"/>
                      <w:kern w:val="2"/>
                      <w:sz w:val="21"/>
                      <w:szCs w:val="21"/>
                    </w:rPr>
                  </w:pPr>
                  <w:r>
                    <w:rPr>
                      <w:rFonts w:hint="eastAsia" w:ascii="宋体" w:hAnsi="宋体" w:eastAsia="宋体"/>
                      <w:b/>
                      <w:bCs/>
                      <w:color w:val="000000"/>
                      <w:kern w:val="2"/>
                      <w:sz w:val="21"/>
                      <w:szCs w:val="21"/>
                    </w:rPr>
                    <w:t>情况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11" w:type="dxa"/>
                  <w:tcBorders>
                    <w:top w:val="single" w:color="auto" w:sz="6" w:space="0"/>
                    <w:left w:val="single" w:color="auto" w:sz="2"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PM</w:t>
                  </w:r>
                  <w:r>
                    <w:rPr>
                      <w:rFonts w:hint="eastAsia" w:eastAsia="宋体"/>
                      <w:color w:val="000000"/>
                      <w:kern w:val="2"/>
                      <w:sz w:val="21"/>
                      <w:szCs w:val="21"/>
                      <w:vertAlign w:val="subscript"/>
                    </w:rPr>
                    <w:t>2.5</w:t>
                  </w:r>
                </w:p>
              </w:tc>
              <w:tc>
                <w:tcPr>
                  <w:tcW w:w="2358"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ascii="宋体" w:hAnsi="宋体" w:eastAsia="宋体"/>
                      <w:color w:val="000000"/>
                      <w:kern w:val="2"/>
                      <w:sz w:val="21"/>
                      <w:szCs w:val="21"/>
                    </w:rPr>
                  </w:pPr>
                  <w:r>
                    <w:rPr>
                      <w:rFonts w:hint="eastAsia" w:ascii="宋体" w:hAnsi="宋体" w:eastAsia="宋体"/>
                      <w:color w:val="000000"/>
                      <w:sz w:val="21"/>
                      <w:szCs w:val="21"/>
                    </w:rPr>
                    <w:t>年平均质量浓度</w:t>
                  </w:r>
                </w:p>
              </w:tc>
              <w:tc>
                <w:tcPr>
                  <w:tcW w:w="1158"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34</w:t>
                  </w:r>
                </w:p>
              </w:tc>
              <w:tc>
                <w:tcPr>
                  <w:tcW w:w="1002"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35</w:t>
                  </w:r>
                </w:p>
              </w:tc>
              <w:tc>
                <w:tcPr>
                  <w:tcW w:w="1245"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97.14</w:t>
                  </w:r>
                </w:p>
              </w:tc>
              <w:tc>
                <w:tcPr>
                  <w:tcW w:w="1088" w:type="dxa"/>
                  <w:tcBorders>
                    <w:top w:val="single" w:color="auto" w:sz="6" w:space="0"/>
                    <w:left w:val="single" w:color="auto" w:sz="6" w:space="0"/>
                    <w:bottom w:val="single" w:color="auto" w:sz="6" w:space="0"/>
                    <w:right w:val="single" w:color="auto" w:sz="2" w:space="0"/>
                  </w:tcBorders>
                  <w:vAlign w:val="center"/>
                </w:tcPr>
                <w:p>
                  <w:pPr>
                    <w:pStyle w:val="30"/>
                    <w:ind w:firstLine="0"/>
                    <w:jc w:val="center"/>
                    <w:rPr>
                      <w:rFonts w:eastAsia="宋体"/>
                      <w:color w:val="000000"/>
                      <w:kern w:val="2"/>
                      <w:sz w:val="21"/>
                      <w:szCs w:val="21"/>
                    </w:rPr>
                  </w:pPr>
                  <w:r>
                    <w:rPr>
                      <w:rFonts w:hint="eastAsia" w:ascii="宋体" w:hAnsi="宋体" w:eastAsia="宋体"/>
                      <w:color w:val="000000"/>
                      <w:kern w:val="2"/>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11" w:type="dxa"/>
                  <w:tcBorders>
                    <w:top w:val="single" w:color="auto" w:sz="6" w:space="0"/>
                    <w:left w:val="single" w:color="auto" w:sz="2"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PM</w:t>
                  </w:r>
                  <w:r>
                    <w:rPr>
                      <w:rFonts w:hint="eastAsia" w:eastAsia="宋体"/>
                      <w:color w:val="000000"/>
                      <w:kern w:val="2"/>
                      <w:sz w:val="21"/>
                      <w:szCs w:val="21"/>
                      <w:vertAlign w:val="subscript"/>
                    </w:rPr>
                    <w:t>10</w:t>
                  </w:r>
                </w:p>
              </w:tc>
              <w:tc>
                <w:tcPr>
                  <w:tcW w:w="2358"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ascii="宋体" w:hAnsi="宋体" w:eastAsia="宋体"/>
                      <w:color w:val="000000"/>
                      <w:kern w:val="2"/>
                      <w:sz w:val="21"/>
                      <w:szCs w:val="21"/>
                    </w:rPr>
                  </w:pPr>
                  <w:r>
                    <w:rPr>
                      <w:rFonts w:hint="eastAsia" w:ascii="宋体" w:hAnsi="宋体" w:eastAsia="宋体"/>
                      <w:color w:val="000000"/>
                      <w:sz w:val="21"/>
                      <w:szCs w:val="21"/>
                    </w:rPr>
                    <w:t>年平均质量浓度</w:t>
                  </w:r>
                </w:p>
              </w:tc>
              <w:tc>
                <w:tcPr>
                  <w:tcW w:w="1158"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49</w:t>
                  </w:r>
                </w:p>
              </w:tc>
              <w:tc>
                <w:tcPr>
                  <w:tcW w:w="1002"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70</w:t>
                  </w:r>
                </w:p>
              </w:tc>
              <w:tc>
                <w:tcPr>
                  <w:tcW w:w="1245"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70</w:t>
                  </w:r>
                </w:p>
              </w:tc>
              <w:tc>
                <w:tcPr>
                  <w:tcW w:w="1088" w:type="dxa"/>
                  <w:tcBorders>
                    <w:top w:val="single" w:color="auto" w:sz="6" w:space="0"/>
                    <w:left w:val="single" w:color="auto" w:sz="6" w:space="0"/>
                    <w:bottom w:val="single" w:color="auto" w:sz="6" w:space="0"/>
                    <w:right w:val="single" w:color="auto" w:sz="2" w:space="0"/>
                  </w:tcBorders>
                  <w:vAlign w:val="center"/>
                </w:tcPr>
                <w:p>
                  <w:pPr>
                    <w:pStyle w:val="30"/>
                    <w:ind w:firstLine="0"/>
                    <w:jc w:val="center"/>
                    <w:rPr>
                      <w:rFonts w:eastAsia="宋体"/>
                      <w:color w:val="000000"/>
                      <w:kern w:val="2"/>
                      <w:sz w:val="21"/>
                      <w:szCs w:val="21"/>
                    </w:rPr>
                  </w:pPr>
                  <w:r>
                    <w:rPr>
                      <w:rFonts w:hint="eastAsia" w:ascii="宋体" w:hAnsi="宋体" w:eastAsia="宋体"/>
                      <w:color w:val="000000"/>
                      <w:kern w:val="2"/>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1111" w:type="dxa"/>
                  <w:tcBorders>
                    <w:top w:val="single" w:color="auto" w:sz="6" w:space="0"/>
                    <w:left w:val="single" w:color="auto" w:sz="2" w:space="0"/>
                    <w:bottom w:val="single" w:color="auto" w:sz="6" w:space="0"/>
                    <w:right w:val="single" w:color="auto" w:sz="6" w:space="0"/>
                  </w:tcBorders>
                  <w:vAlign w:val="center"/>
                </w:tcPr>
                <w:p>
                  <w:pPr>
                    <w:pStyle w:val="30"/>
                    <w:ind w:firstLine="0"/>
                    <w:jc w:val="center"/>
                    <w:rPr>
                      <w:rFonts w:eastAsia="宋体"/>
                      <w:color w:val="000000"/>
                      <w:kern w:val="2"/>
                      <w:sz w:val="21"/>
                      <w:szCs w:val="21"/>
                      <w:vertAlign w:val="subscript"/>
                    </w:rPr>
                  </w:pPr>
                  <w:r>
                    <w:rPr>
                      <w:rFonts w:hint="eastAsia" w:eastAsia="宋体"/>
                      <w:color w:val="000000"/>
                      <w:kern w:val="2"/>
                      <w:sz w:val="21"/>
                      <w:szCs w:val="21"/>
                    </w:rPr>
                    <w:t>SO</w:t>
                  </w:r>
                  <w:r>
                    <w:rPr>
                      <w:rFonts w:hint="eastAsia" w:eastAsia="宋体"/>
                      <w:color w:val="000000"/>
                      <w:kern w:val="2"/>
                      <w:sz w:val="21"/>
                      <w:szCs w:val="21"/>
                      <w:vertAlign w:val="subscript"/>
                    </w:rPr>
                    <w:t>2</w:t>
                  </w:r>
                </w:p>
              </w:tc>
              <w:tc>
                <w:tcPr>
                  <w:tcW w:w="2358"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ascii="宋体" w:hAnsi="宋体" w:eastAsia="宋体"/>
                      <w:color w:val="000000"/>
                      <w:kern w:val="2"/>
                      <w:sz w:val="21"/>
                      <w:szCs w:val="21"/>
                    </w:rPr>
                  </w:pPr>
                  <w:r>
                    <w:rPr>
                      <w:rFonts w:hint="eastAsia" w:ascii="宋体" w:hAnsi="宋体" w:eastAsia="宋体"/>
                      <w:color w:val="000000"/>
                      <w:sz w:val="21"/>
                      <w:szCs w:val="21"/>
                    </w:rPr>
                    <w:t>年平均质量浓度</w:t>
                  </w:r>
                </w:p>
              </w:tc>
              <w:tc>
                <w:tcPr>
                  <w:tcW w:w="1158"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5</w:t>
                  </w:r>
                </w:p>
              </w:tc>
              <w:tc>
                <w:tcPr>
                  <w:tcW w:w="1002"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60</w:t>
                  </w:r>
                </w:p>
              </w:tc>
              <w:tc>
                <w:tcPr>
                  <w:tcW w:w="1245"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8.33</w:t>
                  </w:r>
                </w:p>
              </w:tc>
              <w:tc>
                <w:tcPr>
                  <w:tcW w:w="1088" w:type="dxa"/>
                  <w:tcBorders>
                    <w:top w:val="single" w:color="auto" w:sz="6" w:space="0"/>
                    <w:left w:val="single" w:color="auto" w:sz="6" w:space="0"/>
                    <w:bottom w:val="single" w:color="auto" w:sz="6" w:space="0"/>
                    <w:right w:val="single" w:color="auto" w:sz="2" w:space="0"/>
                  </w:tcBorders>
                  <w:vAlign w:val="center"/>
                </w:tcPr>
                <w:p>
                  <w:pPr>
                    <w:pStyle w:val="30"/>
                    <w:ind w:firstLine="0"/>
                    <w:jc w:val="center"/>
                    <w:rPr>
                      <w:rFonts w:eastAsia="宋体"/>
                      <w:color w:val="000000"/>
                      <w:kern w:val="2"/>
                      <w:sz w:val="21"/>
                      <w:szCs w:val="21"/>
                    </w:rPr>
                  </w:pPr>
                  <w:r>
                    <w:rPr>
                      <w:rFonts w:hint="eastAsia" w:ascii="宋体" w:hAnsi="宋体" w:eastAsia="宋体"/>
                      <w:color w:val="000000"/>
                      <w:kern w:val="2"/>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1111" w:type="dxa"/>
                  <w:tcBorders>
                    <w:top w:val="single" w:color="auto" w:sz="6" w:space="0"/>
                    <w:left w:val="single" w:color="auto" w:sz="2" w:space="0"/>
                    <w:bottom w:val="single" w:color="auto" w:sz="6" w:space="0"/>
                    <w:right w:val="single" w:color="auto" w:sz="6" w:space="0"/>
                  </w:tcBorders>
                  <w:vAlign w:val="center"/>
                </w:tcPr>
                <w:p>
                  <w:pPr>
                    <w:pStyle w:val="30"/>
                    <w:ind w:firstLine="0"/>
                    <w:jc w:val="center"/>
                    <w:rPr>
                      <w:rFonts w:eastAsia="宋体"/>
                      <w:color w:val="000000"/>
                      <w:kern w:val="2"/>
                      <w:sz w:val="21"/>
                      <w:szCs w:val="21"/>
                      <w:vertAlign w:val="subscript"/>
                    </w:rPr>
                  </w:pPr>
                  <w:r>
                    <w:rPr>
                      <w:rFonts w:hint="eastAsia" w:eastAsia="宋体"/>
                      <w:color w:val="000000"/>
                      <w:kern w:val="2"/>
                      <w:sz w:val="21"/>
                      <w:szCs w:val="21"/>
                    </w:rPr>
                    <w:t>NO</w:t>
                  </w:r>
                  <w:r>
                    <w:rPr>
                      <w:rFonts w:hint="eastAsia" w:eastAsia="宋体"/>
                      <w:color w:val="000000"/>
                      <w:kern w:val="2"/>
                      <w:sz w:val="21"/>
                      <w:szCs w:val="21"/>
                      <w:vertAlign w:val="subscript"/>
                    </w:rPr>
                    <w:t>2</w:t>
                  </w:r>
                </w:p>
              </w:tc>
              <w:tc>
                <w:tcPr>
                  <w:tcW w:w="2358"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ascii="宋体" w:hAnsi="宋体" w:eastAsia="宋体"/>
                      <w:color w:val="000000"/>
                      <w:kern w:val="2"/>
                      <w:sz w:val="21"/>
                      <w:szCs w:val="21"/>
                    </w:rPr>
                  </w:pPr>
                  <w:r>
                    <w:rPr>
                      <w:rFonts w:hint="eastAsia" w:ascii="宋体" w:hAnsi="宋体" w:eastAsia="宋体"/>
                      <w:color w:val="000000"/>
                      <w:sz w:val="21"/>
                      <w:szCs w:val="21"/>
                    </w:rPr>
                    <w:t>年平均质量浓度</w:t>
                  </w:r>
                </w:p>
              </w:tc>
              <w:tc>
                <w:tcPr>
                  <w:tcW w:w="1158"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13</w:t>
                  </w:r>
                </w:p>
              </w:tc>
              <w:tc>
                <w:tcPr>
                  <w:tcW w:w="1002"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40</w:t>
                  </w:r>
                </w:p>
              </w:tc>
              <w:tc>
                <w:tcPr>
                  <w:tcW w:w="1245"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32.5</w:t>
                  </w:r>
                </w:p>
              </w:tc>
              <w:tc>
                <w:tcPr>
                  <w:tcW w:w="1088" w:type="dxa"/>
                  <w:tcBorders>
                    <w:top w:val="single" w:color="auto" w:sz="6" w:space="0"/>
                    <w:left w:val="single" w:color="auto" w:sz="6" w:space="0"/>
                    <w:bottom w:val="single" w:color="auto" w:sz="6" w:space="0"/>
                    <w:right w:val="single" w:color="auto" w:sz="2" w:space="0"/>
                  </w:tcBorders>
                  <w:vAlign w:val="center"/>
                </w:tcPr>
                <w:p>
                  <w:pPr>
                    <w:pStyle w:val="30"/>
                    <w:ind w:firstLine="0"/>
                    <w:jc w:val="center"/>
                    <w:rPr>
                      <w:rFonts w:eastAsia="宋体"/>
                      <w:color w:val="000000"/>
                      <w:kern w:val="2"/>
                      <w:sz w:val="21"/>
                      <w:szCs w:val="21"/>
                    </w:rPr>
                  </w:pPr>
                  <w:r>
                    <w:rPr>
                      <w:rFonts w:hint="eastAsia" w:ascii="宋体" w:hAnsi="宋体" w:eastAsia="宋体"/>
                      <w:color w:val="000000"/>
                      <w:kern w:val="2"/>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1111" w:type="dxa"/>
                  <w:tcBorders>
                    <w:top w:val="single" w:color="auto" w:sz="6" w:space="0"/>
                    <w:left w:val="single" w:color="auto" w:sz="2"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CO</w:t>
                  </w:r>
                </w:p>
              </w:tc>
              <w:tc>
                <w:tcPr>
                  <w:tcW w:w="2358"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ascii="宋体" w:hAnsi="宋体" w:eastAsia="宋体"/>
                      <w:color w:val="000000"/>
                      <w:kern w:val="2"/>
                      <w:sz w:val="21"/>
                      <w:szCs w:val="21"/>
                    </w:rPr>
                    <w:t>第</w:t>
                  </w:r>
                  <w:r>
                    <w:rPr>
                      <w:rFonts w:hint="eastAsia" w:eastAsia="宋体"/>
                      <w:color w:val="000000"/>
                      <w:kern w:val="2"/>
                      <w:sz w:val="21"/>
                      <w:szCs w:val="21"/>
                    </w:rPr>
                    <w:t>95</w:t>
                  </w:r>
                  <w:r>
                    <w:rPr>
                      <w:rFonts w:hint="eastAsia" w:ascii="宋体" w:hAnsi="宋体" w:eastAsia="宋体"/>
                      <w:color w:val="000000"/>
                      <w:kern w:val="2"/>
                      <w:sz w:val="21"/>
                      <w:szCs w:val="21"/>
                    </w:rPr>
                    <w:t>百分位数日均值</w:t>
                  </w:r>
                </w:p>
              </w:tc>
              <w:tc>
                <w:tcPr>
                  <w:tcW w:w="1158"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0.8</w:t>
                  </w:r>
                </w:p>
              </w:tc>
              <w:tc>
                <w:tcPr>
                  <w:tcW w:w="1002"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4</w:t>
                  </w:r>
                </w:p>
              </w:tc>
              <w:tc>
                <w:tcPr>
                  <w:tcW w:w="1245" w:type="dxa"/>
                  <w:tcBorders>
                    <w:top w:val="single" w:color="auto" w:sz="6" w:space="0"/>
                    <w:left w:val="single" w:color="auto" w:sz="6" w:space="0"/>
                    <w:bottom w:val="single" w:color="auto" w:sz="6"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20</w:t>
                  </w:r>
                </w:p>
              </w:tc>
              <w:tc>
                <w:tcPr>
                  <w:tcW w:w="1088" w:type="dxa"/>
                  <w:tcBorders>
                    <w:top w:val="single" w:color="auto" w:sz="6" w:space="0"/>
                    <w:left w:val="single" w:color="auto" w:sz="6" w:space="0"/>
                    <w:bottom w:val="single" w:color="auto" w:sz="6" w:space="0"/>
                    <w:right w:val="single" w:color="auto" w:sz="2" w:space="0"/>
                  </w:tcBorders>
                  <w:vAlign w:val="center"/>
                </w:tcPr>
                <w:p>
                  <w:pPr>
                    <w:pStyle w:val="30"/>
                    <w:ind w:firstLine="0"/>
                    <w:jc w:val="center"/>
                    <w:rPr>
                      <w:rFonts w:eastAsia="宋体"/>
                      <w:color w:val="000000"/>
                      <w:kern w:val="2"/>
                      <w:sz w:val="21"/>
                      <w:szCs w:val="21"/>
                    </w:rPr>
                  </w:pPr>
                  <w:r>
                    <w:rPr>
                      <w:rFonts w:hint="eastAsia" w:ascii="宋体" w:hAnsi="宋体" w:eastAsia="宋体"/>
                      <w:color w:val="000000"/>
                      <w:kern w:val="2"/>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1111" w:type="dxa"/>
                  <w:tcBorders>
                    <w:top w:val="single" w:color="auto" w:sz="6" w:space="0"/>
                    <w:left w:val="single" w:color="auto" w:sz="2" w:space="0"/>
                    <w:bottom w:val="single" w:color="auto" w:sz="2" w:space="0"/>
                    <w:right w:val="single" w:color="auto" w:sz="6" w:space="0"/>
                  </w:tcBorders>
                  <w:vAlign w:val="center"/>
                </w:tcPr>
                <w:p>
                  <w:pPr>
                    <w:pStyle w:val="30"/>
                    <w:ind w:firstLine="0"/>
                    <w:jc w:val="center"/>
                    <w:rPr>
                      <w:rFonts w:eastAsia="宋体"/>
                      <w:color w:val="000000"/>
                      <w:kern w:val="2"/>
                      <w:sz w:val="21"/>
                      <w:szCs w:val="21"/>
                      <w:vertAlign w:val="subscript"/>
                    </w:rPr>
                  </w:pPr>
                  <w:r>
                    <w:rPr>
                      <w:rFonts w:hint="eastAsia" w:eastAsia="宋体"/>
                      <w:color w:val="000000"/>
                      <w:kern w:val="2"/>
                      <w:sz w:val="21"/>
                      <w:szCs w:val="21"/>
                    </w:rPr>
                    <w:t>O</w:t>
                  </w:r>
                  <w:r>
                    <w:rPr>
                      <w:rFonts w:hint="eastAsia" w:eastAsia="宋体"/>
                      <w:color w:val="000000"/>
                      <w:kern w:val="2"/>
                      <w:sz w:val="21"/>
                      <w:szCs w:val="21"/>
                      <w:vertAlign w:val="subscript"/>
                    </w:rPr>
                    <w:t>3</w:t>
                  </w:r>
                </w:p>
              </w:tc>
              <w:tc>
                <w:tcPr>
                  <w:tcW w:w="2358" w:type="dxa"/>
                  <w:tcBorders>
                    <w:top w:val="single" w:color="auto" w:sz="6" w:space="0"/>
                    <w:left w:val="single" w:color="auto" w:sz="6" w:space="0"/>
                    <w:bottom w:val="single" w:color="auto" w:sz="2" w:space="0"/>
                    <w:right w:val="single" w:color="auto" w:sz="6" w:space="0"/>
                  </w:tcBorders>
                  <w:vAlign w:val="center"/>
                </w:tcPr>
                <w:p>
                  <w:pPr>
                    <w:pStyle w:val="30"/>
                    <w:ind w:firstLine="0"/>
                    <w:jc w:val="center"/>
                    <w:rPr>
                      <w:rFonts w:eastAsia="宋体"/>
                      <w:color w:val="000000"/>
                      <w:kern w:val="2"/>
                      <w:sz w:val="21"/>
                      <w:szCs w:val="21"/>
                    </w:rPr>
                  </w:pPr>
                  <w:r>
                    <w:rPr>
                      <w:rFonts w:hint="eastAsia" w:ascii="宋体" w:hAnsi="宋体" w:eastAsia="宋体"/>
                      <w:color w:val="000000"/>
                      <w:kern w:val="2"/>
                      <w:sz w:val="21"/>
                      <w:szCs w:val="21"/>
                    </w:rPr>
                    <w:t>第</w:t>
                  </w:r>
                  <w:r>
                    <w:rPr>
                      <w:rFonts w:hint="eastAsia" w:eastAsia="宋体"/>
                      <w:color w:val="000000"/>
                      <w:kern w:val="2"/>
                      <w:sz w:val="21"/>
                      <w:szCs w:val="21"/>
                    </w:rPr>
                    <w:t>90</w:t>
                  </w:r>
                  <w:r>
                    <w:rPr>
                      <w:rFonts w:hint="eastAsia" w:ascii="宋体" w:hAnsi="宋体" w:eastAsia="宋体"/>
                      <w:color w:val="000000"/>
                      <w:kern w:val="2"/>
                      <w:sz w:val="21"/>
                      <w:szCs w:val="21"/>
                    </w:rPr>
                    <w:t>百分位数</w:t>
                  </w:r>
                  <w:r>
                    <w:rPr>
                      <w:rFonts w:hint="eastAsia" w:eastAsia="宋体"/>
                      <w:color w:val="000000"/>
                      <w:kern w:val="2"/>
                      <w:sz w:val="21"/>
                      <w:szCs w:val="21"/>
                    </w:rPr>
                    <w:t>8h</w:t>
                  </w:r>
                  <w:r>
                    <w:rPr>
                      <w:rFonts w:hint="eastAsia" w:ascii="宋体" w:hAnsi="宋体" w:eastAsia="宋体"/>
                      <w:color w:val="000000"/>
                      <w:kern w:val="2"/>
                      <w:sz w:val="21"/>
                      <w:szCs w:val="21"/>
                    </w:rPr>
                    <w:t>平均值</w:t>
                  </w:r>
                </w:p>
              </w:tc>
              <w:tc>
                <w:tcPr>
                  <w:tcW w:w="1158" w:type="dxa"/>
                  <w:tcBorders>
                    <w:top w:val="single" w:color="auto" w:sz="6" w:space="0"/>
                    <w:left w:val="single" w:color="auto" w:sz="6" w:space="0"/>
                    <w:bottom w:val="single" w:color="auto" w:sz="2"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138</w:t>
                  </w:r>
                </w:p>
              </w:tc>
              <w:tc>
                <w:tcPr>
                  <w:tcW w:w="1002" w:type="dxa"/>
                  <w:tcBorders>
                    <w:top w:val="single" w:color="auto" w:sz="6" w:space="0"/>
                    <w:left w:val="single" w:color="auto" w:sz="6" w:space="0"/>
                    <w:bottom w:val="single" w:color="auto" w:sz="2"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160</w:t>
                  </w:r>
                </w:p>
              </w:tc>
              <w:tc>
                <w:tcPr>
                  <w:tcW w:w="1245" w:type="dxa"/>
                  <w:tcBorders>
                    <w:top w:val="single" w:color="auto" w:sz="6" w:space="0"/>
                    <w:left w:val="single" w:color="auto" w:sz="6" w:space="0"/>
                    <w:bottom w:val="single" w:color="auto" w:sz="2" w:space="0"/>
                    <w:right w:val="single" w:color="auto" w:sz="6" w:space="0"/>
                  </w:tcBorders>
                  <w:vAlign w:val="center"/>
                </w:tcPr>
                <w:p>
                  <w:pPr>
                    <w:pStyle w:val="30"/>
                    <w:ind w:firstLine="0"/>
                    <w:jc w:val="center"/>
                    <w:rPr>
                      <w:rFonts w:eastAsia="宋体"/>
                      <w:color w:val="000000"/>
                      <w:kern w:val="2"/>
                      <w:sz w:val="21"/>
                      <w:szCs w:val="21"/>
                    </w:rPr>
                  </w:pPr>
                  <w:r>
                    <w:rPr>
                      <w:rFonts w:hint="eastAsia" w:eastAsia="宋体"/>
                      <w:color w:val="000000"/>
                      <w:kern w:val="2"/>
                      <w:sz w:val="21"/>
                      <w:szCs w:val="21"/>
                    </w:rPr>
                    <w:t>86.25</w:t>
                  </w:r>
                </w:p>
              </w:tc>
              <w:tc>
                <w:tcPr>
                  <w:tcW w:w="1088" w:type="dxa"/>
                  <w:tcBorders>
                    <w:top w:val="single" w:color="auto" w:sz="6" w:space="0"/>
                    <w:left w:val="single" w:color="auto" w:sz="6" w:space="0"/>
                    <w:bottom w:val="single" w:color="auto" w:sz="2" w:space="0"/>
                    <w:right w:val="single" w:color="auto" w:sz="2" w:space="0"/>
                  </w:tcBorders>
                  <w:vAlign w:val="center"/>
                </w:tcPr>
                <w:p>
                  <w:pPr>
                    <w:pStyle w:val="30"/>
                    <w:ind w:firstLine="0"/>
                    <w:jc w:val="center"/>
                    <w:rPr>
                      <w:rFonts w:eastAsia="宋体"/>
                      <w:color w:val="000000"/>
                      <w:kern w:val="2"/>
                      <w:sz w:val="21"/>
                      <w:szCs w:val="21"/>
                    </w:rPr>
                  </w:pPr>
                  <w:r>
                    <w:rPr>
                      <w:rFonts w:hint="eastAsia" w:ascii="宋体" w:hAnsi="宋体" w:eastAsia="宋体"/>
                      <w:color w:val="000000"/>
                      <w:kern w:val="2"/>
                      <w:sz w:val="21"/>
                      <w:szCs w:val="21"/>
                    </w:rPr>
                    <w:t>达标</w:t>
                  </w:r>
                </w:p>
              </w:tc>
            </w:tr>
          </w:tbl>
          <w:p>
            <w:pPr>
              <w:adjustRightInd w:val="0"/>
              <w:snapToGrid w:val="0"/>
              <w:spacing w:line="360" w:lineRule="auto"/>
              <w:ind w:firstLine="492" w:firstLineChars="200"/>
              <w:rPr>
                <w:spacing w:val="3"/>
                <w:sz w:val="24"/>
              </w:rPr>
            </w:pPr>
          </w:p>
          <w:p>
            <w:pPr>
              <w:adjustRightInd w:val="0"/>
              <w:snapToGrid w:val="0"/>
              <w:spacing w:line="360" w:lineRule="auto"/>
              <w:ind w:firstLine="492" w:firstLineChars="200"/>
              <w:rPr>
                <w:spacing w:val="3"/>
                <w:sz w:val="24"/>
              </w:rPr>
            </w:pPr>
            <w:r>
              <w:rPr>
                <w:rFonts w:hint="eastAsia"/>
                <w:spacing w:val="3"/>
                <w:sz w:val="24"/>
              </w:rPr>
              <w:t>由上表可知，项目所在区域六项基本因子，均满足《环境空气质量标准》（</w:t>
            </w:r>
            <w:r>
              <w:rPr>
                <w:spacing w:val="3"/>
                <w:sz w:val="24"/>
              </w:rPr>
              <w:t>GB3095-2012</w:t>
            </w:r>
            <w:r>
              <w:rPr>
                <w:rFonts w:hint="eastAsia"/>
                <w:spacing w:val="3"/>
                <w:sz w:val="24"/>
              </w:rPr>
              <w:t>）中二级标准。项目区属于达标区。</w:t>
            </w:r>
          </w:p>
          <w:p>
            <w:pPr>
              <w:adjustRightInd w:val="0"/>
              <w:snapToGrid w:val="0"/>
              <w:spacing w:line="360" w:lineRule="auto"/>
              <w:ind w:firstLine="492" w:firstLineChars="200"/>
              <w:rPr>
                <w:spacing w:val="3"/>
                <w:sz w:val="24"/>
              </w:rPr>
            </w:pPr>
            <w:r>
              <w:rPr>
                <w:rFonts w:hint="eastAsia"/>
                <w:spacing w:val="3"/>
                <w:sz w:val="24"/>
              </w:rPr>
              <w:t>2、特征因子</w:t>
            </w:r>
          </w:p>
          <w:p>
            <w:pPr>
              <w:spacing w:line="360" w:lineRule="auto"/>
              <w:ind w:firstLine="480" w:firstLineChars="200"/>
              <w:rPr>
                <w:sz w:val="24"/>
              </w:rPr>
            </w:pPr>
            <w:r>
              <w:rPr>
                <w:rFonts w:hint="eastAsia"/>
                <w:sz w:val="24"/>
              </w:rPr>
              <w:t>本项目排放的特征污染物为氨与硫化氢。为了解本项目拟建地特征污染物现状浓度，本次环评委托湖南华科检测技术有限公司对项目所在区域环境空气质量进行了现场采样监测。</w:t>
            </w:r>
          </w:p>
          <w:p>
            <w:pPr>
              <w:spacing w:line="360" w:lineRule="auto"/>
              <w:ind w:firstLine="480" w:firstLineChars="200"/>
              <w:rPr>
                <w:sz w:val="24"/>
              </w:rPr>
            </w:pPr>
            <w:r>
              <w:rPr>
                <w:rFonts w:hint="eastAsia"/>
                <w:sz w:val="24"/>
              </w:rPr>
              <w:t>1、其他污染物补充监测点位基本信息</w:t>
            </w:r>
          </w:p>
          <w:p>
            <w:pPr>
              <w:spacing w:line="360" w:lineRule="auto"/>
              <w:ind w:firstLine="480" w:firstLineChars="200"/>
              <w:rPr>
                <w:sz w:val="24"/>
              </w:rPr>
            </w:pPr>
            <w:r>
              <w:rPr>
                <w:rFonts w:hint="eastAsia"/>
                <w:sz w:val="24"/>
              </w:rPr>
              <w:t>本项目其他污染物补充监测点位基本信息见下表。</w:t>
            </w:r>
          </w:p>
          <w:p>
            <w:pPr>
              <w:spacing w:line="360" w:lineRule="auto"/>
              <w:ind w:firstLine="442" w:firstLineChars="200"/>
              <w:jc w:val="center"/>
              <w:rPr>
                <w:b/>
                <w:bCs/>
                <w:sz w:val="22"/>
              </w:rPr>
            </w:pPr>
            <w:r>
              <w:rPr>
                <w:rFonts w:hint="eastAsia"/>
                <w:b/>
                <w:bCs/>
                <w:sz w:val="22"/>
              </w:rPr>
              <w:t>表3-2    其他污染物补充监测点位基本信息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927"/>
              <w:gridCol w:w="1029"/>
              <w:gridCol w:w="1088"/>
              <w:gridCol w:w="1089"/>
              <w:gridCol w:w="1042"/>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384" w:type="dxa"/>
                  <w:vMerge w:val="restart"/>
                  <w:vAlign w:val="center"/>
                </w:tcPr>
                <w:p>
                  <w:pPr>
                    <w:pStyle w:val="29"/>
                    <w:rPr>
                      <w:kern w:val="2"/>
                      <w:sz w:val="21"/>
                      <w:szCs w:val="21"/>
                    </w:rPr>
                  </w:pPr>
                  <w:r>
                    <w:rPr>
                      <w:rFonts w:hint="eastAsia"/>
                      <w:kern w:val="2"/>
                      <w:sz w:val="21"/>
                      <w:szCs w:val="21"/>
                    </w:rPr>
                    <w:t>监测点名称</w:t>
                  </w:r>
                </w:p>
              </w:tc>
              <w:tc>
                <w:tcPr>
                  <w:tcW w:w="2267" w:type="dxa"/>
                  <w:gridSpan w:val="2"/>
                  <w:vAlign w:val="center"/>
                </w:tcPr>
                <w:p>
                  <w:pPr>
                    <w:pStyle w:val="29"/>
                    <w:rPr>
                      <w:kern w:val="2"/>
                      <w:sz w:val="21"/>
                      <w:szCs w:val="21"/>
                    </w:rPr>
                  </w:pPr>
                  <w:r>
                    <w:rPr>
                      <w:rFonts w:hint="eastAsia"/>
                      <w:kern w:val="2"/>
                      <w:sz w:val="21"/>
                      <w:szCs w:val="21"/>
                    </w:rPr>
                    <w:t>监测点坐标/m</w:t>
                  </w:r>
                </w:p>
              </w:tc>
              <w:tc>
                <w:tcPr>
                  <w:tcW w:w="1217" w:type="dxa"/>
                  <w:vMerge w:val="restart"/>
                  <w:vAlign w:val="center"/>
                </w:tcPr>
                <w:p>
                  <w:pPr>
                    <w:pStyle w:val="29"/>
                    <w:rPr>
                      <w:kern w:val="2"/>
                      <w:sz w:val="21"/>
                      <w:szCs w:val="21"/>
                    </w:rPr>
                  </w:pPr>
                  <w:r>
                    <w:rPr>
                      <w:rFonts w:hint="eastAsia"/>
                      <w:kern w:val="2"/>
                      <w:sz w:val="21"/>
                      <w:szCs w:val="21"/>
                    </w:rPr>
                    <w:t>监测因子</w:t>
                  </w:r>
                </w:p>
              </w:tc>
              <w:tc>
                <w:tcPr>
                  <w:tcW w:w="1218" w:type="dxa"/>
                  <w:vMerge w:val="restart"/>
                  <w:vAlign w:val="center"/>
                </w:tcPr>
                <w:p>
                  <w:pPr>
                    <w:pStyle w:val="29"/>
                    <w:rPr>
                      <w:kern w:val="2"/>
                      <w:sz w:val="21"/>
                      <w:szCs w:val="21"/>
                    </w:rPr>
                  </w:pPr>
                  <w:r>
                    <w:rPr>
                      <w:rFonts w:hint="eastAsia"/>
                      <w:kern w:val="2"/>
                      <w:sz w:val="21"/>
                      <w:szCs w:val="21"/>
                    </w:rPr>
                    <w:t>监测时段</w:t>
                  </w:r>
                </w:p>
              </w:tc>
              <w:tc>
                <w:tcPr>
                  <w:tcW w:w="1218" w:type="dxa"/>
                  <w:vMerge w:val="restart"/>
                  <w:vAlign w:val="center"/>
                </w:tcPr>
                <w:p>
                  <w:pPr>
                    <w:pStyle w:val="29"/>
                    <w:rPr>
                      <w:kern w:val="2"/>
                      <w:sz w:val="21"/>
                      <w:szCs w:val="21"/>
                    </w:rPr>
                  </w:pPr>
                  <w:r>
                    <w:rPr>
                      <w:rFonts w:hint="eastAsia"/>
                      <w:kern w:val="2"/>
                      <w:sz w:val="21"/>
                      <w:szCs w:val="21"/>
                    </w:rPr>
                    <w:t>相对厂址方位</w:t>
                  </w:r>
                </w:p>
              </w:tc>
              <w:tc>
                <w:tcPr>
                  <w:tcW w:w="1218" w:type="dxa"/>
                  <w:vMerge w:val="restart"/>
                  <w:vAlign w:val="center"/>
                </w:tcPr>
                <w:p>
                  <w:pPr>
                    <w:pStyle w:val="29"/>
                    <w:rPr>
                      <w:kern w:val="2"/>
                      <w:sz w:val="21"/>
                      <w:szCs w:val="21"/>
                    </w:rPr>
                  </w:pPr>
                  <w:r>
                    <w:rPr>
                      <w:rFonts w:hint="eastAsia"/>
                      <w:kern w:val="2"/>
                      <w:sz w:val="21"/>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384" w:type="dxa"/>
                  <w:vMerge w:val="continue"/>
                  <w:vAlign w:val="center"/>
                </w:tcPr>
                <w:p>
                  <w:pPr>
                    <w:pStyle w:val="29"/>
                    <w:rPr>
                      <w:kern w:val="2"/>
                      <w:sz w:val="21"/>
                      <w:szCs w:val="21"/>
                    </w:rPr>
                  </w:pPr>
                </w:p>
              </w:tc>
              <w:tc>
                <w:tcPr>
                  <w:tcW w:w="1050" w:type="dxa"/>
                  <w:vAlign w:val="center"/>
                </w:tcPr>
                <w:p>
                  <w:pPr>
                    <w:pStyle w:val="29"/>
                    <w:rPr>
                      <w:kern w:val="2"/>
                      <w:sz w:val="21"/>
                      <w:szCs w:val="21"/>
                    </w:rPr>
                  </w:pPr>
                  <w:r>
                    <w:rPr>
                      <w:rFonts w:hint="eastAsia"/>
                      <w:kern w:val="2"/>
                      <w:sz w:val="21"/>
                      <w:szCs w:val="21"/>
                    </w:rPr>
                    <w:t>X</w:t>
                  </w:r>
                </w:p>
              </w:tc>
              <w:tc>
                <w:tcPr>
                  <w:tcW w:w="1217" w:type="dxa"/>
                  <w:vAlign w:val="center"/>
                </w:tcPr>
                <w:p>
                  <w:pPr>
                    <w:pStyle w:val="29"/>
                    <w:rPr>
                      <w:kern w:val="2"/>
                      <w:sz w:val="21"/>
                      <w:szCs w:val="21"/>
                    </w:rPr>
                  </w:pPr>
                  <w:r>
                    <w:rPr>
                      <w:rFonts w:hint="eastAsia"/>
                      <w:kern w:val="2"/>
                      <w:sz w:val="21"/>
                      <w:szCs w:val="21"/>
                    </w:rPr>
                    <w:t>Y</w:t>
                  </w:r>
                </w:p>
              </w:tc>
              <w:tc>
                <w:tcPr>
                  <w:tcW w:w="1217" w:type="dxa"/>
                  <w:vMerge w:val="continue"/>
                  <w:vAlign w:val="center"/>
                </w:tcPr>
                <w:p>
                  <w:pPr>
                    <w:pStyle w:val="29"/>
                    <w:rPr>
                      <w:kern w:val="2"/>
                      <w:sz w:val="21"/>
                      <w:szCs w:val="21"/>
                    </w:rPr>
                  </w:pPr>
                </w:p>
              </w:tc>
              <w:tc>
                <w:tcPr>
                  <w:tcW w:w="1218" w:type="dxa"/>
                  <w:vMerge w:val="continue"/>
                  <w:vAlign w:val="center"/>
                </w:tcPr>
                <w:p>
                  <w:pPr>
                    <w:pStyle w:val="29"/>
                    <w:rPr>
                      <w:kern w:val="2"/>
                      <w:sz w:val="21"/>
                      <w:szCs w:val="21"/>
                    </w:rPr>
                  </w:pPr>
                </w:p>
              </w:tc>
              <w:tc>
                <w:tcPr>
                  <w:tcW w:w="1218" w:type="dxa"/>
                  <w:vMerge w:val="continue"/>
                  <w:vAlign w:val="center"/>
                </w:tcPr>
                <w:p>
                  <w:pPr>
                    <w:pStyle w:val="29"/>
                    <w:rPr>
                      <w:kern w:val="2"/>
                      <w:sz w:val="21"/>
                      <w:szCs w:val="21"/>
                    </w:rPr>
                  </w:pPr>
                </w:p>
              </w:tc>
              <w:tc>
                <w:tcPr>
                  <w:tcW w:w="1218" w:type="dxa"/>
                  <w:vMerge w:val="continue"/>
                  <w:vAlign w:val="center"/>
                </w:tcPr>
                <w:p>
                  <w:pPr>
                    <w:pStyle w:val="29"/>
                    <w:rPr>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384" w:type="dxa"/>
                  <w:vAlign w:val="center"/>
                </w:tcPr>
                <w:p>
                  <w:pPr>
                    <w:pStyle w:val="29"/>
                    <w:rPr>
                      <w:kern w:val="2"/>
                      <w:sz w:val="21"/>
                      <w:szCs w:val="21"/>
                    </w:rPr>
                  </w:pPr>
                  <w:r>
                    <w:rPr>
                      <w:rFonts w:hint="eastAsia"/>
                      <w:kern w:val="2"/>
                      <w:sz w:val="21"/>
                      <w:szCs w:val="21"/>
                    </w:rPr>
                    <w:t>G1</w:t>
                  </w:r>
                </w:p>
              </w:tc>
              <w:tc>
                <w:tcPr>
                  <w:tcW w:w="1050" w:type="dxa"/>
                  <w:vAlign w:val="center"/>
                </w:tcPr>
                <w:p>
                  <w:pPr>
                    <w:pStyle w:val="29"/>
                    <w:rPr>
                      <w:kern w:val="2"/>
                      <w:sz w:val="21"/>
                      <w:szCs w:val="21"/>
                    </w:rPr>
                  </w:pPr>
                  <w:r>
                    <w:rPr>
                      <w:rFonts w:hint="eastAsia"/>
                      <w:kern w:val="2"/>
                      <w:sz w:val="21"/>
                      <w:szCs w:val="21"/>
                    </w:rPr>
                    <w:t>-50</w:t>
                  </w:r>
                </w:p>
              </w:tc>
              <w:tc>
                <w:tcPr>
                  <w:tcW w:w="1217" w:type="dxa"/>
                  <w:vAlign w:val="center"/>
                </w:tcPr>
                <w:p>
                  <w:pPr>
                    <w:pStyle w:val="29"/>
                    <w:rPr>
                      <w:kern w:val="2"/>
                      <w:sz w:val="21"/>
                      <w:szCs w:val="21"/>
                    </w:rPr>
                  </w:pPr>
                  <w:r>
                    <w:rPr>
                      <w:rFonts w:hint="eastAsia"/>
                      <w:kern w:val="2"/>
                      <w:sz w:val="21"/>
                      <w:szCs w:val="21"/>
                    </w:rPr>
                    <w:t>0</w:t>
                  </w:r>
                </w:p>
              </w:tc>
              <w:tc>
                <w:tcPr>
                  <w:tcW w:w="1217" w:type="dxa"/>
                  <w:vAlign w:val="center"/>
                </w:tcPr>
                <w:p>
                  <w:pPr>
                    <w:pStyle w:val="29"/>
                    <w:rPr>
                      <w:kern w:val="2"/>
                      <w:sz w:val="21"/>
                      <w:szCs w:val="21"/>
                    </w:rPr>
                  </w:pPr>
                  <w:r>
                    <w:rPr>
                      <w:rFonts w:hint="eastAsia"/>
                      <w:kern w:val="2"/>
                      <w:sz w:val="21"/>
                      <w:szCs w:val="21"/>
                    </w:rPr>
                    <w:t>氨、硫化氢</w:t>
                  </w:r>
                </w:p>
              </w:tc>
              <w:tc>
                <w:tcPr>
                  <w:tcW w:w="1218" w:type="dxa"/>
                  <w:vAlign w:val="center"/>
                </w:tcPr>
                <w:p>
                  <w:pPr>
                    <w:pStyle w:val="29"/>
                    <w:rPr>
                      <w:kern w:val="2"/>
                      <w:sz w:val="21"/>
                      <w:szCs w:val="21"/>
                    </w:rPr>
                  </w:pPr>
                  <w:r>
                    <w:rPr>
                      <w:rFonts w:hint="eastAsia"/>
                      <w:kern w:val="2"/>
                      <w:sz w:val="21"/>
                      <w:szCs w:val="21"/>
                    </w:rPr>
                    <w:t>2024年6月7日-9日</w:t>
                  </w:r>
                </w:p>
              </w:tc>
              <w:tc>
                <w:tcPr>
                  <w:tcW w:w="1218" w:type="dxa"/>
                  <w:vAlign w:val="center"/>
                </w:tcPr>
                <w:p>
                  <w:pPr>
                    <w:pStyle w:val="29"/>
                    <w:rPr>
                      <w:kern w:val="2"/>
                      <w:sz w:val="21"/>
                      <w:szCs w:val="21"/>
                    </w:rPr>
                  </w:pPr>
                  <w:r>
                    <w:rPr>
                      <w:rFonts w:hint="eastAsia"/>
                      <w:kern w:val="2"/>
                      <w:sz w:val="21"/>
                      <w:szCs w:val="21"/>
                    </w:rPr>
                    <w:t>西侧</w:t>
                  </w:r>
                </w:p>
              </w:tc>
              <w:tc>
                <w:tcPr>
                  <w:tcW w:w="1218" w:type="dxa"/>
                  <w:vAlign w:val="center"/>
                </w:tcPr>
                <w:p>
                  <w:pPr>
                    <w:pStyle w:val="29"/>
                    <w:rPr>
                      <w:kern w:val="2"/>
                      <w:sz w:val="21"/>
                      <w:szCs w:val="21"/>
                    </w:rPr>
                  </w:pPr>
                  <w:r>
                    <w:rPr>
                      <w:rFonts w:hint="eastAsia"/>
                      <w:kern w:val="2"/>
                      <w:sz w:val="21"/>
                      <w:szCs w:val="21"/>
                    </w:rPr>
                    <w:t>50</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2、监测时间</w:t>
            </w:r>
          </w:p>
          <w:p>
            <w:pPr>
              <w:spacing w:line="360" w:lineRule="auto"/>
              <w:ind w:firstLine="480" w:firstLineChars="200"/>
              <w:rPr>
                <w:sz w:val="24"/>
              </w:rPr>
            </w:pPr>
            <w:r>
              <w:rPr>
                <w:rFonts w:hint="eastAsia"/>
                <w:sz w:val="24"/>
              </w:rPr>
              <w:t>监测时间为2024年6月7日-9日，连续监测</w:t>
            </w:r>
            <w:r>
              <w:rPr>
                <w:sz w:val="24"/>
              </w:rPr>
              <w:t>3</w:t>
            </w:r>
            <w:r>
              <w:rPr>
                <w:rFonts w:hint="eastAsia"/>
                <w:sz w:val="24"/>
              </w:rPr>
              <w:t>天。</w:t>
            </w:r>
          </w:p>
          <w:p>
            <w:pPr>
              <w:spacing w:line="360" w:lineRule="auto"/>
              <w:ind w:firstLine="480" w:firstLineChars="200"/>
              <w:rPr>
                <w:sz w:val="24"/>
              </w:rPr>
            </w:pPr>
            <w:r>
              <w:rPr>
                <w:rFonts w:hint="eastAsia"/>
                <w:sz w:val="24"/>
              </w:rPr>
              <w:t>3、采样及分析方法</w:t>
            </w:r>
          </w:p>
          <w:p>
            <w:pPr>
              <w:spacing w:line="360" w:lineRule="auto"/>
              <w:ind w:firstLine="480" w:firstLineChars="200"/>
              <w:rPr>
                <w:sz w:val="24"/>
              </w:rPr>
            </w:pPr>
            <w:r>
              <w:rPr>
                <w:rFonts w:hint="eastAsia"/>
                <w:sz w:val="24"/>
              </w:rPr>
              <w:t>采样方法按《环境监测技术规范》的要求执行；分析方法按《环境空气质量标准》（GB3095-2012）规定的各项污染物分析方法执行。</w:t>
            </w:r>
          </w:p>
          <w:p>
            <w:pPr>
              <w:spacing w:line="360" w:lineRule="auto"/>
              <w:ind w:firstLine="480" w:firstLineChars="200"/>
              <w:rPr>
                <w:sz w:val="24"/>
              </w:rPr>
            </w:pPr>
            <w:r>
              <w:rPr>
                <w:rFonts w:hint="eastAsia"/>
                <w:sz w:val="24"/>
              </w:rPr>
              <w:t>4、评价方法</w:t>
            </w:r>
          </w:p>
          <w:p>
            <w:pPr>
              <w:spacing w:line="360" w:lineRule="auto"/>
              <w:ind w:firstLine="480" w:firstLineChars="200"/>
              <w:rPr>
                <w:sz w:val="24"/>
              </w:rPr>
            </w:pPr>
            <w:r>
              <w:rPr>
                <w:rFonts w:hint="eastAsia"/>
                <w:sz w:val="24"/>
              </w:rPr>
              <w:t>超标项目i的超标倍数按下式计算：</w:t>
            </w:r>
          </w:p>
          <w:p>
            <w:pPr>
              <w:spacing w:line="360" w:lineRule="auto"/>
              <w:ind w:firstLine="480" w:firstLineChars="200"/>
              <w:rPr>
                <w:sz w:val="24"/>
              </w:rPr>
            </w:pPr>
            <w:r>
              <w:rPr>
                <w:sz w:val="24"/>
              </w:rPr>
              <w:drawing>
                <wp:inline distT="0" distB="0" distL="0" distR="0">
                  <wp:extent cx="1339850" cy="372110"/>
                  <wp:effectExtent l="0" t="0" r="0" b="8890"/>
                  <wp:docPr id="2109642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4296" name="图片 1"/>
                          <pic:cNvPicPr>
                            <a:picLocks noChangeAspect="1"/>
                          </pic:cNvPicPr>
                        </pic:nvPicPr>
                        <pic:blipFill>
                          <a:blip r:embed="rId6"/>
                          <a:stretch>
                            <a:fillRect/>
                          </a:stretch>
                        </pic:blipFill>
                        <pic:spPr>
                          <a:xfrm>
                            <a:off x="0" y="0"/>
                            <a:ext cx="1379076" cy="383652"/>
                          </a:xfrm>
                          <a:prstGeom prst="rect">
                            <a:avLst/>
                          </a:prstGeom>
                        </pic:spPr>
                      </pic:pic>
                    </a:graphicData>
                  </a:graphic>
                </wp:inline>
              </w:drawing>
            </w:r>
          </w:p>
          <w:p>
            <w:pPr>
              <w:spacing w:line="360" w:lineRule="auto"/>
              <w:ind w:firstLine="480" w:firstLineChars="200"/>
              <w:rPr>
                <w:sz w:val="24"/>
              </w:rPr>
            </w:pPr>
            <w:r>
              <w:rPr>
                <w:rFonts w:hint="eastAsia"/>
                <w:sz w:val="24"/>
              </w:rPr>
              <w:t>式中：Bi——表示超标项目i的超标倍数；</w:t>
            </w:r>
          </w:p>
          <w:p>
            <w:pPr>
              <w:spacing w:line="360" w:lineRule="auto"/>
              <w:ind w:firstLine="480" w:firstLineChars="200"/>
              <w:rPr>
                <w:sz w:val="24"/>
              </w:rPr>
            </w:pPr>
            <w:r>
              <w:rPr>
                <w:rFonts w:hint="eastAsia"/>
                <w:sz w:val="24"/>
              </w:rPr>
              <w:t>Ci——超标项目i的浓度值；</w:t>
            </w:r>
          </w:p>
          <w:p>
            <w:pPr>
              <w:spacing w:line="360" w:lineRule="auto"/>
              <w:ind w:firstLine="480" w:firstLineChars="200"/>
              <w:rPr>
                <w:sz w:val="24"/>
              </w:rPr>
            </w:pPr>
            <w:r>
              <w:rPr>
                <w:rFonts w:hint="eastAsia"/>
                <w:sz w:val="24"/>
              </w:rPr>
              <w:t>Si——超标项目i的浓度限值标准，一类区采用一级浓度限值标准，二类区采用二级浓度限值标准。</w:t>
            </w:r>
          </w:p>
          <w:p>
            <w:pPr>
              <w:spacing w:line="360" w:lineRule="auto"/>
              <w:ind w:firstLine="480" w:firstLineChars="200"/>
              <w:rPr>
                <w:sz w:val="24"/>
              </w:rPr>
            </w:pPr>
            <w:r>
              <w:rPr>
                <w:rFonts w:hint="eastAsia"/>
                <w:sz w:val="24"/>
              </w:rPr>
              <w:t>5、评价结果及统计分析</w:t>
            </w:r>
          </w:p>
          <w:p>
            <w:pPr>
              <w:spacing w:line="360" w:lineRule="auto"/>
              <w:ind w:firstLine="480" w:firstLineChars="200"/>
              <w:rPr>
                <w:sz w:val="24"/>
              </w:rPr>
            </w:pPr>
            <w:r>
              <w:rPr>
                <w:rFonts w:hint="eastAsia"/>
                <w:sz w:val="24"/>
              </w:rPr>
              <w:t>现场监测结果如下所示：</w:t>
            </w:r>
          </w:p>
          <w:p>
            <w:pPr>
              <w:spacing w:line="360" w:lineRule="auto"/>
              <w:ind w:firstLine="442" w:firstLineChars="200"/>
              <w:jc w:val="center"/>
              <w:rPr>
                <w:b/>
                <w:bCs/>
                <w:sz w:val="22"/>
              </w:rPr>
            </w:pPr>
            <w:r>
              <w:rPr>
                <w:rFonts w:hint="eastAsia"/>
                <w:b/>
                <w:bCs/>
                <w:sz w:val="22"/>
              </w:rPr>
              <w:t>表3-3    其他污染物补充监测结果一览表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576"/>
              <w:gridCol w:w="576"/>
              <w:gridCol w:w="675"/>
              <w:gridCol w:w="707"/>
              <w:gridCol w:w="1084"/>
              <w:gridCol w:w="1194"/>
              <w:gridCol w:w="794"/>
              <w:gridCol w:w="589"/>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29"/>
                    <w:rPr>
                      <w:kern w:val="2"/>
                      <w:sz w:val="21"/>
                      <w:szCs w:val="21"/>
                    </w:rPr>
                  </w:pPr>
                  <w:r>
                    <w:rPr>
                      <w:rFonts w:hint="eastAsia"/>
                      <w:kern w:val="2"/>
                      <w:sz w:val="21"/>
                      <w:szCs w:val="21"/>
                    </w:rPr>
                    <w:t>监测点名称</w:t>
                  </w:r>
                </w:p>
              </w:tc>
              <w:tc>
                <w:tcPr>
                  <w:tcW w:w="1152" w:type="dxa"/>
                  <w:gridSpan w:val="2"/>
                  <w:vAlign w:val="center"/>
                </w:tcPr>
                <w:p>
                  <w:pPr>
                    <w:pStyle w:val="29"/>
                    <w:rPr>
                      <w:kern w:val="2"/>
                      <w:sz w:val="21"/>
                      <w:szCs w:val="21"/>
                    </w:rPr>
                  </w:pPr>
                  <w:r>
                    <w:rPr>
                      <w:rFonts w:hint="eastAsia"/>
                      <w:kern w:val="2"/>
                      <w:sz w:val="21"/>
                      <w:szCs w:val="21"/>
                    </w:rPr>
                    <w:t>监测点坐标/m</w:t>
                  </w:r>
                </w:p>
              </w:tc>
              <w:tc>
                <w:tcPr>
                  <w:tcW w:w="675" w:type="dxa"/>
                  <w:vAlign w:val="center"/>
                </w:tcPr>
                <w:p>
                  <w:pPr>
                    <w:pStyle w:val="29"/>
                    <w:rPr>
                      <w:kern w:val="2"/>
                      <w:sz w:val="21"/>
                      <w:szCs w:val="21"/>
                    </w:rPr>
                  </w:pPr>
                  <w:r>
                    <w:rPr>
                      <w:rFonts w:hint="eastAsia"/>
                      <w:kern w:val="2"/>
                      <w:sz w:val="21"/>
                      <w:szCs w:val="21"/>
                    </w:rPr>
                    <w:t>污染物</w:t>
                  </w:r>
                </w:p>
              </w:tc>
              <w:tc>
                <w:tcPr>
                  <w:tcW w:w="707" w:type="dxa"/>
                  <w:vAlign w:val="center"/>
                </w:tcPr>
                <w:p>
                  <w:pPr>
                    <w:pStyle w:val="29"/>
                    <w:rPr>
                      <w:kern w:val="2"/>
                      <w:sz w:val="21"/>
                      <w:szCs w:val="21"/>
                    </w:rPr>
                  </w:pPr>
                  <w:r>
                    <w:rPr>
                      <w:rFonts w:hint="eastAsia"/>
                      <w:kern w:val="2"/>
                      <w:sz w:val="21"/>
                      <w:szCs w:val="21"/>
                    </w:rPr>
                    <w:t>平均时间</w:t>
                  </w:r>
                </w:p>
              </w:tc>
              <w:tc>
                <w:tcPr>
                  <w:tcW w:w="1084" w:type="dxa"/>
                  <w:vAlign w:val="center"/>
                </w:tcPr>
                <w:p>
                  <w:pPr>
                    <w:pStyle w:val="29"/>
                    <w:rPr>
                      <w:kern w:val="2"/>
                      <w:sz w:val="21"/>
                      <w:szCs w:val="21"/>
                    </w:rPr>
                  </w:pPr>
                  <w:r>
                    <w:rPr>
                      <w:rFonts w:hint="eastAsia"/>
                      <w:kern w:val="2"/>
                      <w:sz w:val="21"/>
                      <w:szCs w:val="21"/>
                    </w:rPr>
                    <w:t>评价标准/（µg/m</w:t>
                  </w:r>
                  <w:r>
                    <w:rPr>
                      <w:rFonts w:hint="eastAsia"/>
                      <w:kern w:val="2"/>
                      <w:sz w:val="21"/>
                      <w:szCs w:val="21"/>
                      <w:vertAlign w:val="superscript"/>
                    </w:rPr>
                    <w:t>3</w:t>
                  </w:r>
                  <w:r>
                    <w:rPr>
                      <w:rFonts w:hint="eastAsia"/>
                      <w:kern w:val="2"/>
                      <w:sz w:val="21"/>
                      <w:szCs w:val="21"/>
                    </w:rPr>
                    <w:t>）</w:t>
                  </w:r>
                </w:p>
              </w:tc>
              <w:tc>
                <w:tcPr>
                  <w:tcW w:w="1194" w:type="dxa"/>
                  <w:vAlign w:val="center"/>
                </w:tcPr>
                <w:p>
                  <w:pPr>
                    <w:pStyle w:val="29"/>
                    <w:rPr>
                      <w:kern w:val="2"/>
                      <w:sz w:val="21"/>
                      <w:szCs w:val="21"/>
                    </w:rPr>
                  </w:pPr>
                  <w:r>
                    <w:rPr>
                      <w:rFonts w:hint="eastAsia"/>
                      <w:kern w:val="2"/>
                      <w:sz w:val="21"/>
                      <w:szCs w:val="21"/>
                    </w:rPr>
                    <w:t>监测浓度范围/（µg/m</w:t>
                  </w:r>
                  <w:r>
                    <w:rPr>
                      <w:rFonts w:hint="eastAsia"/>
                      <w:kern w:val="2"/>
                      <w:sz w:val="21"/>
                      <w:szCs w:val="21"/>
                      <w:vertAlign w:val="superscript"/>
                    </w:rPr>
                    <w:t>3</w:t>
                  </w:r>
                  <w:r>
                    <w:rPr>
                      <w:rFonts w:hint="eastAsia"/>
                      <w:kern w:val="2"/>
                      <w:sz w:val="21"/>
                      <w:szCs w:val="21"/>
                    </w:rPr>
                    <w:t>）</w:t>
                  </w:r>
                </w:p>
              </w:tc>
              <w:tc>
                <w:tcPr>
                  <w:tcW w:w="794" w:type="dxa"/>
                  <w:vAlign w:val="center"/>
                </w:tcPr>
                <w:p>
                  <w:pPr>
                    <w:pStyle w:val="29"/>
                    <w:rPr>
                      <w:kern w:val="2"/>
                      <w:sz w:val="21"/>
                      <w:szCs w:val="21"/>
                    </w:rPr>
                  </w:pPr>
                  <w:r>
                    <w:rPr>
                      <w:rFonts w:hint="eastAsia"/>
                      <w:kern w:val="2"/>
                      <w:sz w:val="21"/>
                      <w:szCs w:val="21"/>
                    </w:rPr>
                    <w:t>最大浓度占标率/%</w:t>
                  </w:r>
                </w:p>
              </w:tc>
              <w:tc>
                <w:tcPr>
                  <w:tcW w:w="589" w:type="dxa"/>
                  <w:vAlign w:val="center"/>
                </w:tcPr>
                <w:p>
                  <w:pPr>
                    <w:pStyle w:val="29"/>
                    <w:rPr>
                      <w:kern w:val="2"/>
                      <w:sz w:val="21"/>
                      <w:szCs w:val="21"/>
                    </w:rPr>
                  </w:pPr>
                  <w:r>
                    <w:rPr>
                      <w:rFonts w:hint="eastAsia"/>
                      <w:kern w:val="2"/>
                      <w:sz w:val="21"/>
                      <w:szCs w:val="21"/>
                    </w:rPr>
                    <w:t>超标率/%</w:t>
                  </w:r>
                </w:p>
              </w:tc>
              <w:tc>
                <w:tcPr>
                  <w:tcW w:w="572" w:type="dxa"/>
                  <w:vAlign w:val="center"/>
                </w:tcPr>
                <w:p>
                  <w:pPr>
                    <w:pStyle w:val="29"/>
                    <w:rPr>
                      <w:kern w:val="2"/>
                      <w:sz w:val="21"/>
                      <w:szCs w:val="21"/>
                    </w:rPr>
                  </w:pPr>
                  <w:r>
                    <w:rPr>
                      <w:rFonts w:hint="eastAsia"/>
                      <w:kern w:val="2"/>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pStyle w:val="29"/>
                    <w:rPr>
                      <w:kern w:val="2"/>
                      <w:sz w:val="21"/>
                      <w:szCs w:val="21"/>
                    </w:rPr>
                  </w:pPr>
                  <w:r>
                    <w:rPr>
                      <w:rFonts w:hint="eastAsia"/>
                      <w:kern w:val="2"/>
                      <w:sz w:val="21"/>
                      <w:szCs w:val="21"/>
                    </w:rPr>
                    <w:t>G1</w:t>
                  </w:r>
                </w:p>
              </w:tc>
              <w:tc>
                <w:tcPr>
                  <w:tcW w:w="576" w:type="dxa"/>
                  <w:vMerge w:val="restart"/>
                  <w:vAlign w:val="center"/>
                </w:tcPr>
                <w:p>
                  <w:pPr>
                    <w:pStyle w:val="29"/>
                    <w:rPr>
                      <w:kern w:val="2"/>
                      <w:sz w:val="21"/>
                      <w:szCs w:val="21"/>
                    </w:rPr>
                  </w:pPr>
                  <w:r>
                    <w:rPr>
                      <w:rFonts w:hint="eastAsia"/>
                      <w:kern w:val="2"/>
                      <w:sz w:val="21"/>
                      <w:szCs w:val="21"/>
                    </w:rPr>
                    <w:t>-50</w:t>
                  </w:r>
                </w:p>
              </w:tc>
              <w:tc>
                <w:tcPr>
                  <w:tcW w:w="576" w:type="dxa"/>
                  <w:vMerge w:val="restart"/>
                  <w:vAlign w:val="center"/>
                </w:tcPr>
                <w:p>
                  <w:pPr>
                    <w:pStyle w:val="29"/>
                    <w:rPr>
                      <w:kern w:val="2"/>
                      <w:sz w:val="21"/>
                      <w:szCs w:val="21"/>
                    </w:rPr>
                  </w:pPr>
                  <w:r>
                    <w:rPr>
                      <w:rFonts w:hint="eastAsia"/>
                      <w:kern w:val="2"/>
                      <w:sz w:val="21"/>
                      <w:szCs w:val="21"/>
                    </w:rPr>
                    <w:t>0</w:t>
                  </w:r>
                </w:p>
              </w:tc>
              <w:tc>
                <w:tcPr>
                  <w:tcW w:w="675" w:type="dxa"/>
                  <w:vAlign w:val="center"/>
                </w:tcPr>
                <w:p>
                  <w:pPr>
                    <w:pStyle w:val="29"/>
                    <w:rPr>
                      <w:kern w:val="2"/>
                      <w:sz w:val="21"/>
                      <w:szCs w:val="21"/>
                    </w:rPr>
                  </w:pPr>
                  <w:r>
                    <w:rPr>
                      <w:rFonts w:hint="eastAsia"/>
                      <w:kern w:val="2"/>
                      <w:sz w:val="21"/>
                      <w:szCs w:val="21"/>
                    </w:rPr>
                    <w:t>氨</w:t>
                  </w:r>
                </w:p>
              </w:tc>
              <w:tc>
                <w:tcPr>
                  <w:tcW w:w="707" w:type="dxa"/>
                  <w:vAlign w:val="center"/>
                </w:tcPr>
                <w:p>
                  <w:pPr>
                    <w:pStyle w:val="29"/>
                    <w:rPr>
                      <w:kern w:val="2"/>
                      <w:sz w:val="21"/>
                      <w:szCs w:val="21"/>
                    </w:rPr>
                  </w:pPr>
                  <w:r>
                    <w:rPr>
                      <w:rFonts w:hint="eastAsia"/>
                      <w:kern w:val="2"/>
                      <w:sz w:val="21"/>
                      <w:szCs w:val="21"/>
                    </w:rPr>
                    <w:t>小时平均</w:t>
                  </w:r>
                </w:p>
              </w:tc>
              <w:tc>
                <w:tcPr>
                  <w:tcW w:w="1084" w:type="dxa"/>
                  <w:vAlign w:val="center"/>
                </w:tcPr>
                <w:p>
                  <w:pPr>
                    <w:pStyle w:val="29"/>
                    <w:rPr>
                      <w:kern w:val="2"/>
                      <w:sz w:val="21"/>
                      <w:szCs w:val="21"/>
                    </w:rPr>
                  </w:pPr>
                  <w:r>
                    <w:rPr>
                      <w:rFonts w:hint="eastAsia"/>
                      <w:kern w:val="2"/>
                      <w:sz w:val="21"/>
                      <w:szCs w:val="21"/>
                    </w:rPr>
                    <w:t>200</w:t>
                  </w:r>
                </w:p>
              </w:tc>
              <w:tc>
                <w:tcPr>
                  <w:tcW w:w="1194" w:type="dxa"/>
                  <w:vAlign w:val="center"/>
                </w:tcPr>
                <w:p>
                  <w:pPr>
                    <w:pStyle w:val="29"/>
                    <w:rPr>
                      <w:kern w:val="2"/>
                      <w:sz w:val="21"/>
                      <w:szCs w:val="21"/>
                    </w:rPr>
                  </w:pPr>
                  <w:r>
                    <w:rPr>
                      <w:rFonts w:hint="eastAsia"/>
                      <w:kern w:val="2"/>
                      <w:sz w:val="21"/>
                      <w:szCs w:val="21"/>
                    </w:rPr>
                    <w:t>40-60</w:t>
                  </w:r>
                </w:p>
              </w:tc>
              <w:tc>
                <w:tcPr>
                  <w:tcW w:w="794" w:type="dxa"/>
                  <w:vAlign w:val="center"/>
                </w:tcPr>
                <w:p>
                  <w:pPr>
                    <w:pStyle w:val="29"/>
                    <w:rPr>
                      <w:kern w:val="2"/>
                      <w:sz w:val="21"/>
                      <w:szCs w:val="21"/>
                    </w:rPr>
                  </w:pPr>
                  <w:r>
                    <w:rPr>
                      <w:rFonts w:hint="eastAsia"/>
                      <w:kern w:val="2"/>
                      <w:sz w:val="21"/>
                      <w:szCs w:val="21"/>
                    </w:rPr>
                    <w:t>30</w:t>
                  </w:r>
                </w:p>
              </w:tc>
              <w:tc>
                <w:tcPr>
                  <w:tcW w:w="589" w:type="dxa"/>
                  <w:vAlign w:val="center"/>
                </w:tcPr>
                <w:p>
                  <w:pPr>
                    <w:pStyle w:val="29"/>
                    <w:rPr>
                      <w:kern w:val="2"/>
                      <w:sz w:val="21"/>
                      <w:szCs w:val="21"/>
                    </w:rPr>
                  </w:pPr>
                  <w:r>
                    <w:rPr>
                      <w:rFonts w:hint="eastAsia"/>
                      <w:kern w:val="2"/>
                      <w:sz w:val="21"/>
                      <w:szCs w:val="21"/>
                    </w:rPr>
                    <w:t>0</w:t>
                  </w:r>
                </w:p>
              </w:tc>
              <w:tc>
                <w:tcPr>
                  <w:tcW w:w="572" w:type="dxa"/>
                  <w:vAlign w:val="center"/>
                </w:tcPr>
                <w:p>
                  <w:pPr>
                    <w:pStyle w:val="29"/>
                    <w:rPr>
                      <w:kern w:val="2"/>
                      <w:sz w:val="21"/>
                      <w:szCs w:val="21"/>
                    </w:rPr>
                  </w:pPr>
                  <w:r>
                    <w:rPr>
                      <w:rFonts w:hint="eastAsia"/>
                      <w:kern w:val="2"/>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pStyle w:val="29"/>
                    <w:rPr>
                      <w:kern w:val="2"/>
                      <w:sz w:val="21"/>
                      <w:szCs w:val="21"/>
                    </w:rPr>
                  </w:pPr>
                </w:p>
              </w:tc>
              <w:tc>
                <w:tcPr>
                  <w:tcW w:w="576" w:type="dxa"/>
                  <w:vMerge w:val="continue"/>
                  <w:vAlign w:val="center"/>
                </w:tcPr>
                <w:p>
                  <w:pPr>
                    <w:pStyle w:val="29"/>
                    <w:rPr>
                      <w:kern w:val="2"/>
                      <w:sz w:val="21"/>
                      <w:szCs w:val="21"/>
                    </w:rPr>
                  </w:pPr>
                </w:p>
              </w:tc>
              <w:tc>
                <w:tcPr>
                  <w:tcW w:w="576" w:type="dxa"/>
                  <w:vMerge w:val="continue"/>
                  <w:vAlign w:val="center"/>
                </w:tcPr>
                <w:p>
                  <w:pPr>
                    <w:pStyle w:val="29"/>
                    <w:rPr>
                      <w:kern w:val="2"/>
                      <w:sz w:val="21"/>
                      <w:szCs w:val="21"/>
                    </w:rPr>
                  </w:pPr>
                </w:p>
              </w:tc>
              <w:tc>
                <w:tcPr>
                  <w:tcW w:w="675" w:type="dxa"/>
                  <w:vAlign w:val="center"/>
                </w:tcPr>
                <w:p>
                  <w:pPr>
                    <w:pStyle w:val="29"/>
                    <w:rPr>
                      <w:kern w:val="2"/>
                      <w:sz w:val="21"/>
                      <w:szCs w:val="21"/>
                    </w:rPr>
                  </w:pPr>
                  <w:r>
                    <w:rPr>
                      <w:rFonts w:hint="eastAsia"/>
                      <w:kern w:val="2"/>
                      <w:sz w:val="21"/>
                      <w:szCs w:val="21"/>
                    </w:rPr>
                    <w:t>硫化氢</w:t>
                  </w:r>
                </w:p>
              </w:tc>
              <w:tc>
                <w:tcPr>
                  <w:tcW w:w="707" w:type="dxa"/>
                  <w:vAlign w:val="center"/>
                </w:tcPr>
                <w:p>
                  <w:pPr>
                    <w:pStyle w:val="29"/>
                    <w:rPr>
                      <w:kern w:val="2"/>
                      <w:sz w:val="21"/>
                      <w:szCs w:val="21"/>
                    </w:rPr>
                  </w:pPr>
                  <w:r>
                    <w:rPr>
                      <w:rFonts w:hint="eastAsia"/>
                      <w:kern w:val="2"/>
                      <w:sz w:val="21"/>
                      <w:szCs w:val="21"/>
                    </w:rPr>
                    <w:t>小时平均</w:t>
                  </w:r>
                </w:p>
              </w:tc>
              <w:tc>
                <w:tcPr>
                  <w:tcW w:w="1084" w:type="dxa"/>
                  <w:vAlign w:val="center"/>
                </w:tcPr>
                <w:p>
                  <w:pPr>
                    <w:pStyle w:val="29"/>
                    <w:rPr>
                      <w:kern w:val="2"/>
                      <w:sz w:val="21"/>
                      <w:szCs w:val="21"/>
                    </w:rPr>
                  </w:pPr>
                  <w:r>
                    <w:rPr>
                      <w:rFonts w:hint="eastAsia"/>
                      <w:kern w:val="2"/>
                      <w:sz w:val="21"/>
                      <w:szCs w:val="21"/>
                    </w:rPr>
                    <w:t>10</w:t>
                  </w:r>
                </w:p>
              </w:tc>
              <w:tc>
                <w:tcPr>
                  <w:tcW w:w="1194" w:type="dxa"/>
                  <w:vAlign w:val="center"/>
                </w:tcPr>
                <w:p>
                  <w:pPr>
                    <w:pStyle w:val="29"/>
                    <w:rPr>
                      <w:kern w:val="2"/>
                      <w:sz w:val="21"/>
                      <w:szCs w:val="21"/>
                    </w:rPr>
                  </w:pPr>
                  <w:r>
                    <w:rPr>
                      <w:rFonts w:hint="eastAsia"/>
                      <w:kern w:val="2"/>
                      <w:sz w:val="21"/>
                      <w:szCs w:val="21"/>
                    </w:rPr>
                    <w:t>7-10</w:t>
                  </w:r>
                </w:p>
              </w:tc>
              <w:tc>
                <w:tcPr>
                  <w:tcW w:w="794" w:type="dxa"/>
                  <w:vAlign w:val="center"/>
                </w:tcPr>
                <w:p>
                  <w:pPr>
                    <w:pStyle w:val="29"/>
                    <w:rPr>
                      <w:kern w:val="2"/>
                      <w:sz w:val="21"/>
                      <w:szCs w:val="21"/>
                    </w:rPr>
                  </w:pPr>
                  <w:r>
                    <w:rPr>
                      <w:rFonts w:hint="eastAsia"/>
                      <w:kern w:val="2"/>
                      <w:sz w:val="21"/>
                      <w:szCs w:val="21"/>
                    </w:rPr>
                    <w:t>100</w:t>
                  </w:r>
                </w:p>
              </w:tc>
              <w:tc>
                <w:tcPr>
                  <w:tcW w:w="589" w:type="dxa"/>
                  <w:vAlign w:val="center"/>
                </w:tcPr>
                <w:p>
                  <w:pPr>
                    <w:pStyle w:val="29"/>
                    <w:rPr>
                      <w:kern w:val="2"/>
                      <w:sz w:val="21"/>
                      <w:szCs w:val="21"/>
                    </w:rPr>
                  </w:pPr>
                  <w:r>
                    <w:rPr>
                      <w:rFonts w:hint="eastAsia"/>
                      <w:kern w:val="2"/>
                      <w:sz w:val="21"/>
                      <w:szCs w:val="21"/>
                    </w:rPr>
                    <w:t>0</w:t>
                  </w:r>
                </w:p>
              </w:tc>
              <w:tc>
                <w:tcPr>
                  <w:tcW w:w="572" w:type="dxa"/>
                  <w:vAlign w:val="center"/>
                </w:tcPr>
                <w:p>
                  <w:pPr>
                    <w:pStyle w:val="29"/>
                    <w:rPr>
                      <w:kern w:val="2"/>
                      <w:sz w:val="21"/>
                      <w:szCs w:val="21"/>
                    </w:rPr>
                  </w:pPr>
                  <w:r>
                    <w:rPr>
                      <w:rFonts w:hint="eastAsia"/>
                      <w:kern w:val="2"/>
                      <w:sz w:val="21"/>
                      <w:szCs w:val="21"/>
                    </w:rPr>
                    <w:t>达标</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由以上监测结果可知，区域环境空气质量中氨、硫化氢均满足《环境影响评价技术导则 大气环境》（HJ2.2-2018）附录D其它污染物空气质量浓度参考限值。</w:t>
            </w:r>
          </w:p>
          <w:p>
            <w:pPr>
              <w:spacing w:line="360" w:lineRule="auto"/>
              <w:ind w:firstLine="480" w:firstLineChars="200"/>
              <w:rPr>
                <w:sz w:val="24"/>
              </w:rPr>
            </w:pPr>
            <w:r>
              <w:rPr>
                <w:rFonts w:hint="eastAsia"/>
                <w:sz w:val="24"/>
              </w:rPr>
              <w:t>二、项目所在地区域地表水环境质量现状及评价</w:t>
            </w:r>
          </w:p>
          <w:p>
            <w:pPr>
              <w:spacing w:line="360" w:lineRule="auto"/>
              <w:ind w:firstLine="480" w:firstLineChars="200"/>
              <w:rPr>
                <w:sz w:val="24"/>
              </w:rPr>
            </w:pPr>
            <w:r>
              <w:rPr>
                <w:rFonts w:hint="eastAsia"/>
                <w:sz w:val="24"/>
              </w:rPr>
              <w:t>本</w:t>
            </w:r>
            <w:bookmarkStart w:id="5" w:name="_Hlk170971985"/>
            <w:r>
              <w:rPr>
                <w:rFonts w:hint="eastAsia"/>
                <w:sz w:val="24"/>
              </w:rPr>
              <w:t>项目的受纳水体为澹水。本项目废水经市政污水管网排入澧县污水处理厂处理，处理达标后排入澹水河。为了解澹水水质情况，本次评价引用《关于2023年1月-12月全市环境质量状况的通报》中澹水中河口断面监测数据</w:t>
            </w:r>
            <w:bookmarkEnd w:id="5"/>
            <w:r>
              <w:rPr>
                <w:rFonts w:hint="eastAsia"/>
                <w:sz w:val="24"/>
              </w:rPr>
              <w:t>，水质监测情况如下表：</w:t>
            </w:r>
          </w:p>
          <w:p>
            <w:pPr>
              <w:spacing w:line="360" w:lineRule="auto"/>
              <w:jc w:val="center"/>
              <w:rPr>
                <w:b/>
                <w:szCs w:val="21"/>
              </w:rPr>
            </w:pPr>
            <w:r>
              <w:rPr>
                <w:rFonts w:hint="eastAsia" w:ascii="宋体" w:hAnsi="宋体"/>
                <w:b/>
              </w:rPr>
              <w:t>表</w:t>
            </w:r>
            <w:r>
              <w:rPr>
                <w:rFonts w:hint="eastAsia"/>
                <w:b/>
              </w:rPr>
              <w:t>3-</w:t>
            </w:r>
            <w:r>
              <w:rPr>
                <w:b/>
              </w:rPr>
              <w:t xml:space="preserve">4  </w:t>
            </w:r>
            <w:r>
              <w:rPr>
                <w:rFonts w:hint="eastAsia"/>
                <w:b/>
              </w:rPr>
              <w:t xml:space="preserve">  </w:t>
            </w:r>
            <w:r>
              <w:rPr>
                <w:rFonts w:hint="eastAsia" w:ascii="宋体" w:hAnsi="宋体"/>
                <w:b/>
              </w:rPr>
              <w:t>地表水现状监测结果一览表</w:t>
            </w:r>
            <w:r>
              <w:rPr>
                <w:rFonts w:hint="eastAsia"/>
                <w:b/>
              </w:rPr>
              <w:tab/>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pct"/>
                  <w:vMerge w:val="restart"/>
                  <w:tcBorders>
                    <w:top w:val="single" w:color="auto" w:sz="4" w:space="0"/>
                    <w:left w:val="single" w:color="auto" w:sz="4" w:space="0"/>
                    <w:bottom w:val="single" w:color="auto" w:sz="4" w:space="0"/>
                    <w:right w:val="single" w:color="auto" w:sz="4" w:space="0"/>
                  </w:tcBorders>
                  <w:vAlign w:val="center"/>
                </w:tcPr>
                <w:p>
                  <w:pPr>
                    <w:jc w:val="center"/>
                    <w:rPr>
                      <w:b/>
                      <w:kern w:val="0"/>
                      <w:sz w:val="21"/>
                      <w:szCs w:val="28"/>
                    </w:rPr>
                  </w:pPr>
                  <w:r>
                    <w:rPr>
                      <w:rFonts w:hint="eastAsia" w:ascii="宋体" w:hAnsi="宋体"/>
                      <w:b/>
                      <w:kern w:val="0"/>
                      <w:sz w:val="21"/>
                      <w:szCs w:val="28"/>
                    </w:rPr>
                    <w:t>月份</w:t>
                  </w:r>
                </w:p>
              </w:tc>
              <w:tc>
                <w:tcPr>
                  <w:tcW w:w="3531" w:type="pct"/>
                  <w:tcBorders>
                    <w:top w:val="single" w:color="auto" w:sz="4" w:space="0"/>
                    <w:left w:val="single" w:color="auto" w:sz="4" w:space="0"/>
                    <w:bottom w:val="single" w:color="auto" w:sz="4" w:space="0"/>
                    <w:right w:val="single" w:color="auto" w:sz="4" w:space="0"/>
                  </w:tcBorders>
                  <w:vAlign w:val="center"/>
                </w:tcPr>
                <w:p>
                  <w:pPr>
                    <w:jc w:val="center"/>
                    <w:rPr>
                      <w:b/>
                      <w:kern w:val="0"/>
                      <w:sz w:val="21"/>
                      <w:szCs w:val="28"/>
                    </w:rPr>
                  </w:pPr>
                  <w:r>
                    <w:rPr>
                      <w:rFonts w:hint="eastAsia" w:ascii="宋体" w:hAnsi="宋体"/>
                      <w:b/>
                      <w:kern w:val="0"/>
                      <w:sz w:val="21"/>
                      <w:szCs w:val="28"/>
                    </w:rPr>
                    <w:t>水质类别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kern w:val="2"/>
                      <w:sz w:val="21"/>
                      <w:szCs w:val="28"/>
                    </w:rPr>
                  </w:pPr>
                </w:p>
              </w:tc>
              <w:tc>
                <w:tcPr>
                  <w:tcW w:w="3531" w:type="pct"/>
                  <w:tcBorders>
                    <w:top w:val="single" w:color="auto" w:sz="4" w:space="0"/>
                    <w:left w:val="single" w:color="auto" w:sz="4" w:space="0"/>
                    <w:bottom w:val="single" w:color="auto" w:sz="4" w:space="0"/>
                    <w:right w:val="single" w:color="auto" w:sz="4" w:space="0"/>
                  </w:tcBorders>
                  <w:vAlign w:val="center"/>
                </w:tcPr>
                <w:p>
                  <w:pPr>
                    <w:jc w:val="center"/>
                    <w:rPr>
                      <w:b/>
                      <w:kern w:val="0"/>
                      <w:sz w:val="21"/>
                      <w:szCs w:val="28"/>
                    </w:rPr>
                  </w:pPr>
                  <w:r>
                    <w:rPr>
                      <w:rFonts w:hint="eastAsia" w:ascii="宋体" w:hAnsi="宋体"/>
                      <w:b/>
                      <w:kern w:val="0"/>
                      <w:sz w:val="21"/>
                      <w:szCs w:val="28"/>
                    </w:rPr>
                    <w:t>澹水中河口断面（县界、市考核）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1</w:t>
                  </w:r>
                  <w:r>
                    <w:rPr>
                      <w:rFonts w:hint="eastAsia" w:ascii="宋体" w:hAnsi="宋体"/>
                      <w:kern w:val="0"/>
                      <w:sz w:val="21"/>
                      <w:szCs w:val="28"/>
                    </w:rPr>
                    <w:t>月</w:t>
                  </w:r>
                </w:p>
              </w:tc>
              <w:tc>
                <w:tcPr>
                  <w:tcW w:w="3531"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9"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2</w:t>
                  </w:r>
                  <w:r>
                    <w:rPr>
                      <w:rFonts w:hint="eastAsia" w:ascii="宋体" w:hAnsi="宋体"/>
                      <w:kern w:val="0"/>
                      <w:sz w:val="21"/>
                      <w:szCs w:val="28"/>
                    </w:rPr>
                    <w:t>月</w:t>
                  </w:r>
                </w:p>
              </w:tc>
              <w:tc>
                <w:tcPr>
                  <w:tcW w:w="3531"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3</w:t>
                  </w:r>
                  <w:r>
                    <w:rPr>
                      <w:rFonts w:hint="eastAsia" w:ascii="宋体" w:hAnsi="宋体"/>
                      <w:kern w:val="0"/>
                      <w:sz w:val="21"/>
                      <w:szCs w:val="28"/>
                    </w:rPr>
                    <w:t>月</w:t>
                  </w:r>
                </w:p>
              </w:tc>
              <w:tc>
                <w:tcPr>
                  <w:tcW w:w="3531"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4</w:t>
                  </w:r>
                  <w:r>
                    <w:rPr>
                      <w:rFonts w:hint="eastAsia" w:ascii="宋体" w:hAnsi="宋体"/>
                      <w:kern w:val="0"/>
                      <w:sz w:val="21"/>
                      <w:szCs w:val="28"/>
                    </w:rPr>
                    <w:t>月</w:t>
                  </w:r>
                </w:p>
              </w:tc>
              <w:tc>
                <w:tcPr>
                  <w:tcW w:w="3531"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5</w:t>
                  </w:r>
                  <w:r>
                    <w:rPr>
                      <w:rFonts w:hint="eastAsia" w:ascii="宋体" w:hAnsi="宋体"/>
                      <w:kern w:val="0"/>
                      <w:sz w:val="21"/>
                      <w:szCs w:val="28"/>
                    </w:rPr>
                    <w:t>月</w:t>
                  </w:r>
                </w:p>
              </w:tc>
              <w:tc>
                <w:tcPr>
                  <w:tcW w:w="3531"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9"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6</w:t>
                  </w:r>
                  <w:r>
                    <w:rPr>
                      <w:rFonts w:hint="eastAsia" w:ascii="宋体" w:hAnsi="宋体"/>
                      <w:kern w:val="0"/>
                      <w:sz w:val="21"/>
                      <w:szCs w:val="28"/>
                    </w:rPr>
                    <w:t>月</w:t>
                  </w:r>
                </w:p>
              </w:tc>
              <w:tc>
                <w:tcPr>
                  <w:tcW w:w="3531"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7</w:t>
                  </w:r>
                  <w:r>
                    <w:rPr>
                      <w:rFonts w:hint="eastAsia" w:ascii="宋体" w:hAnsi="宋体"/>
                      <w:kern w:val="0"/>
                      <w:sz w:val="21"/>
                      <w:szCs w:val="28"/>
                    </w:rPr>
                    <w:t>月</w:t>
                  </w:r>
                </w:p>
              </w:tc>
              <w:tc>
                <w:tcPr>
                  <w:tcW w:w="3531"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8</w:t>
                  </w:r>
                  <w:r>
                    <w:rPr>
                      <w:rFonts w:hint="eastAsia" w:ascii="宋体" w:hAnsi="宋体"/>
                      <w:kern w:val="0"/>
                      <w:sz w:val="21"/>
                      <w:szCs w:val="28"/>
                    </w:rPr>
                    <w:t>月</w:t>
                  </w:r>
                </w:p>
              </w:tc>
              <w:tc>
                <w:tcPr>
                  <w:tcW w:w="3531"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9</w:t>
                  </w:r>
                  <w:r>
                    <w:rPr>
                      <w:rFonts w:hint="eastAsia" w:ascii="宋体" w:hAnsi="宋体"/>
                      <w:kern w:val="0"/>
                      <w:sz w:val="21"/>
                      <w:szCs w:val="28"/>
                    </w:rPr>
                    <w:t>月</w:t>
                  </w:r>
                </w:p>
              </w:tc>
              <w:tc>
                <w:tcPr>
                  <w:tcW w:w="3531"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9"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10</w:t>
                  </w:r>
                  <w:r>
                    <w:rPr>
                      <w:rFonts w:hint="eastAsia" w:ascii="宋体" w:hAnsi="宋体"/>
                      <w:kern w:val="0"/>
                      <w:sz w:val="21"/>
                      <w:szCs w:val="28"/>
                    </w:rPr>
                    <w:t>月</w:t>
                  </w:r>
                </w:p>
              </w:tc>
              <w:tc>
                <w:tcPr>
                  <w:tcW w:w="3531"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11</w:t>
                  </w:r>
                  <w:r>
                    <w:rPr>
                      <w:rFonts w:hint="eastAsia" w:ascii="宋体" w:hAnsi="宋体"/>
                      <w:kern w:val="0"/>
                      <w:sz w:val="21"/>
                      <w:szCs w:val="28"/>
                    </w:rPr>
                    <w:t>月</w:t>
                  </w:r>
                </w:p>
              </w:tc>
              <w:tc>
                <w:tcPr>
                  <w:tcW w:w="3531"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12</w:t>
                  </w:r>
                  <w:r>
                    <w:rPr>
                      <w:rFonts w:hint="eastAsia" w:ascii="宋体" w:hAnsi="宋体"/>
                      <w:kern w:val="0"/>
                      <w:sz w:val="21"/>
                      <w:szCs w:val="28"/>
                    </w:rPr>
                    <w:t>月</w:t>
                  </w:r>
                </w:p>
              </w:tc>
              <w:tc>
                <w:tcPr>
                  <w:tcW w:w="3531" w:type="pct"/>
                  <w:tcBorders>
                    <w:top w:val="single" w:color="auto" w:sz="4" w:space="0"/>
                    <w:left w:val="single" w:color="auto" w:sz="4" w:space="0"/>
                    <w:bottom w:val="single" w:color="auto" w:sz="4" w:space="0"/>
                    <w:right w:val="single" w:color="auto" w:sz="4" w:space="0"/>
                  </w:tcBorders>
                </w:tcPr>
                <w:p>
                  <w:pPr>
                    <w:jc w:val="center"/>
                    <w:rPr>
                      <w:kern w:val="0"/>
                      <w:sz w:val="21"/>
                      <w:szCs w:val="28"/>
                    </w:rPr>
                  </w:pPr>
                  <w:r>
                    <w:rPr>
                      <w:rFonts w:hint="eastAsia"/>
                      <w:kern w:val="0"/>
                      <w:sz w:val="21"/>
                      <w:szCs w:val="28"/>
                    </w:rPr>
                    <w:t>III</w:t>
                  </w:r>
                </w:p>
              </w:tc>
            </w:tr>
          </w:tbl>
          <w:p>
            <w:pPr>
              <w:spacing w:before="156" w:beforeLines="50" w:line="360" w:lineRule="auto"/>
              <w:ind w:firstLine="480" w:firstLineChars="200"/>
              <w:rPr>
                <w:sz w:val="24"/>
              </w:rPr>
            </w:pPr>
            <w:bookmarkStart w:id="6" w:name="_Hlk170971999"/>
            <w:r>
              <w:rPr>
                <w:sz w:val="24"/>
              </w:rPr>
              <w:t>根据上述水质状况统计表，除11月外，澹水监测断面基本达到《地表水环境质量标准》</w:t>
            </w:r>
            <w:r>
              <w:rPr>
                <w:rFonts w:hint="eastAsia"/>
                <w:sz w:val="24"/>
              </w:rPr>
              <w:t>（GB3838-2002）Ⅲ</w:t>
            </w:r>
            <w:r>
              <w:rPr>
                <w:sz w:val="24"/>
              </w:rPr>
              <w:t>类水质标准，流域地表水环境质量现状良好。</w:t>
            </w:r>
            <w:bookmarkEnd w:id="6"/>
          </w:p>
          <w:p>
            <w:pPr>
              <w:spacing w:line="360" w:lineRule="auto"/>
              <w:ind w:firstLine="480" w:firstLineChars="200"/>
              <w:rPr>
                <w:sz w:val="24"/>
              </w:rPr>
            </w:pPr>
            <w:r>
              <w:rPr>
                <w:rFonts w:hint="eastAsia"/>
                <w:sz w:val="24"/>
              </w:rPr>
              <w:t>三、项目所在地声环境质量现状</w:t>
            </w:r>
          </w:p>
          <w:p>
            <w:pPr>
              <w:spacing w:line="360" w:lineRule="auto"/>
              <w:ind w:firstLine="480" w:firstLineChars="200"/>
              <w:rPr>
                <w:sz w:val="24"/>
              </w:rPr>
            </w:pPr>
            <w:r>
              <w:rPr>
                <w:rFonts w:hint="eastAsia"/>
                <w:sz w:val="24"/>
              </w:rPr>
              <w:t>1、监测布点</w:t>
            </w:r>
          </w:p>
          <w:p>
            <w:pPr>
              <w:spacing w:line="360" w:lineRule="auto"/>
              <w:ind w:firstLine="480" w:firstLineChars="200"/>
              <w:rPr>
                <w:sz w:val="24"/>
              </w:rPr>
            </w:pPr>
            <w:r>
              <w:rPr>
                <w:rFonts w:hint="eastAsia"/>
                <w:sz w:val="24"/>
              </w:rPr>
              <w:t>本评价委托湖南华科检测技术有限公司对企业厂界四周、最近居民点进行了布点监测，监测点布设见附图监测点位示意图。</w:t>
            </w:r>
          </w:p>
          <w:p>
            <w:pPr>
              <w:spacing w:line="360" w:lineRule="auto"/>
              <w:ind w:firstLine="480" w:firstLineChars="200"/>
              <w:rPr>
                <w:sz w:val="24"/>
              </w:rPr>
            </w:pPr>
            <w:r>
              <w:rPr>
                <w:rFonts w:hint="eastAsia"/>
                <w:sz w:val="24"/>
              </w:rPr>
              <w:t>2、监测时间与频率</w:t>
            </w:r>
          </w:p>
          <w:p>
            <w:pPr>
              <w:spacing w:line="360" w:lineRule="auto"/>
              <w:ind w:firstLine="480" w:firstLineChars="200"/>
              <w:rPr>
                <w:sz w:val="24"/>
              </w:rPr>
            </w:pPr>
            <w:r>
              <w:rPr>
                <w:rFonts w:hint="eastAsia"/>
                <w:sz w:val="24"/>
              </w:rPr>
              <w:t>湖南华科检测技术有限公司于</w:t>
            </w:r>
            <w:r>
              <w:rPr>
                <w:kern w:val="0"/>
                <w:sz w:val="24"/>
                <w:szCs w:val="20"/>
              </w:rPr>
              <w:t>202</w:t>
            </w:r>
            <w:r>
              <w:rPr>
                <w:rFonts w:hint="eastAsia"/>
                <w:kern w:val="0"/>
                <w:sz w:val="24"/>
                <w:szCs w:val="20"/>
              </w:rPr>
              <w:t>4年6月7日-8</w:t>
            </w:r>
            <w:r>
              <w:rPr>
                <w:rFonts w:hint="eastAsia"/>
                <w:sz w:val="24"/>
              </w:rPr>
              <w:t>日对医院周边环境进行噪声检测进行了为期两天的噪声监测，分昼、夜两个时段监测。</w:t>
            </w:r>
          </w:p>
          <w:p>
            <w:pPr>
              <w:spacing w:line="360" w:lineRule="auto"/>
              <w:ind w:firstLine="480" w:firstLineChars="200"/>
              <w:rPr>
                <w:sz w:val="24"/>
              </w:rPr>
            </w:pPr>
            <w:r>
              <w:rPr>
                <w:rFonts w:hint="eastAsia"/>
                <w:sz w:val="24"/>
              </w:rPr>
              <w:t>3、监测结果及评价</w:t>
            </w:r>
          </w:p>
          <w:p>
            <w:pPr>
              <w:spacing w:line="360" w:lineRule="auto"/>
              <w:ind w:firstLine="480" w:firstLineChars="200"/>
              <w:rPr>
                <w:sz w:val="24"/>
              </w:rPr>
            </w:pPr>
            <w:r>
              <w:rPr>
                <w:rFonts w:hint="eastAsia"/>
                <w:sz w:val="24"/>
              </w:rPr>
              <w:t>厂界四周及居民敏感点声环境质量现状监测结果列于下表。</w:t>
            </w:r>
          </w:p>
          <w:p>
            <w:pPr>
              <w:spacing w:line="360" w:lineRule="auto"/>
              <w:ind w:firstLine="442" w:firstLineChars="200"/>
              <w:jc w:val="center"/>
              <w:rPr>
                <w:b/>
                <w:bCs/>
                <w:sz w:val="22"/>
              </w:rPr>
            </w:pPr>
            <w:r>
              <w:rPr>
                <w:rFonts w:hint="eastAsia"/>
                <w:b/>
                <w:bCs/>
                <w:sz w:val="22"/>
              </w:rPr>
              <w:t>表3-</w:t>
            </w:r>
            <w:r>
              <w:rPr>
                <w:b/>
                <w:bCs/>
                <w:sz w:val="22"/>
              </w:rPr>
              <w:t>5</w:t>
            </w:r>
            <w:r>
              <w:rPr>
                <w:rFonts w:hint="eastAsia"/>
                <w:b/>
                <w:bCs/>
                <w:sz w:val="22"/>
              </w:rPr>
              <w:t xml:space="preserve">    声环境质量现状监测及评价结果一览表单位：dB（A）</w:t>
            </w:r>
          </w:p>
          <w:tbl>
            <w:tblPr>
              <w:tblStyle w:val="28"/>
              <w:tblW w:w="4996"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2023"/>
              <w:gridCol w:w="859"/>
              <w:gridCol w:w="780"/>
              <w:gridCol w:w="939"/>
              <w:gridCol w:w="939"/>
              <w:gridCol w:w="923"/>
              <w:gridCol w:w="934"/>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93" w:type="dxa"/>
                  <w:vMerge w:val="restart"/>
                  <w:tcBorders>
                    <w:bottom w:val="nil"/>
                  </w:tcBorders>
                  <w:vAlign w:val="center"/>
                </w:tcPr>
                <w:p>
                  <w:pPr>
                    <w:pStyle w:val="27"/>
                    <w:spacing w:line="240" w:lineRule="auto"/>
                    <w:ind w:firstLine="0" w:firstLineChars="0"/>
                    <w:jc w:val="center"/>
                    <w:rPr>
                      <w:kern w:val="0"/>
                      <w:sz w:val="21"/>
                      <w:szCs w:val="21"/>
                    </w:rPr>
                  </w:pPr>
                  <w:r>
                    <w:rPr>
                      <w:kern w:val="0"/>
                      <w:sz w:val="21"/>
                      <w:szCs w:val="21"/>
                    </w:rPr>
                    <w:t>检测点位</w:t>
                  </w:r>
                </w:p>
              </w:tc>
              <w:tc>
                <w:tcPr>
                  <w:tcW w:w="3594" w:type="dxa"/>
                  <w:gridSpan w:val="4"/>
                  <w:vAlign w:val="center"/>
                </w:tcPr>
                <w:p>
                  <w:pPr>
                    <w:pStyle w:val="27"/>
                    <w:spacing w:line="240" w:lineRule="auto"/>
                    <w:ind w:firstLine="0" w:firstLineChars="0"/>
                    <w:jc w:val="center"/>
                    <w:rPr>
                      <w:kern w:val="0"/>
                      <w:sz w:val="21"/>
                      <w:szCs w:val="21"/>
                    </w:rPr>
                  </w:pPr>
                  <w:r>
                    <w:rPr>
                      <w:kern w:val="0"/>
                      <w:sz w:val="21"/>
                      <w:szCs w:val="21"/>
                    </w:rPr>
                    <w:t>检测结果</w:t>
                  </w:r>
                </w:p>
              </w:tc>
              <w:tc>
                <w:tcPr>
                  <w:tcW w:w="1911" w:type="dxa"/>
                  <w:gridSpan w:val="2"/>
                  <w:vMerge w:val="restart"/>
                  <w:tcBorders>
                    <w:bottom w:val="nil"/>
                  </w:tcBorders>
                  <w:vAlign w:val="center"/>
                </w:tcPr>
                <w:p>
                  <w:pPr>
                    <w:pStyle w:val="27"/>
                    <w:spacing w:line="240" w:lineRule="auto"/>
                    <w:ind w:firstLine="0" w:firstLineChars="0"/>
                    <w:jc w:val="center"/>
                    <w:rPr>
                      <w:kern w:val="0"/>
                      <w:sz w:val="21"/>
                      <w:szCs w:val="21"/>
                    </w:rPr>
                  </w:pPr>
                  <w:r>
                    <w:rPr>
                      <w:kern w:val="0"/>
                      <w:sz w:val="21"/>
                      <w:szCs w:val="21"/>
                    </w:rPr>
                    <w:t>标准限值</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93" w:type="dxa"/>
                  <w:vMerge w:val="continue"/>
                  <w:tcBorders>
                    <w:top w:val="nil"/>
                    <w:bottom w:val="nil"/>
                  </w:tcBorders>
                  <w:vAlign w:val="center"/>
                </w:tcPr>
                <w:p>
                  <w:pPr>
                    <w:pStyle w:val="27"/>
                    <w:spacing w:line="240" w:lineRule="auto"/>
                    <w:ind w:firstLine="0" w:firstLineChars="0"/>
                    <w:jc w:val="center"/>
                    <w:rPr>
                      <w:kern w:val="0"/>
                      <w:sz w:val="21"/>
                      <w:szCs w:val="21"/>
                    </w:rPr>
                  </w:pPr>
                </w:p>
              </w:tc>
              <w:tc>
                <w:tcPr>
                  <w:tcW w:w="1673" w:type="dxa"/>
                  <w:gridSpan w:val="2"/>
                  <w:tcBorders>
                    <w:right w:val="single" w:color="000000" w:sz="2" w:space="0"/>
                  </w:tcBorders>
                  <w:vAlign w:val="center"/>
                </w:tcPr>
                <w:p>
                  <w:pPr>
                    <w:pStyle w:val="27"/>
                    <w:spacing w:line="240" w:lineRule="auto"/>
                    <w:ind w:firstLine="0" w:firstLineChars="0"/>
                    <w:jc w:val="center"/>
                    <w:rPr>
                      <w:kern w:val="0"/>
                      <w:sz w:val="21"/>
                      <w:szCs w:val="21"/>
                    </w:rPr>
                  </w:pPr>
                  <w:r>
                    <w:rPr>
                      <w:kern w:val="0"/>
                      <w:sz w:val="21"/>
                      <w:szCs w:val="21"/>
                    </w:rPr>
                    <w:t>2024.</w:t>
                  </w:r>
                  <w:r>
                    <w:rPr>
                      <w:rFonts w:hint="eastAsia"/>
                      <w:kern w:val="0"/>
                      <w:sz w:val="21"/>
                      <w:szCs w:val="21"/>
                    </w:rPr>
                    <w:t>6</w:t>
                  </w:r>
                  <w:r>
                    <w:rPr>
                      <w:kern w:val="0"/>
                      <w:sz w:val="21"/>
                      <w:szCs w:val="21"/>
                    </w:rPr>
                    <w:t>.</w:t>
                  </w:r>
                  <w:r>
                    <w:rPr>
                      <w:rFonts w:hint="eastAsia"/>
                      <w:kern w:val="0"/>
                      <w:sz w:val="21"/>
                      <w:szCs w:val="21"/>
                    </w:rPr>
                    <w:t>7</w:t>
                  </w:r>
                </w:p>
              </w:tc>
              <w:tc>
                <w:tcPr>
                  <w:tcW w:w="1921" w:type="dxa"/>
                  <w:gridSpan w:val="2"/>
                  <w:tcBorders>
                    <w:left w:val="single" w:color="000000" w:sz="2" w:space="0"/>
                  </w:tcBorders>
                  <w:vAlign w:val="center"/>
                </w:tcPr>
                <w:p>
                  <w:pPr>
                    <w:pStyle w:val="27"/>
                    <w:spacing w:line="240" w:lineRule="auto"/>
                    <w:ind w:firstLine="0" w:firstLineChars="0"/>
                    <w:jc w:val="center"/>
                    <w:rPr>
                      <w:kern w:val="0"/>
                      <w:sz w:val="21"/>
                      <w:szCs w:val="21"/>
                    </w:rPr>
                  </w:pPr>
                  <w:r>
                    <w:rPr>
                      <w:kern w:val="0"/>
                      <w:sz w:val="21"/>
                      <w:szCs w:val="21"/>
                    </w:rPr>
                    <w:t>2024.</w:t>
                  </w:r>
                  <w:r>
                    <w:rPr>
                      <w:rFonts w:hint="eastAsia"/>
                      <w:kern w:val="0"/>
                      <w:sz w:val="21"/>
                      <w:szCs w:val="21"/>
                    </w:rPr>
                    <w:t>6</w:t>
                  </w:r>
                  <w:r>
                    <w:rPr>
                      <w:kern w:val="0"/>
                      <w:sz w:val="21"/>
                      <w:szCs w:val="21"/>
                    </w:rPr>
                    <w:t>.</w:t>
                  </w:r>
                  <w:r>
                    <w:rPr>
                      <w:rFonts w:hint="eastAsia"/>
                      <w:kern w:val="0"/>
                      <w:sz w:val="21"/>
                      <w:szCs w:val="21"/>
                    </w:rPr>
                    <w:t>8</w:t>
                  </w:r>
                </w:p>
              </w:tc>
              <w:tc>
                <w:tcPr>
                  <w:tcW w:w="1911" w:type="dxa"/>
                  <w:gridSpan w:val="2"/>
                  <w:vMerge w:val="continue"/>
                  <w:tcBorders>
                    <w:top w:val="nil"/>
                  </w:tcBorders>
                  <w:vAlign w:val="center"/>
                </w:tcPr>
                <w:p>
                  <w:pPr>
                    <w:pStyle w:val="27"/>
                    <w:spacing w:line="240" w:lineRule="auto"/>
                    <w:ind w:firstLine="0" w:firstLineChars="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93" w:type="dxa"/>
                  <w:vMerge w:val="continue"/>
                  <w:tcBorders>
                    <w:top w:val="nil"/>
                  </w:tcBorders>
                  <w:vAlign w:val="center"/>
                </w:tcPr>
                <w:p>
                  <w:pPr>
                    <w:pStyle w:val="27"/>
                    <w:spacing w:line="240" w:lineRule="auto"/>
                    <w:ind w:firstLine="0" w:firstLineChars="0"/>
                    <w:jc w:val="center"/>
                    <w:rPr>
                      <w:kern w:val="0"/>
                      <w:sz w:val="21"/>
                      <w:szCs w:val="21"/>
                    </w:rPr>
                  </w:pPr>
                </w:p>
              </w:tc>
              <w:tc>
                <w:tcPr>
                  <w:tcW w:w="876" w:type="dxa"/>
                  <w:vAlign w:val="center"/>
                </w:tcPr>
                <w:p>
                  <w:pPr>
                    <w:pStyle w:val="27"/>
                    <w:spacing w:line="240" w:lineRule="auto"/>
                    <w:ind w:firstLine="0" w:firstLineChars="0"/>
                    <w:jc w:val="center"/>
                    <w:rPr>
                      <w:kern w:val="0"/>
                      <w:sz w:val="21"/>
                      <w:szCs w:val="21"/>
                    </w:rPr>
                  </w:pPr>
                  <w:r>
                    <w:rPr>
                      <w:kern w:val="0"/>
                      <w:sz w:val="21"/>
                      <w:szCs w:val="21"/>
                    </w:rPr>
                    <w:t>昼间</w:t>
                  </w:r>
                </w:p>
              </w:tc>
              <w:tc>
                <w:tcPr>
                  <w:tcW w:w="797" w:type="dxa"/>
                  <w:tcBorders>
                    <w:right w:val="single" w:color="000000" w:sz="2" w:space="0"/>
                  </w:tcBorders>
                  <w:vAlign w:val="center"/>
                </w:tcPr>
                <w:p>
                  <w:pPr>
                    <w:pStyle w:val="27"/>
                    <w:spacing w:line="240" w:lineRule="auto"/>
                    <w:ind w:firstLine="0" w:firstLineChars="0"/>
                    <w:jc w:val="center"/>
                    <w:rPr>
                      <w:kern w:val="0"/>
                      <w:sz w:val="21"/>
                      <w:szCs w:val="21"/>
                    </w:rPr>
                  </w:pPr>
                  <w:r>
                    <w:rPr>
                      <w:kern w:val="0"/>
                      <w:sz w:val="21"/>
                      <w:szCs w:val="21"/>
                    </w:rPr>
                    <w:t>夜间</w:t>
                  </w:r>
                </w:p>
              </w:tc>
              <w:tc>
                <w:tcPr>
                  <w:tcW w:w="959" w:type="dxa"/>
                  <w:tcBorders>
                    <w:left w:val="single" w:color="000000" w:sz="2" w:space="0"/>
                    <w:right w:val="single" w:color="000000" w:sz="2" w:space="0"/>
                  </w:tcBorders>
                  <w:vAlign w:val="center"/>
                </w:tcPr>
                <w:p>
                  <w:pPr>
                    <w:pStyle w:val="27"/>
                    <w:spacing w:line="240" w:lineRule="auto"/>
                    <w:ind w:firstLine="0" w:firstLineChars="0"/>
                    <w:jc w:val="center"/>
                    <w:rPr>
                      <w:kern w:val="0"/>
                      <w:sz w:val="21"/>
                      <w:szCs w:val="21"/>
                    </w:rPr>
                  </w:pPr>
                  <w:r>
                    <w:rPr>
                      <w:kern w:val="0"/>
                      <w:sz w:val="21"/>
                      <w:szCs w:val="21"/>
                    </w:rPr>
                    <w:t>昼间</w:t>
                  </w:r>
                </w:p>
              </w:tc>
              <w:tc>
                <w:tcPr>
                  <w:tcW w:w="962" w:type="dxa"/>
                  <w:tcBorders>
                    <w:left w:val="single" w:color="000000" w:sz="2" w:space="0"/>
                  </w:tcBorders>
                  <w:vAlign w:val="center"/>
                </w:tcPr>
                <w:p>
                  <w:pPr>
                    <w:pStyle w:val="27"/>
                    <w:spacing w:line="240" w:lineRule="auto"/>
                    <w:ind w:firstLine="0" w:firstLineChars="0"/>
                    <w:jc w:val="center"/>
                    <w:rPr>
                      <w:kern w:val="0"/>
                      <w:sz w:val="21"/>
                      <w:szCs w:val="21"/>
                    </w:rPr>
                  </w:pPr>
                  <w:r>
                    <w:rPr>
                      <w:kern w:val="0"/>
                      <w:sz w:val="21"/>
                      <w:szCs w:val="21"/>
                    </w:rPr>
                    <w:t>夜间</w:t>
                  </w:r>
                </w:p>
              </w:tc>
              <w:tc>
                <w:tcPr>
                  <w:tcW w:w="950" w:type="dxa"/>
                  <w:tcBorders>
                    <w:bottom w:val="single" w:color="auto" w:sz="4" w:space="0"/>
                    <w:right w:val="single" w:color="auto" w:sz="4" w:space="0"/>
                  </w:tcBorders>
                  <w:vAlign w:val="center"/>
                </w:tcPr>
                <w:p>
                  <w:pPr>
                    <w:pStyle w:val="27"/>
                    <w:spacing w:line="240" w:lineRule="auto"/>
                    <w:ind w:firstLine="0" w:firstLineChars="0"/>
                    <w:jc w:val="center"/>
                    <w:rPr>
                      <w:kern w:val="0"/>
                      <w:sz w:val="21"/>
                      <w:szCs w:val="21"/>
                    </w:rPr>
                  </w:pPr>
                  <w:r>
                    <w:rPr>
                      <w:kern w:val="0"/>
                      <w:sz w:val="21"/>
                      <w:szCs w:val="21"/>
                    </w:rPr>
                    <w:t>昼间</w:t>
                  </w:r>
                </w:p>
              </w:tc>
              <w:tc>
                <w:tcPr>
                  <w:tcW w:w="961" w:type="dxa"/>
                  <w:tcBorders>
                    <w:left w:val="single" w:color="auto" w:sz="4" w:space="0"/>
                    <w:bottom w:val="single" w:color="auto" w:sz="4" w:space="0"/>
                  </w:tcBorders>
                </w:tcPr>
                <w:p>
                  <w:pPr>
                    <w:pStyle w:val="27"/>
                    <w:spacing w:line="240" w:lineRule="auto"/>
                    <w:ind w:firstLine="0" w:firstLineChars="0"/>
                    <w:jc w:val="center"/>
                    <w:rPr>
                      <w:kern w:val="0"/>
                      <w:sz w:val="21"/>
                      <w:szCs w:val="21"/>
                    </w:rPr>
                  </w:pPr>
                  <w:r>
                    <w:rPr>
                      <w:kern w:val="0"/>
                      <w:sz w:val="21"/>
                      <w:szCs w:val="21"/>
                    </w:rPr>
                    <w:t>夜间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93" w:type="dxa"/>
                  <w:vAlign w:val="center"/>
                </w:tcPr>
                <w:p>
                  <w:pPr>
                    <w:pStyle w:val="27"/>
                    <w:spacing w:line="240" w:lineRule="auto"/>
                    <w:ind w:firstLine="0" w:firstLineChars="0"/>
                    <w:jc w:val="center"/>
                    <w:rPr>
                      <w:kern w:val="0"/>
                      <w:sz w:val="21"/>
                      <w:szCs w:val="21"/>
                    </w:rPr>
                  </w:pPr>
                  <w:r>
                    <w:rPr>
                      <w:rFonts w:hint="eastAsia"/>
                      <w:kern w:val="0"/>
                      <w:sz w:val="21"/>
                      <w:szCs w:val="21"/>
                    </w:rPr>
                    <w:t>院区东厂界</w:t>
                  </w:r>
                </w:p>
              </w:tc>
              <w:tc>
                <w:tcPr>
                  <w:tcW w:w="876" w:type="dxa"/>
                  <w:vAlign w:val="center"/>
                </w:tcPr>
                <w:p>
                  <w:pPr>
                    <w:pStyle w:val="27"/>
                    <w:spacing w:line="240" w:lineRule="auto"/>
                    <w:ind w:firstLine="0" w:firstLineChars="0"/>
                    <w:jc w:val="center"/>
                    <w:rPr>
                      <w:kern w:val="0"/>
                      <w:sz w:val="21"/>
                      <w:szCs w:val="21"/>
                    </w:rPr>
                  </w:pPr>
                  <w:r>
                    <w:rPr>
                      <w:rFonts w:hint="eastAsia"/>
                      <w:kern w:val="0"/>
                      <w:sz w:val="21"/>
                      <w:szCs w:val="21"/>
                    </w:rPr>
                    <w:t>57</w:t>
                  </w:r>
                </w:p>
              </w:tc>
              <w:tc>
                <w:tcPr>
                  <w:tcW w:w="797" w:type="dxa"/>
                  <w:tcBorders>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48</w:t>
                  </w:r>
                </w:p>
              </w:tc>
              <w:tc>
                <w:tcPr>
                  <w:tcW w:w="959" w:type="dxa"/>
                  <w:tcBorders>
                    <w:left w:val="single" w:color="000000" w:sz="2" w:space="0"/>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57</w:t>
                  </w:r>
                </w:p>
              </w:tc>
              <w:tc>
                <w:tcPr>
                  <w:tcW w:w="962" w:type="dxa"/>
                  <w:tcBorders>
                    <w:left w:val="single" w:color="000000" w:sz="2" w:space="0"/>
                    <w:right w:val="single" w:color="auto" w:sz="4" w:space="0"/>
                  </w:tcBorders>
                  <w:vAlign w:val="center"/>
                </w:tcPr>
                <w:p>
                  <w:pPr>
                    <w:pStyle w:val="27"/>
                    <w:spacing w:line="240" w:lineRule="auto"/>
                    <w:ind w:firstLine="0" w:firstLineChars="0"/>
                    <w:jc w:val="center"/>
                    <w:rPr>
                      <w:kern w:val="0"/>
                      <w:sz w:val="21"/>
                      <w:szCs w:val="21"/>
                    </w:rPr>
                  </w:pPr>
                  <w:r>
                    <w:rPr>
                      <w:rFonts w:hint="eastAsia"/>
                      <w:kern w:val="0"/>
                      <w:sz w:val="21"/>
                      <w:szCs w:val="21"/>
                    </w:rPr>
                    <w:t>47</w:t>
                  </w:r>
                </w:p>
              </w:tc>
              <w:tc>
                <w:tcPr>
                  <w:tcW w:w="950"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kern w:val="0"/>
                      <w:sz w:val="21"/>
                      <w:szCs w:val="21"/>
                    </w:rPr>
                  </w:pPr>
                  <w:r>
                    <w:rPr>
                      <w:kern w:val="0"/>
                      <w:sz w:val="21"/>
                      <w:szCs w:val="21"/>
                    </w:rPr>
                    <w:t>60</w:t>
                  </w:r>
                </w:p>
              </w:tc>
              <w:tc>
                <w:tcPr>
                  <w:tcW w:w="961" w:type="dxa"/>
                  <w:tcBorders>
                    <w:top w:val="single" w:color="auto" w:sz="4" w:space="0"/>
                    <w:left w:val="single" w:color="auto" w:sz="4" w:space="0"/>
                    <w:bottom w:val="single" w:color="auto" w:sz="4" w:space="0"/>
                  </w:tcBorders>
                  <w:vAlign w:val="center"/>
                </w:tcPr>
                <w:p>
                  <w:pPr>
                    <w:pStyle w:val="27"/>
                    <w:spacing w:line="240" w:lineRule="auto"/>
                    <w:ind w:firstLine="0" w:firstLineChars="0"/>
                    <w:jc w:val="center"/>
                    <w:rPr>
                      <w:kern w:val="0"/>
                      <w:sz w:val="21"/>
                      <w:szCs w:val="21"/>
                    </w:rPr>
                  </w:pPr>
                  <w:r>
                    <w:rPr>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93" w:type="dxa"/>
                </w:tcPr>
                <w:p>
                  <w:pPr>
                    <w:pStyle w:val="27"/>
                    <w:spacing w:line="240" w:lineRule="auto"/>
                    <w:ind w:firstLine="0" w:firstLineChars="0"/>
                    <w:jc w:val="center"/>
                    <w:rPr>
                      <w:kern w:val="0"/>
                      <w:sz w:val="21"/>
                      <w:szCs w:val="21"/>
                    </w:rPr>
                  </w:pPr>
                  <w:r>
                    <w:rPr>
                      <w:rFonts w:hint="eastAsia"/>
                      <w:kern w:val="0"/>
                      <w:sz w:val="21"/>
                      <w:szCs w:val="21"/>
                    </w:rPr>
                    <w:t>院区南厂界</w:t>
                  </w:r>
                </w:p>
              </w:tc>
              <w:tc>
                <w:tcPr>
                  <w:tcW w:w="876" w:type="dxa"/>
                  <w:vAlign w:val="center"/>
                </w:tcPr>
                <w:p>
                  <w:pPr>
                    <w:pStyle w:val="27"/>
                    <w:spacing w:line="240" w:lineRule="auto"/>
                    <w:ind w:firstLine="0" w:firstLineChars="0"/>
                    <w:jc w:val="center"/>
                    <w:rPr>
                      <w:kern w:val="0"/>
                      <w:sz w:val="21"/>
                      <w:szCs w:val="21"/>
                    </w:rPr>
                  </w:pPr>
                  <w:r>
                    <w:rPr>
                      <w:rFonts w:hint="eastAsia"/>
                      <w:kern w:val="0"/>
                      <w:sz w:val="21"/>
                      <w:szCs w:val="21"/>
                    </w:rPr>
                    <w:t>56</w:t>
                  </w:r>
                </w:p>
              </w:tc>
              <w:tc>
                <w:tcPr>
                  <w:tcW w:w="797" w:type="dxa"/>
                  <w:tcBorders>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46</w:t>
                  </w:r>
                </w:p>
              </w:tc>
              <w:tc>
                <w:tcPr>
                  <w:tcW w:w="959" w:type="dxa"/>
                  <w:tcBorders>
                    <w:left w:val="single" w:color="000000" w:sz="2" w:space="0"/>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56</w:t>
                  </w:r>
                </w:p>
              </w:tc>
              <w:tc>
                <w:tcPr>
                  <w:tcW w:w="962" w:type="dxa"/>
                  <w:tcBorders>
                    <w:left w:val="single" w:color="000000" w:sz="2" w:space="0"/>
                    <w:right w:val="single" w:color="auto" w:sz="4" w:space="0"/>
                  </w:tcBorders>
                  <w:vAlign w:val="center"/>
                </w:tcPr>
                <w:p>
                  <w:pPr>
                    <w:pStyle w:val="27"/>
                    <w:spacing w:line="240" w:lineRule="auto"/>
                    <w:ind w:firstLine="0" w:firstLineChars="0"/>
                    <w:jc w:val="center"/>
                    <w:rPr>
                      <w:kern w:val="0"/>
                      <w:sz w:val="21"/>
                      <w:szCs w:val="21"/>
                    </w:rPr>
                  </w:pPr>
                  <w:r>
                    <w:rPr>
                      <w:rFonts w:hint="eastAsia"/>
                      <w:kern w:val="0"/>
                      <w:sz w:val="21"/>
                      <w:szCs w:val="21"/>
                    </w:rPr>
                    <w:t>47</w:t>
                  </w:r>
                </w:p>
              </w:tc>
              <w:tc>
                <w:tcPr>
                  <w:tcW w:w="950"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kern w:val="0"/>
                      <w:sz w:val="21"/>
                      <w:szCs w:val="21"/>
                    </w:rPr>
                  </w:pPr>
                  <w:r>
                    <w:rPr>
                      <w:rFonts w:hint="eastAsia"/>
                      <w:kern w:val="0"/>
                      <w:sz w:val="21"/>
                      <w:szCs w:val="21"/>
                    </w:rPr>
                    <w:t>70</w:t>
                  </w:r>
                </w:p>
              </w:tc>
              <w:tc>
                <w:tcPr>
                  <w:tcW w:w="961" w:type="dxa"/>
                  <w:tcBorders>
                    <w:top w:val="single" w:color="auto" w:sz="4" w:space="0"/>
                    <w:left w:val="single" w:color="auto" w:sz="4" w:space="0"/>
                    <w:bottom w:val="single" w:color="auto" w:sz="4" w:space="0"/>
                  </w:tcBorders>
                </w:tcPr>
                <w:p>
                  <w:pPr>
                    <w:pStyle w:val="27"/>
                    <w:spacing w:line="240" w:lineRule="auto"/>
                    <w:ind w:firstLine="0" w:firstLineChars="0"/>
                    <w:jc w:val="center"/>
                    <w:rPr>
                      <w:kern w:val="0"/>
                      <w:sz w:val="21"/>
                      <w:szCs w:val="21"/>
                    </w:rPr>
                  </w:pPr>
                  <w:r>
                    <w:rPr>
                      <w:rFonts w:hint="eastAsia"/>
                      <w:kern w:val="0"/>
                      <w:sz w:val="21"/>
                      <w:szCs w:val="21"/>
                    </w:rPr>
                    <w:t>55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93" w:type="dxa"/>
                </w:tcPr>
                <w:p>
                  <w:pPr>
                    <w:pStyle w:val="27"/>
                    <w:spacing w:line="240" w:lineRule="auto"/>
                    <w:ind w:firstLine="0" w:firstLineChars="0"/>
                    <w:jc w:val="center"/>
                    <w:rPr>
                      <w:kern w:val="0"/>
                      <w:sz w:val="21"/>
                      <w:szCs w:val="21"/>
                    </w:rPr>
                  </w:pPr>
                  <w:r>
                    <w:rPr>
                      <w:rFonts w:hint="eastAsia"/>
                      <w:kern w:val="0"/>
                      <w:sz w:val="21"/>
                      <w:szCs w:val="21"/>
                    </w:rPr>
                    <w:t>院区西厂界</w:t>
                  </w:r>
                </w:p>
              </w:tc>
              <w:tc>
                <w:tcPr>
                  <w:tcW w:w="876" w:type="dxa"/>
                  <w:vAlign w:val="center"/>
                </w:tcPr>
                <w:p>
                  <w:pPr>
                    <w:pStyle w:val="27"/>
                    <w:spacing w:line="240" w:lineRule="auto"/>
                    <w:ind w:firstLine="0" w:firstLineChars="0"/>
                    <w:jc w:val="center"/>
                    <w:rPr>
                      <w:kern w:val="0"/>
                      <w:sz w:val="21"/>
                      <w:szCs w:val="21"/>
                    </w:rPr>
                  </w:pPr>
                  <w:r>
                    <w:rPr>
                      <w:rFonts w:hint="eastAsia"/>
                      <w:kern w:val="0"/>
                      <w:sz w:val="21"/>
                      <w:szCs w:val="21"/>
                    </w:rPr>
                    <w:t>53</w:t>
                  </w:r>
                </w:p>
              </w:tc>
              <w:tc>
                <w:tcPr>
                  <w:tcW w:w="797" w:type="dxa"/>
                  <w:tcBorders>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47</w:t>
                  </w:r>
                </w:p>
              </w:tc>
              <w:tc>
                <w:tcPr>
                  <w:tcW w:w="959" w:type="dxa"/>
                  <w:tcBorders>
                    <w:left w:val="single" w:color="000000" w:sz="2" w:space="0"/>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54</w:t>
                  </w:r>
                </w:p>
              </w:tc>
              <w:tc>
                <w:tcPr>
                  <w:tcW w:w="962" w:type="dxa"/>
                  <w:tcBorders>
                    <w:left w:val="single" w:color="000000" w:sz="2" w:space="0"/>
                    <w:right w:val="single" w:color="auto" w:sz="4" w:space="0"/>
                  </w:tcBorders>
                  <w:vAlign w:val="center"/>
                </w:tcPr>
                <w:p>
                  <w:pPr>
                    <w:pStyle w:val="27"/>
                    <w:spacing w:line="240" w:lineRule="auto"/>
                    <w:ind w:firstLine="0" w:firstLineChars="0"/>
                    <w:jc w:val="center"/>
                    <w:rPr>
                      <w:kern w:val="0"/>
                      <w:sz w:val="21"/>
                      <w:szCs w:val="21"/>
                    </w:rPr>
                  </w:pPr>
                  <w:r>
                    <w:rPr>
                      <w:rFonts w:hint="eastAsia"/>
                      <w:kern w:val="0"/>
                      <w:sz w:val="21"/>
                      <w:szCs w:val="21"/>
                    </w:rPr>
                    <w:t>44</w:t>
                  </w:r>
                </w:p>
              </w:tc>
              <w:tc>
                <w:tcPr>
                  <w:tcW w:w="950"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kern w:val="0"/>
                      <w:sz w:val="21"/>
                      <w:szCs w:val="21"/>
                    </w:rPr>
                  </w:pPr>
                  <w:r>
                    <w:rPr>
                      <w:kern w:val="0"/>
                      <w:sz w:val="21"/>
                      <w:szCs w:val="21"/>
                    </w:rPr>
                    <w:t>60</w:t>
                  </w:r>
                </w:p>
              </w:tc>
              <w:tc>
                <w:tcPr>
                  <w:tcW w:w="961" w:type="dxa"/>
                  <w:tcBorders>
                    <w:top w:val="single" w:color="auto" w:sz="4" w:space="0"/>
                    <w:left w:val="single" w:color="auto" w:sz="4" w:space="0"/>
                    <w:bottom w:val="single" w:color="auto" w:sz="4" w:space="0"/>
                  </w:tcBorders>
                  <w:vAlign w:val="center"/>
                </w:tcPr>
                <w:p>
                  <w:pPr>
                    <w:pStyle w:val="27"/>
                    <w:spacing w:line="240" w:lineRule="auto"/>
                    <w:ind w:firstLine="0" w:firstLineChars="0"/>
                    <w:jc w:val="center"/>
                    <w:rPr>
                      <w:kern w:val="0"/>
                      <w:sz w:val="21"/>
                      <w:szCs w:val="21"/>
                    </w:rPr>
                  </w:pPr>
                  <w:r>
                    <w:rPr>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93" w:type="dxa"/>
                </w:tcPr>
                <w:p>
                  <w:pPr>
                    <w:pStyle w:val="27"/>
                    <w:spacing w:line="240" w:lineRule="auto"/>
                    <w:ind w:firstLine="0" w:firstLineChars="0"/>
                    <w:jc w:val="center"/>
                    <w:rPr>
                      <w:kern w:val="0"/>
                      <w:sz w:val="21"/>
                      <w:szCs w:val="21"/>
                    </w:rPr>
                  </w:pPr>
                  <w:r>
                    <w:rPr>
                      <w:rFonts w:hint="eastAsia"/>
                      <w:kern w:val="0"/>
                      <w:sz w:val="21"/>
                      <w:szCs w:val="21"/>
                    </w:rPr>
                    <w:t>院区北厂界</w:t>
                  </w:r>
                </w:p>
              </w:tc>
              <w:tc>
                <w:tcPr>
                  <w:tcW w:w="876" w:type="dxa"/>
                  <w:vAlign w:val="center"/>
                </w:tcPr>
                <w:p>
                  <w:pPr>
                    <w:pStyle w:val="27"/>
                    <w:spacing w:line="240" w:lineRule="auto"/>
                    <w:ind w:firstLine="0" w:firstLineChars="0"/>
                    <w:jc w:val="center"/>
                    <w:rPr>
                      <w:kern w:val="0"/>
                      <w:sz w:val="21"/>
                      <w:szCs w:val="21"/>
                    </w:rPr>
                  </w:pPr>
                  <w:r>
                    <w:rPr>
                      <w:rFonts w:hint="eastAsia"/>
                      <w:kern w:val="0"/>
                      <w:sz w:val="21"/>
                      <w:szCs w:val="21"/>
                    </w:rPr>
                    <w:t>53</w:t>
                  </w:r>
                </w:p>
              </w:tc>
              <w:tc>
                <w:tcPr>
                  <w:tcW w:w="797" w:type="dxa"/>
                  <w:tcBorders>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47</w:t>
                  </w:r>
                </w:p>
              </w:tc>
              <w:tc>
                <w:tcPr>
                  <w:tcW w:w="959" w:type="dxa"/>
                  <w:tcBorders>
                    <w:left w:val="single" w:color="000000" w:sz="2" w:space="0"/>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58</w:t>
                  </w:r>
                </w:p>
              </w:tc>
              <w:tc>
                <w:tcPr>
                  <w:tcW w:w="962" w:type="dxa"/>
                  <w:tcBorders>
                    <w:left w:val="single" w:color="000000" w:sz="2" w:space="0"/>
                    <w:bottom w:val="single" w:color="000000" w:sz="2" w:space="0"/>
                    <w:right w:val="single" w:color="auto" w:sz="4" w:space="0"/>
                  </w:tcBorders>
                  <w:vAlign w:val="center"/>
                </w:tcPr>
                <w:p>
                  <w:pPr>
                    <w:pStyle w:val="27"/>
                    <w:spacing w:line="240" w:lineRule="auto"/>
                    <w:ind w:firstLine="0" w:firstLineChars="0"/>
                    <w:jc w:val="center"/>
                    <w:rPr>
                      <w:kern w:val="0"/>
                      <w:sz w:val="21"/>
                      <w:szCs w:val="21"/>
                    </w:rPr>
                  </w:pPr>
                  <w:r>
                    <w:rPr>
                      <w:rFonts w:hint="eastAsia"/>
                      <w:kern w:val="0"/>
                      <w:sz w:val="21"/>
                      <w:szCs w:val="21"/>
                    </w:rPr>
                    <w:t>47</w:t>
                  </w:r>
                </w:p>
              </w:tc>
              <w:tc>
                <w:tcPr>
                  <w:tcW w:w="950"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kern w:val="0"/>
                      <w:sz w:val="21"/>
                      <w:szCs w:val="21"/>
                    </w:rPr>
                  </w:pPr>
                  <w:r>
                    <w:rPr>
                      <w:kern w:val="0"/>
                      <w:sz w:val="21"/>
                      <w:szCs w:val="21"/>
                    </w:rPr>
                    <w:t>60</w:t>
                  </w:r>
                </w:p>
              </w:tc>
              <w:tc>
                <w:tcPr>
                  <w:tcW w:w="961" w:type="dxa"/>
                  <w:tcBorders>
                    <w:top w:val="single" w:color="auto" w:sz="4" w:space="0"/>
                    <w:left w:val="single" w:color="auto" w:sz="4" w:space="0"/>
                    <w:bottom w:val="single" w:color="auto" w:sz="4" w:space="0"/>
                  </w:tcBorders>
                  <w:vAlign w:val="center"/>
                </w:tcPr>
                <w:p>
                  <w:pPr>
                    <w:pStyle w:val="27"/>
                    <w:spacing w:line="240" w:lineRule="auto"/>
                    <w:ind w:firstLine="0" w:firstLineChars="0"/>
                    <w:jc w:val="center"/>
                    <w:rPr>
                      <w:kern w:val="0"/>
                      <w:sz w:val="21"/>
                      <w:szCs w:val="21"/>
                    </w:rPr>
                  </w:pPr>
                  <w:r>
                    <w:rPr>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093" w:type="dxa"/>
                  <w:vAlign w:val="center"/>
                </w:tcPr>
                <w:p>
                  <w:pPr>
                    <w:pStyle w:val="27"/>
                    <w:spacing w:line="240" w:lineRule="auto"/>
                    <w:ind w:firstLine="0" w:firstLineChars="0"/>
                    <w:jc w:val="center"/>
                    <w:rPr>
                      <w:kern w:val="0"/>
                      <w:sz w:val="21"/>
                      <w:szCs w:val="21"/>
                    </w:rPr>
                  </w:pPr>
                  <w:r>
                    <w:rPr>
                      <w:rFonts w:hint="eastAsia"/>
                      <w:kern w:val="0"/>
                      <w:sz w:val="21"/>
                      <w:szCs w:val="21"/>
                    </w:rPr>
                    <w:t>最近</w:t>
                  </w:r>
                  <w:r>
                    <w:rPr>
                      <w:kern w:val="0"/>
                      <w:sz w:val="21"/>
                      <w:szCs w:val="21"/>
                    </w:rPr>
                    <w:t>居民</w:t>
                  </w:r>
                </w:p>
              </w:tc>
              <w:tc>
                <w:tcPr>
                  <w:tcW w:w="876" w:type="dxa"/>
                  <w:vAlign w:val="center"/>
                </w:tcPr>
                <w:p>
                  <w:pPr>
                    <w:pStyle w:val="27"/>
                    <w:spacing w:line="240" w:lineRule="auto"/>
                    <w:ind w:firstLine="0" w:firstLineChars="0"/>
                    <w:jc w:val="center"/>
                    <w:rPr>
                      <w:kern w:val="0"/>
                      <w:sz w:val="21"/>
                      <w:szCs w:val="21"/>
                    </w:rPr>
                  </w:pPr>
                  <w:r>
                    <w:rPr>
                      <w:rFonts w:hint="eastAsia"/>
                      <w:kern w:val="0"/>
                      <w:sz w:val="21"/>
                      <w:szCs w:val="21"/>
                    </w:rPr>
                    <w:t>55</w:t>
                  </w:r>
                </w:p>
              </w:tc>
              <w:tc>
                <w:tcPr>
                  <w:tcW w:w="797" w:type="dxa"/>
                  <w:tcBorders>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47</w:t>
                  </w:r>
                </w:p>
              </w:tc>
              <w:tc>
                <w:tcPr>
                  <w:tcW w:w="959" w:type="dxa"/>
                  <w:tcBorders>
                    <w:left w:val="single" w:color="000000" w:sz="2" w:space="0"/>
                    <w:righ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57</w:t>
                  </w:r>
                </w:p>
              </w:tc>
              <w:tc>
                <w:tcPr>
                  <w:tcW w:w="962" w:type="dxa"/>
                  <w:tcBorders>
                    <w:top w:val="single" w:color="000000" w:sz="2" w:space="0"/>
                    <w:left w:val="single" w:color="000000" w:sz="2" w:space="0"/>
                  </w:tcBorders>
                  <w:vAlign w:val="center"/>
                </w:tcPr>
                <w:p>
                  <w:pPr>
                    <w:pStyle w:val="27"/>
                    <w:spacing w:line="240" w:lineRule="auto"/>
                    <w:ind w:firstLine="0" w:firstLineChars="0"/>
                    <w:jc w:val="center"/>
                    <w:rPr>
                      <w:kern w:val="0"/>
                      <w:sz w:val="21"/>
                      <w:szCs w:val="21"/>
                    </w:rPr>
                  </w:pPr>
                  <w:r>
                    <w:rPr>
                      <w:rFonts w:hint="eastAsia"/>
                      <w:kern w:val="0"/>
                      <w:sz w:val="21"/>
                      <w:szCs w:val="21"/>
                    </w:rPr>
                    <w:t>48</w:t>
                  </w:r>
                </w:p>
              </w:tc>
              <w:tc>
                <w:tcPr>
                  <w:tcW w:w="950" w:type="dxa"/>
                  <w:tcBorders>
                    <w:top w:val="single" w:color="auto" w:sz="4" w:space="0"/>
                    <w:right w:val="single" w:color="auto" w:sz="4" w:space="0"/>
                  </w:tcBorders>
                  <w:vAlign w:val="center"/>
                </w:tcPr>
                <w:p>
                  <w:pPr>
                    <w:pStyle w:val="27"/>
                    <w:spacing w:line="240" w:lineRule="auto"/>
                    <w:ind w:firstLine="0" w:firstLineChars="0"/>
                    <w:jc w:val="center"/>
                    <w:rPr>
                      <w:kern w:val="0"/>
                      <w:sz w:val="21"/>
                      <w:szCs w:val="21"/>
                    </w:rPr>
                  </w:pPr>
                  <w:r>
                    <w:rPr>
                      <w:kern w:val="0"/>
                      <w:sz w:val="21"/>
                      <w:szCs w:val="21"/>
                    </w:rPr>
                    <w:t>60</w:t>
                  </w:r>
                </w:p>
              </w:tc>
              <w:tc>
                <w:tcPr>
                  <w:tcW w:w="961" w:type="dxa"/>
                  <w:tcBorders>
                    <w:top w:val="single" w:color="auto" w:sz="4" w:space="0"/>
                    <w:left w:val="single" w:color="auto" w:sz="4" w:space="0"/>
                  </w:tcBorders>
                </w:tcPr>
                <w:p>
                  <w:pPr>
                    <w:pStyle w:val="27"/>
                    <w:spacing w:line="240" w:lineRule="auto"/>
                    <w:ind w:firstLine="0" w:firstLineChars="0"/>
                    <w:jc w:val="center"/>
                    <w:rPr>
                      <w:kern w:val="0"/>
                      <w:sz w:val="21"/>
                      <w:szCs w:val="21"/>
                    </w:rPr>
                  </w:pPr>
                  <w:r>
                    <w:rPr>
                      <w:kern w:val="0"/>
                      <w:sz w:val="21"/>
                      <w:szCs w:val="21"/>
                    </w:rPr>
                    <w:t>50</w:t>
                  </w:r>
                </w:p>
              </w:tc>
            </w:tr>
          </w:tbl>
          <w:p>
            <w:pPr>
              <w:spacing w:line="360" w:lineRule="auto"/>
              <w:ind w:firstLine="480" w:firstLineChars="200"/>
              <w:rPr>
                <w:sz w:val="24"/>
              </w:rPr>
            </w:pPr>
          </w:p>
          <w:p>
            <w:pPr>
              <w:spacing w:line="360" w:lineRule="auto"/>
              <w:ind w:firstLine="480" w:firstLineChars="200"/>
              <w:rPr>
                <w:kern w:val="0"/>
                <w:sz w:val="24"/>
              </w:rPr>
            </w:pPr>
            <w:r>
              <w:rPr>
                <w:rFonts w:hint="eastAsia"/>
                <w:sz w:val="24"/>
              </w:rPr>
              <w:t>由上表可知，</w:t>
            </w:r>
            <w:bookmarkStart w:id="7" w:name="_Hlk170972036"/>
            <w:r>
              <w:rPr>
                <w:rFonts w:hint="eastAsia"/>
                <w:sz w:val="24"/>
              </w:rPr>
              <w:t>医院南侧厂界噪声满足《声环境质量标准》（GB3096-2008）中4a类标准；东、西、北侧厂界以及北侧最近居民点噪声环境现状均满足《声环境质量标准》（GB3096-2008）中2类标准</w:t>
            </w:r>
            <w:bookmarkEnd w:id="7"/>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5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kern w:val="0"/>
                <w:sz w:val="24"/>
              </w:rPr>
            </w:pPr>
            <w:r>
              <w:rPr>
                <w:rFonts w:hint="eastAsia"/>
                <w:kern w:val="0"/>
                <w:sz w:val="24"/>
              </w:rPr>
              <w:t>环境</w:t>
            </w:r>
          </w:p>
          <w:p>
            <w:pPr>
              <w:adjustRightInd w:val="0"/>
              <w:snapToGrid w:val="0"/>
              <w:jc w:val="center"/>
              <w:rPr>
                <w:kern w:val="0"/>
                <w:sz w:val="24"/>
              </w:rPr>
            </w:pPr>
            <w:r>
              <w:rPr>
                <w:rFonts w:hint="eastAsia"/>
                <w:kern w:val="0"/>
                <w:sz w:val="24"/>
              </w:rPr>
              <w:t>保护</w:t>
            </w:r>
          </w:p>
          <w:p>
            <w:pPr>
              <w:adjustRightInd w:val="0"/>
              <w:snapToGrid w:val="0"/>
              <w:jc w:val="center"/>
              <w:rPr>
                <w:kern w:val="0"/>
                <w:sz w:val="24"/>
              </w:rPr>
            </w:pPr>
            <w:r>
              <w:rPr>
                <w:rFonts w:hint="eastAsia"/>
                <w:kern w:val="0"/>
                <w:sz w:val="24"/>
              </w:rPr>
              <w:t>目标</w:t>
            </w:r>
          </w:p>
        </w:tc>
        <w:tc>
          <w:tcPr>
            <w:tcW w:w="7629" w:type="dxa"/>
            <w:tcBorders>
              <w:top w:val="single" w:color="auto" w:sz="4" w:space="0"/>
              <w:left w:val="single" w:color="auto" w:sz="4" w:space="0"/>
              <w:bottom w:val="single" w:color="auto" w:sz="4" w:space="0"/>
              <w:right w:val="single" w:color="auto" w:sz="8" w:space="0"/>
            </w:tcBorders>
            <w:vAlign w:val="center"/>
          </w:tcPr>
          <w:p>
            <w:pPr>
              <w:spacing w:line="360" w:lineRule="auto"/>
              <w:ind w:firstLine="480" w:firstLineChars="200"/>
              <w:rPr>
                <w:sz w:val="24"/>
              </w:rPr>
            </w:pPr>
            <w:r>
              <w:rPr>
                <w:rFonts w:hint="eastAsia"/>
                <w:sz w:val="24"/>
              </w:rPr>
              <w:t>1、环境空气保护目标</w:t>
            </w:r>
          </w:p>
          <w:p>
            <w:pPr>
              <w:spacing w:line="360" w:lineRule="auto"/>
              <w:ind w:firstLine="442" w:firstLineChars="200"/>
              <w:jc w:val="center"/>
              <w:rPr>
                <w:b/>
                <w:bCs/>
                <w:sz w:val="22"/>
                <w:szCs w:val="28"/>
              </w:rPr>
            </w:pPr>
            <w:r>
              <w:rPr>
                <w:rFonts w:hint="eastAsia"/>
                <w:b/>
                <w:bCs/>
                <w:sz w:val="22"/>
                <w:szCs w:val="28"/>
              </w:rPr>
              <w:t>表3</w:t>
            </w:r>
            <w:r>
              <w:rPr>
                <w:b/>
                <w:bCs/>
                <w:sz w:val="22"/>
                <w:szCs w:val="28"/>
              </w:rPr>
              <w:t>-6    大气环境保护目标</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656"/>
              <w:gridCol w:w="656"/>
              <w:gridCol w:w="724"/>
              <w:gridCol w:w="1296"/>
              <w:gridCol w:w="891"/>
              <w:gridCol w:w="76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vMerge w:val="restart"/>
                  <w:vAlign w:val="center"/>
                </w:tcPr>
                <w:p>
                  <w:pPr>
                    <w:jc w:val="center"/>
                    <w:rPr>
                      <w:b/>
                      <w:bCs/>
                      <w:color w:val="000000"/>
                      <w:kern w:val="0"/>
                      <w:sz w:val="22"/>
                    </w:rPr>
                  </w:pPr>
                  <w:r>
                    <w:rPr>
                      <w:b/>
                      <w:bCs/>
                      <w:color w:val="000000"/>
                      <w:kern w:val="0"/>
                      <w:sz w:val="22"/>
                    </w:rPr>
                    <w:t>名称</w:t>
                  </w:r>
                </w:p>
              </w:tc>
              <w:tc>
                <w:tcPr>
                  <w:tcW w:w="886" w:type="pct"/>
                  <w:gridSpan w:val="2"/>
                  <w:vAlign w:val="center"/>
                </w:tcPr>
                <w:p>
                  <w:pPr>
                    <w:jc w:val="center"/>
                    <w:rPr>
                      <w:b/>
                      <w:bCs/>
                      <w:color w:val="000000"/>
                      <w:kern w:val="0"/>
                      <w:sz w:val="22"/>
                    </w:rPr>
                  </w:pPr>
                  <w:r>
                    <w:rPr>
                      <w:b/>
                      <w:bCs/>
                      <w:color w:val="000000"/>
                      <w:kern w:val="0"/>
                      <w:sz w:val="22"/>
                    </w:rPr>
                    <w:t>坐标/m</w:t>
                  </w:r>
                </w:p>
              </w:tc>
              <w:tc>
                <w:tcPr>
                  <w:tcW w:w="489" w:type="pct"/>
                  <w:vMerge w:val="restart"/>
                  <w:vAlign w:val="center"/>
                </w:tcPr>
                <w:p>
                  <w:pPr>
                    <w:jc w:val="center"/>
                    <w:rPr>
                      <w:b/>
                      <w:bCs/>
                      <w:color w:val="000000"/>
                      <w:kern w:val="0"/>
                      <w:sz w:val="22"/>
                    </w:rPr>
                  </w:pPr>
                  <w:r>
                    <w:rPr>
                      <w:b/>
                      <w:bCs/>
                      <w:color w:val="000000"/>
                      <w:kern w:val="0"/>
                      <w:sz w:val="22"/>
                    </w:rPr>
                    <w:t>保护对象</w:t>
                  </w:r>
                </w:p>
              </w:tc>
              <w:tc>
                <w:tcPr>
                  <w:tcW w:w="875" w:type="pct"/>
                  <w:vMerge w:val="restart"/>
                  <w:vAlign w:val="center"/>
                </w:tcPr>
                <w:p>
                  <w:pPr>
                    <w:jc w:val="center"/>
                    <w:rPr>
                      <w:b/>
                      <w:bCs/>
                      <w:color w:val="000000"/>
                      <w:kern w:val="0"/>
                      <w:sz w:val="22"/>
                    </w:rPr>
                  </w:pPr>
                  <w:r>
                    <w:rPr>
                      <w:b/>
                      <w:bCs/>
                      <w:color w:val="000000"/>
                      <w:kern w:val="0"/>
                      <w:sz w:val="22"/>
                    </w:rPr>
                    <w:t>保护内容</w:t>
                  </w:r>
                </w:p>
              </w:tc>
              <w:tc>
                <w:tcPr>
                  <w:tcW w:w="602" w:type="pct"/>
                  <w:vMerge w:val="restart"/>
                  <w:vAlign w:val="center"/>
                </w:tcPr>
                <w:p>
                  <w:pPr>
                    <w:jc w:val="center"/>
                    <w:rPr>
                      <w:b/>
                      <w:bCs/>
                      <w:color w:val="000000"/>
                      <w:kern w:val="0"/>
                      <w:sz w:val="22"/>
                    </w:rPr>
                  </w:pPr>
                  <w:r>
                    <w:rPr>
                      <w:b/>
                      <w:bCs/>
                      <w:color w:val="000000"/>
                      <w:kern w:val="0"/>
                      <w:sz w:val="22"/>
                    </w:rPr>
                    <w:t>环境功能区</w:t>
                  </w:r>
                </w:p>
              </w:tc>
              <w:tc>
                <w:tcPr>
                  <w:tcW w:w="516" w:type="pct"/>
                  <w:vMerge w:val="restart"/>
                  <w:vAlign w:val="center"/>
                </w:tcPr>
                <w:p>
                  <w:pPr>
                    <w:jc w:val="center"/>
                    <w:rPr>
                      <w:b/>
                      <w:bCs/>
                      <w:color w:val="000000"/>
                      <w:kern w:val="0"/>
                      <w:sz w:val="22"/>
                    </w:rPr>
                  </w:pPr>
                  <w:r>
                    <w:rPr>
                      <w:b/>
                      <w:bCs/>
                      <w:color w:val="000000"/>
                      <w:kern w:val="0"/>
                      <w:sz w:val="22"/>
                    </w:rPr>
                    <w:t>相对厂址方向</w:t>
                  </w:r>
                </w:p>
              </w:tc>
              <w:tc>
                <w:tcPr>
                  <w:tcW w:w="678" w:type="pct"/>
                  <w:vMerge w:val="restart"/>
                  <w:vAlign w:val="center"/>
                </w:tcPr>
                <w:p>
                  <w:pPr>
                    <w:jc w:val="center"/>
                    <w:rPr>
                      <w:b/>
                      <w:bCs/>
                      <w:color w:val="000000"/>
                      <w:kern w:val="0"/>
                      <w:sz w:val="22"/>
                    </w:rPr>
                  </w:pPr>
                  <w:r>
                    <w:rPr>
                      <w:b/>
                      <w:bCs/>
                      <w:color w:val="000000"/>
                      <w:kern w:val="0"/>
                      <w:sz w:val="22"/>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vMerge w:val="continue"/>
                  <w:vAlign w:val="center"/>
                </w:tcPr>
                <w:p>
                  <w:pPr>
                    <w:jc w:val="center"/>
                    <w:rPr>
                      <w:color w:val="000000"/>
                      <w:kern w:val="0"/>
                      <w:sz w:val="22"/>
                    </w:rPr>
                  </w:pPr>
                </w:p>
              </w:tc>
              <w:tc>
                <w:tcPr>
                  <w:tcW w:w="443" w:type="pct"/>
                  <w:vAlign w:val="center"/>
                </w:tcPr>
                <w:p>
                  <w:pPr>
                    <w:jc w:val="center"/>
                    <w:rPr>
                      <w:b/>
                      <w:bCs/>
                      <w:color w:val="000000"/>
                      <w:kern w:val="0"/>
                      <w:sz w:val="22"/>
                    </w:rPr>
                  </w:pPr>
                  <w:r>
                    <w:rPr>
                      <w:b/>
                      <w:bCs/>
                      <w:color w:val="000000"/>
                      <w:kern w:val="0"/>
                      <w:sz w:val="22"/>
                    </w:rPr>
                    <w:t>X</w:t>
                  </w:r>
                </w:p>
              </w:tc>
              <w:tc>
                <w:tcPr>
                  <w:tcW w:w="443" w:type="pct"/>
                  <w:vAlign w:val="center"/>
                </w:tcPr>
                <w:p>
                  <w:pPr>
                    <w:jc w:val="center"/>
                    <w:rPr>
                      <w:b/>
                      <w:bCs/>
                      <w:color w:val="000000"/>
                      <w:kern w:val="0"/>
                      <w:sz w:val="22"/>
                    </w:rPr>
                  </w:pPr>
                  <w:r>
                    <w:rPr>
                      <w:b/>
                      <w:bCs/>
                      <w:color w:val="000000"/>
                      <w:kern w:val="0"/>
                      <w:sz w:val="22"/>
                    </w:rPr>
                    <w:t>Y</w:t>
                  </w:r>
                </w:p>
              </w:tc>
              <w:tc>
                <w:tcPr>
                  <w:tcW w:w="489" w:type="pct"/>
                  <w:vMerge w:val="continue"/>
                  <w:vAlign w:val="center"/>
                </w:tcPr>
                <w:p>
                  <w:pPr>
                    <w:jc w:val="center"/>
                    <w:rPr>
                      <w:color w:val="000000"/>
                      <w:kern w:val="0"/>
                      <w:sz w:val="22"/>
                    </w:rPr>
                  </w:pPr>
                </w:p>
              </w:tc>
              <w:tc>
                <w:tcPr>
                  <w:tcW w:w="875" w:type="pct"/>
                  <w:vMerge w:val="continue"/>
                  <w:vAlign w:val="center"/>
                </w:tcPr>
                <w:p>
                  <w:pPr>
                    <w:jc w:val="center"/>
                    <w:rPr>
                      <w:color w:val="000000"/>
                      <w:kern w:val="0"/>
                      <w:sz w:val="22"/>
                    </w:rPr>
                  </w:pPr>
                </w:p>
              </w:tc>
              <w:tc>
                <w:tcPr>
                  <w:tcW w:w="602" w:type="pct"/>
                  <w:vMerge w:val="continue"/>
                  <w:vAlign w:val="center"/>
                </w:tcPr>
                <w:p>
                  <w:pPr>
                    <w:jc w:val="center"/>
                    <w:rPr>
                      <w:color w:val="000000"/>
                      <w:kern w:val="0"/>
                      <w:sz w:val="22"/>
                    </w:rPr>
                  </w:pPr>
                </w:p>
              </w:tc>
              <w:tc>
                <w:tcPr>
                  <w:tcW w:w="516" w:type="pct"/>
                  <w:vMerge w:val="continue"/>
                  <w:vAlign w:val="center"/>
                </w:tcPr>
                <w:p>
                  <w:pPr>
                    <w:jc w:val="center"/>
                    <w:rPr>
                      <w:color w:val="000000"/>
                      <w:kern w:val="0"/>
                      <w:sz w:val="22"/>
                    </w:rPr>
                  </w:pPr>
                </w:p>
              </w:tc>
              <w:tc>
                <w:tcPr>
                  <w:tcW w:w="678" w:type="pct"/>
                  <w:vMerge w:val="continue"/>
                  <w:vAlign w:val="center"/>
                </w:tcPr>
                <w:p>
                  <w:pPr>
                    <w:jc w:val="center"/>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vAlign w:val="center"/>
                </w:tcPr>
                <w:p>
                  <w:pPr>
                    <w:jc w:val="center"/>
                    <w:rPr>
                      <w:color w:val="000000"/>
                      <w:kern w:val="0"/>
                      <w:sz w:val="22"/>
                    </w:rPr>
                  </w:pPr>
                  <w:r>
                    <w:rPr>
                      <w:rFonts w:hint="eastAsia"/>
                      <w:color w:val="000000"/>
                      <w:kern w:val="0"/>
                      <w:sz w:val="22"/>
                    </w:rPr>
                    <w:t>任家巷村</w:t>
                  </w:r>
                </w:p>
                <w:p>
                  <w:pPr>
                    <w:jc w:val="center"/>
                    <w:rPr>
                      <w:color w:val="000000"/>
                      <w:kern w:val="0"/>
                      <w:sz w:val="22"/>
                    </w:rPr>
                  </w:pPr>
                  <w:r>
                    <w:rPr>
                      <w:rFonts w:hint="eastAsia"/>
                      <w:color w:val="000000"/>
                      <w:kern w:val="0"/>
                      <w:sz w:val="22"/>
                    </w:rPr>
                    <w:t>居民</w:t>
                  </w:r>
                </w:p>
              </w:tc>
              <w:tc>
                <w:tcPr>
                  <w:tcW w:w="443" w:type="pct"/>
                  <w:vAlign w:val="center"/>
                </w:tcPr>
                <w:p>
                  <w:pPr>
                    <w:jc w:val="center"/>
                    <w:rPr>
                      <w:color w:val="000000"/>
                      <w:kern w:val="0"/>
                      <w:sz w:val="22"/>
                    </w:rPr>
                  </w:pPr>
                  <w:r>
                    <w:rPr>
                      <w:rFonts w:hint="eastAsia"/>
                      <w:color w:val="000000"/>
                      <w:kern w:val="0"/>
                      <w:sz w:val="22"/>
                    </w:rPr>
                    <w:t>0</w:t>
                  </w:r>
                </w:p>
              </w:tc>
              <w:tc>
                <w:tcPr>
                  <w:tcW w:w="443" w:type="pct"/>
                  <w:vAlign w:val="center"/>
                </w:tcPr>
                <w:p>
                  <w:pPr>
                    <w:jc w:val="center"/>
                    <w:rPr>
                      <w:color w:val="000000"/>
                      <w:kern w:val="0"/>
                      <w:sz w:val="22"/>
                    </w:rPr>
                  </w:pPr>
                  <w:r>
                    <w:rPr>
                      <w:rFonts w:hint="eastAsia"/>
                      <w:color w:val="000000"/>
                      <w:kern w:val="0"/>
                      <w:sz w:val="22"/>
                    </w:rPr>
                    <w:t>2</w:t>
                  </w:r>
                  <w:r>
                    <w:rPr>
                      <w:color w:val="000000"/>
                      <w:kern w:val="0"/>
                      <w:sz w:val="22"/>
                    </w:rPr>
                    <w:t>0</w:t>
                  </w:r>
                </w:p>
              </w:tc>
              <w:tc>
                <w:tcPr>
                  <w:tcW w:w="489" w:type="pct"/>
                  <w:vAlign w:val="center"/>
                </w:tcPr>
                <w:p>
                  <w:pPr>
                    <w:adjustRightInd w:val="0"/>
                    <w:snapToGrid w:val="0"/>
                    <w:jc w:val="center"/>
                    <w:rPr>
                      <w:color w:val="000000"/>
                      <w:kern w:val="0"/>
                      <w:sz w:val="22"/>
                    </w:rPr>
                  </w:pPr>
                  <w:r>
                    <w:rPr>
                      <w:color w:val="000000"/>
                      <w:kern w:val="0"/>
                      <w:sz w:val="22"/>
                    </w:rPr>
                    <w:t>居住区</w:t>
                  </w:r>
                </w:p>
              </w:tc>
              <w:tc>
                <w:tcPr>
                  <w:tcW w:w="875" w:type="pct"/>
                  <w:vAlign w:val="center"/>
                </w:tcPr>
                <w:p>
                  <w:pPr>
                    <w:adjustRightInd w:val="0"/>
                    <w:snapToGrid w:val="0"/>
                    <w:jc w:val="center"/>
                    <w:rPr>
                      <w:color w:val="000000"/>
                      <w:kern w:val="0"/>
                      <w:sz w:val="22"/>
                    </w:rPr>
                  </w:pPr>
                  <w:r>
                    <w:rPr>
                      <w:color w:val="000000"/>
                      <w:kern w:val="0"/>
                      <w:sz w:val="22"/>
                    </w:rPr>
                    <w:t>居民，约</w:t>
                  </w:r>
                  <w:r>
                    <w:rPr>
                      <w:rFonts w:hint="eastAsia"/>
                      <w:color w:val="000000"/>
                      <w:kern w:val="0"/>
                      <w:sz w:val="22"/>
                    </w:rPr>
                    <w:t>1</w:t>
                  </w:r>
                  <w:r>
                    <w:rPr>
                      <w:color w:val="000000"/>
                      <w:kern w:val="0"/>
                      <w:sz w:val="22"/>
                    </w:rPr>
                    <w:t>20</w:t>
                  </w:r>
                  <w:r>
                    <w:rPr>
                      <w:rFonts w:hint="eastAsia"/>
                      <w:color w:val="000000"/>
                      <w:kern w:val="0"/>
                      <w:sz w:val="22"/>
                    </w:rPr>
                    <w:t>户</w:t>
                  </w:r>
                </w:p>
              </w:tc>
              <w:tc>
                <w:tcPr>
                  <w:tcW w:w="602" w:type="pct"/>
                  <w:vAlign w:val="center"/>
                </w:tcPr>
                <w:p>
                  <w:pPr>
                    <w:jc w:val="center"/>
                    <w:rPr>
                      <w:color w:val="000000"/>
                      <w:kern w:val="0"/>
                      <w:sz w:val="22"/>
                    </w:rPr>
                  </w:pPr>
                  <w:r>
                    <w:rPr>
                      <w:color w:val="000000"/>
                      <w:kern w:val="0"/>
                      <w:sz w:val="22"/>
                    </w:rPr>
                    <w:t>二类区</w:t>
                  </w:r>
                </w:p>
              </w:tc>
              <w:tc>
                <w:tcPr>
                  <w:tcW w:w="516" w:type="pct"/>
                  <w:vAlign w:val="center"/>
                </w:tcPr>
                <w:p>
                  <w:pPr>
                    <w:jc w:val="center"/>
                    <w:rPr>
                      <w:color w:val="000000"/>
                      <w:kern w:val="0"/>
                      <w:sz w:val="22"/>
                    </w:rPr>
                  </w:pPr>
                  <w:r>
                    <w:rPr>
                      <w:rFonts w:hint="eastAsia"/>
                      <w:color w:val="000000"/>
                      <w:kern w:val="0"/>
                      <w:sz w:val="22"/>
                    </w:rPr>
                    <w:t>北侧</w:t>
                  </w:r>
                </w:p>
              </w:tc>
              <w:tc>
                <w:tcPr>
                  <w:tcW w:w="678" w:type="pct"/>
                  <w:vAlign w:val="center"/>
                </w:tcPr>
                <w:p>
                  <w:pPr>
                    <w:jc w:val="center"/>
                    <w:rPr>
                      <w:color w:val="000000"/>
                      <w:kern w:val="0"/>
                      <w:sz w:val="22"/>
                    </w:rPr>
                  </w:pPr>
                  <w:r>
                    <w:rPr>
                      <w:rFonts w:hint="eastAsia"/>
                      <w:color w:val="000000"/>
                      <w:kern w:val="0"/>
                      <w:sz w:val="22"/>
                    </w:rPr>
                    <w:t>2</w:t>
                  </w:r>
                  <w:r>
                    <w:rPr>
                      <w:color w:val="000000"/>
                      <w:kern w:val="0"/>
                      <w:sz w:val="22"/>
                    </w:rPr>
                    <w:t>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vAlign w:val="center"/>
                </w:tcPr>
                <w:p>
                  <w:pPr>
                    <w:jc w:val="center"/>
                    <w:rPr>
                      <w:color w:val="000000"/>
                      <w:kern w:val="0"/>
                      <w:sz w:val="22"/>
                    </w:rPr>
                  </w:pPr>
                  <w:r>
                    <w:rPr>
                      <w:rFonts w:hint="eastAsia"/>
                      <w:color w:val="000000"/>
                      <w:kern w:val="0"/>
                      <w:sz w:val="22"/>
                    </w:rPr>
                    <w:t>任家巷村</w:t>
                  </w:r>
                </w:p>
                <w:p>
                  <w:pPr>
                    <w:jc w:val="center"/>
                    <w:rPr>
                      <w:color w:val="000000"/>
                      <w:kern w:val="0"/>
                      <w:sz w:val="22"/>
                    </w:rPr>
                  </w:pPr>
                  <w:r>
                    <w:rPr>
                      <w:rFonts w:hint="eastAsia"/>
                      <w:color w:val="000000"/>
                      <w:kern w:val="0"/>
                      <w:sz w:val="22"/>
                    </w:rPr>
                    <w:t>居民</w:t>
                  </w:r>
                </w:p>
              </w:tc>
              <w:tc>
                <w:tcPr>
                  <w:tcW w:w="443" w:type="pct"/>
                  <w:vAlign w:val="center"/>
                </w:tcPr>
                <w:p>
                  <w:pPr>
                    <w:jc w:val="center"/>
                    <w:rPr>
                      <w:color w:val="000000"/>
                      <w:kern w:val="0"/>
                      <w:sz w:val="22"/>
                    </w:rPr>
                  </w:pPr>
                  <w:r>
                    <w:rPr>
                      <w:rFonts w:hint="eastAsia"/>
                      <w:color w:val="000000"/>
                      <w:kern w:val="0"/>
                      <w:sz w:val="22"/>
                    </w:rPr>
                    <w:t>-</w:t>
                  </w:r>
                  <w:r>
                    <w:rPr>
                      <w:color w:val="000000"/>
                      <w:kern w:val="0"/>
                      <w:sz w:val="22"/>
                    </w:rPr>
                    <w:t>50</w:t>
                  </w:r>
                </w:p>
              </w:tc>
              <w:tc>
                <w:tcPr>
                  <w:tcW w:w="443" w:type="pct"/>
                  <w:vAlign w:val="center"/>
                </w:tcPr>
                <w:p>
                  <w:pPr>
                    <w:jc w:val="center"/>
                    <w:rPr>
                      <w:color w:val="000000"/>
                      <w:kern w:val="0"/>
                      <w:sz w:val="22"/>
                    </w:rPr>
                  </w:pPr>
                  <w:r>
                    <w:rPr>
                      <w:rFonts w:hint="eastAsia"/>
                      <w:color w:val="000000"/>
                      <w:kern w:val="0"/>
                      <w:sz w:val="22"/>
                    </w:rPr>
                    <w:t>0</w:t>
                  </w:r>
                </w:p>
              </w:tc>
              <w:tc>
                <w:tcPr>
                  <w:tcW w:w="489" w:type="pct"/>
                  <w:vAlign w:val="center"/>
                </w:tcPr>
                <w:p>
                  <w:pPr>
                    <w:adjustRightInd w:val="0"/>
                    <w:snapToGrid w:val="0"/>
                    <w:jc w:val="center"/>
                    <w:rPr>
                      <w:color w:val="000000"/>
                      <w:kern w:val="0"/>
                      <w:sz w:val="22"/>
                    </w:rPr>
                  </w:pPr>
                  <w:r>
                    <w:rPr>
                      <w:color w:val="000000"/>
                      <w:kern w:val="0"/>
                      <w:sz w:val="22"/>
                    </w:rPr>
                    <w:t>居住区</w:t>
                  </w:r>
                </w:p>
              </w:tc>
              <w:tc>
                <w:tcPr>
                  <w:tcW w:w="875" w:type="pct"/>
                  <w:vAlign w:val="center"/>
                </w:tcPr>
                <w:p>
                  <w:pPr>
                    <w:adjustRightInd w:val="0"/>
                    <w:snapToGrid w:val="0"/>
                    <w:jc w:val="center"/>
                    <w:rPr>
                      <w:color w:val="000000"/>
                      <w:kern w:val="0"/>
                      <w:sz w:val="22"/>
                    </w:rPr>
                  </w:pPr>
                  <w:r>
                    <w:rPr>
                      <w:color w:val="000000"/>
                      <w:kern w:val="0"/>
                      <w:sz w:val="22"/>
                    </w:rPr>
                    <w:t>居民，约</w:t>
                  </w:r>
                  <w:r>
                    <w:rPr>
                      <w:rFonts w:hint="eastAsia"/>
                      <w:color w:val="000000"/>
                      <w:kern w:val="0"/>
                      <w:sz w:val="22"/>
                    </w:rPr>
                    <w:t>1</w:t>
                  </w:r>
                  <w:r>
                    <w:rPr>
                      <w:color w:val="000000"/>
                      <w:kern w:val="0"/>
                      <w:sz w:val="22"/>
                    </w:rPr>
                    <w:t>0</w:t>
                  </w:r>
                  <w:r>
                    <w:rPr>
                      <w:rFonts w:hint="eastAsia"/>
                      <w:color w:val="000000"/>
                      <w:kern w:val="0"/>
                      <w:sz w:val="22"/>
                    </w:rPr>
                    <w:t>户</w:t>
                  </w:r>
                </w:p>
              </w:tc>
              <w:tc>
                <w:tcPr>
                  <w:tcW w:w="602" w:type="pct"/>
                  <w:vAlign w:val="center"/>
                </w:tcPr>
                <w:p>
                  <w:pPr>
                    <w:jc w:val="center"/>
                    <w:rPr>
                      <w:color w:val="000000"/>
                      <w:kern w:val="0"/>
                      <w:sz w:val="22"/>
                    </w:rPr>
                  </w:pPr>
                  <w:r>
                    <w:rPr>
                      <w:color w:val="000000"/>
                      <w:kern w:val="0"/>
                      <w:sz w:val="22"/>
                    </w:rPr>
                    <w:t>二类区</w:t>
                  </w:r>
                </w:p>
              </w:tc>
              <w:tc>
                <w:tcPr>
                  <w:tcW w:w="516" w:type="pct"/>
                  <w:vAlign w:val="center"/>
                </w:tcPr>
                <w:p>
                  <w:pPr>
                    <w:jc w:val="center"/>
                    <w:rPr>
                      <w:color w:val="000000"/>
                      <w:kern w:val="0"/>
                      <w:sz w:val="22"/>
                    </w:rPr>
                  </w:pPr>
                  <w:r>
                    <w:rPr>
                      <w:rFonts w:hint="eastAsia"/>
                      <w:color w:val="000000"/>
                      <w:kern w:val="0"/>
                      <w:sz w:val="22"/>
                    </w:rPr>
                    <w:t>西侧</w:t>
                  </w:r>
                </w:p>
              </w:tc>
              <w:tc>
                <w:tcPr>
                  <w:tcW w:w="678" w:type="pct"/>
                  <w:vAlign w:val="center"/>
                </w:tcPr>
                <w:p>
                  <w:pPr>
                    <w:jc w:val="center"/>
                    <w:rPr>
                      <w:color w:val="000000"/>
                      <w:kern w:val="0"/>
                      <w:sz w:val="22"/>
                    </w:rPr>
                  </w:pPr>
                  <w:r>
                    <w:rPr>
                      <w:rFonts w:hint="eastAsia"/>
                      <w:color w:val="000000"/>
                      <w:kern w:val="0"/>
                      <w:sz w:val="22"/>
                    </w:rPr>
                    <w:t>5</w:t>
                  </w:r>
                  <w:r>
                    <w:rPr>
                      <w:color w:val="000000"/>
                      <w:kern w:val="0"/>
                      <w:sz w:val="22"/>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vAlign w:val="center"/>
                </w:tcPr>
                <w:p>
                  <w:pPr>
                    <w:jc w:val="center"/>
                    <w:rPr>
                      <w:color w:val="000000"/>
                      <w:kern w:val="0"/>
                      <w:sz w:val="22"/>
                    </w:rPr>
                  </w:pPr>
                  <w:r>
                    <w:rPr>
                      <w:rFonts w:hint="eastAsia"/>
                      <w:color w:val="000000"/>
                      <w:kern w:val="0"/>
                      <w:sz w:val="22"/>
                    </w:rPr>
                    <w:t>澹阳桥巷</w:t>
                  </w:r>
                </w:p>
                <w:p>
                  <w:pPr>
                    <w:jc w:val="center"/>
                    <w:rPr>
                      <w:color w:val="000000"/>
                      <w:kern w:val="0"/>
                      <w:sz w:val="22"/>
                    </w:rPr>
                  </w:pPr>
                  <w:r>
                    <w:rPr>
                      <w:rFonts w:hint="eastAsia"/>
                      <w:color w:val="000000"/>
                      <w:kern w:val="0"/>
                      <w:sz w:val="22"/>
                    </w:rPr>
                    <w:t>居民</w:t>
                  </w:r>
                </w:p>
              </w:tc>
              <w:tc>
                <w:tcPr>
                  <w:tcW w:w="443" w:type="pct"/>
                  <w:vAlign w:val="center"/>
                </w:tcPr>
                <w:p>
                  <w:pPr>
                    <w:jc w:val="center"/>
                    <w:rPr>
                      <w:color w:val="000000"/>
                      <w:kern w:val="0"/>
                      <w:sz w:val="22"/>
                    </w:rPr>
                  </w:pPr>
                  <w:r>
                    <w:rPr>
                      <w:rFonts w:hint="eastAsia"/>
                      <w:color w:val="000000"/>
                      <w:kern w:val="0"/>
                      <w:sz w:val="22"/>
                    </w:rPr>
                    <w:t>-</w:t>
                  </w:r>
                  <w:r>
                    <w:rPr>
                      <w:color w:val="000000"/>
                      <w:kern w:val="0"/>
                      <w:sz w:val="22"/>
                    </w:rPr>
                    <w:t>200</w:t>
                  </w:r>
                </w:p>
              </w:tc>
              <w:tc>
                <w:tcPr>
                  <w:tcW w:w="443" w:type="pct"/>
                  <w:vAlign w:val="center"/>
                </w:tcPr>
                <w:p>
                  <w:pPr>
                    <w:jc w:val="center"/>
                    <w:rPr>
                      <w:color w:val="000000"/>
                      <w:kern w:val="0"/>
                      <w:sz w:val="22"/>
                    </w:rPr>
                  </w:pPr>
                  <w:r>
                    <w:rPr>
                      <w:rFonts w:hint="eastAsia"/>
                      <w:color w:val="000000"/>
                      <w:kern w:val="0"/>
                      <w:sz w:val="22"/>
                    </w:rPr>
                    <w:t>0</w:t>
                  </w:r>
                </w:p>
              </w:tc>
              <w:tc>
                <w:tcPr>
                  <w:tcW w:w="489" w:type="pct"/>
                  <w:vAlign w:val="center"/>
                </w:tcPr>
                <w:p>
                  <w:pPr>
                    <w:adjustRightInd w:val="0"/>
                    <w:snapToGrid w:val="0"/>
                    <w:jc w:val="center"/>
                    <w:rPr>
                      <w:color w:val="000000"/>
                      <w:kern w:val="0"/>
                      <w:sz w:val="22"/>
                    </w:rPr>
                  </w:pPr>
                  <w:r>
                    <w:rPr>
                      <w:color w:val="000000"/>
                      <w:kern w:val="0"/>
                      <w:sz w:val="22"/>
                    </w:rPr>
                    <w:t>居住区</w:t>
                  </w:r>
                </w:p>
              </w:tc>
              <w:tc>
                <w:tcPr>
                  <w:tcW w:w="875" w:type="pct"/>
                  <w:vAlign w:val="center"/>
                </w:tcPr>
                <w:p>
                  <w:pPr>
                    <w:adjustRightInd w:val="0"/>
                    <w:snapToGrid w:val="0"/>
                    <w:jc w:val="center"/>
                    <w:rPr>
                      <w:color w:val="000000"/>
                      <w:kern w:val="0"/>
                      <w:sz w:val="22"/>
                    </w:rPr>
                  </w:pPr>
                  <w:r>
                    <w:rPr>
                      <w:color w:val="000000"/>
                      <w:kern w:val="0"/>
                      <w:sz w:val="22"/>
                    </w:rPr>
                    <w:t>居民，约25</w:t>
                  </w:r>
                  <w:r>
                    <w:rPr>
                      <w:rFonts w:hint="eastAsia"/>
                      <w:color w:val="000000"/>
                      <w:kern w:val="0"/>
                      <w:sz w:val="22"/>
                    </w:rPr>
                    <w:t>户</w:t>
                  </w:r>
                </w:p>
              </w:tc>
              <w:tc>
                <w:tcPr>
                  <w:tcW w:w="602" w:type="pct"/>
                  <w:vAlign w:val="center"/>
                </w:tcPr>
                <w:p>
                  <w:pPr>
                    <w:jc w:val="center"/>
                    <w:rPr>
                      <w:color w:val="000000"/>
                      <w:kern w:val="0"/>
                      <w:sz w:val="22"/>
                    </w:rPr>
                  </w:pPr>
                  <w:r>
                    <w:rPr>
                      <w:color w:val="000000"/>
                      <w:kern w:val="0"/>
                      <w:sz w:val="22"/>
                    </w:rPr>
                    <w:t>二类区</w:t>
                  </w:r>
                </w:p>
              </w:tc>
              <w:tc>
                <w:tcPr>
                  <w:tcW w:w="516" w:type="pct"/>
                  <w:vAlign w:val="center"/>
                </w:tcPr>
                <w:p>
                  <w:pPr>
                    <w:jc w:val="center"/>
                    <w:rPr>
                      <w:color w:val="000000"/>
                      <w:kern w:val="0"/>
                      <w:sz w:val="22"/>
                    </w:rPr>
                  </w:pPr>
                  <w:r>
                    <w:rPr>
                      <w:rFonts w:hint="eastAsia"/>
                      <w:color w:val="000000"/>
                      <w:kern w:val="0"/>
                      <w:sz w:val="22"/>
                    </w:rPr>
                    <w:t>西侧</w:t>
                  </w:r>
                </w:p>
              </w:tc>
              <w:tc>
                <w:tcPr>
                  <w:tcW w:w="678" w:type="pct"/>
                  <w:vAlign w:val="center"/>
                </w:tcPr>
                <w:p>
                  <w:pPr>
                    <w:jc w:val="center"/>
                    <w:rPr>
                      <w:color w:val="000000"/>
                      <w:kern w:val="0"/>
                      <w:sz w:val="22"/>
                    </w:rPr>
                  </w:pPr>
                  <w:r>
                    <w:rPr>
                      <w:rFonts w:hint="eastAsia"/>
                      <w:color w:val="000000"/>
                      <w:kern w:val="0"/>
                      <w:sz w:val="22"/>
                    </w:rPr>
                    <w:t>2</w:t>
                  </w:r>
                  <w:r>
                    <w:rPr>
                      <w:color w:val="000000"/>
                      <w:kern w:val="0"/>
                      <w:sz w:val="22"/>
                    </w:rPr>
                    <w:t>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vAlign w:val="center"/>
                </w:tcPr>
                <w:p>
                  <w:pPr>
                    <w:jc w:val="center"/>
                    <w:rPr>
                      <w:color w:val="000000"/>
                      <w:kern w:val="0"/>
                      <w:sz w:val="22"/>
                    </w:rPr>
                  </w:pPr>
                  <w:r>
                    <w:rPr>
                      <w:rFonts w:hint="eastAsia"/>
                      <w:color w:val="000000"/>
                      <w:kern w:val="0"/>
                      <w:sz w:val="22"/>
                    </w:rPr>
                    <w:t>羊古社区</w:t>
                  </w:r>
                </w:p>
                <w:p>
                  <w:pPr>
                    <w:jc w:val="center"/>
                    <w:rPr>
                      <w:color w:val="000000"/>
                      <w:kern w:val="0"/>
                      <w:sz w:val="22"/>
                    </w:rPr>
                  </w:pPr>
                  <w:r>
                    <w:rPr>
                      <w:rFonts w:hint="eastAsia"/>
                      <w:color w:val="000000"/>
                      <w:kern w:val="0"/>
                      <w:sz w:val="22"/>
                    </w:rPr>
                    <w:t>居民</w:t>
                  </w:r>
                </w:p>
              </w:tc>
              <w:tc>
                <w:tcPr>
                  <w:tcW w:w="443" w:type="pct"/>
                  <w:vAlign w:val="center"/>
                </w:tcPr>
                <w:p>
                  <w:pPr>
                    <w:jc w:val="center"/>
                    <w:rPr>
                      <w:color w:val="000000"/>
                      <w:kern w:val="0"/>
                      <w:sz w:val="22"/>
                    </w:rPr>
                  </w:pPr>
                  <w:r>
                    <w:rPr>
                      <w:rFonts w:hint="eastAsia"/>
                      <w:color w:val="000000"/>
                      <w:kern w:val="0"/>
                      <w:sz w:val="22"/>
                    </w:rPr>
                    <w:t>0</w:t>
                  </w:r>
                </w:p>
              </w:tc>
              <w:tc>
                <w:tcPr>
                  <w:tcW w:w="443" w:type="pct"/>
                  <w:vAlign w:val="center"/>
                </w:tcPr>
                <w:p>
                  <w:pPr>
                    <w:jc w:val="center"/>
                    <w:rPr>
                      <w:color w:val="000000"/>
                      <w:kern w:val="0"/>
                      <w:sz w:val="22"/>
                    </w:rPr>
                  </w:pPr>
                  <w:r>
                    <w:rPr>
                      <w:rFonts w:hint="eastAsia"/>
                      <w:color w:val="000000"/>
                      <w:kern w:val="0"/>
                      <w:sz w:val="22"/>
                    </w:rPr>
                    <w:t>-</w:t>
                  </w:r>
                  <w:r>
                    <w:rPr>
                      <w:color w:val="000000"/>
                      <w:kern w:val="0"/>
                      <w:sz w:val="22"/>
                    </w:rPr>
                    <w:t>60</w:t>
                  </w:r>
                </w:p>
              </w:tc>
              <w:tc>
                <w:tcPr>
                  <w:tcW w:w="489" w:type="pct"/>
                  <w:vAlign w:val="center"/>
                </w:tcPr>
                <w:p>
                  <w:pPr>
                    <w:adjustRightInd w:val="0"/>
                    <w:snapToGrid w:val="0"/>
                    <w:jc w:val="center"/>
                    <w:rPr>
                      <w:color w:val="000000"/>
                      <w:kern w:val="0"/>
                      <w:sz w:val="22"/>
                    </w:rPr>
                  </w:pPr>
                  <w:r>
                    <w:rPr>
                      <w:color w:val="000000"/>
                      <w:kern w:val="0"/>
                      <w:sz w:val="22"/>
                    </w:rPr>
                    <w:t>居住区</w:t>
                  </w:r>
                </w:p>
              </w:tc>
              <w:tc>
                <w:tcPr>
                  <w:tcW w:w="875" w:type="pct"/>
                  <w:vAlign w:val="center"/>
                </w:tcPr>
                <w:p>
                  <w:pPr>
                    <w:adjustRightInd w:val="0"/>
                    <w:snapToGrid w:val="0"/>
                    <w:jc w:val="center"/>
                    <w:rPr>
                      <w:color w:val="000000"/>
                      <w:kern w:val="0"/>
                      <w:sz w:val="22"/>
                    </w:rPr>
                  </w:pPr>
                  <w:r>
                    <w:rPr>
                      <w:color w:val="000000"/>
                      <w:kern w:val="0"/>
                      <w:sz w:val="22"/>
                    </w:rPr>
                    <w:t>居民，约200</w:t>
                  </w:r>
                  <w:r>
                    <w:rPr>
                      <w:rFonts w:hint="eastAsia"/>
                      <w:color w:val="000000"/>
                      <w:kern w:val="0"/>
                      <w:sz w:val="22"/>
                    </w:rPr>
                    <w:t>户</w:t>
                  </w:r>
                </w:p>
              </w:tc>
              <w:tc>
                <w:tcPr>
                  <w:tcW w:w="602" w:type="pct"/>
                  <w:vAlign w:val="center"/>
                </w:tcPr>
                <w:p>
                  <w:pPr>
                    <w:jc w:val="center"/>
                    <w:rPr>
                      <w:color w:val="000000"/>
                      <w:kern w:val="0"/>
                      <w:sz w:val="22"/>
                    </w:rPr>
                  </w:pPr>
                  <w:r>
                    <w:rPr>
                      <w:color w:val="000000"/>
                      <w:kern w:val="0"/>
                      <w:sz w:val="22"/>
                    </w:rPr>
                    <w:t>二类区</w:t>
                  </w:r>
                </w:p>
              </w:tc>
              <w:tc>
                <w:tcPr>
                  <w:tcW w:w="516" w:type="pct"/>
                  <w:vAlign w:val="center"/>
                </w:tcPr>
                <w:p>
                  <w:pPr>
                    <w:jc w:val="center"/>
                    <w:rPr>
                      <w:color w:val="000000"/>
                      <w:kern w:val="0"/>
                      <w:sz w:val="22"/>
                    </w:rPr>
                  </w:pPr>
                  <w:r>
                    <w:rPr>
                      <w:rFonts w:hint="eastAsia"/>
                      <w:color w:val="000000"/>
                      <w:kern w:val="0"/>
                      <w:sz w:val="22"/>
                    </w:rPr>
                    <w:t>南侧</w:t>
                  </w:r>
                </w:p>
              </w:tc>
              <w:tc>
                <w:tcPr>
                  <w:tcW w:w="678" w:type="pct"/>
                  <w:vAlign w:val="center"/>
                </w:tcPr>
                <w:p>
                  <w:pPr>
                    <w:jc w:val="center"/>
                    <w:rPr>
                      <w:color w:val="000000"/>
                      <w:kern w:val="0"/>
                      <w:sz w:val="22"/>
                    </w:rPr>
                  </w:pPr>
                  <w:r>
                    <w:rPr>
                      <w:color w:val="000000"/>
                      <w:kern w:val="0"/>
                      <w:sz w:val="22"/>
                    </w:rPr>
                    <w:t>60-500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vAlign w:val="center"/>
                </w:tcPr>
                <w:p>
                  <w:pPr>
                    <w:jc w:val="center"/>
                    <w:rPr>
                      <w:color w:val="000000"/>
                      <w:kern w:val="0"/>
                      <w:sz w:val="22"/>
                    </w:rPr>
                  </w:pPr>
                  <w:r>
                    <w:rPr>
                      <w:rFonts w:hint="eastAsia"/>
                      <w:color w:val="000000"/>
                      <w:kern w:val="0"/>
                      <w:sz w:val="22"/>
                    </w:rPr>
                    <w:t>莱茵小镇</w:t>
                  </w:r>
                </w:p>
                <w:p>
                  <w:pPr>
                    <w:jc w:val="center"/>
                    <w:rPr>
                      <w:color w:val="000000"/>
                      <w:kern w:val="0"/>
                      <w:sz w:val="22"/>
                    </w:rPr>
                  </w:pPr>
                  <w:r>
                    <w:rPr>
                      <w:rFonts w:hint="eastAsia"/>
                      <w:color w:val="000000"/>
                      <w:kern w:val="0"/>
                      <w:sz w:val="22"/>
                    </w:rPr>
                    <w:t>小区</w:t>
                  </w:r>
                </w:p>
              </w:tc>
              <w:tc>
                <w:tcPr>
                  <w:tcW w:w="443" w:type="pct"/>
                  <w:vAlign w:val="center"/>
                </w:tcPr>
                <w:p>
                  <w:pPr>
                    <w:jc w:val="center"/>
                    <w:rPr>
                      <w:color w:val="000000"/>
                      <w:kern w:val="0"/>
                      <w:sz w:val="22"/>
                    </w:rPr>
                  </w:pPr>
                  <w:r>
                    <w:rPr>
                      <w:rFonts w:hint="eastAsia"/>
                      <w:color w:val="000000"/>
                      <w:kern w:val="0"/>
                      <w:sz w:val="22"/>
                    </w:rPr>
                    <w:t>6</w:t>
                  </w:r>
                  <w:r>
                    <w:rPr>
                      <w:color w:val="000000"/>
                      <w:kern w:val="0"/>
                      <w:sz w:val="22"/>
                    </w:rPr>
                    <w:t>0</w:t>
                  </w:r>
                </w:p>
              </w:tc>
              <w:tc>
                <w:tcPr>
                  <w:tcW w:w="443" w:type="pct"/>
                  <w:vAlign w:val="center"/>
                </w:tcPr>
                <w:p>
                  <w:pPr>
                    <w:jc w:val="center"/>
                    <w:rPr>
                      <w:color w:val="000000"/>
                      <w:kern w:val="0"/>
                      <w:sz w:val="22"/>
                    </w:rPr>
                  </w:pPr>
                  <w:r>
                    <w:rPr>
                      <w:rFonts w:hint="eastAsia"/>
                      <w:color w:val="000000"/>
                      <w:kern w:val="0"/>
                      <w:sz w:val="22"/>
                    </w:rPr>
                    <w:t>0</w:t>
                  </w:r>
                </w:p>
              </w:tc>
              <w:tc>
                <w:tcPr>
                  <w:tcW w:w="489" w:type="pct"/>
                  <w:vAlign w:val="center"/>
                </w:tcPr>
                <w:p>
                  <w:pPr>
                    <w:adjustRightInd w:val="0"/>
                    <w:snapToGrid w:val="0"/>
                    <w:jc w:val="center"/>
                    <w:rPr>
                      <w:color w:val="000000"/>
                      <w:kern w:val="0"/>
                      <w:sz w:val="22"/>
                    </w:rPr>
                  </w:pPr>
                  <w:r>
                    <w:rPr>
                      <w:color w:val="000000"/>
                      <w:kern w:val="0"/>
                      <w:sz w:val="22"/>
                    </w:rPr>
                    <w:t>居住区</w:t>
                  </w:r>
                </w:p>
              </w:tc>
              <w:tc>
                <w:tcPr>
                  <w:tcW w:w="875" w:type="pct"/>
                  <w:vAlign w:val="center"/>
                </w:tcPr>
                <w:p>
                  <w:pPr>
                    <w:adjustRightInd w:val="0"/>
                    <w:snapToGrid w:val="0"/>
                    <w:jc w:val="center"/>
                    <w:rPr>
                      <w:color w:val="000000"/>
                      <w:kern w:val="0"/>
                      <w:sz w:val="22"/>
                    </w:rPr>
                  </w:pPr>
                  <w:r>
                    <w:rPr>
                      <w:color w:val="000000"/>
                      <w:kern w:val="0"/>
                      <w:sz w:val="22"/>
                    </w:rPr>
                    <w:t>居民，约800</w:t>
                  </w:r>
                  <w:r>
                    <w:rPr>
                      <w:rFonts w:hint="eastAsia"/>
                      <w:color w:val="000000"/>
                      <w:kern w:val="0"/>
                      <w:sz w:val="22"/>
                    </w:rPr>
                    <w:t>户</w:t>
                  </w:r>
                </w:p>
              </w:tc>
              <w:tc>
                <w:tcPr>
                  <w:tcW w:w="602" w:type="pct"/>
                  <w:vAlign w:val="center"/>
                </w:tcPr>
                <w:p>
                  <w:pPr>
                    <w:jc w:val="center"/>
                    <w:rPr>
                      <w:color w:val="000000"/>
                      <w:kern w:val="0"/>
                      <w:sz w:val="22"/>
                    </w:rPr>
                  </w:pPr>
                  <w:r>
                    <w:rPr>
                      <w:color w:val="000000"/>
                      <w:kern w:val="0"/>
                      <w:sz w:val="22"/>
                    </w:rPr>
                    <w:t>二类区</w:t>
                  </w:r>
                </w:p>
              </w:tc>
              <w:tc>
                <w:tcPr>
                  <w:tcW w:w="516" w:type="pct"/>
                  <w:vAlign w:val="center"/>
                </w:tcPr>
                <w:p>
                  <w:pPr>
                    <w:jc w:val="center"/>
                    <w:rPr>
                      <w:color w:val="000000"/>
                      <w:kern w:val="0"/>
                      <w:sz w:val="22"/>
                    </w:rPr>
                  </w:pPr>
                  <w:r>
                    <w:rPr>
                      <w:rFonts w:hint="eastAsia"/>
                      <w:color w:val="000000"/>
                      <w:kern w:val="0"/>
                      <w:sz w:val="22"/>
                    </w:rPr>
                    <w:t>东侧</w:t>
                  </w:r>
                </w:p>
              </w:tc>
              <w:tc>
                <w:tcPr>
                  <w:tcW w:w="678" w:type="pct"/>
                  <w:vAlign w:val="center"/>
                </w:tcPr>
                <w:p>
                  <w:pPr>
                    <w:jc w:val="center"/>
                    <w:rPr>
                      <w:color w:val="000000"/>
                      <w:kern w:val="0"/>
                      <w:sz w:val="22"/>
                    </w:rPr>
                  </w:pPr>
                  <w:r>
                    <w:rPr>
                      <w:color w:val="000000"/>
                      <w:kern w:val="0"/>
                      <w:sz w:val="22"/>
                    </w:rPr>
                    <w:t>60-500</w:t>
                  </w:r>
                </w:p>
              </w:tc>
            </w:tr>
          </w:tbl>
          <w:p>
            <w:pPr>
              <w:spacing w:line="360" w:lineRule="auto"/>
              <w:ind w:firstLine="480" w:firstLineChars="200"/>
              <w:rPr>
                <w:sz w:val="24"/>
                <w:szCs w:val="32"/>
              </w:rPr>
            </w:pPr>
          </w:p>
          <w:p>
            <w:pPr>
              <w:spacing w:line="360" w:lineRule="auto"/>
              <w:ind w:firstLine="480" w:firstLineChars="200"/>
              <w:rPr>
                <w:sz w:val="24"/>
                <w:szCs w:val="32"/>
              </w:rPr>
            </w:pPr>
            <w:r>
              <w:rPr>
                <w:rFonts w:hint="eastAsia"/>
                <w:sz w:val="24"/>
                <w:szCs w:val="32"/>
              </w:rPr>
              <w:t>2、声环境保护目标</w:t>
            </w:r>
          </w:p>
          <w:p>
            <w:pPr>
              <w:spacing w:line="360" w:lineRule="auto"/>
              <w:ind w:firstLine="442" w:firstLineChars="200"/>
              <w:jc w:val="center"/>
              <w:rPr>
                <w:b/>
                <w:bCs/>
                <w:sz w:val="22"/>
                <w:szCs w:val="28"/>
              </w:rPr>
            </w:pPr>
            <w:r>
              <w:rPr>
                <w:rFonts w:hint="eastAsia"/>
                <w:b/>
                <w:bCs/>
                <w:sz w:val="22"/>
                <w:szCs w:val="28"/>
              </w:rPr>
              <w:t>表3</w:t>
            </w:r>
            <w:r>
              <w:rPr>
                <w:b/>
                <w:bCs/>
                <w:sz w:val="22"/>
                <w:szCs w:val="28"/>
              </w:rPr>
              <w:t xml:space="preserve">-7    </w:t>
            </w:r>
            <w:r>
              <w:rPr>
                <w:rFonts w:hint="eastAsia"/>
                <w:b/>
                <w:bCs/>
                <w:sz w:val="22"/>
                <w:szCs w:val="28"/>
              </w:rPr>
              <w:t>声</w:t>
            </w:r>
            <w:r>
              <w:rPr>
                <w:b/>
                <w:bCs/>
                <w:sz w:val="22"/>
                <w:szCs w:val="28"/>
              </w:rPr>
              <w:t>环境保护目标</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656"/>
              <w:gridCol w:w="656"/>
              <w:gridCol w:w="724"/>
              <w:gridCol w:w="1296"/>
              <w:gridCol w:w="891"/>
              <w:gridCol w:w="76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vMerge w:val="restart"/>
                  <w:vAlign w:val="center"/>
                </w:tcPr>
                <w:p>
                  <w:pPr>
                    <w:jc w:val="center"/>
                    <w:rPr>
                      <w:b/>
                      <w:bCs/>
                      <w:color w:val="000000"/>
                      <w:kern w:val="0"/>
                      <w:sz w:val="22"/>
                    </w:rPr>
                  </w:pPr>
                  <w:r>
                    <w:rPr>
                      <w:b/>
                      <w:bCs/>
                      <w:color w:val="000000"/>
                      <w:kern w:val="0"/>
                      <w:sz w:val="22"/>
                    </w:rPr>
                    <w:t>名称</w:t>
                  </w:r>
                </w:p>
              </w:tc>
              <w:tc>
                <w:tcPr>
                  <w:tcW w:w="886" w:type="pct"/>
                  <w:gridSpan w:val="2"/>
                  <w:vAlign w:val="center"/>
                </w:tcPr>
                <w:p>
                  <w:pPr>
                    <w:jc w:val="center"/>
                    <w:rPr>
                      <w:b/>
                      <w:bCs/>
                      <w:color w:val="000000"/>
                      <w:kern w:val="0"/>
                      <w:sz w:val="22"/>
                    </w:rPr>
                  </w:pPr>
                  <w:r>
                    <w:rPr>
                      <w:b/>
                      <w:bCs/>
                      <w:color w:val="000000"/>
                      <w:kern w:val="0"/>
                      <w:sz w:val="22"/>
                    </w:rPr>
                    <w:t>坐标/m</w:t>
                  </w:r>
                </w:p>
              </w:tc>
              <w:tc>
                <w:tcPr>
                  <w:tcW w:w="489" w:type="pct"/>
                  <w:vMerge w:val="restart"/>
                  <w:vAlign w:val="center"/>
                </w:tcPr>
                <w:p>
                  <w:pPr>
                    <w:jc w:val="center"/>
                    <w:rPr>
                      <w:b/>
                      <w:bCs/>
                      <w:color w:val="000000"/>
                      <w:kern w:val="0"/>
                      <w:sz w:val="22"/>
                    </w:rPr>
                  </w:pPr>
                  <w:r>
                    <w:rPr>
                      <w:b/>
                      <w:bCs/>
                      <w:color w:val="000000"/>
                      <w:kern w:val="0"/>
                      <w:sz w:val="22"/>
                    </w:rPr>
                    <w:t>保护对象</w:t>
                  </w:r>
                </w:p>
              </w:tc>
              <w:tc>
                <w:tcPr>
                  <w:tcW w:w="875" w:type="pct"/>
                  <w:vMerge w:val="restart"/>
                  <w:vAlign w:val="center"/>
                </w:tcPr>
                <w:p>
                  <w:pPr>
                    <w:jc w:val="center"/>
                    <w:rPr>
                      <w:b/>
                      <w:bCs/>
                      <w:color w:val="000000"/>
                      <w:kern w:val="0"/>
                      <w:sz w:val="22"/>
                    </w:rPr>
                  </w:pPr>
                  <w:r>
                    <w:rPr>
                      <w:b/>
                      <w:bCs/>
                      <w:color w:val="000000"/>
                      <w:kern w:val="0"/>
                      <w:sz w:val="22"/>
                    </w:rPr>
                    <w:t>保护内容</w:t>
                  </w:r>
                </w:p>
              </w:tc>
              <w:tc>
                <w:tcPr>
                  <w:tcW w:w="602" w:type="pct"/>
                  <w:vMerge w:val="restart"/>
                  <w:vAlign w:val="center"/>
                </w:tcPr>
                <w:p>
                  <w:pPr>
                    <w:jc w:val="center"/>
                    <w:rPr>
                      <w:b/>
                      <w:bCs/>
                      <w:color w:val="000000"/>
                      <w:kern w:val="0"/>
                      <w:sz w:val="22"/>
                    </w:rPr>
                  </w:pPr>
                  <w:r>
                    <w:rPr>
                      <w:b/>
                      <w:bCs/>
                      <w:color w:val="000000"/>
                      <w:kern w:val="0"/>
                      <w:sz w:val="22"/>
                    </w:rPr>
                    <w:t>环境功能区</w:t>
                  </w:r>
                </w:p>
              </w:tc>
              <w:tc>
                <w:tcPr>
                  <w:tcW w:w="516" w:type="pct"/>
                  <w:vMerge w:val="restart"/>
                  <w:vAlign w:val="center"/>
                </w:tcPr>
                <w:p>
                  <w:pPr>
                    <w:jc w:val="center"/>
                    <w:rPr>
                      <w:b/>
                      <w:bCs/>
                      <w:color w:val="000000"/>
                      <w:kern w:val="0"/>
                      <w:sz w:val="22"/>
                    </w:rPr>
                  </w:pPr>
                  <w:r>
                    <w:rPr>
                      <w:b/>
                      <w:bCs/>
                      <w:color w:val="000000"/>
                      <w:kern w:val="0"/>
                      <w:sz w:val="22"/>
                    </w:rPr>
                    <w:t>相对厂址方向</w:t>
                  </w:r>
                </w:p>
              </w:tc>
              <w:tc>
                <w:tcPr>
                  <w:tcW w:w="678" w:type="pct"/>
                  <w:vMerge w:val="restart"/>
                  <w:vAlign w:val="center"/>
                </w:tcPr>
                <w:p>
                  <w:pPr>
                    <w:jc w:val="center"/>
                    <w:rPr>
                      <w:b/>
                      <w:bCs/>
                      <w:color w:val="000000"/>
                      <w:kern w:val="0"/>
                      <w:sz w:val="22"/>
                    </w:rPr>
                  </w:pPr>
                  <w:r>
                    <w:rPr>
                      <w:b/>
                      <w:bCs/>
                      <w:color w:val="000000"/>
                      <w:kern w:val="0"/>
                      <w:sz w:val="22"/>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vMerge w:val="continue"/>
                  <w:vAlign w:val="center"/>
                </w:tcPr>
                <w:p>
                  <w:pPr>
                    <w:jc w:val="center"/>
                    <w:rPr>
                      <w:color w:val="000000"/>
                      <w:kern w:val="0"/>
                      <w:sz w:val="22"/>
                    </w:rPr>
                  </w:pPr>
                </w:p>
              </w:tc>
              <w:tc>
                <w:tcPr>
                  <w:tcW w:w="443" w:type="pct"/>
                  <w:vAlign w:val="center"/>
                </w:tcPr>
                <w:p>
                  <w:pPr>
                    <w:jc w:val="center"/>
                    <w:rPr>
                      <w:b/>
                      <w:bCs/>
                      <w:color w:val="000000"/>
                      <w:kern w:val="0"/>
                      <w:sz w:val="22"/>
                    </w:rPr>
                  </w:pPr>
                  <w:r>
                    <w:rPr>
                      <w:b/>
                      <w:bCs/>
                      <w:color w:val="000000"/>
                      <w:kern w:val="0"/>
                      <w:sz w:val="22"/>
                    </w:rPr>
                    <w:t>X</w:t>
                  </w:r>
                </w:p>
              </w:tc>
              <w:tc>
                <w:tcPr>
                  <w:tcW w:w="443" w:type="pct"/>
                  <w:vAlign w:val="center"/>
                </w:tcPr>
                <w:p>
                  <w:pPr>
                    <w:jc w:val="center"/>
                    <w:rPr>
                      <w:b/>
                      <w:bCs/>
                      <w:color w:val="000000"/>
                      <w:kern w:val="0"/>
                      <w:sz w:val="22"/>
                    </w:rPr>
                  </w:pPr>
                  <w:r>
                    <w:rPr>
                      <w:b/>
                      <w:bCs/>
                      <w:color w:val="000000"/>
                      <w:kern w:val="0"/>
                      <w:sz w:val="22"/>
                    </w:rPr>
                    <w:t>Y</w:t>
                  </w:r>
                </w:p>
              </w:tc>
              <w:tc>
                <w:tcPr>
                  <w:tcW w:w="489" w:type="pct"/>
                  <w:vMerge w:val="continue"/>
                  <w:vAlign w:val="center"/>
                </w:tcPr>
                <w:p>
                  <w:pPr>
                    <w:jc w:val="center"/>
                    <w:rPr>
                      <w:color w:val="000000"/>
                      <w:kern w:val="0"/>
                      <w:sz w:val="22"/>
                    </w:rPr>
                  </w:pPr>
                </w:p>
              </w:tc>
              <w:tc>
                <w:tcPr>
                  <w:tcW w:w="875" w:type="pct"/>
                  <w:vMerge w:val="continue"/>
                  <w:vAlign w:val="center"/>
                </w:tcPr>
                <w:p>
                  <w:pPr>
                    <w:jc w:val="center"/>
                    <w:rPr>
                      <w:color w:val="000000"/>
                      <w:kern w:val="0"/>
                      <w:sz w:val="22"/>
                    </w:rPr>
                  </w:pPr>
                </w:p>
              </w:tc>
              <w:tc>
                <w:tcPr>
                  <w:tcW w:w="602" w:type="pct"/>
                  <w:vMerge w:val="continue"/>
                  <w:vAlign w:val="center"/>
                </w:tcPr>
                <w:p>
                  <w:pPr>
                    <w:jc w:val="center"/>
                    <w:rPr>
                      <w:color w:val="000000"/>
                      <w:kern w:val="0"/>
                      <w:sz w:val="22"/>
                    </w:rPr>
                  </w:pPr>
                </w:p>
              </w:tc>
              <w:tc>
                <w:tcPr>
                  <w:tcW w:w="516" w:type="pct"/>
                  <w:vMerge w:val="continue"/>
                  <w:vAlign w:val="center"/>
                </w:tcPr>
                <w:p>
                  <w:pPr>
                    <w:jc w:val="center"/>
                    <w:rPr>
                      <w:color w:val="000000"/>
                      <w:kern w:val="0"/>
                      <w:sz w:val="22"/>
                    </w:rPr>
                  </w:pPr>
                </w:p>
              </w:tc>
              <w:tc>
                <w:tcPr>
                  <w:tcW w:w="678" w:type="pct"/>
                  <w:vMerge w:val="continue"/>
                  <w:vAlign w:val="center"/>
                </w:tcPr>
                <w:p>
                  <w:pPr>
                    <w:jc w:val="center"/>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vAlign w:val="center"/>
                </w:tcPr>
                <w:p>
                  <w:pPr>
                    <w:jc w:val="center"/>
                    <w:rPr>
                      <w:color w:val="000000"/>
                      <w:kern w:val="0"/>
                      <w:sz w:val="22"/>
                    </w:rPr>
                  </w:pPr>
                  <w:r>
                    <w:rPr>
                      <w:rFonts w:hint="eastAsia"/>
                      <w:color w:val="000000"/>
                      <w:kern w:val="0"/>
                      <w:sz w:val="22"/>
                    </w:rPr>
                    <w:t>任家巷村</w:t>
                  </w:r>
                </w:p>
                <w:p>
                  <w:pPr>
                    <w:jc w:val="center"/>
                    <w:rPr>
                      <w:color w:val="000000"/>
                      <w:kern w:val="0"/>
                      <w:sz w:val="22"/>
                    </w:rPr>
                  </w:pPr>
                  <w:r>
                    <w:rPr>
                      <w:rFonts w:hint="eastAsia"/>
                      <w:color w:val="000000"/>
                      <w:kern w:val="0"/>
                      <w:sz w:val="22"/>
                    </w:rPr>
                    <w:t>居民</w:t>
                  </w:r>
                </w:p>
              </w:tc>
              <w:tc>
                <w:tcPr>
                  <w:tcW w:w="443" w:type="pct"/>
                  <w:vAlign w:val="center"/>
                </w:tcPr>
                <w:p>
                  <w:pPr>
                    <w:jc w:val="center"/>
                    <w:rPr>
                      <w:color w:val="000000"/>
                      <w:kern w:val="0"/>
                      <w:sz w:val="22"/>
                    </w:rPr>
                  </w:pPr>
                  <w:r>
                    <w:rPr>
                      <w:rFonts w:hint="eastAsia"/>
                      <w:color w:val="000000"/>
                      <w:kern w:val="0"/>
                      <w:sz w:val="22"/>
                    </w:rPr>
                    <w:t>0</w:t>
                  </w:r>
                </w:p>
              </w:tc>
              <w:tc>
                <w:tcPr>
                  <w:tcW w:w="443" w:type="pct"/>
                  <w:vAlign w:val="center"/>
                </w:tcPr>
                <w:p>
                  <w:pPr>
                    <w:jc w:val="center"/>
                    <w:rPr>
                      <w:color w:val="000000"/>
                      <w:kern w:val="0"/>
                      <w:sz w:val="22"/>
                    </w:rPr>
                  </w:pPr>
                  <w:r>
                    <w:rPr>
                      <w:rFonts w:hint="eastAsia"/>
                      <w:color w:val="000000"/>
                      <w:kern w:val="0"/>
                      <w:sz w:val="22"/>
                    </w:rPr>
                    <w:t>2</w:t>
                  </w:r>
                  <w:r>
                    <w:rPr>
                      <w:color w:val="000000"/>
                      <w:kern w:val="0"/>
                      <w:sz w:val="22"/>
                    </w:rPr>
                    <w:t>0</w:t>
                  </w:r>
                </w:p>
              </w:tc>
              <w:tc>
                <w:tcPr>
                  <w:tcW w:w="489" w:type="pct"/>
                  <w:vAlign w:val="center"/>
                </w:tcPr>
                <w:p>
                  <w:pPr>
                    <w:adjustRightInd w:val="0"/>
                    <w:snapToGrid w:val="0"/>
                    <w:jc w:val="center"/>
                    <w:rPr>
                      <w:color w:val="000000"/>
                      <w:kern w:val="0"/>
                      <w:sz w:val="22"/>
                    </w:rPr>
                  </w:pPr>
                  <w:r>
                    <w:rPr>
                      <w:color w:val="000000"/>
                      <w:kern w:val="0"/>
                      <w:sz w:val="22"/>
                    </w:rPr>
                    <w:t>居住区</w:t>
                  </w:r>
                </w:p>
              </w:tc>
              <w:tc>
                <w:tcPr>
                  <w:tcW w:w="875" w:type="pct"/>
                  <w:vAlign w:val="center"/>
                </w:tcPr>
                <w:p>
                  <w:pPr>
                    <w:adjustRightInd w:val="0"/>
                    <w:snapToGrid w:val="0"/>
                    <w:jc w:val="center"/>
                    <w:rPr>
                      <w:color w:val="000000"/>
                      <w:kern w:val="0"/>
                      <w:sz w:val="22"/>
                    </w:rPr>
                  </w:pPr>
                  <w:r>
                    <w:rPr>
                      <w:color w:val="000000"/>
                      <w:kern w:val="0"/>
                      <w:sz w:val="22"/>
                    </w:rPr>
                    <w:t>居民，约5</w:t>
                  </w:r>
                  <w:r>
                    <w:rPr>
                      <w:rFonts w:hint="eastAsia"/>
                      <w:color w:val="000000"/>
                      <w:kern w:val="0"/>
                      <w:sz w:val="22"/>
                    </w:rPr>
                    <w:t>户</w:t>
                  </w:r>
                </w:p>
              </w:tc>
              <w:tc>
                <w:tcPr>
                  <w:tcW w:w="602" w:type="pct"/>
                  <w:vAlign w:val="center"/>
                </w:tcPr>
                <w:p>
                  <w:pPr>
                    <w:jc w:val="center"/>
                    <w:rPr>
                      <w:color w:val="000000"/>
                      <w:kern w:val="0"/>
                      <w:sz w:val="22"/>
                    </w:rPr>
                  </w:pPr>
                  <w:r>
                    <w:rPr>
                      <w:color w:val="000000"/>
                      <w:kern w:val="0"/>
                      <w:sz w:val="22"/>
                    </w:rPr>
                    <w:t>二类区</w:t>
                  </w:r>
                </w:p>
              </w:tc>
              <w:tc>
                <w:tcPr>
                  <w:tcW w:w="516" w:type="pct"/>
                  <w:vAlign w:val="center"/>
                </w:tcPr>
                <w:p>
                  <w:pPr>
                    <w:jc w:val="center"/>
                    <w:rPr>
                      <w:color w:val="000000"/>
                      <w:kern w:val="0"/>
                      <w:sz w:val="22"/>
                    </w:rPr>
                  </w:pPr>
                  <w:r>
                    <w:rPr>
                      <w:rFonts w:hint="eastAsia"/>
                      <w:color w:val="000000"/>
                      <w:kern w:val="0"/>
                      <w:sz w:val="22"/>
                    </w:rPr>
                    <w:t>北侧</w:t>
                  </w:r>
                </w:p>
              </w:tc>
              <w:tc>
                <w:tcPr>
                  <w:tcW w:w="678" w:type="pct"/>
                  <w:vAlign w:val="center"/>
                </w:tcPr>
                <w:p>
                  <w:pPr>
                    <w:jc w:val="center"/>
                    <w:rPr>
                      <w:color w:val="000000"/>
                      <w:kern w:val="0"/>
                      <w:sz w:val="22"/>
                    </w:rPr>
                  </w:pPr>
                  <w:r>
                    <w:rPr>
                      <w:color w:val="000000"/>
                      <w:kern w:val="0"/>
                      <w:sz w:val="22"/>
                    </w:rPr>
                    <w:t>20-50</w:t>
                  </w:r>
                </w:p>
              </w:tc>
            </w:tr>
          </w:tbl>
          <w:p>
            <w:pPr>
              <w:spacing w:line="360" w:lineRule="auto"/>
              <w:ind w:firstLine="480" w:firstLineChars="200"/>
              <w:rPr>
                <w:sz w:val="24"/>
                <w:szCs w:val="32"/>
              </w:rPr>
            </w:pPr>
            <w:r>
              <w:rPr>
                <w:rFonts w:hint="eastAsia"/>
                <w:sz w:val="24"/>
                <w:szCs w:val="32"/>
              </w:rPr>
              <w:t>3、地表水环境保护目标</w:t>
            </w:r>
          </w:p>
          <w:p>
            <w:pPr>
              <w:spacing w:line="360" w:lineRule="auto"/>
              <w:ind w:firstLine="442" w:firstLineChars="200"/>
              <w:jc w:val="center"/>
              <w:rPr>
                <w:b/>
                <w:bCs/>
                <w:sz w:val="22"/>
              </w:rPr>
            </w:pPr>
            <w:r>
              <w:rPr>
                <w:rFonts w:hint="eastAsia"/>
                <w:b/>
                <w:bCs/>
                <w:sz w:val="22"/>
              </w:rPr>
              <w:t>表3</w:t>
            </w:r>
            <w:r>
              <w:rPr>
                <w:b/>
                <w:bCs/>
                <w:sz w:val="22"/>
              </w:rPr>
              <w:t>-8    地表水环境保护目标</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647"/>
              <w:gridCol w:w="745"/>
              <w:gridCol w:w="1025"/>
              <w:gridCol w:w="1091"/>
              <w:gridCol w:w="919"/>
              <w:gridCol w:w="919"/>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Merge w:val="restart"/>
                  <w:vAlign w:val="center"/>
                </w:tcPr>
                <w:p>
                  <w:pPr>
                    <w:jc w:val="center"/>
                    <w:rPr>
                      <w:b/>
                      <w:bCs/>
                      <w:kern w:val="0"/>
                      <w:sz w:val="22"/>
                    </w:rPr>
                  </w:pPr>
                  <w:r>
                    <w:rPr>
                      <w:b/>
                      <w:bCs/>
                      <w:kern w:val="0"/>
                      <w:sz w:val="22"/>
                    </w:rPr>
                    <w:t>名称</w:t>
                  </w:r>
                </w:p>
              </w:tc>
              <w:tc>
                <w:tcPr>
                  <w:tcW w:w="940" w:type="pct"/>
                  <w:gridSpan w:val="2"/>
                  <w:vAlign w:val="center"/>
                </w:tcPr>
                <w:p>
                  <w:pPr>
                    <w:jc w:val="center"/>
                    <w:rPr>
                      <w:b/>
                      <w:bCs/>
                      <w:kern w:val="0"/>
                      <w:sz w:val="22"/>
                    </w:rPr>
                  </w:pPr>
                  <w:r>
                    <w:rPr>
                      <w:b/>
                      <w:bCs/>
                      <w:kern w:val="0"/>
                      <w:sz w:val="22"/>
                    </w:rPr>
                    <w:t>坐标/m</w:t>
                  </w:r>
                </w:p>
              </w:tc>
              <w:tc>
                <w:tcPr>
                  <w:tcW w:w="692" w:type="pct"/>
                  <w:vMerge w:val="restart"/>
                  <w:vAlign w:val="center"/>
                </w:tcPr>
                <w:p>
                  <w:pPr>
                    <w:jc w:val="center"/>
                    <w:rPr>
                      <w:b/>
                      <w:bCs/>
                      <w:kern w:val="0"/>
                      <w:sz w:val="22"/>
                    </w:rPr>
                  </w:pPr>
                  <w:r>
                    <w:rPr>
                      <w:b/>
                      <w:bCs/>
                      <w:kern w:val="0"/>
                      <w:sz w:val="22"/>
                    </w:rPr>
                    <w:t>保护对象</w:t>
                  </w:r>
                </w:p>
              </w:tc>
              <w:tc>
                <w:tcPr>
                  <w:tcW w:w="737" w:type="pct"/>
                  <w:vMerge w:val="restart"/>
                  <w:vAlign w:val="center"/>
                </w:tcPr>
                <w:p>
                  <w:pPr>
                    <w:jc w:val="center"/>
                    <w:rPr>
                      <w:b/>
                      <w:bCs/>
                      <w:kern w:val="0"/>
                      <w:sz w:val="22"/>
                    </w:rPr>
                  </w:pPr>
                  <w:r>
                    <w:rPr>
                      <w:b/>
                      <w:bCs/>
                      <w:kern w:val="0"/>
                      <w:sz w:val="22"/>
                    </w:rPr>
                    <w:t>保护内容</w:t>
                  </w:r>
                </w:p>
              </w:tc>
              <w:tc>
                <w:tcPr>
                  <w:tcW w:w="621" w:type="pct"/>
                  <w:vMerge w:val="restart"/>
                  <w:vAlign w:val="center"/>
                </w:tcPr>
                <w:p>
                  <w:pPr>
                    <w:jc w:val="center"/>
                    <w:rPr>
                      <w:b/>
                      <w:bCs/>
                      <w:kern w:val="0"/>
                      <w:sz w:val="22"/>
                    </w:rPr>
                  </w:pPr>
                  <w:r>
                    <w:rPr>
                      <w:b/>
                      <w:bCs/>
                      <w:kern w:val="0"/>
                      <w:sz w:val="22"/>
                    </w:rPr>
                    <w:t>环境功能区</w:t>
                  </w:r>
                </w:p>
              </w:tc>
              <w:tc>
                <w:tcPr>
                  <w:tcW w:w="621" w:type="pct"/>
                  <w:vMerge w:val="restart"/>
                  <w:vAlign w:val="center"/>
                </w:tcPr>
                <w:p>
                  <w:pPr>
                    <w:jc w:val="center"/>
                    <w:rPr>
                      <w:b/>
                      <w:bCs/>
                      <w:kern w:val="0"/>
                      <w:sz w:val="22"/>
                    </w:rPr>
                  </w:pPr>
                  <w:r>
                    <w:rPr>
                      <w:b/>
                      <w:bCs/>
                      <w:kern w:val="0"/>
                      <w:sz w:val="22"/>
                    </w:rPr>
                    <w:t>相对厂址方向</w:t>
                  </w:r>
                </w:p>
              </w:tc>
              <w:tc>
                <w:tcPr>
                  <w:tcW w:w="709" w:type="pct"/>
                  <w:vMerge w:val="restart"/>
                  <w:vAlign w:val="center"/>
                </w:tcPr>
                <w:p>
                  <w:pPr>
                    <w:jc w:val="center"/>
                    <w:rPr>
                      <w:b/>
                      <w:bCs/>
                      <w:kern w:val="0"/>
                      <w:sz w:val="22"/>
                    </w:rPr>
                  </w:pPr>
                  <w:r>
                    <w:rPr>
                      <w:b/>
                      <w:bCs/>
                      <w:kern w:val="0"/>
                      <w:sz w:val="22"/>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Merge w:val="continue"/>
                  <w:vAlign w:val="center"/>
                </w:tcPr>
                <w:p>
                  <w:pPr>
                    <w:jc w:val="center"/>
                    <w:rPr>
                      <w:kern w:val="0"/>
                      <w:sz w:val="22"/>
                    </w:rPr>
                  </w:pPr>
                </w:p>
              </w:tc>
              <w:tc>
                <w:tcPr>
                  <w:tcW w:w="437" w:type="pct"/>
                  <w:vAlign w:val="center"/>
                </w:tcPr>
                <w:p>
                  <w:pPr>
                    <w:jc w:val="center"/>
                    <w:rPr>
                      <w:b/>
                      <w:bCs/>
                      <w:kern w:val="0"/>
                      <w:sz w:val="22"/>
                    </w:rPr>
                  </w:pPr>
                  <w:r>
                    <w:rPr>
                      <w:b/>
                      <w:bCs/>
                      <w:kern w:val="0"/>
                      <w:sz w:val="22"/>
                    </w:rPr>
                    <w:t>X</w:t>
                  </w:r>
                </w:p>
              </w:tc>
              <w:tc>
                <w:tcPr>
                  <w:tcW w:w="503" w:type="pct"/>
                  <w:vAlign w:val="center"/>
                </w:tcPr>
                <w:p>
                  <w:pPr>
                    <w:jc w:val="center"/>
                    <w:rPr>
                      <w:b/>
                      <w:bCs/>
                      <w:kern w:val="0"/>
                      <w:sz w:val="22"/>
                    </w:rPr>
                  </w:pPr>
                  <w:r>
                    <w:rPr>
                      <w:b/>
                      <w:bCs/>
                      <w:kern w:val="0"/>
                      <w:sz w:val="22"/>
                    </w:rPr>
                    <w:t>Y</w:t>
                  </w:r>
                </w:p>
              </w:tc>
              <w:tc>
                <w:tcPr>
                  <w:tcW w:w="692" w:type="pct"/>
                  <w:vMerge w:val="continue"/>
                  <w:vAlign w:val="center"/>
                </w:tcPr>
                <w:p>
                  <w:pPr>
                    <w:jc w:val="center"/>
                    <w:rPr>
                      <w:kern w:val="0"/>
                      <w:sz w:val="22"/>
                    </w:rPr>
                  </w:pPr>
                </w:p>
              </w:tc>
              <w:tc>
                <w:tcPr>
                  <w:tcW w:w="737" w:type="pct"/>
                  <w:vMerge w:val="continue"/>
                  <w:vAlign w:val="center"/>
                </w:tcPr>
                <w:p>
                  <w:pPr>
                    <w:jc w:val="center"/>
                    <w:rPr>
                      <w:kern w:val="0"/>
                      <w:sz w:val="22"/>
                    </w:rPr>
                  </w:pPr>
                </w:p>
              </w:tc>
              <w:tc>
                <w:tcPr>
                  <w:tcW w:w="621" w:type="pct"/>
                  <w:vMerge w:val="continue"/>
                  <w:vAlign w:val="center"/>
                </w:tcPr>
                <w:p>
                  <w:pPr>
                    <w:jc w:val="center"/>
                    <w:rPr>
                      <w:kern w:val="0"/>
                      <w:sz w:val="22"/>
                    </w:rPr>
                  </w:pPr>
                </w:p>
              </w:tc>
              <w:tc>
                <w:tcPr>
                  <w:tcW w:w="621" w:type="pct"/>
                  <w:vMerge w:val="continue"/>
                  <w:vAlign w:val="center"/>
                </w:tcPr>
                <w:p>
                  <w:pPr>
                    <w:jc w:val="center"/>
                    <w:rPr>
                      <w:kern w:val="0"/>
                      <w:sz w:val="22"/>
                    </w:rPr>
                  </w:pPr>
                </w:p>
              </w:tc>
              <w:tc>
                <w:tcPr>
                  <w:tcW w:w="709" w:type="pct"/>
                  <w:vMerge w:val="continue"/>
                  <w:vAlign w:val="center"/>
                </w:tcPr>
                <w:p>
                  <w:pPr>
                    <w:jc w:val="center"/>
                    <w:rPr>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pStyle w:val="31"/>
                    <w:snapToGrid w:val="0"/>
                    <w:rPr>
                      <w:rFonts w:ascii="Times New Roman" w:hAnsi="Times New Roman"/>
                      <w:sz w:val="22"/>
                      <w:szCs w:val="22"/>
                    </w:rPr>
                  </w:pPr>
                  <w:r>
                    <w:rPr>
                      <w:rFonts w:hint="eastAsia" w:ascii="Times New Roman" w:hAnsi="Times New Roman"/>
                      <w:sz w:val="22"/>
                      <w:szCs w:val="22"/>
                    </w:rPr>
                    <w:t>澹水</w:t>
                  </w:r>
                </w:p>
              </w:tc>
              <w:tc>
                <w:tcPr>
                  <w:tcW w:w="437" w:type="pct"/>
                  <w:vAlign w:val="center"/>
                </w:tcPr>
                <w:p>
                  <w:pPr>
                    <w:jc w:val="center"/>
                    <w:rPr>
                      <w:kern w:val="0"/>
                      <w:sz w:val="22"/>
                    </w:rPr>
                  </w:pPr>
                  <w:r>
                    <w:rPr>
                      <w:kern w:val="0"/>
                      <w:sz w:val="22"/>
                    </w:rPr>
                    <w:t>0</w:t>
                  </w:r>
                </w:p>
              </w:tc>
              <w:tc>
                <w:tcPr>
                  <w:tcW w:w="503" w:type="pct"/>
                  <w:vAlign w:val="center"/>
                </w:tcPr>
                <w:p>
                  <w:pPr>
                    <w:jc w:val="center"/>
                    <w:rPr>
                      <w:kern w:val="0"/>
                      <w:sz w:val="22"/>
                    </w:rPr>
                  </w:pPr>
                  <w:r>
                    <w:rPr>
                      <w:kern w:val="0"/>
                      <w:sz w:val="22"/>
                    </w:rPr>
                    <w:t>600</w:t>
                  </w:r>
                </w:p>
              </w:tc>
              <w:tc>
                <w:tcPr>
                  <w:tcW w:w="692" w:type="pct"/>
                  <w:vAlign w:val="center"/>
                </w:tcPr>
                <w:p>
                  <w:pPr>
                    <w:adjustRightInd w:val="0"/>
                    <w:snapToGrid w:val="0"/>
                    <w:jc w:val="center"/>
                    <w:rPr>
                      <w:kern w:val="0"/>
                      <w:sz w:val="22"/>
                    </w:rPr>
                  </w:pPr>
                  <w:r>
                    <w:rPr>
                      <w:rFonts w:hint="eastAsia"/>
                      <w:kern w:val="0"/>
                      <w:sz w:val="22"/>
                    </w:rPr>
                    <w:t>澹水开发利用区</w:t>
                  </w:r>
                </w:p>
              </w:tc>
              <w:tc>
                <w:tcPr>
                  <w:tcW w:w="737" w:type="pct"/>
                  <w:vAlign w:val="center"/>
                </w:tcPr>
                <w:p>
                  <w:pPr>
                    <w:adjustRightInd w:val="0"/>
                    <w:snapToGrid w:val="0"/>
                    <w:jc w:val="center"/>
                    <w:rPr>
                      <w:kern w:val="0"/>
                      <w:sz w:val="22"/>
                    </w:rPr>
                  </w:pPr>
                  <w:r>
                    <w:rPr>
                      <w:kern w:val="0"/>
                      <w:sz w:val="22"/>
                    </w:rPr>
                    <w:t>地表水</w:t>
                  </w:r>
                </w:p>
              </w:tc>
              <w:tc>
                <w:tcPr>
                  <w:tcW w:w="621" w:type="pct"/>
                  <w:vAlign w:val="center"/>
                </w:tcPr>
                <w:p>
                  <w:pPr>
                    <w:adjustRightInd w:val="0"/>
                    <w:snapToGrid w:val="0"/>
                    <w:jc w:val="center"/>
                    <w:rPr>
                      <w:kern w:val="0"/>
                      <w:sz w:val="22"/>
                    </w:rPr>
                  </w:pPr>
                  <w:r>
                    <w:rPr>
                      <w:kern w:val="0"/>
                      <w:sz w:val="22"/>
                    </w:rPr>
                    <w:fldChar w:fldCharType="begin"/>
                  </w:r>
                  <w:r>
                    <w:rPr>
                      <w:kern w:val="0"/>
                      <w:sz w:val="22"/>
                    </w:rPr>
                    <w:instrText xml:space="preserve"> = 3 \* ROMAN </w:instrText>
                  </w:r>
                  <w:r>
                    <w:rPr>
                      <w:kern w:val="0"/>
                      <w:sz w:val="22"/>
                    </w:rPr>
                    <w:fldChar w:fldCharType="separate"/>
                  </w:r>
                  <w:r>
                    <w:rPr>
                      <w:kern w:val="0"/>
                      <w:sz w:val="22"/>
                    </w:rPr>
                    <w:t>III</w:t>
                  </w:r>
                  <w:r>
                    <w:rPr>
                      <w:kern w:val="0"/>
                      <w:sz w:val="22"/>
                    </w:rPr>
                    <w:fldChar w:fldCharType="end"/>
                  </w:r>
                  <w:r>
                    <w:rPr>
                      <w:rFonts w:hint="eastAsia"/>
                      <w:kern w:val="0"/>
                      <w:sz w:val="22"/>
                    </w:rPr>
                    <w:t>-</w:t>
                  </w:r>
                  <w:r>
                    <w:rPr>
                      <w:kern w:val="0"/>
                      <w:sz w:val="22"/>
                    </w:rPr>
                    <w:fldChar w:fldCharType="begin"/>
                  </w:r>
                  <w:r>
                    <w:rPr>
                      <w:kern w:val="0"/>
                      <w:sz w:val="22"/>
                    </w:rPr>
                    <w:instrText xml:space="preserve"> </w:instrText>
                  </w:r>
                  <w:r>
                    <w:rPr>
                      <w:rFonts w:hint="eastAsia"/>
                      <w:kern w:val="0"/>
                      <w:sz w:val="22"/>
                    </w:rPr>
                    <w:instrText xml:space="preserve">= 5 \* ROMAN</w:instrText>
                  </w:r>
                  <w:r>
                    <w:rPr>
                      <w:kern w:val="0"/>
                      <w:sz w:val="22"/>
                    </w:rPr>
                    <w:instrText xml:space="preserve"> </w:instrText>
                  </w:r>
                  <w:r>
                    <w:rPr>
                      <w:kern w:val="0"/>
                      <w:sz w:val="22"/>
                    </w:rPr>
                    <w:fldChar w:fldCharType="separate"/>
                  </w:r>
                  <w:r>
                    <w:rPr>
                      <w:kern w:val="0"/>
                      <w:sz w:val="22"/>
                    </w:rPr>
                    <w:t>V</w:t>
                  </w:r>
                  <w:r>
                    <w:rPr>
                      <w:kern w:val="0"/>
                      <w:sz w:val="22"/>
                    </w:rPr>
                    <w:fldChar w:fldCharType="end"/>
                  </w:r>
                  <w:r>
                    <w:rPr>
                      <w:kern w:val="0"/>
                      <w:sz w:val="22"/>
                    </w:rPr>
                    <w:t>类区</w:t>
                  </w:r>
                </w:p>
              </w:tc>
              <w:tc>
                <w:tcPr>
                  <w:tcW w:w="621" w:type="pct"/>
                  <w:vAlign w:val="center"/>
                </w:tcPr>
                <w:p>
                  <w:pPr>
                    <w:adjustRightInd w:val="0"/>
                    <w:snapToGrid w:val="0"/>
                    <w:jc w:val="center"/>
                    <w:rPr>
                      <w:kern w:val="0"/>
                      <w:sz w:val="22"/>
                    </w:rPr>
                  </w:pPr>
                  <w:r>
                    <w:rPr>
                      <w:rFonts w:hint="eastAsia"/>
                      <w:kern w:val="0"/>
                      <w:sz w:val="22"/>
                    </w:rPr>
                    <w:t>北侧</w:t>
                  </w:r>
                </w:p>
              </w:tc>
              <w:tc>
                <w:tcPr>
                  <w:tcW w:w="709" w:type="pct"/>
                  <w:vAlign w:val="center"/>
                </w:tcPr>
                <w:p>
                  <w:pPr>
                    <w:jc w:val="center"/>
                    <w:rPr>
                      <w:kern w:val="0"/>
                      <w:sz w:val="22"/>
                    </w:rPr>
                  </w:pPr>
                  <w:r>
                    <w:rPr>
                      <w:kern w:val="0"/>
                      <w:sz w:val="22"/>
                    </w:rPr>
                    <w:t>600</w:t>
                  </w:r>
                </w:p>
              </w:tc>
            </w:tr>
          </w:tbl>
          <w:p>
            <w:pPr>
              <w:pStyle w:val="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657" w:type="dxa"/>
            <w:tcBorders>
              <w:top w:val="single" w:color="auto" w:sz="4" w:space="0"/>
              <w:left w:val="single" w:color="auto" w:sz="8"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kern w:val="0"/>
                <w:sz w:val="24"/>
              </w:rPr>
            </w:pPr>
            <w:r>
              <w:rPr>
                <w:rFonts w:hint="eastAsia"/>
                <w:kern w:val="0"/>
                <w:sz w:val="24"/>
              </w:rPr>
              <w:t>污染</w:t>
            </w:r>
          </w:p>
          <w:p>
            <w:pPr>
              <w:adjustRightInd w:val="0"/>
              <w:snapToGrid w:val="0"/>
              <w:jc w:val="center"/>
              <w:rPr>
                <w:kern w:val="0"/>
                <w:sz w:val="24"/>
              </w:rPr>
            </w:pPr>
            <w:r>
              <w:rPr>
                <w:rFonts w:hint="eastAsia"/>
                <w:kern w:val="0"/>
                <w:sz w:val="24"/>
              </w:rPr>
              <w:t>物排</w:t>
            </w:r>
          </w:p>
          <w:p>
            <w:pPr>
              <w:adjustRightInd w:val="0"/>
              <w:snapToGrid w:val="0"/>
              <w:jc w:val="center"/>
              <w:rPr>
                <w:kern w:val="0"/>
                <w:sz w:val="24"/>
              </w:rPr>
            </w:pPr>
            <w:r>
              <w:rPr>
                <w:rFonts w:hint="eastAsia"/>
                <w:kern w:val="0"/>
                <w:sz w:val="24"/>
              </w:rPr>
              <w:t>放控</w:t>
            </w:r>
          </w:p>
          <w:p>
            <w:pPr>
              <w:adjustRightInd w:val="0"/>
              <w:snapToGrid w:val="0"/>
              <w:jc w:val="center"/>
              <w:rPr>
                <w:kern w:val="0"/>
                <w:sz w:val="24"/>
              </w:rPr>
            </w:pPr>
            <w:r>
              <w:rPr>
                <w:rFonts w:hint="eastAsia"/>
                <w:kern w:val="0"/>
                <w:sz w:val="24"/>
              </w:rPr>
              <w:t>制标</w:t>
            </w:r>
          </w:p>
          <w:p>
            <w:pPr>
              <w:adjustRightInd w:val="0"/>
              <w:snapToGrid w:val="0"/>
              <w:jc w:val="center"/>
              <w:rPr>
                <w:kern w:val="0"/>
                <w:sz w:val="24"/>
              </w:rPr>
            </w:pPr>
            <w:r>
              <w:rPr>
                <w:rFonts w:hint="eastAsia"/>
                <w:kern w:val="0"/>
                <w:sz w:val="24"/>
              </w:rPr>
              <w:t>准</w:t>
            </w:r>
          </w:p>
        </w:tc>
        <w:tc>
          <w:tcPr>
            <w:tcW w:w="7629"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auto"/>
              <w:ind w:firstLine="480" w:firstLineChars="200"/>
              <w:rPr>
                <w:sz w:val="24"/>
              </w:rPr>
            </w:pPr>
            <w:r>
              <w:rPr>
                <w:sz w:val="24"/>
              </w:rPr>
              <w:t>1</w:t>
            </w:r>
            <w:r>
              <w:rPr>
                <w:rFonts w:hint="eastAsia"/>
                <w:sz w:val="24"/>
              </w:rPr>
              <w:t>、废水排放标准执行：</w:t>
            </w:r>
          </w:p>
          <w:p>
            <w:pPr>
              <w:spacing w:line="360" w:lineRule="auto"/>
              <w:ind w:firstLine="480" w:firstLineChars="200"/>
              <w:rPr>
                <w:sz w:val="24"/>
              </w:rPr>
            </w:pPr>
            <w:bookmarkStart w:id="8" w:name="OLE_LINK204" w:colFirst="1" w:colLast="5"/>
            <w:bookmarkStart w:id="9" w:name="OLE_LINK203" w:colFirst="1" w:colLast="5"/>
            <w:r>
              <w:rPr>
                <w:rFonts w:hint="eastAsia"/>
                <w:sz w:val="24"/>
              </w:rPr>
              <w:t>院区医疗废水排放执行</w:t>
            </w:r>
            <w:bookmarkStart w:id="10" w:name="_Hlk170972981"/>
            <w:r>
              <w:rPr>
                <w:rFonts w:hint="eastAsia"/>
                <w:sz w:val="24"/>
              </w:rPr>
              <w:t>《医疗机构水污染物排放标准》（GB18466-2005）表2中的预处标准以及澧县污水处理厂进水水质标准</w:t>
            </w:r>
            <w:bookmarkEnd w:id="10"/>
            <w:r>
              <w:rPr>
                <w:rFonts w:hint="eastAsia"/>
                <w:sz w:val="24"/>
              </w:rPr>
              <w:t>，具体如下所示：</w:t>
            </w:r>
          </w:p>
          <w:p>
            <w:pPr>
              <w:spacing w:line="360" w:lineRule="auto"/>
              <w:ind w:firstLine="442" w:firstLineChars="200"/>
              <w:jc w:val="center"/>
              <w:rPr>
                <w:b/>
                <w:bCs/>
                <w:sz w:val="22"/>
                <w:szCs w:val="22"/>
              </w:rPr>
            </w:pPr>
            <w:r>
              <w:rPr>
                <w:b/>
                <w:bCs/>
                <w:sz w:val="22"/>
                <w:szCs w:val="22"/>
              </w:rPr>
              <w:t>表3-</w:t>
            </w:r>
            <w:r>
              <w:rPr>
                <w:rFonts w:hint="eastAsia"/>
                <w:b/>
                <w:bCs/>
                <w:sz w:val="22"/>
                <w:szCs w:val="22"/>
              </w:rPr>
              <w:t>9</w:t>
            </w:r>
            <w:r>
              <w:rPr>
                <w:b/>
                <w:bCs/>
                <w:sz w:val="22"/>
                <w:szCs w:val="22"/>
              </w:rPr>
              <w:t xml:space="preserve">   </w:t>
            </w:r>
            <w:r>
              <w:rPr>
                <w:rFonts w:hint="eastAsia"/>
                <w:b/>
                <w:bCs/>
                <w:sz w:val="22"/>
                <w:szCs w:val="22"/>
              </w:rPr>
              <w:t xml:space="preserve"> </w:t>
            </w:r>
            <w:r>
              <w:rPr>
                <w:b/>
                <w:bCs/>
                <w:sz w:val="22"/>
                <w:szCs w:val="22"/>
              </w:rPr>
              <w:t xml:space="preserve">废水污染物排放标准 </w:t>
            </w:r>
            <w:r>
              <w:rPr>
                <w:rFonts w:hint="eastAsia"/>
                <w:b/>
                <w:bCs/>
                <w:sz w:val="22"/>
                <w:szCs w:val="22"/>
              </w:rPr>
              <w:t xml:space="preserve"> </w:t>
            </w:r>
            <w:r>
              <w:rPr>
                <w:b/>
                <w:bCs/>
                <w:sz w:val="22"/>
                <w:szCs w:val="22"/>
              </w:rPr>
              <w:t>单位：mg/</w:t>
            </w:r>
            <w:r>
              <w:rPr>
                <w:rFonts w:hint="eastAsia"/>
                <w:b/>
                <w:bCs/>
                <w:sz w:val="22"/>
                <w:szCs w:val="22"/>
              </w:rPr>
              <w:t>L，pH无量纲</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844"/>
              <w:gridCol w:w="764"/>
              <w:gridCol w:w="837"/>
              <w:gridCol w:w="710"/>
              <w:gridCol w:w="615"/>
              <w:gridCol w:w="71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标准</w:t>
                  </w:r>
                </w:p>
              </w:tc>
              <w:tc>
                <w:tcPr>
                  <w:tcW w:w="881"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hint="eastAsia" w:ascii="Times New Roman" w:hAnsi="Times New Roman"/>
                      <w:sz w:val="22"/>
                      <w:szCs w:val="22"/>
                    </w:rPr>
                    <w:t>COD</w:t>
                  </w:r>
                  <w:r>
                    <w:rPr>
                      <w:rFonts w:hint="eastAsia" w:ascii="Times New Roman" w:hAnsi="Times New Roman"/>
                      <w:sz w:val="22"/>
                      <w:szCs w:val="22"/>
                      <w:vertAlign w:val="subscript"/>
                    </w:rPr>
                    <w:t>Cr</w:t>
                  </w:r>
                </w:p>
              </w:tc>
              <w:tc>
                <w:tcPr>
                  <w:tcW w:w="786"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hint="eastAsia" w:ascii="Times New Roman" w:hAnsi="Times New Roman"/>
                      <w:sz w:val="22"/>
                      <w:szCs w:val="22"/>
                    </w:rPr>
                    <w:t>BOD</w:t>
                  </w:r>
                  <w:r>
                    <w:rPr>
                      <w:rFonts w:hint="eastAsia" w:ascii="Times New Roman" w:hAnsi="Times New Roman"/>
                      <w:sz w:val="22"/>
                      <w:szCs w:val="22"/>
                      <w:vertAlign w:val="subscript"/>
                    </w:rPr>
                    <w:t>5</w:t>
                  </w:r>
                </w:p>
              </w:tc>
              <w:tc>
                <w:tcPr>
                  <w:tcW w:w="767"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hint="eastAsia" w:ascii="Times New Roman" w:hAnsi="Times New Roman"/>
                      <w:sz w:val="22"/>
                      <w:szCs w:val="22"/>
                    </w:rPr>
                    <w:t>NH</w:t>
                  </w:r>
                  <w:r>
                    <w:rPr>
                      <w:rFonts w:hint="eastAsia" w:ascii="Times New Roman" w:hAnsi="Times New Roman"/>
                      <w:sz w:val="22"/>
                      <w:szCs w:val="22"/>
                      <w:vertAlign w:val="subscript"/>
                    </w:rPr>
                    <w:t>3</w:t>
                  </w:r>
                  <w:r>
                    <w:rPr>
                      <w:rFonts w:hint="eastAsia" w:ascii="Times New Roman" w:hAnsi="Times New Roman"/>
                      <w:sz w:val="22"/>
                      <w:szCs w:val="22"/>
                    </w:rPr>
                    <w:t>-N</w:t>
                  </w:r>
                </w:p>
              </w:tc>
              <w:tc>
                <w:tcPr>
                  <w:tcW w:w="786"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hint="eastAsia" w:ascii="Times New Roman" w:hAnsi="Times New Roman"/>
                      <w:sz w:val="22"/>
                      <w:szCs w:val="22"/>
                    </w:rPr>
                    <w:t>SS</w:t>
                  </w:r>
                </w:p>
              </w:tc>
              <w:tc>
                <w:tcPr>
                  <w:tcW w:w="717"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hint="eastAsia" w:ascii="Times New Roman" w:hAnsi="Times New Roman"/>
                      <w:sz w:val="22"/>
                      <w:szCs w:val="22"/>
                    </w:rPr>
                    <w:t>动植</w:t>
                  </w:r>
                </w:p>
                <w:p>
                  <w:pPr>
                    <w:pStyle w:val="31"/>
                    <w:snapToGrid w:val="0"/>
                    <w:rPr>
                      <w:rFonts w:ascii="Times New Roman" w:hAnsi="Times New Roman"/>
                      <w:sz w:val="22"/>
                      <w:szCs w:val="22"/>
                    </w:rPr>
                  </w:pPr>
                  <w:r>
                    <w:rPr>
                      <w:rFonts w:hint="eastAsia" w:ascii="Times New Roman" w:hAnsi="Times New Roman"/>
                      <w:sz w:val="22"/>
                      <w:szCs w:val="22"/>
                    </w:rPr>
                    <w:t>物油</w:t>
                  </w:r>
                </w:p>
              </w:tc>
              <w:tc>
                <w:tcPr>
                  <w:tcW w:w="1007"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hint="eastAsia" w:ascii="Times New Roman" w:hAnsi="Times New Roman"/>
                      <w:sz w:val="22"/>
                      <w:szCs w:val="22"/>
                    </w:rPr>
                    <w:t>阴离子表面活性剂</w:t>
                  </w:r>
                </w:p>
              </w:tc>
              <w:tc>
                <w:tcPr>
                  <w:tcW w:w="1100"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hint="eastAsia" w:ascii="Times New Roman" w:hAnsi="Times New Roman"/>
                      <w:sz w:val="22"/>
                      <w:szCs w:val="22"/>
                    </w:rPr>
                    <w:t>粪大肠菌群数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single" w:color="auto" w:sz="4" w:space="0"/>
                    <w:left w:val="single" w:color="auto" w:sz="4" w:space="0"/>
                    <w:bottom w:val="single" w:color="auto" w:sz="4" w:space="0"/>
                    <w:right w:val="single" w:color="auto" w:sz="4" w:space="0"/>
                  </w:tcBorders>
                </w:tcPr>
                <w:p>
                  <w:pPr>
                    <w:pStyle w:val="31"/>
                    <w:snapToGrid w:val="0"/>
                    <w:rPr>
                      <w:rFonts w:ascii="Times New Roman" w:hAnsi="Times New Roman"/>
                      <w:sz w:val="22"/>
                      <w:szCs w:val="22"/>
                    </w:rPr>
                  </w:pPr>
                  <w:r>
                    <w:rPr>
                      <w:rFonts w:ascii="Times New Roman" w:hAnsi="Times New Roman"/>
                      <w:sz w:val="22"/>
                      <w:szCs w:val="22"/>
                    </w:rPr>
                    <w:t>GB18466-2005</w:t>
                  </w:r>
                  <w:r>
                    <w:rPr>
                      <w:rFonts w:hint="eastAsia" w:ascii="Times New Roman" w:hAnsi="Times New Roman"/>
                      <w:sz w:val="22"/>
                      <w:szCs w:val="22"/>
                    </w:rPr>
                    <w:t>表2预处标准</w:t>
                  </w:r>
                </w:p>
              </w:tc>
              <w:tc>
                <w:tcPr>
                  <w:tcW w:w="881"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≤250</w:t>
                  </w:r>
                </w:p>
              </w:tc>
              <w:tc>
                <w:tcPr>
                  <w:tcW w:w="786"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≤100</w:t>
                  </w:r>
                </w:p>
              </w:tc>
              <w:tc>
                <w:tcPr>
                  <w:tcW w:w="767"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w:t>
                  </w:r>
                </w:p>
              </w:tc>
              <w:tc>
                <w:tcPr>
                  <w:tcW w:w="786"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≤60</w:t>
                  </w:r>
                </w:p>
              </w:tc>
              <w:tc>
                <w:tcPr>
                  <w:tcW w:w="717"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≤20</w:t>
                  </w:r>
                </w:p>
              </w:tc>
              <w:tc>
                <w:tcPr>
                  <w:tcW w:w="1007"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≤2</w:t>
                  </w:r>
                  <w:r>
                    <w:rPr>
                      <w:rFonts w:hint="eastAsia" w:ascii="Times New Roman" w:hAnsi="Times New Roman"/>
                      <w:sz w:val="22"/>
                      <w:szCs w:val="22"/>
                    </w:rPr>
                    <w:t>0</w:t>
                  </w:r>
                </w:p>
              </w:tc>
              <w:tc>
                <w:tcPr>
                  <w:tcW w:w="1100"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5000MPN/L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single" w:color="auto" w:sz="4" w:space="0"/>
                    <w:left w:val="single" w:color="auto" w:sz="4" w:space="0"/>
                    <w:bottom w:val="single" w:color="auto" w:sz="4" w:space="0"/>
                    <w:right w:val="single" w:color="auto" w:sz="4" w:space="0"/>
                  </w:tcBorders>
                </w:tcPr>
                <w:p>
                  <w:pPr>
                    <w:pStyle w:val="31"/>
                    <w:snapToGrid w:val="0"/>
                    <w:rPr>
                      <w:rFonts w:ascii="Times New Roman" w:hAnsi="Times New Roman"/>
                      <w:sz w:val="22"/>
                      <w:szCs w:val="22"/>
                    </w:rPr>
                  </w:pPr>
                  <w:r>
                    <w:rPr>
                      <w:rFonts w:hint="eastAsia" w:ascii="Times New Roman" w:hAnsi="Times New Roman"/>
                      <w:sz w:val="22"/>
                      <w:szCs w:val="22"/>
                    </w:rPr>
                    <w:t>澧县污水处理厂</w:t>
                  </w:r>
                  <w:r>
                    <w:rPr>
                      <w:rFonts w:ascii="Times New Roman" w:hAnsi="Times New Roman"/>
                      <w:sz w:val="22"/>
                      <w:szCs w:val="22"/>
                    </w:rPr>
                    <w:t>进水水质要求</w:t>
                  </w:r>
                </w:p>
              </w:tc>
              <w:tc>
                <w:tcPr>
                  <w:tcW w:w="881"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w:t>
                  </w:r>
                  <w:r>
                    <w:rPr>
                      <w:rFonts w:hint="eastAsia" w:ascii="Times New Roman" w:hAnsi="Times New Roman"/>
                      <w:sz w:val="22"/>
                      <w:szCs w:val="22"/>
                    </w:rPr>
                    <w:t>180</w:t>
                  </w:r>
                </w:p>
              </w:tc>
              <w:tc>
                <w:tcPr>
                  <w:tcW w:w="786"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w:t>
                  </w:r>
                  <w:r>
                    <w:rPr>
                      <w:rFonts w:hint="eastAsia" w:ascii="Times New Roman" w:hAnsi="Times New Roman"/>
                      <w:sz w:val="22"/>
                      <w:szCs w:val="22"/>
                    </w:rPr>
                    <w:t>90</w:t>
                  </w:r>
                </w:p>
              </w:tc>
              <w:tc>
                <w:tcPr>
                  <w:tcW w:w="767"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w:t>
                  </w:r>
                  <w:r>
                    <w:rPr>
                      <w:rFonts w:hint="eastAsia" w:ascii="Times New Roman" w:hAnsi="Times New Roman"/>
                      <w:sz w:val="22"/>
                      <w:szCs w:val="22"/>
                    </w:rPr>
                    <w:t>20</w:t>
                  </w:r>
                </w:p>
              </w:tc>
              <w:tc>
                <w:tcPr>
                  <w:tcW w:w="786"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≤198</w:t>
                  </w:r>
                </w:p>
              </w:tc>
              <w:tc>
                <w:tcPr>
                  <w:tcW w:w="717"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w:t>
                  </w:r>
                </w:p>
              </w:tc>
              <w:tc>
                <w:tcPr>
                  <w:tcW w:w="1007"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hint="eastAsia" w:ascii="Times New Roman" w:hAnsi="Times New Roman"/>
                      <w:sz w:val="22"/>
                      <w:szCs w:val="22"/>
                    </w:rPr>
                    <w:t>-</w:t>
                  </w:r>
                </w:p>
              </w:tc>
              <w:tc>
                <w:tcPr>
                  <w:tcW w:w="1100"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hint="eastAsia" w:ascii="Times New Roman" w:hAnsi="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single" w:color="auto" w:sz="4" w:space="0"/>
                    <w:left w:val="single" w:color="auto" w:sz="4" w:space="0"/>
                    <w:bottom w:val="single" w:color="auto" w:sz="4" w:space="0"/>
                    <w:right w:val="single" w:color="auto" w:sz="4" w:space="0"/>
                  </w:tcBorders>
                </w:tcPr>
                <w:p>
                  <w:pPr>
                    <w:pStyle w:val="31"/>
                    <w:snapToGrid w:val="0"/>
                    <w:rPr>
                      <w:rFonts w:ascii="Times New Roman" w:hAnsi="Times New Roman"/>
                      <w:sz w:val="22"/>
                      <w:szCs w:val="22"/>
                    </w:rPr>
                  </w:pPr>
                  <w:r>
                    <w:rPr>
                      <w:rFonts w:ascii="Times New Roman" w:hAnsi="Times New Roman"/>
                      <w:sz w:val="22"/>
                      <w:szCs w:val="22"/>
                    </w:rPr>
                    <w:t>本项目执行标准</w:t>
                  </w:r>
                </w:p>
              </w:tc>
              <w:tc>
                <w:tcPr>
                  <w:tcW w:w="881"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w:t>
                  </w:r>
                  <w:r>
                    <w:rPr>
                      <w:rFonts w:hint="eastAsia" w:ascii="Times New Roman" w:hAnsi="Times New Roman"/>
                      <w:sz w:val="22"/>
                      <w:szCs w:val="22"/>
                    </w:rPr>
                    <w:t>180</w:t>
                  </w:r>
                </w:p>
              </w:tc>
              <w:tc>
                <w:tcPr>
                  <w:tcW w:w="786"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w:t>
                  </w:r>
                  <w:r>
                    <w:rPr>
                      <w:rFonts w:hint="eastAsia" w:ascii="Times New Roman" w:hAnsi="Times New Roman"/>
                      <w:sz w:val="22"/>
                      <w:szCs w:val="22"/>
                    </w:rPr>
                    <w:t>90</w:t>
                  </w:r>
                </w:p>
              </w:tc>
              <w:tc>
                <w:tcPr>
                  <w:tcW w:w="767"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w:t>
                  </w:r>
                  <w:r>
                    <w:rPr>
                      <w:rFonts w:hint="eastAsia" w:ascii="Times New Roman" w:hAnsi="Times New Roman"/>
                      <w:sz w:val="22"/>
                      <w:szCs w:val="22"/>
                    </w:rPr>
                    <w:t>20</w:t>
                  </w:r>
                </w:p>
              </w:tc>
              <w:tc>
                <w:tcPr>
                  <w:tcW w:w="786"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≤198</w:t>
                  </w:r>
                </w:p>
              </w:tc>
              <w:tc>
                <w:tcPr>
                  <w:tcW w:w="717"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w:t>
                  </w:r>
                  <w:r>
                    <w:rPr>
                      <w:rFonts w:hint="eastAsia" w:ascii="Times New Roman" w:hAnsi="Times New Roman"/>
                      <w:sz w:val="22"/>
                      <w:szCs w:val="22"/>
                    </w:rPr>
                    <w:t>20</w:t>
                  </w:r>
                </w:p>
              </w:tc>
              <w:tc>
                <w:tcPr>
                  <w:tcW w:w="1007"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≤2</w:t>
                  </w:r>
                  <w:r>
                    <w:rPr>
                      <w:rFonts w:hint="eastAsia" w:ascii="Times New Roman" w:hAnsi="Times New Roman"/>
                      <w:sz w:val="22"/>
                      <w:szCs w:val="22"/>
                    </w:rPr>
                    <w:t>0</w:t>
                  </w:r>
                </w:p>
              </w:tc>
              <w:tc>
                <w:tcPr>
                  <w:tcW w:w="1100" w:type="dxa"/>
                  <w:tcBorders>
                    <w:top w:val="single" w:color="auto" w:sz="4" w:space="0"/>
                    <w:left w:val="single" w:color="auto" w:sz="4" w:space="0"/>
                    <w:bottom w:val="single" w:color="auto" w:sz="4" w:space="0"/>
                    <w:right w:val="single" w:color="auto" w:sz="4" w:space="0"/>
                  </w:tcBorders>
                  <w:vAlign w:val="center"/>
                </w:tcPr>
                <w:p>
                  <w:pPr>
                    <w:pStyle w:val="31"/>
                    <w:snapToGrid w:val="0"/>
                    <w:rPr>
                      <w:rFonts w:ascii="Times New Roman" w:hAnsi="Times New Roman"/>
                      <w:sz w:val="22"/>
                      <w:szCs w:val="22"/>
                    </w:rPr>
                  </w:pPr>
                  <w:r>
                    <w:rPr>
                      <w:rFonts w:ascii="Times New Roman" w:hAnsi="Times New Roman"/>
                      <w:sz w:val="22"/>
                      <w:szCs w:val="22"/>
                    </w:rPr>
                    <w:t>5000MPN/L</w:t>
                  </w:r>
                </w:p>
              </w:tc>
            </w:tr>
          </w:tbl>
          <w:p>
            <w:pPr>
              <w:spacing w:line="360" w:lineRule="auto"/>
              <w:ind w:firstLine="480" w:firstLineChars="200"/>
              <w:rPr>
                <w:sz w:val="24"/>
              </w:rPr>
            </w:pPr>
          </w:p>
          <w:p>
            <w:pPr>
              <w:spacing w:line="360" w:lineRule="auto"/>
              <w:ind w:firstLine="480" w:firstLineChars="200"/>
              <w:rPr>
                <w:sz w:val="24"/>
              </w:rPr>
            </w:pPr>
            <w:r>
              <w:rPr>
                <w:sz w:val="24"/>
              </w:rPr>
              <w:t>2</w:t>
            </w:r>
            <w:r>
              <w:rPr>
                <w:rFonts w:hint="eastAsia"/>
                <w:sz w:val="24"/>
              </w:rPr>
              <w:t>、废气排放执行标准：</w:t>
            </w:r>
          </w:p>
          <w:bookmarkEnd w:id="8"/>
          <w:bookmarkEnd w:id="9"/>
          <w:p>
            <w:pPr>
              <w:spacing w:line="360" w:lineRule="auto"/>
              <w:ind w:firstLine="480" w:firstLineChars="200"/>
              <w:rPr>
                <w:sz w:val="24"/>
              </w:rPr>
            </w:pPr>
            <w:r>
              <w:rPr>
                <w:rFonts w:hint="eastAsia" w:ascii="宋体" w:hAnsi="宋体"/>
                <w:bCs/>
                <w:sz w:val="24"/>
              </w:rPr>
              <w:t>污水处理站周边废气执行</w:t>
            </w:r>
            <w:bookmarkStart w:id="11" w:name="_Hlk170972951"/>
            <w:r>
              <w:rPr>
                <w:rFonts w:hint="eastAsia" w:ascii="宋体" w:hAnsi="宋体"/>
                <w:bCs/>
                <w:sz w:val="24"/>
              </w:rPr>
              <w:t>《医疗机构水污染物排放标准》（</w:t>
            </w:r>
            <w:r>
              <w:rPr>
                <w:bCs/>
                <w:sz w:val="24"/>
              </w:rPr>
              <w:t>GB18466-2005</w:t>
            </w:r>
            <w:r>
              <w:rPr>
                <w:rFonts w:hint="eastAsia" w:ascii="宋体" w:hAnsi="宋体"/>
                <w:bCs/>
                <w:sz w:val="24"/>
              </w:rPr>
              <w:t>）表</w:t>
            </w:r>
            <w:r>
              <w:rPr>
                <w:bCs/>
                <w:sz w:val="24"/>
              </w:rPr>
              <w:t>3</w:t>
            </w:r>
            <w:r>
              <w:rPr>
                <w:rFonts w:hint="eastAsia" w:ascii="宋体" w:hAnsi="宋体"/>
                <w:bCs/>
                <w:sz w:val="24"/>
              </w:rPr>
              <w:t>限值要求</w:t>
            </w:r>
            <w:bookmarkEnd w:id="11"/>
            <w:r>
              <w:rPr>
                <w:rFonts w:hint="eastAsia" w:ascii="宋体" w:hAnsi="宋体"/>
                <w:bCs/>
                <w:sz w:val="24"/>
              </w:rPr>
              <w:t>；</w:t>
            </w:r>
            <w:r>
              <w:rPr>
                <w:sz w:val="24"/>
              </w:rPr>
              <w:t>食堂油烟执行《饮食业油烟排放标准（试行）》（GB18483-2001）中相关标准限值（2.0mg/m</w:t>
            </w:r>
            <w:r>
              <w:rPr>
                <w:sz w:val="24"/>
                <w:vertAlign w:val="superscript"/>
              </w:rPr>
              <w:t>3</w:t>
            </w:r>
            <w:r>
              <w:rPr>
                <w:sz w:val="24"/>
              </w:rPr>
              <w:t>）</w:t>
            </w:r>
            <w:r>
              <w:rPr>
                <w:rFonts w:hint="eastAsia"/>
                <w:sz w:val="24"/>
              </w:rPr>
              <w:t>；柴油发电机燃烧废气参照执行</w:t>
            </w:r>
            <w:r>
              <w:rPr>
                <w:sz w:val="24"/>
              </w:rPr>
              <w:t>《大气污染物综合排放标准》（GB16297-1996）中新污染源</w:t>
            </w:r>
            <w:r>
              <w:rPr>
                <w:rFonts w:hint="eastAsia"/>
                <w:sz w:val="24"/>
              </w:rPr>
              <w:t>有</w:t>
            </w:r>
            <w:r>
              <w:rPr>
                <w:sz w:val="24"/>
              </w:rPr>
              <w:t>组织排放监控浓度限值</w:t>
            </w:r>
            <w:r>
              <w:rPr>
                <w:rFonts w:hint="eastAsia"/>
                <w:sz w:val="24"/>
              </w:rPr>
              <w:t>。</w:t>
            </w:r>
          </w:p>
          <w:p>
            <w:pPr>
              <w:spacing w:line="360" w:lineRule="auto"/>
              <w:ind w:firstLine="442" w:firstLineChars="200"/>
              <w:jc w:val="center"/>
              <w:rPr>
                <w:b/>
                <w:bCs/>
                <w:sz w:val="22"/>
                <w:szCs w:val="22"/>
              </w:rPr>
            </w:pPr>
            <w:r>
              <w:rPr>
                <w:rFonts w:hint="eastAsia" w:ascii="宋体" w:hAnsi="宋体"/>
                <w:b/>
                <w:bCs/>
                <w:sz w:val="22"/>
                <w:szCs w:val="22"/>
              </w:rPr>
              <w:t>表</w:t>
            </w:r>
            <w:r>
              <w:rPr>
                <w:b/>
                <w:bCs/>
                <w:sz w:val="22"/>
                <w:szCs w:val="22"/>
              </w:rPr>
              <w:t xml:space="preserve">3-10    </w:t>
            </w:r>
            <w:r>
              <w:rPr>
                <w:rFonts w:hint="eastAsia" w:ascii="宋体" w:hAnsi="宋体"/>
                <w:b/>
                <w:bCs/>
                <w:sz w:val="22"/>
                <w:szCs w:val="22"/>
              </w:rPr>
              <w:t>项目废气污染物排放标准</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977"/>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pct"/>
                  <w:gridSpan w:val="2"/>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rFonts w:hint="eastAsia" w:ascii="宋体" w:hAnsi="宋体"/>
                      <w:kern w:val="0"/>
                      <w:sz w:val="22"/>
                      <w:szCs w:val="22"/>
                    </w:rPr>
                    <w:t>控制项目</w:t>
                  </w:r>
                </w:p>
              </w:tc>
              <w:tc>
                <w:tcPr>
                  <w:tcW w:w="2084" w:type="pct"/>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rFonts w:hint="eastAsia" w:ascii="宋体" w:hAnsi="宋体"/>
                      <w:kern w:val="0"/>
                      <w:sz w:val="22"/>
                      <w:szCs w:val="22"/>
                    </w:rPr>
                    <w:t>标准限值（</w:t>
                  </w:r>
                  <w:r>
                    <w:rPr>
                      <w:rFonts w:hint="eastAsia"/>
                      <w:kern w:val="0"/>
                      <w:sz w:val="22"/>
                      <w:szCs w:val="22"/>
                    </w:rPr>
                    <w:t>mg</w:t>
                  </w:r>
                  <w:r>
                    <w:rPr>
                      <w:kern w:val="0"/>
                      <w:sz w:val="22"/>
                      <w:szCs w:val="22"/>
                    </w:rPr>
                    <w:t>/</w:t>
                  </w:r>
                  <w:r>
                    <w:rPr>
                      <w:rFonts w:hint="eastAsia"/>
                      <w:kern w:val="0"/>
                      <w:sz w:val="22"/>
                      <w:szCs w:val="22"/>
                    </w:rPr>
                    <w:t>m</w:t>
                  </w:r>
                  <w:r>
                    <w:rPr>
                      <w:kern w:val="0"/>
                      <w:sz w:val="22"/>
                      <w:szCs w:val="22"/>
                      <w:vertAlign w:val="superscript"/>
                    </w:rPr>
                    <w:t>3</w:t>
                  </w:r>
                  <w:r>
                    <w:rPr>
                      <w:rFonts w:hint="eastAsia" w:ascii="宋体" w:hAnsi="宋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pct"/>
                  <w:vMerge w:val="restart"/>
                  <w:tcBorders>
                    <w:top w:val="nil"/>
                    <w:left w:val="single" w:color="auto" w:sz="4" w:space="0"/>
                    <w:bottom w:val="single" w:color="auto" w:sz="4" w:space="0"/>
                    <w:right w:val="single" w:color="auto" w:sz="4" w:space="0"/>
                  </w:tcBorders>
                  <w:vAlign w:val="center"/>
                </w:tcPr>
                <w:p>
                  <w:pPr>
                    <w:jc w:val="center"/>
                    <w:rPr>
                      <w:kern w:val="0"/>
                      <w:sz w:val="22"/>
                      <w:szCs w:val="22"/>
                    </w:rPr>
                  </w:pPr>
                  <w:r>
                    <w:rPr>
                      <w:rFonts w:hint="eastAsia" w:ascii="宋体" w:hAnsi="宋体"/>
                      <w:kern w:val="0"/>
                      <w:sz w:val="22"/>
                      <w:szCs w:val="22"/>
                    </w:rPr>
                    <w:t>污水处理站周边</w:t>
                  </w:r>
                </w:p>
              </w:tc>
              <w:tc>
                <w:tcPr>
                  <w:tcW w:w="2011" w:type="pct"/>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rFonts w:hint="eastAsia" w:ascii="宋体" w:hAnsi="宋体"/>
                      <w:kern w:val="0"/>
                      <w:sz w:val="22"/>
                      <w:szCs w:val="22"/>
                    </w:rPr>
                    <w:t>氨</w:t>
                  </w:r>
                </w:p>
              </w:tc>
              <w:tc>
                <w:tcPr>
                  <w:tcW w:w="2084" w:type="pct"/>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rFonts w:hint="eastAsia"/>
                      <w:kern w:val="0"/>
                      <w:sz w:val="22"/>
                      <w:szCs w:val="22"/>
                    </w:rPr>
                    <w:t>1</w:t>
                  </w:r>
                  <w:r>
                    <w:rPr>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pct"/>
                  <w:vMerge w:val="continue"/>
                  <w:tcBorders>
                    <w:top w:val="nil"/>
                    <w:left w:val="single" w:color="auto" w:sz="4" w:space="0"/>
                    <w:bottom w:val="single" w:color="auto" w:sz="4" w:space="0"/>
                    <w:right w:val="single" w:color="auto" w:sz="4" w:space="0"/>
                  </w:tcBorders>
                  <w:vAlign w:val="center"/>
                </w:tcPr>
                <w:p>
                  <w:pPr>
                    <w:widowControl/>
                    <w:jc w:val="left"/>
                    <w:rPr>
                      <w:kern w:val="2"/>
                      <w:sz w:val="22"/>
                      <w:szCs w:val="22"/>
                    </w:rPr>
                  </w:pPr>
                </w:p>
              </w:tc>
              <w:tc>
                <w:tcPr>
                  <w:tcW w:w="2011" w:type="pct"/>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rFonts w:hint="eastAsia" w:ascii="宋体" w:hAnsi="宋体"/>
                      <w:kern w:val="0"/>
                      <w:sz w:val="22"/>
                      <w:szCs w:val="22"/>
                    </w:rPr>
                    <w:t>硫化氢</w:t>
                  </w:r>
                </w:p>
              </w:tc>
              <w:tc>
                <w:tcPr>
                  <w:tcW w:w="2084" w:type="pct"/>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rFonts w:hint="eastAsia"/>
                      <w:kern w:val="0"/>
                      <w:sz w:val="22"/>
                      <w:szCs w:val="22"/>
                    </w:rPr>
                    <w:t>0</w:t>
                  </w:r>
                  <w:r>
                    <w:rPr>
                      <w:kern w:val="0"/>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pct"/>
                  <w:vMerge w:val="continue"/>
                  <w:tcBorders>
                    <w:top w:val="nil"/>
                    <w:left w:val="single" w:color="auto" w:sz="4" w:space="0"/>
                    <w:bottom w:val="single" w:color="auto" w:sz="4" w:space="0"/>
                    <w:right w:val="single" w:color="auto" w:sz="4" w:space="0"/>
                  </w:tcBorders>
                  <w:vAlign w:val="center"/>
                </w:tcPr>
                <w:p>
                  <w:pPr>
                    <w:widowControl/>
                    <w:jc w:val="left"/>
                    <w:rPr>
                      <w:kern w:val="2"/>
                      <w:sz w:val="22"/>
                      <w:szCs w:val="22"/>
                    </w:rPr>
                  </w:pPr>
                </w:p>
              </w:tc>
              <w:tc>
                <w:tcPr>
                  <w:tcW w:w="2011" w:type="pct"/>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rFonts w:hint="eastAsia" w:ascii="宋体" w:hAnsi="宋体"/>
                      <w:kern w:val="0"/>
                      <w:sz w:val="22"/>
                      <w:szCs w:val="22"/>
                    </w:rPr>
                    <w:t>臭气浓度（无量纲）</w:t>
                  </w:r>
                </w:p>
              </w:tc>
              <w:tc>
                <w:tcPr>
                  <w:tcW w:w="2084" w:type="pct"/>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rFonts w:hint="eastAsia"/>
                      <w:kern w:val="0"/>
                      <w:sz w:val="22"/>
                      <w:szCs w:val="22"/>
                    </w:rPr>
                    <w:t>1</w:t>
                  </w:r>
                  <w:r>
                    <w:rPr>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pct"/>
                  <w:vMerge w:val="continue"/>
                  <w:tcBorders>
                    <w:top w:val="nil"/>
                    <w:left w:val="single" w:color="auto" w:sz="4" w:space="0"/>
                    <w:bottom w:val="single" w:color="auto" w:sz="4" w:space="0"/>
                    <w:right w:val="single" w:color="auto" w:sz="4" w:space="0"/>
                  </w:tcBorders>
                  <w:vAlign w:val="center"/>
                </w:tcPr>
                <w:p>
                  <w:pPr>
                    <w:widowControl/>
                    <w:jc w:val="left"/>
                    <w:rPr>
                      <w:kern w:val="2"/>
                      <w:sz w:val="22"/>
                      <w:szCs w:val="22"/>
                    </w:rPr>
                  </w:pPr>
                </w:p>
              </w:tc>
              <w:tc>
                <w:tcPr>
                  <w:tcW w:w="2011" w:type="pct"/>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rFonts w:hint="eastAsia" w:ascii="宋体" w:hAnsi="宋体"/>
                      <w:kern w:val="0"/>
                      <w:sz w:val="22"/>
                      <w:szCs w:val="22"/>
                    </w:rPr>
                    <w:t>氯气</w:t>
                  </w:r>
                </w:p>
              </w:tc>
              <w:tc>
                <w:tcPr>
                  <w:tcW w:w="2084" w:type="pct"/>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rFonts w:hint="eastAsia"/>
                      <w:kern w:val="0"/>
                      <w:sz w:val="22"/>
                      <w:szCs w:val="22"/>
                    </w:rPr>
                    <w:t>0</w:t>
                  </w:r>
                  <w:r>
                    <w:rPr>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pct"/>
                  <w:vMerge w:val="continue"/>
                  <w:tcBorders>
                    <w:top w:val="nil"/>
                    <w:left w:val="single" w:color="auto" w:sz="4" w:space="0"/>
                    <w:bottom w:val="single" w:color="auto" w:sz="4" w:space="0"/>
                    <w:right w:val="single" w:color="auto" w:sz="4" w:space="0"/>
                  </w:tcBorders>
                  <w:vAlign w:val="center"/>
                </w:tcPr>
                <w:p>
                  <w:pPr>
                    <w:widowControl/>
                    <w:jc w:val="left"/>
                    <w:rPr>
                      <w:kern w:val="2"/>
                      <w:sz w:val="22"/>
                      <w:szCs w:val="22"/>
                    </w:rPr>
                  </w:pPr>
                </w:p>
              </w:tc>
              <w:tc>
                <w:tcPr>
                  <w:tcW w:w="2011" w:type="pct"/>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rFonts w:hint="eastAsia" w:ascii="宋体" w:hAnsi="宋体"/>
                      <w:kern w:val="0"/>
                      <w:sz w:val="22"/>
                      <w:szCs w:val="22"/>
                    </w:rPr>
                    <w:t>甲烷（指处理站内最高体积百分数</w:t>
                  </w:r>
                  <w:r>
                    <w:rPr>
                      <w:rFonts w:hint="eastAsia"/>
                      <w:kern w:val="0"/>
                      <w:sz w:val="22"/>
                      <w:szCs w:val="22"/>
                    </w:rPr>
                    <w:t>/</w:t>
                  </w:r>
                  <w:r>
                    <w:rPr>
                      <w:kern w:val="0"/>
                      <w:sz w:val="22"/>
                      <w:szCs w:val="22"/>
                    </w:rPr>
                    <w:t>%</w:t>
                  </w:r>
                  <w:r>
                    <w:rPr>
                      <w:rFonts w:hint="eastAsia" w:ascii="宋体" w:hAnsi="宋体"/>
                      <w:kern w:val="0"/>
                      <w:sz w:val="22"/>
                      <w:szCs w:val="22"/>
                    </w:rPr>
                    <w:t>）</w:t>
                  </w:r>
                </w:p>
              </w:tc>
              <w:tc>
                <w:tcPr>
                  <w:tcW w:w="2084" w:type="pct"/>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rFonts w:hint="eastAsia"/>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pct"/>
                  <w:vMerge w:val="restart"/>
                  <w:tcBorders>
                    <w:top w:val="nil"/>
                    <w:left w:val="single" w:color="auto" w:sz="4" w:space="0"/>
                    <w:right w:val="single" w:color="auto" w:sz="4" w:space="0"/>
                  </w:tcBorders>
                  <w:vAlign w:val="center"/>
                </w:tcPr>
                <w:p>
                  <w:pPr>
                    <w:widowControl/>
                    <w:jc w:val="center"/>
                    <w:rPr>
                      <w:kern w:val="0"/>
                      <w:sz w:val="22"/>
                      <w:szCs w:val="22"/>
                    </w:rPr>
                  </w:pPr>
                  <w:r>
                    <w:rPr>
                      <w:rFonts w:hint="eastAsia"/>
                      <w:kern w:val="0"/>
                      <w:sz w:val="22"/>
                      <w:szCs w:val="22"/>
                    </w:rPr>
                    <w:t>柴油发电机燃烧废气</w:t>
                  </w:r>
                </w:p>
              </w:tc>
              <w:tc>
                <w:tcPr>
                  <w:tcW w:w="20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kern w:val="0"/>
                      <w:sz w:val="22"/>
                      <w:szCs w:val="22"/>
                    </w:rPr>
                    <w:t>颗粒物</w:t>
                  </w:r>
                </w:p>
              </w:tc>
              <w:tc>
                <w:tcPr>
                  <w:tcW w:w="2084" w:type="pct"/>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rFonts w:hint="eastAsia"/>
                      <w:kern w:val="0"/>
                      <w:sz w:val="22"/>
                      <w:szCs w:val="2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pct"/>
                  <w:vMerge w:val="continue"/>
                  <w:tcBorders>
                    <w:left w:val="single" w:color="auto" w:sz="4" w:space="0"/>
                    <w:right w:val="single" w:color="auto" w:sz="4" w:space="0"/>
                  </w:tcBorders>
                  <w:vAlign w:val="center"/>
                </w:tcPr>
                <w:p>
                  <w:pPr>
                    <w:widowControl/>
                    <w:jc w:val="center"/>
                    <w:rPr>
                      <w:kern w:val="0"/>
                      <w:sz w:val="22"/>
                      <w:szCs w:val="22"/>
                    </w:rPr>
                  </w:pPr>
                </w:p>
              </w:tc>
              <w:tc>
                <w:tcPr>
                  <w:tcW w:w="20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2"/>
                      <w:szCs w:val="22"/>
                    </w:rPr>
                  </w:pPr>
                  <w:r>
                    <w:rPr>
                      <w:kern w:val="0"/>
                      <w:sz w:val="22"/>
                      <w:szCs w:val="22"/>
                    </w:rPr>
                    <w:t>氮氧化物</w:t>
                  </w:r>
                </w:p>
              </w:tc>
              <w:tc>
                <w:tcPr>
                  <w:tcW w:w="2084" w:type="pct"/>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rFonts w:hint="eastAsia"/>
                      <w:kern w:val="0"/>
                      <w:sz w:val="22"/>
                      <w:szCs w:val="22"/>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pct"/>
                  <w:vMerge w:val="continue"/>
                  <w:tcBorders>
                    <w:left w:val="single" w:color="auto" w:sz="4" w:space="0"/>
                    <w:bottom w:val="single" w:color="auto" w:sz="4" w:space="0"/>
                    <w:right w:val="single" w:color="auto" w:sz="4" w:space="0"/>
                  </w:tcBorders>
                  <w:vAlign w:val="center"/>
                </w:tcPr>
                <w:p>
                  <w:pPr>
                    <w:widowControl/>
                    <w:jc w:val="center"/>
                    <w:rPr>
                      <w:kern w:val="0"/>
                      <w:sz w:val="22"/>
                      <w:szCs w:val="22"/>
                    </w:rPr>
                  </w:pPr>
                </w:p>
              </w:tc>
              <w:tc>
                <w:tcPr>
                  <w:tcW w:w="2011" w:type="pct"/>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kern w:val="0"/>
                      <w:sz w:val="22"/>
                      <w:szCs w:val="22"/>
                    </w:rPr>
                    <w:t>SO</w:t>
                  </w:r>
                  <w:r>
                    <w:rPr>
                      <w:kern w:val="0"/>
                      <w:sz w:val="22"/>
                      <w:szCs w:val="22"/>
                      <w:vertAlign w:val="subscript"/>
                    </w:rPr>
                    <w:t>2</w:t>
                  </w:r>
                </w:p>
              </w:tc>
              <w:tc>
                <w:tcPr>
                  <w:tcW w:w="2084" w:type="pct"/>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rFonts w:hint="eastAsia"/>
                      <w:kern w:val="0"/>
                      <w:sz w:val="22"/>
                      <w:szCs w:val="22"/>
                    </w:rPr>
                    <w:t>550</w:t>
                  </w:r>
                </w:p>
              </w:tc>
            </w:tr>
          </w:tbl>
          <w:p>
            <w:pPr>
              <w:spacing w:line="360" w:lineRule="auto"/>
              <w:ind w:firstLine="480" w:firstLineChars="200"/>
              <w:rPr>
                <w:sz w:val="24"/>
              </w:rPr>
            </w:pPr>
          </w:p>
          <w:p>
            <w:pPr>
              <w:spacing w:line="360" w:lineRule="auto"/>
              <w:ind w:firstLine="480" w:firstLineChars="200"/>
              <w:rPr>
                <w:sz w:val="24"/>
              </w:rPr>
            </w:pPr>
            <w:r>
              <w:rPr>
                <w:sz w:val="24"/>
              </w:rPr>
              <w:t>3</w:t>
            </w:r>
            <w:r>
              <w:rPr>
                <w:rFonts w:hint="eastAsia"/>
                <w:sz w:val="24"/>
              </w:rPr>
              <w:t>、噪声排放标准执行：</w:t>
            </w:r>
          </w:p>
          <w:p>
            <w:pPr>
              <w:spacing w:line="360" w:lineRule="auto"/>
              <w:ind w:firstLine="480" w:firstLineChars="200"/>
              <w:rPr>
                <w:sz w:val="24"/>
              </w:rPr>
            </w:pPr>
            <w:r>
              <w:rPr>
                <w:rFonts w:hint="eastAsia"/>
                <w:sz w:val="24"/>
              </w:rPr>
              <w:t>运营期院区南侧厂界噪声执行《工业企业厂界环境噪声排放标准》（</w:t>
            </w:r>
            <w:r>
              <w:rPr>
                <w:sz w:val="24"/>
              </w:rPr>
              <w:t>GB12348-2008）表1中</w:t>
            </w:r>
            <w:r>
              <w:rPr>
                <w:rFonts w:hint="eastAsia"/>
                <w:sz w:val="24"/>
              </w:rPr>
              <w:t>4a</w:t>
            </w:r>
            <w:r>
              <w:rPr>
                <w:sz w:val="24"/>
              </w:rPr>
              <w:t>类标准</w:t>
            </w:r>
            <w:r>
              <w:rPr>
                <w:rFonts w:hint="eastAsia"/>
                <w:sz w:val="24"/>
              </w:rPr>
              <w:t>；东侧、西侧以及北侧厂界噪声执行《工业企业厂界环境噪声排放标准》（</w:t>
            </w:r>
            <w:r>
              <w:rPr>
                <w:sz w:val="24"/>
              </w:rPr>
              <w:t>GB12348-2008）表1中</w:t>
            </w:r>
            <w:r>
              <w:rPr>
                <w:rFonts w:hint="eastAsia"/>
                <w:sz w:val="24"/>
              </w:rPr>
              <w:t>2</w:t>
            </w:r>
            <w:r>
              <w:rPr>
                <w:sz w:val="24"/>
              </w:rPr>
              <w:t>类标准</w:t>
            </w:r>
            <w:r>
              <w:rPr>
                <w:rFonts w:hint="eastAsia"/>
                <w:sz w:val="24"/>
              </w:rPr>
              <w:t>。</w:t>
            </w:r>
          </w:p>
          <w:p>
            <w:pPr>
              <w:spacing w:line="360" w:lineRule="auto"/>
              <w:ind w:firstLine="480" w:firstLineChars="200"/>
              <w:rPr>
                <w:sz w:val="24"/>
              </w:rPr>
            </w:pPr>
            <w:r>
              <w:rPr>
                <w:sz w:val="24"/>
              </w:rPr>
              <w:t>4</w:t>
            </w:r>
            <w:r>
              <w:rPr>
                <w:rFonts w:hint="eastAsia"/>
                <w:sz w:val="24"/>
              </w:rPr>
              <w:t>、固体废物排放执行：</w:t>
            </w:r>
          </w:p>
          <w:p>
            <w:pPr>
              <w:spacing w:line="360" w:lineRule="auto"/>
              <w:ind w:firstLine="480" w:firstLineChars="200"/>
              <w:rPr>
                <w:sz w:val="24"/>
              </w:rPr>
            </w:pPr>
            <w:r>
              <w:rPr>
                <w:rFonts w:hint="eastAsia"/>
                <w:sz w:val="24"/>
              </w:rPr>
              <w:t>医疗固废暂存、储运过程按照《医疗废物管理条例》</w:t>
            </w:r>
            <w:r>
              <w:rPr>
                <w:sz w:val="24"/>
              </w:rPr>
              <w:t>(</w:t>
            </w:r>
            <w:r>
              <w:rPr>
                <w:rFonts w:hint="eastAsia"/>
                <w:sz w:val="24"/>
              </w:rPr>
              <w:t>国务院</w:t>
            </w:r>
            <w:r>
              <w:rPr>
                <w:sz w:val="24"/>
              </w:rPr>
              <w:t>2003-380</w:t>
            </w:r>
            <w:r>
              <w:rPr>
                <w:rFonts w:hint="eastAsia"/>
                <w:sz w:val="24"/>
              </w:rPr>
              <w:t>号令</w:t>
            </w:r>
            <w:r>
              <w:rPr>
                <w:sz w:val="24"/>
              </w:rPr>
              <w:t>)</w:t>
            </w:r>
            <w:r>
              <w:rPr>
                <w:rFonts w:hint="eastAsia"/>
                <w:sz w:val="24"/>
              </w:rPr>
              <w:t>、《医疗卫生机构医疗废物管理方法》</w:t>
            </w:r>
            <w:r>
              <w:rPr>
                <w:sz w:val="24"/>
              </w:rPr>
              <w:t>(</w:t>
            </w:r>
            <w:r>
              <w:rPr>
                <w:rFonts w:hint="eastAsia"/>
                <w:sz w:val="24"/>
              </w:rPr>
              <w:t>中华人民共和国卫生部第</w:t>
            </w:r>
            <w:r>
              <w:rPr>
                <w:sz w:val="24"/>
              </w:rPr>
              <w:t>36</w:t>
            </w:r>
            <w:r>
              <w:rPr>
                <w:rFonts w:hint="eastAsia"/>
                <w:sz w:val="24"/>
              </w:rPr>
              <w:t>号令</w:t>
            </w:r>
            <w:r>
              <w:rPr>
                <w:sz w:val="24"/>
              </w:rPr>
              <w:t>)</w:t>
            </w:r>
            <w:r>
              <w:rPr>
                <w:rFonts w:hint="eastAsia"/>
                <w:sz w:val="24"/>
              </w:rPr>
              <w:t>、</w:t>
            </w:r>
            <w:r>
              <w:rPr>
                <w:sz w:val="24"/>
              </w:rPr>
              <w:t>《危险废物贮存污染控制标准》（GB18597-20</w:t>
            </w:r>
            <w:r>
              <w:rPr>
                <w:rFonts w:hint="eastAsia"/>
                <w:sz w:val="24"/>
              </w:rPr>
              <w:t>23</w:t>
            </w:r>
            <w:r>
              <w:rPr>
                <w:sz w:val="24"/>
              </w:rPr>
              <w:t>）</w:t>
            </w:r>
            <w:r>
              <w:rPr>
                <w:rFonts w:hint="eastAsia"/>
                <w:sz w:val="24"/>
              </w:rPr>
              <w:t>等相关要求执行；医院内污水处理站污泥执行《医疗机构水污染物排放标准》（GB18466-2005）中表4限值要求。</w:t>
            </w:r>
          </w:p>
          <w:p>
            <w:pPr>
              <w:pStyle w:val="4"/>
              <w:adjustRightInd w:val="0"/>
              <w:spacing w:after="0"/>
              <w:ind w:right="113"/>
              <w:jc w:val="center"/>
              <w:rPr>
                <w:b/>
                <w:bCs/>
                <w:szCs w:val="21"/>
              </w:rPr>
            </w:pPr>
            <w:r>
              <w:rPr>
                <w:rFonts w:hint="eastAsia"/>
                <w:b/>
                <w:bCs/>
                <w:szCs w:val="21"/>
              </w:rPr>
              <w:t>表3-1</w:t>
            </w:r>
            <w:r>
              <w:rPr>
                <w:b/>
                <w:bCs/>
                <w:szCs w:val="21"/>
              </w:rPr>
              <w:t xml:space="preserve">1   </w:t>
            </w:r>
            <w:r>
              <w:rPr>
                <w:rFonts w:hint="eastAsia"/>
                <w:b/>
                <w:bCs/>
                <w:szCs w:val="21"/>
              </w:rPr>
              <w:t xml:space="preserve"> 医疗机构污泥控制标准</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5"/>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pct"/>
                  <w:vAlign w:val="center"/>
                </w:tcPr>
                <w:p>
                  <w:pPr>
                    <w:pStyle w:val="27"/>
                    <w:spacing w:line="240" w:lineRule="auto"/>
                    <w:ind w:firstLine="0" w:firstLineChars="0"/>
                    <w:jc w:val="center"/>
                    <w:rPr>
                      <w:sz w:val="22"/>
                      <w:szCs w:val="22"/>
                    </w:rPr>
                  </w:pPr>
                  <w:r>
                    <w:rPr>
                      <w:rFonts w:hint="eastAsia"/>
                      <w:sz w:val="22"/>
                      <w:szCs w:val="22"/>
                    </w:rPr>
                    <w:t>控制项目</w:t>
                  </w:r>
                </w:p>
              </w:tc>
              <w:tc>
                <w:tcPr>
                  <w:tcW w:w="2565" w:type="pct"/>
                  <w:vAlign w:val="center"/>
                </w:tcPr>
                <w:p>
                  <w:pPr>
                    <w:pStyle w:val="27"/>
                    <w:spacing w:line="240" w:lineRule="auto"/>
                    <w:ind w:firstLine="0" w:firstLineChars="0"/>
                    <w:jc w:val="center"/>
                    <w:rPr>
                      <w:sz w:val="22"/>
                      <w:szCs w:val="22"/>
                    </w:rPr>
                  </w:pPr>
                  <w:r>
                    <w:rPr>
                      <w:rFonts w:hint="eastAsia"/>
                      <w:sz w:val="22"/>
                      <w:szCs w:val="22"/>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pct"/>
                  <w:vAlign w:val="center"/>
                </w:tcPr>
                <w:p>
                  <w:pPr>
                    <w:pStyle w:val="27"/>
                    <w:spacing w:line="240" w:lineRule="auto"/>
                    <w:ind w:firstLine="0" w:firstLineChars="0"/>
                    <w:jc w:val="center"/>
                    <w:rPr>
                      <w:sz w:val="22"/>
                      <w:szCs w:val="22"/>
                    </w:rPr>
                  </w:pPr>
                  <w:r>
                    <w:rPr>
                      <w:rFonts w:hint="eastAsia"/>
                      <w:sz w:val="22"/>
                      <w:szCs w:val="22"/>
                    </w:rPr>
                    <w:t>粪大肠杆菌数(MPN/g)</w:t>
                  </w:r>
                </w:p>
              </w:tc>
              <w:tc>
                <w:tcPr>
                  <w:tcW w:w="2565" w:type="pct"/>
                  <w:vAlign w:val="center"/>
                </w:tcPr>
                <w:p>
                  <w:pPr>
                    <w:pStyle w:val="27"/>
                    <w:spacing w:line="240" w:lineRule="auto"/>
                    <w:ind w:firstLine="0" w:firstLineChars="0"/>
                    <w:jc w:val="center"/>
                    <w:rPr>
                      <w:sz w:val="22"/>
                      <w:szCs w:val="22"/>
                    </w:rPr>
                  </w:pPr>
                  <w:r>
                    <w:rPr>
                      <w:rFonts w:hint="eastAsia"/>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pct"/>
                  <w:vAlign w:val="center"/>
                </w:tcPr>
                <w:p>
                  <w:pPr>
                    <w:pStyle w:val="27"/>
                    <w:spacing w:line="240" w:lineRule="auto"/>
                    <w:ind w:firstLine="0" w:firstLineChars="0"/>
                    <w:jc w:val="center"/>
                    <w:rPr>
                      <w:sz w:val="22"/>
                      <w:szCs w:val="22"/>
                    </w:rPr>
                  </w:pPr>
                  <w:r>
                    <w:rPr>
                      <w:rFonts w:hint="eastAsia"/>
                      <w:sz w:val="22"/>
                      <w:szCs w:val="22"/>
                    </w:rPr>
                    <w:t>蛔虫卵死亡率（%）</w:t>
                  </w:r>
                </w:p>
              </w:tc>
              <w:tc>
                <w:tcPr>
                  <w:tcW w:w="2565" w:type="pct"/>
                  <w:vAlign w:val="center"/>
                </w:tcPr>
                <w:p>
                  <w:pPr>
                    <w:pStyle w:val="27"/>
                    <w:spacing w:line="240" w:lineRule="auto"/>
                    <w:ind w:firstLine="0" w:firstLineChars="0"/>
                    <w:jc w:val="center"/>
                    <w:rPr>
                      <w:sz w:val="22"/>
                      <w:szCs w:val="22"/>
                    </w:rPr>
                  </w:pPr>
                  <w:r>
                    <w:rPr>
                      <w:sz w:val="22"/>
                      <w:szCs w:val="22"/>
                    </w:rPr>
                    <w:t>&gt;95</w:t>
                  </w:r>
                </w:p>
              </w:tc>
            </w:tr>
          </w:tbl>
          <w:p>
            <w:pPr>
              <w:spacing w:line="360" w:lineRule="auto"/>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657" w:type="dxa"/>
            <w:tcBorders>
              <w:top w:val="single" w:color="auto" w:sz="4" w:space="0"/>
              <w:left w:val="single" w:color="auto" w:sz="8" w:space="0"/>
              <w:bottom w:val="single" w:color="auto" w:sz="8" w:space="0"/>
              <w:right w:val="single" w:color="auto" w:sz="4" w:space="0"/>
            </w:tcBorders>
            <w:vAlign w:val="center"/>
          </w:tcPr>
          <w:p>
            <w:pPr>
              <w:adjustRightInd w:val="0"/>
              <w:snapToGrid w:val="0"/>
              <w:jc w:val="center"/>
              <w:rPr>
                <w:kern w:val="0"/>
                <w:sz w:val="24"/>
              </w:rPr>
            </w:pPr>
            <w:r>
              <w:rPr>
                <w:rFonts w:hint="eastAsia"/>
                <w:kern w:val="0"/>
                <w:sz w:val="24"/>
              </w:rPr>
              <w:t>总量</w:t>
            </w:r>
          </w:p>
          <w:p>
            <w:pPr>
              <w:adjustRightInd w:val="0"/>
              <w:snapToGrid w:val="0"/>
              <w:jc w:val="center"/>
              <w:rPr>
                <w:kern w:val="0"/>
                <w:sz w:val="24"/>
              </w:rPr>
            </w:pPr>
            <w:r>
              <w:rPr>
                <w:rFonts w:hint="eastAsia"/>
                <w:kern w:val="0"/>
                <w:sz w:val="24"/>
              </w:rPr>
              <w:t>控制</w:t>
            </w:r>
          </w:p>
          <w:p>
            <w:pPr>
              <w:adjustRightInd w:val="0"/>
              <w:snapToGrid w:val="0"/>
              <w:jc w:val="center"/>
              <w:rPr>
                <w:kern w:val="0"/>
                <w:sz w:val="24"/>
              </w:rPr>
            </w:pPr>
            <w:r>
              <w:rPr>
                <w:rFonts w:hint="eastAsia"/>
                <w:kern w:val="0"/>
                <w:sz w:val="24"/>
              </w:rPr>
              <w:t>指标</w:t>
            </w:r>
          </w:p>
        </w:tc>
        <w:tc>
          <w:tcPr>
            <w:tcW w:w="7629" w:type="dxa"/>
            <w:tcBorders>
              <w:top w:val="single" w:color="auto" w:sz="4" w:space="0"/>
              <w:left w:val="single" w:color="auto" w:sz="4" w:space="0"/>
              <w:bottom w:val="single" w:color="auto" w:sz="8" w:space="0"/>
              <w:right w:val="single" w:color="auto" w:sz="8" w:space="0"/>
            </w:tcBorders>
            <w:vAlign w:val="center"/>
          </w:tcPr>
          <w:p>
            <w:pPr>
              <w:spacing w:line="360" w:lineRule="auto"/>
              <w:ind w:firstLine="480" w:firstLineChars="200"/>
              <w:rPr>
                <w:sz w:val="24"/>
              </w:rPr>
            </w:pPr>
            <w:r>
              <w:rPr>
                <w:sz w:val="24"/>
              </w:rPr>
              <w:t>根据2022年5月11日湖南省人民政府关于印发《</w:t>
            </w:r>
            <w:r>
              <w:rPr>
                <w:rFonts w:hint="eastAsia"/>
                <w:sz w:val="24"/>
              </w:rPr>
              <w:t>湖南省主要污染物排污权有偿使用和交易管理办法</w:t>
            </w:r>
            <w:r>
              <w:rPr>
                <w:sz w:val="24"/>
              </w:rPr>
              <w:t>》的通知（湘政发［2022］23号），主要污染物排污权有偿使用和交易活动是指</w:t>
            </w:r>
            <w:r>
              <w:rPr>
                <w:rFonts w:hint="eastAsia"/>
                <w:sz w:val="24"/>
              </w:rPr>
              <w:t>化学需氧量、氨氮、二氧化硫、氮氧化物、铅、镉、砷、汞、铬、挥发性有机物、总磷等十一类污染物</w:t>
            </w:r>
            <w:r>
              <w:rPr>
                <w:sz w:val="24"/>
              </w:rPr>
              <w:t>，主要污染物排污权有偿使用，</w:t>
            </w:r>
            <w:r>
              <w:rPr>
                <w:rFonts w:hint="eastAsia"/>
                <w:sz w:val="24"/>
              </w:rPr>
              <w:t>是指排污单位按照国家或者地方规定的污染物排放标准，以及污染物排放总量控制要求，经核定允许其在一定期限内排放主要污染物种类和数量的权利。</w:t>
            </w:r>
          </w:p>
          <w:p>
            <w:pPr>
              <w:spacing w:line="360" w:lineRule="auto"/>
              <w:ind w:firstLine="480" w:firstLineChars="200"/>
              <w:rPr>
                <w:sz w:val="24"/>
              </w:rPr>
            </w:pPr>
            <w:r>
              <w:rPr>
                <w:sz w:val="24"/>
              </w:rPr>
              <w:t>根据建设项目污染物排放特点，确定的污染物排放总量控制因子为：</w:t>
            </w:r>
            <w:r>
              <w:rPr>
                <w:rFonts w:hint="eastAsia"/>
                <w:sz w:val="24"/>
              </w:rPr>
              <w:t>COD、氨氮。</w:t>
            </w:r>
          </w:p>
          <w:p>
            <w:pPr>
              <w:spacing w:line="360" w:lineRule="auto"/>
              <w:ind w:firstLine="480" w:firstLineChars="200"/>
              <w:rPr>
                <w:sz w:val="24"/>
              </w:rPr>
            </w:pPr>
            <w:r>
              <w:rPr>
                <w:sz w:val="24"/>
              </w:rPr>
              <w:t>根据工程分析，本项目废水排放总量为</w:t>
            </w:r>
            <w:r>
              <w:rPr>
                <w:rFonts w:hint="eastAsia"/>
                <w:sz w:val="24"/>
              </w:rPr>
              <w:t>9610.5</w:t>
            </w:r>
            <w:r>
              <w:rPr>
                <w:sz w:val="24"/>
              </w:rPr>
              <w:t>m</w:t>
            </w:r>
            <w:r>
              <w:rPr>
                <w:sz w:val="24"/>
                <w:vertAlign w:val="superscript"/>
              </w:rPr>
              <w:t>3</w:t>
            </w:r>
            <w:r>
              <w:rPr>
                <w:sz w:val="24"/>
              </w:rPr>
              <w:t>/a，</w:t>
            </w:r>
            <w:r>
              <w:rPr>
                <w:rFonts w:hint="eastAsia"/>
                <w:sz w:val="24"/>
              </w:rPr>
              <w:t>废水经澧县污水处理厂处理后排放，排放标准执行《城镇污水处理厂污染物排放标准》(GB18918-2002)中一级标准A标准。</w:t>
            </w:r>
          </w:p>
          <w:p>
            <w:pPr>
              <w:spacing w:line="360" w:lineRule="auto"/>
              <w:ind w:firstLine="442" w:firstLineChars="200"/>
              <w:jc w:val="center"/>
              <w:rPr>
                <w:b/>
                <w:bCs/>
                <w:sz w:val="24"/>
              </w:rPr>
            </w:pPr>
            <w:r>
              <w:rPr>
                <w:rFonts w:hint="eastAsia"/>
                <w:b/>
                <w:bCs/>
                <w:sz w:val="22"/>
                <w:szCs w:val="22"/>
              </w:rPr>
              <w:t>表3-</w:t>
            </w:r>
            <w:r>
              <w:rPr>
                <w:b/>
                <w:bCs/>
                <w:sz w:val="22"/>
                <w:szCs w:val="22"/>
              </w:rPr>
              <w:t>12</w:t>
            </w:r>
            <w:r>
              <w:rPr>
                <w:rFonts w:hint="eastAsia"/>
                <w:b/>
                <w:bCs/>
                <w:sz w:val="22"/>
                <w:szCs w:val="22"/>
              </w:rPr>
              <w:t>　  本项目建议总量控制指标</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993"/>
              <w:gridCol w:w="1417"/>
              <w:gridCol w:w="1068"/>
              <w:gridCol w:w="1342"/>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gridSpan w:val="2"/>
                  <w:vAlign w:val="center"/>
                </w:tcPr>
                <w:p>
                  <w:pPr>
                    <w:jc w:val="center"/>
                    <w:rPr>
                      <w:kern w:val="0"/>
                      <w:sz w:val="22"/>
                      <w:szCs w:val="22"/>
                    </w:rPr>
                  </w:pPr>
                  <w:r>
                    <w:rPr>
                      <w:rFonts w:hint="eastAsia"/>
                      <w:kern w:val="0"/>
                      <w:sz w:val="22"/>
                      <w:szCs w:val="22"/>
                    </w:rPr>
                    <w:t>类型</w:t>
                  </w:r>
                </w:p>
              </w:tc>
              <w:tc>
                <w:tcPr>
                  <w:tcW w:w="1417" w:type="dxa"/>
                  <w:vAlign w:val="center"/>
                </w:tcPr>
                <w:p>
                  <w:pPr>
                    <w:jc w:val="center"/>
                    <w:rPr>
                      <w:kern w:val="0"/>
                      <w:sz w:val="22"/>
                      <w:szCs w:val="22"/>
                    </w:rPr>
                  </w:pPr>
                  <w:r>
                    <w:rPr>
                      <w:rFonts w:hint="eastAsia"/>
                      <w:kern w:val="0"/>
                      <w:sz w:val="22"/>
                      <w:szCs w:val="22"/>
                    </w:rPr>
                    <w:t>废水量</w:t>
                  </w:r>
                </w:p>
              </w:tc>
              <w:tc>
                <w:tcPr>
                  <w:tcW w:w="1068" w:type="dxa"/>
                  <w:vAlign w:val="center"/>
                </w:tcPr>
                <w:p>
                  <w:pPr>
                    <w:jc w:val="center"/>
                    <w:rPr>
                      <w:kern w:val="0"/>
                      <w:sz w:val="22"/>
                      <w:szCs w:val="22"/>
                    </w:rPr>
                  </w:pPr>
                  <w:r>
                    <w:rPr>
                      <w:rFonts w:hint="eastAsia"/>
                      <w:kern w:val="0"/>
                      <w:sz w:val="22"/>
                      <w:szCs w:val="22"/>
                    </w:rPr>
                    <w:t>污染物种类</w:t>
                  </w:r>
                </w:p>
              </w:tc>
              <w:tc>
                <w:tcPr>
                  <w:tcW w:w="1342" w:type="dxa"/>
                  <w:vAlign w:val="center"/>
                </w:tcPr>
                <w:p>
                  <w:pPr>
                    <w:jc w:val="center"/>
                    <w:rPr>
                      <w:kern w:val="0"/>
                      <w:sz w:val="22"/>
                      <w:szCs w:val="22"/>
                    </w:rPr>
                  </w:pPr>
                  <w:r>
                    <w:rPr>
                      <w:rFonts w:hint="eastAsia"/>
                      <w:kern w:val="0"/>
                      <w:sz w:val="22"/>
                      <w:szCs w:val="22"/>
                    </w:rPr>
                    <w:t>排放标准</w:t>
                  </w:r>
                </w:p>
              </w:tc>
              <w:tc>
                <w:tcPr>
                  <w:tcW w:w="1667" w:type="dxa"/>
                  <w:vAlign w:val="center"/>
                </w:tcPr>
                <w:p>
                  <w:pPr>
                    <w:jc w:val="center"/>
                    <w:rPr>
                      <w:kern w:val="0"/>
                      <w:sz w:val="22"/>
                      <w:szCs w:val="22"/>
                    </w:rPr>
                  </w:pPr>
                  <w:r>
                    <w:rPr>
                      <w:rFonts w:hint="eastAsia"/>
                      <w:kern w:val="0"/>
                      <w:sz w:val="22"/>
                      <w:szCs w:val="22"/>
                    </w:rPr>
                    <w:t>总量控制指标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vAlign w:val="center"/>
                </w:tcPr>
                <w:p>
                  <w:pPr>
                    <w:jc w:val="center"/>
                    <w:rPr>
                      <w:kern w:val="0"/>
                      <w:sz w:val="22"/>
                      <w:szCs w:val="22"/>
                    </w:rPr>
                  </w:pPr>
                  <w:r>
                    <w:rPr>
                      <w:rFonts w:hint="eastAsia"/>
                      <w:kern w:val="0"/>
                      <w:sz w:val="22"/>
                      <w:szCs w:val="22"/>
                    </w:rPr>
                    <w:t>废水</w:t>
                  </w:r>
                </w:p>
              </w:tc>
              <w:tc>
                <w:tcPr>
                  <w:tcW w:w="993" w:type="dxa"/>
                  <w:vMerge w:val="restart"/>
                  <w:vAlign w:val="center"/>
                </w:tcPr>
                <w:p>
                  <w:pPr>
                    <w:jc w:val="center"/>
                    <w:rPr>
                      <w:kern w:val="0"/>
                      <w:sz w:val="22"/>
                      <w:szCs w:val="22"/>
                    </w:rPr>
                  </w:pPr>
                  <w:r>
                    <w:rPr>
                      <w:rFonts w:hint="eastAsia"/>
                      <w:kern w:val="0"/>
                      <w:sz w:val="22"/>
                      <w:szCs w:val="22"/>
                    </w:rPr>
                    <w:t>总排口</w:t>
                  </w:r>
                </w:p>
              </w:tc>
              <w:tc>
                <w:tcPr>
                  <w:tcW w:w="1417" w:type="dxa"/>
                  <w:vMerge w:val="restart"/>
                  <w:vAlign w:val="center"/>
                </w:tcPr>
                <w:p>
                  <w:pPr>
                    <w:jc w:val="center"/>
                    <w:rPr>
                      <w:kern w:val="0"/>
                      <w:sz w:val="22"/>
                      <w:szCs w:val="22"/>
                    </w:rPr>
                  </w:pPr>
                  <w:r>
                    <w:rPr>
                      <w:rFonts w:hint="eastAsia"/>
                      <w:kern w:val="0"/>
                      <w:sz w:val="22"/>
                      <w:szCs w:val="22"/>
                    </w:rPr>
                    <w:t>9610.5</w:t>
                  </w:r>
                  <w:r>
                    <w:rPr>
                      <w:kern w:val="0"/>
                      <w:sz w:val="22"/>
                      <w:szCs w:val="22"/>
                    </w:rPr>
                    <w:t>m</w:t>
                  </w:r>
                  <w:r>
                    <w:rPr>
                      <w:kern w:val="0"/>
                      <w:sz w:val="22"/>
                      <w:szCs w:val="22"/>
                      <w:vertAlign w:val="superscript"/>
                    </w:rPr>
                    <w:t>3</w:t>
                  </w:r>
                  <w:r>
                    <w:rPr>
                      <w:kern w:val="0"/>
                      <w:sz w:val="22"/>
                      <w:szCs w:val="22"/>
                    </w:rPr>
                    <w:t>/a</w:t>
                  </w:r>
                </w:p>
              </w:tc>
              <w:tc>
                <w:tcPr>
                  <w:tcW w:w="1068" w:type="dxa"/>
                  <w:vAlign w:val="center"/>
                </w:tcPr>
                <w:p>
                  <w:pPr>
                    <w:jc w:val="center"/>
                    <w:rPr>
                      <w:kern w:val="0"/>
                      <w:sz w:val="22"/>
                      <w:szCs w:val="22"/>
                    </w:rPr>
                  </w:pPr>
                  <w:r>
                    <w:rPr>
                      <w:kern w:val="0"/>
                      <w:sz w:val="22"/>
                      <w:szCs w:val="22"/>
                    </w:rPr>
                    <w:t>COD</w:t>
                  </w:r>
                </w:p>
              </w:tc>
              <w:tc>
                <w:tcPr>
                  <w:tcW w:w="1342" w:type="dxa"/>
                  <w:vAlign w:val="center"/>
                </w:tcPr>
                <w:p>
                  <w:pPr>
                    <w:jc w:val="center"/>
                    <w:rPr>
                      <w:kern w:val="0"/>
                      <w:sz w:val="22"/>
                      <w:szCs w:val="22"/>
                    </w:rPr>
                  </w:pPr>
                  <w:r>
                    <w:rPr>
                      <w:rFonts w:hint="eastAsia"/>
                      <w:kern w:val="0"/>
                      <w:sz w:val="22"/>
                      <w:szCs w:val="22"/>
                    </w:rPr>
                    <w:t>5</w:t>
                  </w:r>
                  <w:r>
                    <w:rPr>
                      <w:kern w:val="0"/>
                      <w:sz w:val="22"/>
                      <w:szCs w:val="22"/>
                    </w:rPr>
                    <w:t>0</w:t>
                  </w:r>
                  <w:r>
                    <w:rPr>
                      <w:rFonts w:hint="eastAsia"/>
                      <w:kern w:val="0"/>
                      <w:sz w:val="22"/>
                      <w:szCs w:val="22"/>
                    </w:rPr>
                    <w:t>mg/L</w:t>
                  </w:r>
                </w:p>
              </w:tc>
              <w:tc>
                <w:tcPr>
                  <w:tcW w:w="1667" w:type="dxa"/>
                  <w:vAlign w:val="center"/>
                </w:tcPr>
                <w:p>
                  <w:pPr>
                    <w:jc w:val="center"/>
                    <w:rPr>
                      <w:kern w:val="0"/>
                      <w:sz w:val="22"/>
                      <w:szCs w:val="22"/>
                    </w:rPr>
                  </w:pPr>
                  <w:r>
                    <w:rPr>
                      <w:rFonts w:hint="eastAsia"/>
                      <w:kern w:val="0"/>
                      <w:sz w:val="22"/>
                      <w:szCs w:val="22"/>
                    </w:rPr>
                    <w:t>0.48t/a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vAlign w:val="center"/>
                </w:tcPr>
                <w:p>
                  <w:pPr>
                    <w:jc w:val="center"/>
                    <w:rPr>
                      <w:kern w:val="0"/>
                      <w:sz w:val="22"/>
                      <w:szCs w:val="22"/>
                    </w:rPr>
                  </w:pPr>
                </w:p>
              </w:tc>
              <w:tc>
                <w:tcPr>
                  <w:tcW w:w="993" w:type="dxa"/>
                  <w:vMerge w:val="continue"/>
                  <w:vAlign w:val="center"/>
                </w:tcPr>
                <w:p>
                  <w:pPr>
                    <w:jc w:val="center"/>
                    <w:rPr>
                      <w:kern w:val="0"/>
                      <w:sz w:val="22"/>
                      <w:szCs w:val="22"/>
                    </w:rPr>
                  </w:pPr>
                </w:p>
              </w:tc>
              <w:tc>
                <w:tcPr>
                  <w:tcW w:w="1417" w:type="dxa"/>
                  <w:vMerge w:val="continue"/>
                  <w:vAlign w:val="center"/>
                </w:tcPr>
                <w:p>
                  <w:pPr>
                    <w:jc w:val="center"/>
                    <w:rPr>
                      <w:kern w:val="0"/>
                      <w:sz w:val="22"/>
                      <w:szCs w:val="22"/>
                    </w:rPr>
                  </w:pPr>
                </w:p>
              </w:tc>
              <w:tc>
                <w:tcPr>
                  <w:tcW w:w="1068" w:type="dxa"/>
                  <w:vAlign w:val="center"/>
                </w:tcPr>
                <w:p>
                  <w:pPr>
                    <w:jc w:val="center"/>
                    <w:rPr>
                      <w:kern w:val="0"/>
                      <w:sz w:val="22"/>
                      <w:szCs w:val="22"/>
                    </w:rPr>
                  </w:pPr>
                  <w:r>
                    <w:rPr>
                      <w:kern w:val="0"/>
                      <w:sz w:val="22"/>
                      <w:szCs w:val="22"/>
                    </w:rPr>
                    <w:t>NH3-N</w:t>
                  </w:r>
                </w:p>
              </w:tc>
              <w:tc>
                <w:tcPr>
                  <w:tcW w:w="1342" w:type="dxa"/>
                  <w:vAlign w:val="center"/>
                </w:tcPr>
                <w:p>
                  <w:pPr>
                    <w:jc w:val="center"/>
                    <w:rPr>
                      <w:kern w:val="0"/>
                      <w:sz w:val="22"/>
                      <w:szCs w:val="22"/>
                    </w:rPr>
                  </w:pPr>
                  <w:r>
                    <w:rPr>
                      <w:rFonts w:hint="eastAsia"/>
                      <w:kern w:val="0"/>
                      <w:sz w:val="22"/>
                      <w:szCs w:val="22"/>
                    </w:rPr>
                    <w:t>8mg</w:t>
                  </w:r>
                  <w:r>
                    <w:rPr>
                      <w:kern w:val="0"/>
                      <w:sz w:val="22"/>
                      <w:szCs w:val="22"/>
                    </w:rPr>
                    <w:t>/L</w:t>
                  </w:r>
                </w:p>
              </w:tc>
              <w:tc>
                <w:tcPr>
                  <w:tcW w:w="1667" w:type="dxa"/>
                  <w:vAlign w:val="center"/>
                </w:tcPr>
                <w:p>
                  <w:pPr>
                    <w:jc w:val="center"/>
                    <w:rPr>
                      <w:kern w:val="0"/>
                      <w:sz w:val="22"/>
                      <w:szCs w:val="22"/>
                    </w:rPr>
                  </w:pPr>
                  <w:r>
                    <w:rPr>
                      <w:rFonts w:hint="eastAsia"/>
                      <w:kern w:val="0"/>
                      <w:sz w:val="22"/>
                      <w:szCs w:val="22"/>
                    </w:rPr>
                    <w:t>0.08t/a</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项目属于非工业类项目，无需进行总量购买。</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20" w:firstLineChars="200"/>
            </w:pPr>
          </w:p>
        </w:tc>
      </w:tr>
    </w:tbl>
    <w:p>
      <w:pPr>
        <w:pStyle w:val="9"/>
        <w:ind w:firstLine="600"/>
        <w:jc w:val="center"/>
        <w:outlineLvl w:val="0"/>
        <w:rPr>
          <w:rFonts w:ascii="黑体" w:hAnsi="黑体" w:eastAsia="黑体"/>
          <w:snapToGrid w:val="0"/>
          <w:sz w:val="30"/>
          <w:szCs w:val="30"/>
        </w:rPr>
      </w:pPr>
      <w:r>
        <w:rPr>
          <w:rFonts w:hint="eastAsia" w:ascii="黑体" w:hAnsi="黑体" w:eastAsia="黑体"/>
          <w:snapToGrid w:val="0"/>
          <w:sz w:val="30"/>
          <w:szCs w:val="30"/>
        </w:rPr>
        <w:t>四、主要环境影响和保护措施</w:t>
      </w:r>
    </w:p>
    <w:tbl>
      <w:tblPr>
        <w:tblStyle w:val="1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81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trPr>
        <w:tc>
          <w:tcPr>
            <w:tcW w:w="264" w:type="dxa"/>
            <w:tcBorders>
              <w:top w:val="single" w:color="auto" w:sz="8" w:space="0"/>
              <w:left w:val="single" w:color="auto" w:sz="8" w:space="0"/>
              <w:bottom w:val="single" w:color="auto" w:sz="4" w:space="0"/>
              <w:right w:val="single" w:color="auto" w:sz="4" w:space="0"/>
            </w:tcBorders>
            <w:tcMar>
              <w:top w:w="0" w:type="dxa"/>
              <w:left w:w="28" w:type="dxa"/>
              <w:bottom w:w="0" w:type="dxa"/>
              <w:right w:w="28" w:type="dxa"/>
            </w:tcMar>
            <w:vAlign w:val="center"/>
          </w:tcPr>
          <w:p>
            <w:pPr>
              <w:pStyle w:val="9"/>
              <w:adjustRightInd w:val="0"/>
              <w:snapToGrid w:val="0"/>
              <w:spacing w:before="0" w:beforeAutospacing="0" w:after="0" w:afterAutospacing="0" w:line="360" w:lineRule="auto"/>
              <w:jc w:val="center"/>
              <w:rPr>
                <w:rFonts w:cs="宋体"/>
                <w:bCs/>
                <w:kern w:val="2"/>
                <w:szCs w:val="24"/>
              </w:rPr>
            </w:pPr>
            <w:r>
              <w:rPr>
                <w:rFonts w:hint="eastAsia" w:cs="宋体"/>
                <w:kern w:val="2"/>
                <w:szCs w:val="24"/>
              </w:rPr>
              <w:t>施工期环境保护措施</w:t>
            </w:r>
          </w:p>
        </w:tc>
        <w:tc>
          <w:tcPr>
            <w:tcW w:w="8022" w:type="dxa"/>
            <w:tcBorders>
              <w:top w:val="single" w:color="auto" w:sz="8" w:space="0"/>
              <w:left w:val="single" w:color="auto" w:sz="4" w:space="0"/>
              <w:bottom w:val="single" w:color="auto" w:sz="4" w:space="0"/>
              <w:right w:val="single" w:color="auto" w:sz="8" w:space="0"/>
            </w:tcBorders>
            <w:vAlign w:val="center"/>
          </w:tcPr>
          <w:p>
            <w:pPr>
              <w:adjustRightInd w:val="0"/>
              <w:snapToGrid w:val="0"/>
              <w:spacing w:line="360" w:lineRule="auto"/>
              <w:ind w:firstLine="440" w:firstLineChars="200"/>
              <w:rPr>
                <w:rFonts w:ascii="宋体" w:hAnsi="宋体" w:cs="宋体"/>
                <w:bCs/>
                <w:spacing w:val="-10"/>
                <w:sz w:val="24"/>
              </w:rPr>
            </w:pPr>
            <w:r>
              <w:rPr>
                <w:rFonts w:hint="eastAsia" w:ascii="宋体" w:hAnsi="宋体" w:cs="宋体"/>
                <w:bCs/>
                <w:spacing w:val="-10"/>
                <w:sz w:val="24"/>
              </w:rPr>
              <w:t>本项目施工期已完成，本次环评不做分析。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trPr>
        <w:tc>
          <w:tcPr>
            <w:tcW w:w="264" w:type="dxa"/>
            <w:tcBorders>
              <w:top w:val="single" w:color="auto" w:sz="4" w:space="0"/>
              <w:left w:val="single" w:color="auto" w:sz="8" w:space="0"/>
              <w:bottom w:val="single" w:color="auto" w:sz="8"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宋体" w:hAnsi="宋体" w:cs="宋体"/>
                <w:bCs/>
                <w:sz w:val="24"/>
              </w:rPr>
            </w:pPr>
            <w:r>
              <w:rPr>
                <w:rFonts w:hint="eastAsia" w:ascii="宋体" w:hAnsi="宋体" w:cs="宋体"/>
                <w:bCs/>
                <w:sz w:val="24"/>
              </w:rPr>
              <w:t>运营</w:t>
            </w:r>
          </w:p>
          <w:p>
            <w:pPr>
              <w:adjustRightInd w:val="0"/>
              <w:snapToGrid w:val="0"/>
              <w:spacing w:line="360" w:lineRule="auto"/>
              <w:jc w:val="center"/>
              <w:rPr>
                <w:rFonts w:ascii="宋体" w:hAnsi="宋体" w:cs="宋体"/>
                <w:bCs/>
                <w:sz w:val="24"/>
              </w:rPr>
            </w:pPr>
            <w:r>
              <w:rPr>
                <w:rFonts w:hint="eastAsia" w:ascii="宋体" w:hAnsi="宋体" w:cs="宋体"/>
                <w:bCs/>
                <w:sz w:val="24"/>
              </w:rPr>
              <w:t>期环</w:t>
            </w:r>
          </w:p>
          <w:p>
            <w:pPr>
              <w:adjustRightInd w:val="0"/>
              <w:snapToGrid w:val="0"/>
              <w:spacing w:line="360" w:lineRule="auto"/>
              <w:jc w:val="center"/>
              <w:rPr>
                <w:rFonts w:ascii="宋体" w:hAnsi="宋体" w:cs="宋体"/>
                <w:bCs/>
                <w:sz w:val="24"/>
              </w:rPr>
            </w:pPr>
            <w:r>
              <w:rPr>
                <w:rFonts w:hint="eastAsia" w:ascii="宋体" w:hAnsi="宋体" w:cs="宋体"/>
                <w:bCs/>
                <w:sz w:val="24"/>
              </w:rPr>
              <w:t>境影</w:t>
            </w:r>
          </w:p>
          <w:p>
            <w:pPr>
              <w:adjustRightInd w:val="0"/>
              <w:snapToGrid w:val="0"/>
              <w:spacing w:line="360" w:lineRule="auto"/>
              <w:jc w:val="center"/>
              <w:rPr>
                <w:rFonts w:ascii="宋体" w:hAnsi="宋体" w:cs="宋体"/>
                <w:bCs/>
                <w:sz w:val="24"/>
              </w:rPr>
            </w:pPr>
            <w:r>
              <w:rPr>
                <w:rFonts w:hint="eastAsia" w:ascii="宋体" w:hAnsi="宋体" w:cs="宋体"/>
                <w:bCs/>
                <w:sz w:val="24"/>
              </w:rPr>
              <w:t>响和</w:t>
            </w:r>
          </w:p>
          <w:p>
            <w:pPr>
              <w:adjustRightInd w:val="0"/>
              <w:snapToGrid w:val="0"/>
              <w:spacing w:line="360" w:lineRule="auto"/>
              <w:jc w:val="center"/>
              <w:rPr>
                <w:rFonts w:ascii="宋体" w:hAnsi="宋体" w:cs="宋体"/>
                <w:bCs/>
                <w:sz w:val="24"/>
              </w:rPr>
            </w:pPr>
            <w:r>
              <w:rPr>
                <w:rFonts w:hint="eastAsia" w:ascii="宋体" w:hAnsi="宋体" w:cs="宋体"/>
                <w:bCs/>
                <w:sz w:val="24"/>
              </w:rPr>
              <w:t>保护</w:t>
            </w:r>
          </w:p>
          <w:p>
            <w:pPr>
              <w:adjustRightInd w:val="0"/>
              <w:snapToGrid w:val="0"/>
              <w:spacing w:line="360" w:lineRule="auto"/>
              <w:jc w:val="center"/>
              <w:rPr>
                <w:rFonts w:ascii="宋体" w:hAnsi="宋体" w:cs="宋体"/>
                <w:bCs/>
                <w:sz w:val="24"/>
              </w:rPr>
            </w:pPr>
            <w:r>
              <w:rPr>
                <w:rFonts w:hint="eastAsia" w:ascii="宋体" w:hAnsi="宋体" w:cs="宋体"/>
                <w:bCs/>
                <w:sz w:val="24"/>
              </w:rPr>
              <w:t>措施</w:t>
            </w:r>
          </w:p>
        </w:tc>
        <w:tc>
          <w:tcPr>
            <w:tcW w:w="8022" w:type="dxa"/>
            <w:tcBorders>
              <w:top w:val="single" w:color="auto" w:sz="4" w:space="0"/>
              <w:left w:val="single" w:color="auto" w:sz="4" w:space="0"/>
              <w:bottom w:val="single" w:color="auto" w:sz="8" w:space="0"/>
              <w:right w:val="single" w:color="auto" w:sz="8" w:space="0"/>
            </w:tcBorders>
            <w:vAlign w:val="center"/>
          </w:tcPr>
          <w:p>
            <w:pPr>
              <w:spacing w:line="360" w:lineRule="auto"/>
              <w:ind w:firstLine="482" w:firstLineChars="200"/>
              <w:rPr>
                <w:b/>
                <w:bCs/>
                <w:sz w:val="24"/>
                <w:szCs w:val="32"/>
              </w:rPr>
            </w:pPr>
            <w:r>
              <w:rPr>
                <w:rFonts w:hint="eastAsia"/>
                <w:b/>
                <w:bCs/>
                <w:sz w:val="24"/>
                <w:szCs w:val="32"/>
              </w:rPr>
              <w:t>一、废气</w:t>
            </w:r>
          </w:p>
          <w:p>
            <w:pPr>
              <w:spacing w:line="360" w:lineRule="auto"/>
              <w:ind w:firstLine="480" w:firstLineChars="200"/>
              <w:rPr>
                <w:sz w:val="24"/>
                <w:szCs w:val="32"/>
              </w:rPr>
            </w:pPr>
            <w:r>
              <w:rPr>
                <w:rFonts w:hint="eastAsia"/>
                <w:sz w:val="24"/>
                <w:szCs w:val="32"/>
              </w:rPr>
              <w:t>1、源强计算</w:t>
            </w:r>
          </w:p>
          <w:p>
            <w:pPr>
              <w:adjustRightInd w:val="0"/>
              <w:snapToGrid w:val="0"/>
              <w:spacing w:line="360" w:lineRule="auto"/>
              <w:ind w:firstLine="480" w:firstLineChars="200"/>
              <w:rPr>
                <w:sz w:val="24"/>
                <w:szCs w:val="32"/>
              </w:rPr>
            </w:pPr>
            <w:bookmarkStart w:id="12" w:name="_Hlk170972072"/>
            <w:r>
              <w:rPr>
                <w:sz w:val="24"/>
                <w:szCs w:val="32"/>
              </w:rPr>
              <w:fldChar w:fldCharType="begin"/>
            </w:r>
            <w:r>
              <w:rPr>
                <w:sz w:val="24"/>
                <w:szCs w:val="32"/>
              </w:rPr>
              <w:instrText xml:space="preserve"> </w:instrText>
            </w:r>
            <w:r>
              <w:rPr>
                <w:rFonts w:hint="eastAsia"/>
                <w:sz w:val="24"/>
                <w:szCs w:val="32"/>
              </w:rPr>
              <w:instrText xml:space="preserve">= 1 \* GB3</w:instrText>
            </w:r>
            <w:r>
              <w:rPr>
                <w:sz w:val="24"/>
                <w:szCs w:val="32"/>
              </w:rPr>
              <w:instrText xml:space="preserve"> </w:instrText>
            </w:r>
            <w:r>
              <w:rPr>
                <w:sz w:val="24"/>
                <w:szCs w:val="32"/>
              </w:rPr>
              <w:fldChar w:fldCharType="separate"/>
            </w:r>
            <w:r>
              <w:rPr>
                <w:rFonts w:hint="eastAsia"/>
                <w:sz w:val="24"/>
                <w:szCs w:val="32"/>
              </w:rPr>
              <w:t>①</w:t>
            </w:r>
            <w:r>
              <w:rPr>
                <w:sz w:val="24"/>
                <w:szCs w:val="32"/>
              </w:rPr>
              <w:fldChar w:fldCharType="end"/>
            </w:r>
            <w:r>
              <w:rPr>
                <w:rFonts w:hint="eastAsia"/>
                <w:sz w:val="24"/>
                <w:szCs w:val="32"/>
              </w:rPr>
              <w:t>污水处理站恶臭</w:t>
            </w:r>
            <w:bookmarkEnd w:id="12"/>
          </w:p>
          <w:p>
            <w:pPr>
              <w:adjustRightInd w:val="0"/>
              <w:snapToGrid w:val="0"/>
              <w:spacing w:line="360" w:lineRule="auto"/>
              <w:ind w:firstLine="480" w:firstLineChars="200"/>
              <w:rPr>
                <w:sz w:val="24"/>
                <w:szCs w:val="32"/>
              </w:rPr>
            </w:pPr>
            <w:r>
              <w:rPr>
                <w:rFonts w:hint="eastAsia"/>
                <w:sz w:val="24"/>
                <w:szCs w:val="32"/>
              </w:rPr>
              <w:t>医疗污水处理设施营运期间，污水处理设施等处将散发臭气。</w:t>
            </w:r>
            <w:r>
              <w:rPr>
                <w:sz w:val="24"/>
                <w:szCs w:val="32"/>
              </w:rPr>
              <w:t>根据美国</w:t>
            </w:r>
            <w:bookmarkStart w:id="28" w:name="_GoBack"/>
            <w:bookmarkEnd w:id="28"/>
            <w:r>
              <w:rPr>
                <w:rFonts w:hint="eastAsia"/>
                <w:sz w:val="24"/>
                <w:szCs w:val="32"/>
                <w:lang w:eastAsia="zh-CN"/>
              </w:rPr>
              <w:t>生态环境部</w:t>
            </w:r>
            <w:r>
              <w:rPr>
                <w:sz w:val="24"/>
                <w:szCs w:val="32"/>
              </w:rPr>
              <w:t>对城市污水处理厂恶臭污染物产生情况的研究，每处理1g的BOD</w:t>
            </w:r>
            <w:r>
              <w:rPr>
                <w:sz w:val="24"/>
                <w:szCs w:val="32"/>
                <w:vertAlign w:val="subscript"/>
              </w:rPr>
              <w:t>5</w:t>
            </w:r>
            <w:r>
              <w:rPr>
                <w:sz w:val="24"/>
                <w:szCs w:val="32"/>
              </w:rPr>
              <w:t>，可产生0.0031g的NH</w:t>
            </w:r>
            <w:r>
              <w:rPr>
                <w:sz w:val="24"/>
                <w:szCs w:val="32"/>
                <w:vertAlign w:val="subscript"/>
              </w:rPr>
              <w:t>3</w:t>
            </w:r>
            <w:r>
              <w:rPr>
                <w:sz w:val="24"/>
                <w:szCs w:val="32"/>
              </w:rPr>
              <w:t>和0.00012g的H</w:t>
            </w:r>
            <w:r>
              <w:rPr>
                <w:sz w:val="24"/>
                <w:szCs w:val="32"/>
                <w:vertAlign w:val="subscript"/>
              </w:rPr>
              <w:t>2</w:t>
            </w:r>
            <w:r>
              <w:rPr>
                <w:sz w:val="24"/>
                <w:szCs w:val="32"/>
              </w:rPr>
              <w:t>S。</w:t>
            </w:r>
            <w:r>
              <w:rPr>
                <w:rFonts w:hint="eastAsia"/>
                <w:sz w:val="24"/>
                <w:szCs w:val="32"/>
              </w:rPr>
              <w:t>本项目</w:t>
            </w:r>
            <w:r>
              <w:rPr>
                <w:sz w:val="24"/>
                <w:szCs w:val="32"/>
              </w:rPr>
              <w:t>污水设施恶臭</w:t>
            </w:r>
            <w:r>
              <w:rPr>
                <w:rFonts w:hint="eastAsia"/>
                <w:sz w:val="24"/>
                <w:szCs w:val="32"/>
              </w:rPr>
              <w:t>按设置病床的情况下进行核算，</w:t>
            </w:r>
            <w:r>
              <w:rPr>
                <w:sz w:val="24"/>
                <w:szCs w:val="32"/>
              </w:rPr>
              <w:t>项目废水产生量为9610.5m</w:t>
            </w:r>
            <w:r>
              <w:rPr>
                <w:sz w:val="24"/>
                <w:szCs w:val="32"/>
                <w:vertAlign w:val="superscript"/>
              </w:rPr>
              <w:t>3</w:t>
            </w:r>
            <w:r>
              <w:rPr>
                <w:sz w:val="24"/>
                <w:szCs w:val="32"/>
              </w:rPr>
              <w:t>/a，BOD</w:t>
            </w:r>
            <w:r>
              <w:rPr>
                <w:sz w:val="24"/>
                <w:szCs w:val="32"/>
                <w:vertAlign w:val="subscript"/>
              </w:rPr>
              <w:t>5</w:t>
            </w:r>
            <w:r>
              <w:rPr>
                <w:sz w:val="24"/>
                <w:szCs w:val="32"/>
              </w:rPr>
              <w:t>去除量为</w:t>
            </w:r>
            <w:r>
              <w:rPr>
                <w:rFonts w:hint="eastAsia"/>
                <w:sz w:val="24"/>
                <w:szCs w:val="32"/>
              </w:rPr>
              <w:t>1.40</w:t>
            </w:r>
            <w:r>
              <w:rPr>
                <w:sz w:val="24"/>
                <w:szCs w:val="32"/>
              </w:rPr>
              <w:t>t/a</w:t>
            </w:r>
            <w:r>
              <w:rPr>
                <w:rFonts w:hint="eastAsia"/>
                <w:sz w:val="24"/>
                <w:szCs w:val="32"/>
              </w:rPr>
              <w:t>（平均产生浓度148mg/L，平均排放浓度5.3mg/L）</w:t>
            </w:r>
            <w:r>
              <w:rPr>
                <w:sz w:val="24"/>
                <w:szCs w:val="32"/>
              </w:rPr>
              <w:t>，则本项目污水处理设施处理过程中产生的NH</w:t>
            </w:r>
            <w:r>
              <w:rPr>
                <w:sz w:val="24"/>
                <w:szCs w:val="32"/>
                <w:vertAlign w:val="subscript"/>
              </w:rPr>
              <w:t>3</w:t>
            </w:r>
            <w:r>
              <w:rPr>
                <w:sz w:val="24"/>
                <w:szCs w:val="32"/>
              </w:rPr>
              <w:t>约为</w:t>
            </w:r>
            <w:r>
              <w:rPr>
                <w:rFonts w:hint="eastAsia"/>
                <w:sz w:val="24"/>
                <w:szCs w:val="32"/>
              </w:rPr>
              <w:t>4.3</w:t>
            </w:r>
            <w:r>
              <w:rPr>
                <w:sz w:val="24"/>
                <w:szCs w:val="32"/>
              </w:rPr>
              <w:t>kg/a，H</w:t>
            </w:r>
            <w:r>
              <w:rPr>
                <w:sz w:val="24"/>
                <w:szCs w:val="32"/>
                <w:vertAlign w:val="subscript"/>
              </w:rPr>
              <w:t>2</w:t>
            </w:r>
            <w:r>
              <w:rPr>
                <w:sz w:val="24"/>
                <w:szCs w:val="32"/>
              </w:rPr>
              <w:t>S约为</w:t>
            </w:r>
            <w:r>
              <w:rPr>
                <w:rFonts w:hint="eastAsia"/>
                <w:sz w:val="24"/>
                <w:szCs w:val="32"/>
              </w:rPr>
              <w:t>0.2</w:t>
            </w:r>
            <w:r>
              <w:rPr>
                <w:sz w:val="24"/>
                <w:szCs w:val="32"/>
              </w:rPr>
              <w:t>kg/a。</w:t>
            </w:r>
          </w:p>
          <w:p>
            <w:pPr>
              <w:adjustRightInd w:val="0"/>
              <w:snapToGrid w:val="0"/>
              <w:spacing w:line="360" w:lineRule="auto"/>
              <w:ind w:firstLine="480" w:firstLineChars="200"/>
              <w:rPr>
                <w:sz w:val="24"/>
                <w:szCs w:val="32"/>
              </w:rPr>
            </w:pPr>
            <w:r>
              <w:rPr>
                <w:sz w:val="24"/>
                <w:szCs w:val="32"/>
              </w:rPr>
              <w:fldChar w:fldCharType="begin"/>
            </w:r>
            <w:r>
              <w:rPr>
                <w:sz w:val="24"/>
                <w:szCs w:val="32"/>
              </w:rPr>
              <w:instrText xml:space="preserve"> </w:instrText>
            </w:r>
            <w:r>
              <w:rPr>
                <w:rFonts w:hint="eastAsia"/>
                <w:sz w:val="24"/>
                <w:szCs w:val="32"/>
              </w:rPr>
              <w:instrText xml:space="preserve">= 2 \* GB3</w:instrText>
            </w:r>
            <w:r>
              <w:rPr>
                <w:sz w:val="24"/>
                <w:szCs w:val="32"/>
              </w:rPr>
              <w:instrText xml:space="preserve"> </w:instrText>
            </w:r>
            <w:r>
              <w:rPr>
                <w:sz w:val="24"/>
                <w:szCs w:val="32"/>
              </w:rPr>
              <w:fldChar w:fldCharType="separate"/>
            </w:r>
            <w:r>
              <w:rPr>
                <w:rFonts w:hint="eastAsia"/>
                <w:sz w:val="24"/>
                <w:szCs w:val="32"/>
              </w:rPr>
              <w:t>②</w:t>
            </w:r>
            <w:r>
              <w:rPr>
                <w:sz w:val="24"/>
                <w:szCs w:val="32"/>
              </w:rPr>
              <w:fldChar w:fldCharType="end"/>
            </w:r>
            <w:r>
              <w:rPr>
                <w:rFonts w:hint="eastAsia"/>
                <w:sz w:val="24"/>
                <w:szCs w:val="32"/>
              </w:rPr>
              <w:t xml:space="preserve">柴油发电机废气 </w:t>
            </w:r>
          </w:p>
          <w:p>
            <w:pPr>
              <w:adjustRightInd w:val="0"/>
              <w:snapToGrid w:val="0"/>
              <w:spacing w:line="360" w:lineRule="auto"/>
              <w:ind w:firstLine="480" w:firstLineChars="200"/>
              <w:rPr>
                <w:sz w:val="24"/>
                <w:szCs w:val="32"/>
              </w:rPr>
            </w:pPr>
            <w:r>
              <w:rPr>
                <w:rFonts w:hint="eastAsia"/>
                <w:sz w:val="24"/>
                <w:szCs w:val="32"/>
              </w:rPr>
              <w:t>当城市片区电网停电时，柴油发电机房的柴油发电机将投入运行，为医 院提供必要的照明和动力短时供电。柴油发电机使用过程会产生废气，主要 污染物为</w:t>
            </w:r>
            <w:r>
              <w:rPr>
                <w:sz w:val="24"/>
                <w:szCs w:val="32"/>
              </w:rPr>
              <w:t>CO</w:t>
            </w:r>
            <w:r>
              <w:rPr>
                <w:rFonts w:hint="eastAsia"/>
                <w:sz w:val="24"/>
                <w:szCs w:val="32"/>
              </w:rPr>
              <w:t>、</w:t>
            </w:r>
            <w:r>
              <w:rPr>
                <w:sz w:val="24"/>
                <w:szCs w:val="32"/>
              </w:rPr>
              <w:t>HC</w:t>
            </w:r>
            <w:r>
              <w:rPr>
                <w:rFonts w:hint="eastAsia"/>
                <w:sz w:val="24"/>
                <w:szCs w:val="32"/>
              </w:rPr>
              <w:t>、</w:t>
            </w:r>
            <w:r>
              <w:rPr>
                <w:sz w:val="24"/>
                <w:szCs w:val="32"/>
              </w:rPr>
              <w:t>NO</w:t>
            </w:r>
            <w:r>
              <w:rPr>
                <w:sz w:val="24"/>
                <w:szCs w:val="32"/>
                <w:vertAlign w:val="subscript"/>
              </w:rPr>
              <w:t>2</w:t>
            </w:r>
            <w:r>
              <w:rPr>
                <w:rFonts w:hint="eastAsia"/>
                <w:sz w:val="24"/>
                <w:szCs w:val="32"/>
              </w:rPr>
              <w:t>，柴油发电机废气经机械通风系统排放，本环评不作定量分析。</w:t>
            </w:r>
          </w:p>
          <w:p>
            <w:pPr>
              <w:adjustRightInd w:val="0"/>
              <w:snapToGrid w:val="0"/>
              <w:spacing w:line="360" w:lineRule="auto"/>
              <w:ind w:firstLine="480" w:firstLineChars="200"/>
              <w:rPr>
                <w:sz w:val="24"/>
                <w:szCs w:val="32"/>
              </w:rPr>
            </w:pPr>
            <w:r>
              <w:rPr>
                <w:sz w:val="24"/>
                <w:szCs w:val="32"/>
              </w:rPr>
              <w:fldChar w:fldCharType="begin"/>
            </w:r>
            <w:r>
              <w:rPr>
                <w:sz w:val="24"/>
                <w:szCs w:val="32"/>
              </w:rPr>
              <w:instrText xml:space="preserve"> </w:instrText>
            </w:r>
            <w:r>
              <w:rPr>
                <w:rFonts w:hint="eastAsia"/>
                <w:sz w:val="24"/>
                <w:szCs w:val="32"/>
              </w:rPr>
              <w:instrText xml:space="preserve">= 3 \* GB3</w:instrText>
            </w:r>
            <w:r>
              <w:rPr>
                <w:sz w:val="24"/>
                <w:szCs w:val="32"/>
              </w:rPr>
              <w:instrText xml:space="preserve"> </w:instrText>
            </w:r>
            <w:r>
              <w:rPr>
                <w:sz w:val="24"/>
                <w:szCs w:val="32"/>
              </w:rPr>
              <w:fldChar w:fldCharType="separate"/>
            </w:r>
            <w:r>
              <w:rPr>
                <w:rFonts w:hint="eastAsia"/>
                <w:sz w:val="24"/>
                <w:szCs w:val="32"/>
              </w:rPr>
              <w:t>③</w:t>
            </w:r>
            <w:r>
              <w:rPr>
                <w:sz w:val="24"/>
                <w:szCs w:val="32"/>
              </w:rPr>
              <w:fldChar w:fldCharType="end"/>
            </w:r>
            <w:r>
              <w:rPr>
                <w:rFonts w:hint="eastAsia"/>
                <w:sz w:val="24"/>
                <w:szCs w:val="32"/>
              </w:rPr>
              <w:t>食堂油烟</w:t>
            </w:r>
          </w:p>
          <w:p>
            <w:pPr>
              <w:adjustRightInd w:val="0"/>
              <w:snapToGrid w:val="0"/>
              <w:spacing w:line="360" w:lineRule="auto"/>
              <w:ind w:firstLine="480" w:firstLineChars="200"/>
              <w:rPr>
                <w:sz w:val="24"/>
                <w:szCs w:val="32"/>
              </w:rPr>
            </w:pPr>
            <w:r>
              <w:rPr>
                <w:rFonts w:hint="eastAsia"/>
                <w:sz w:val="24"/>
                <w:szCs w:val="32"/>
              </w:rPr>
              <w:t>本项目设有食堂</w:t>
            </w:r>
            <w:r>
              <w:rPr>
                <w:sz w:val="24"/>
                <w:szCs w:val="32"/>
              </w:rPr>
              <w:t>，</w:t>
            </w:r>
            <w:r>
              <w:rPr>
                <w:rFonts w:hint="eastAsia"/>
                <w:sz w:val="24"/>
                <w:szCs w:val="32"/>
              </w:rPr>
              <w:t>设有1个灶头属于小型食堂，使用电、液化气等清洁能源，项目</w:t>
            </w:r>
            <w:r>
              <w:rPr>
                <w:sz w:val="24"/>
                <w:szCs w:val="32"/>
              </w:rPr>
              <w:t>食堂</w:t>
            </w:r>
            <w:r>
              <w:rPr>
                <w:rFonts w:hint="eastAsia"/>
                <w:sz w:val="24"/>
                <w:szCs w:val="32"/>
              </w:rPr>
              <w:t>每日最大</w:t>
            </w:r>
            <w:r>
              <w:rPr>
                <w:sz w:val="24"/>
                <w:szCs w:val="32"/>
              </w:rPr>
              <w:t>就餐人数</w:t>
            </w:r>
            <w:r>
              <w:rPr>
                <w:rFonts w:hint="eastAsia"/>
                <w:sz w:val="24"/>
                <w:szCs w:val="32"/>
              </w:rPr>
              <w:t>按5</w:t>
            </w:r>
            <w:r>
              <w:rPr>
                <w:sz w:val="24"/>
                <w:szCs w:val="32"/>
              </w:rPr>
              <w:t>0人</w:t>
            </w:r>
            <w:r>
              <w:rPr>
                <w:rFonts w:hint="eastAsia"/>
                <w:sz w:val="24"/>
                <w:szCs w:val="32"/>
              </w:rPr>
              <w:t>计</w:t>
            </w:r>
            <w:r>
              <w:rPr>
                <w:sz w:val="24"/>
                <w:szCs w:val="32"/>
              </w:rPr>
              <w:t>，</w:t>
            </w:r>
            <w:r>
              <w:rPr>
                <w:rFonts w:hint="eastAsia"/>
                <w:sz w:val="24"/>
                <w:szCs w:val="32"/>
              </w:rPr>
              <w:t>年运营365天，每天运行6小时（主要集中在</w:t>
            </w:r>
            <w:r>
              <w:rPr>
                <w:sz w:val="24"/>
                <w:szCs w:val="32"/>
              </w:rPr>
              <w:t>6:00~8:00</w:t>
            </w:r>
            <w:r>
              <w:rPr>
                <w:rFonts w:hint="eastAsia"/>
                <w:sz w:val="24"/>
                <w:szCs w:val="32"/>
              </w:rPr>
              <w:t>、</w:t>
            </w:r>
            <w:r>
              <w:rPr>
                <w:sz w:val="24"/>
                <w:szCs w:val="32"/>
              </w:rPr>
              <w:t>10:00~12:00</w:t>
            </w:r>
            <w:r>
              <w:rPr>
                <w:rFonts w:hint="eastAsia"/>
                <w:sz w:val="24"/>
                <w:szCs w:val="32"/>
              </w:rPr>
              <w:t>、15:00~17:00三个时间段），每年运行2190小时。</w:t>
            </w:r>
          </w:p>
          <w:p>
            <w:pPr>
              <w:adjustRightInd w:val="0"/>
              <w:snapToGrid w:val="0"/>
              <w:spacing w:line="360" w:lineRule="auto"/>
              <w:ind w:firstLine="480" w:firstLineChars="200"/>
              <w:rPr>
                <w:sz w:val="24"/>
                <w:szCs w:val="32"/>
              </w:rPr>
            </w:pPr>
            <w:r>
              <w:rPr>
                <w:rFonts w:hint="eastAsia"/>
                <w:sz w:val="24"/>
                <w:szCs w:val="32"/>
              </w:rPr>
              <w:t>本环评采用一般厨房的食用油耗油系数，即</w:t>
            </w:r>
            <w:r>
              <w:rPr>
                <w:sz w:val="24"/>
                <w:szCs w:val="32"/>
              </w:rPr>
              <w:t>30g/</w:t>
            </w:r>
            <w:r>
              <w:rPr>
                <w:rFonts w:hint="eastAsia"/>
                <w:sz w:val="24"/>
                <w:szCs w:val="32"/>
              </w:rPr>
              <w:t>人</w:t>
            </w:r>
            <w:r>
              <w:rPr>
                <w:sz w:val="24"/>
                <w:szCs w:val="32"/>
              </w:rPr>
              <w:t>*d</w:t>
            </w:r>
            <w:r>
              <w:rPr>
                <w:rFonts w:hint="eastAsia"/>
                <w:sz w:val="24"/>
                <w:szCs w:val="32"/>
              </w:rPr>
              <w:t>，一般情况下油烟挥发量占总耗油量的</w:t>
            </w:r>
            <w:r>
              <w:rPr>
                <w:sz w:val="24"/>
                <w:szCs w:val="32"/>
              </w:rPr>
              <w:t>1~3%</w:t>
            </w:r>
            <w:r>
              <w:rPr>
                <w:rFonts w:hint="eastAsia"/>
                <w:sz w:val="24"/>
                <w:szCs w:val="32"/>
              </w:rPr>
              <w:t>，本环评取</w:t>
            </w:r>
            <w:r>
              <w:rPr>
                <w:sz w:val="24"/>
                <w:szCs w:val="32"/>
              </w:rPr>
              <w:t>3%</w:t>
            </w:r>
            <w:r>
              <w:rPr>
                <w:rFonts w:hint="eastAsia"/>
                <w:sz w:val="24"/>
                <w:szCs w:val="32"/>
              </w:rPr>
              <w:t>，则食堂油烟日产生量为0.0</w:t>
            </w:r>
            <w:r>
              <w:rPr>
                <w:sz w:val="24"/>
                <w:szCs w:val="32"/>
              </w:rPr>
              <w:t>45kg/d</w:t>
            </w:r>
            <w:r>
              <w:rPr>
                <w:rFonts w:hint="eastAsia"/>
                <w:sz w:val="24"/>
                <w:szCs w:val="32"/>
              </w:rPr>
              <w:t>，年产生量约为</w:t>
            </w:r>
            <w:r>
              <w:rPr>
                <w:sz w:val="24"/>
                <w:szCs w:val="32"/>
              </w:rPr>
              <w:t>16.43kg/a</w:t>
            </w:r>
            <w:r>
              <w:rPr>
                <w:rFonts w:hint="eastAsia"/>
                <w:sz w:val="24"/>
                <w:szCs w:val="32"/>
              </w:rPr>
              <w:t>。</w:t>
            </w:r>
          </w:p>
          <w:p>
            <w:pPr>
              <w:spacing w:line="360" w:lineRule="auto"/>
              <w:ind w:firstLine="480" w:firstLineChars="200"/>
              <w:rPr>
                <w:sz w:val="24"/>
                <w:szCs w:val="32"/>
              </w:rPr>
            </w:pPr>
            <w:r>
              <w:rPr>
                <w:rFonts w:hint="eastAsia"/>
                <w:sz w:val="24"/>
                <w:szCs w:val="32"/>
              </w:rPr>
              <w:t>2、达标排放情况</w:t>
            </w:r>
          </w:p>
          <w:p>
            <w:pPr>
              <w:spacing w:line="360" w:lineRule="auto"/>
              <w:ind w:firstLine="480" w:firstLineChars="200"/>
              <w:rPr>
                <w:bCs/>
                <w:sz w:val="24"/>
                <w:szCs w:val="32"/>
              </w:rPr>
            </w:pPr>
            <w:r>
              <w:rPr>
                <w:bCs/>
                <w:sz w:val="24"/>
                <w:szCs w:val="32"/>
              </w:rPr>
              <w:fldChar w:fldCharType="begin"/>
            </w:r>
            <w:r>
              <w:rPr>
                <w:bCs/>
                <w:sz w:val="24"/>
                <w:szCs w:val="32"/>
              </w:rPr>
              <w:instrText xml:space="preserve"> </w:instrText>
            </w:r>
            <w:r>
              <w:rPr>
                <w:rFonts w:hint="eastAsia"/>
                <w:bCs/>
                <w:sz w:val="24"/>
                <w:szCs w:val="32"/>
              </w:rPr>
              <w:instrText xml:space="preserve">= 1 \* GB3</w:instrText>
            </w:r>
            <w:r>
              <w:rPr>
                <w:bCs/>
                <w:sz w:val="24"/>
                <w:szCs w:val="32"/>
              </w:rPr>
              <w:instrText xml:space="preserve"> </w:instrText>
            </w:r>
            <w:r>
              <w:rPr>
                <w:bCs/>
                <w:sz w:val="24"/>
                <w:szCs w:val="32"/>
              </w:rPr>
              <w:fldChar w:fldCharType="separate"/>
            </w:r>
            <w:r>
              <w:rPr>
                <w:rFonts w:hint="eastAsia"/>
                <w:bCs/>
                <w:sz w:val="24"/>
                <w:szCs w:val="32"/>
              </w:rPr>
              <w:t>①</w:t>
            </w:r>
            <w:r>
              <w:rPr>
                <w:bCs/>
                <w:sz w:val="24"/>
                <w:szCs w:val="32"/>
              </w:rPr>
              <w:fldChar w:fldCharType="end"/>
            </w:r>
            <w:r>
              <w:rPr>
                <w:rFonts w:hint="eastAsia"/>
                <w:sz w:val="24"/>
                <w:szCs w:val="32"/>
              </w:rPr>
              <w:t>污水处理站恶臭</w:t>
            </w:r>
          </w:p>
          <w:p>
            <w:pPr>
              <w:spacing w:line="360" w:lineRule="auto"/>
              <w:ind w:firstLine="480" w:firstLineChars="200"/>
              <w:rPr>
                <w:bCs/>
                <w:sz w:val="24"/>
                <w:szCs w:val="32"/>
              </w:rPr>
            </w:pPr>
            <w:r>
              <w:rPr>
                <w:rFonts w:hint="eastAsia"/>
                <w:bCs/>
                <w:sz w:val="24"/>
                <w:szCs w:val="32"/>
              </w:rPr>
              <w:t>本</w:t>
            </w:r>
            <w:bookmarkStart w:id="13" w:name="_Hlk170972288"/>
            <w:r>
              <w:rPr>
                <w:rFonts w:hint="eastAsia"/>
                <w:bCs/>
                <w:sz w:val="24"/>
                <w:szCs w:val="32"/>
              </w:rPr>
              <w:t>项目废水处理站产生的恶臭浓度较低，在场内呈无组织形式排放，废水处理设施采用封闭式一体化结构，为防止病菌通过空气传播和污水气味对环境的影响，只留必要的检修孔。</w:t>
            </w:r>
            <w:bookmarkEnd w:id="13"/>
            <w:r>
              <w:rPr>
                <w:bCs/>
                <w:sz w:val="24"/>
                <w:szCs w:val="32"/>
              </w:rPr>
              <w:t>项目污水处理设施处理过程中产生的NH</w:t>
            </w:r>
            <w:r>
              <w:rPr>
                <w:bCs/>
                <w:sz w:val="24"/>
                <w:szCs w:val="32"/>
                <w:vertAlign w:val="subscript"/>
              </w:rPr>
              <w:t>3</w:t>
            </w:r>
            <w:r>
              <w:rPr>
                <w:bCs/>
                <w:sz w:val="24"/>
                <w:szCs w:val="32"/>
              </w:rPr>
              <w:t>约为</w:t>
            </w:r>
            <w:r>
              <w:rPr>
                <w:rFonts w:hint="eastAsia"/>
                <w:bCs/>
                <w:sz w:val="24"/>
                <w:szCs w:val="32"/>
              </w:rPr>
              <w:t>4.3</w:t>
            </w:r>
            <w:r>
              <w:rPr>
                <w:bCs/>
                <w:sz w:val="24"/>
                <w:szCs w:val="32"/>
              </w:rPr>
              <w:t>kg/a，H</w:t>
            </w:r>
            <w:r>
              <w:rPr>
                <w:bCs/>
                <w:sz w:val="24"/>
                <w:szCs w:val="32"/>
                <w:vertAlign w:val="subscript"/>
              </w:rPr>
              <w:t>2</w:t>
            </w:r>
            <w:r>
              <w:rPr>
                <w:bCs/>
                <w:sz w:val="24"/>
                <w:szCs w:val="32"/>
              </w:rPr>
              <w:t>S约为</w:t>
            </w:r>
            <w:r>
              <w:rPr>
                <w:rFonts w:hint="eastAsia"/>
                <w:bCs/>
                <w:sz w:val="24"/>
                <w:szCs w:val="32"/>
              </w:rPr>
              <w:t>0.2</w:t>
            </w:r>
            <w:r>
              <w:rPr>
                <w:bCs/>
                <w:sz w:val="24"/>
                <w:szCs w:val="32"/>
              </w:rPr>
              <w:t>kg/a</w:t>
            </w:r>
            <w:r>
              <w:rPr>
                <w:rFonts w:hint="eastAsia"/>
                <w:bCs/>
                <w:sz w:val="24"/>
                <w:szCs w:val="32"/>
              </w:rPr>
              <w:t>，废水处理站废气满足《医疗机构水污染排放物标准》（</w:t>
            </w:r>
            <w:r>
              <w:rPr>
                <w:bCs/>
                <w:sz w:val="24"/>
                <w:szCs w:val="32"/>
              </w:rPr>
              <w:t>GB18466-2005</w:t>
            </w:r>
            <w:r>
              <w:rPr>
                <w:rFonts w:hint="eastAsia"/>
                <w:bCs/>
                <w:sz w:val="24"/>
                <w:szCs w:val="32"/>
              </w:rPr>
              <w:t>）中表</w:t>
            </w:r>
            <w:r>
              <w:rPr>
                <w:bCs/>
                <w:sz w:val="24"/>
                <w:szCs w:val="32"/>
              </w:rPr>
              <w:t>3</w:t>
            </w:r>
            <w:r>
              <w:rPr>
                <w:rFonts w:hint="eastAsia"/>
                <w:bCs/>
                <w:sz w:val="24"/>
                <w:szCs w:val="32"/>
              </w:rPr>
              <w:t>关于废气排放的规定（</w:t>
            </w:r>
            <w:r>
              <w:rPr>
                <w:bCs/>
                <w:sz w:val="24"/>
                <w:szCs w:val="32"/>
              </w:rPr>
              <w:t>NH</w:t>
            </w:r>
            <w:r>
              <w:rPr>
                <w:bCs/>
                <w:sz w:val="24"/>
                <w:szCs w:val="32"/>
                <w:vertAlign w:val="subscript"/>
              </w:rPr>
              <w:t>3</w:t>
            </w:r>
            <w:r>
              <w:rPr>
                <w:bCs/>
                <w:sz w:val="24"/>
                <w:szCs w:val="32"/>
              </w:rPr>
              <w:t>1.0mg/m</w:t>
            </w:r>
            <w:r>
              <w:rPr>
                <w:bCs/>
                <w:sz w:val="24"/>
                <w:szCs w:val="32"/>
                <w:vertAlign w:val="superscript"/>
              </w:rPr>
              <w:t>3</w:t>
            </w:r>
            <w:r>
              <w:rPr>
                <w:rFonts w:hint="eastAsia"/>
                <w:bCs/>
                <w:sz w:val="24"/>
                <w:szCs w:val="32"/>
              </w:rPr>
              <w:t>、</w:t>
            </w:r>
            <w:r>
              <w:rPr>
                <w:bCs/>
                <w:sz w:val="24"/>
                <w:szCs w:val="32"/>
              </w:rPr>
              <w:t>H</w:t>
            </w:r>
            <w:r>
              <w:rPr>
                <w:bCs/>
                <w:sz w:val="24"/>
                <w:szCs w:val="32"/>
                <w:vertAlign w:val="subscript"/>
              </w:rPr>
              <w:t>2</w:t>
            </w:r>
            <w:r>
              <w:rPr>
                <w:bCs/>
                <w:sz w:val="24"/>
                <w:szCs w:val="32"/>
              </w:rPr>
              <w:t>S0.03mg/m</w:t>
            </w:r>
            <w:r>
              <w:rPr>
                <w:bCs/>
                <w:sz w:val="24"/>
                <w:szCs w:val="32"/>
                <w:vertAlign w:val="superscript"/>
              </w:rPr>
              <w:t>3</w:t>
            </w:r>
            <w:r>
              <w:rPr>
                <w:rFonts w:hint="eastAsia"/>
                <w:bCs/>
                <w:sz w:val="24"/>
                <w:szCs w:val="32"/>
              </w:rPr>
              <w:t>、臭气浓度（无量纲）</w:t>
            </w:r>
            <w:r>
              <w:rPr>
                <w:bCs/>
                <w:sz w:val="24"/>
                <w:szCs w:val="32"/>
              </w:rPr>
              <w:t>10</w:t>
            </w:r>
            <w:r>
              <w:rPr>
                <w:rFonts w:hint="eastAsia"/>
                <w:bCs/>
                <w:sz w:val="24"/>
                <w:szCs w:val="32"/>
              </w:rPr>
              <w:t>），对外环境空气基本无影响，可以满足相应的要求。</w:t>
            </w:r>
          </w:p>
          <w:p>
            <w:pPr>
              <w:spacing w:line="360" w:lineRule="auto"/>
              <w:ind w:firstLine="480"/>
              <w:rPr>
                <w:sz w:val="24"/>
                <w:szCs w:val="22"/>
              </w:rPr>
            </w:pPr>
            <w:bookmarkStart w:id="14" w:name="_Hlk170972303"/>
            <w:r>
              <w:rPr>
                <w:rFonts w:hint="eastAsia"/>
                <w:sz w:val="24"/>
                <w:szCs w:val="22"/>
              </w:rPr>
              <w:t>根据《排污许可证申请与核发技术规范</w:t>
            </w:r>
            <w:r>
              <w:rPr>
                <w:sz w:val="24"/>
                <w:szCs w:val="22"/>
              </w:rPr>
              <w:t>——</w:t>
            </w:r>
            <w:r>
              <w:rPr>
                <w:rFonts w:hint="eastAsia"/>
                <w:sz w:val="24"/>
                <w:szCs w:val="22"/>
              </w:rPr>
              <w:t>医疗机构》（</w:t>
            </w:r>
            <w:r>
              <w:rPr>
                <w:sz w:val="24"/>
                <w:szCs w:val="22"/>
              </w:rPr>
              <w:t>HJ1106-2020</w:t>
            </w:r>
            <w:r>
              <w:rPr>
                <w:rFonts w:hint="eastAsia"/>
                <w:sz w:val="24"/>
                <w:szCs w:val="22"/>
              </w:rPr>
              <w:t>），</w:t>
            </w:r>
            <w:bookmarkEnd w:id="14"/>
            <w:r>
              <w:rPr>
                <w:rFonts w:hint="eastAsia"/>
                <w:sz w:val="24"/>
                <w:szCs w:val="22"/>
              </w:rPr>
              <w:t>排污单位废气污染防治可行技术参考附录</w:t>
            </w:r>
            <w:r>
              <w:rPr>
                <w:sz w:val="24"/>
                <w:szCs w:val="22"/>
              </w:rPr>
              <w:t>A</w:t>
            </w:r>
            <w:r>
              <w:rPr>
                <w:rFonts w:hint="eastAsia"/>
                <w:sz w:val="24"/>
                <w:szCs w:val="22"/>
              </w:rPr>
              <w:t xml:space="preserve">中表 </w:t>
            </w:r>
            <w:r>
              <w:rPr>
                <w:sz w:val="24"/>
                <w:szCs w:val="22"/>
              </w:rPr>
              <w:t>A.1</w:t>
            </w:r>
            <w:r>
              <w:rPr>
                <w:rFonts w:hint="eastAsia"/>
                <w:sz w:val="24"/>
                <w:szCs w:val="22"/>
              </w:rPr>
              <w:t>。</w:t>
            </w:r>
          </w:p>
          <w:p>
            <w:pPr>
              <w:widowControl/>
              <w:jc w:val="center"/>
              <w:rPr>
                <w:b/>
                <w:bCs/>
                <w:szCs w:val="21"/>
              </w:rPr>
            </w:pPr>
            <w:r>
              <w:rPr>
                <w:b/>
                <w:bCs/>
                <w:kern w:val="0"/>
                <w:szCs w:val="21"/>
                <w:lang w:bidi="ar"/>
              </w:rPr>
              <w:t xml:space="preserve">表4-1   </w:t>
            </w:r>
            <w:r>
              <w:rPr>
                <w:rFonts w:hint="eastAsia"/>
                <w:b/>
                <w:bCs/>
                <w:kern w:val="0"/>
                <w:szCs w:val="21"/>
                <w:lang w:bidi="ar"/>
              </w:rPr>
              <w:t xml:space="preserve"> </w:t>
            </w:r>
            <w:r>
              <w:rPr>
                <w:b/>
                <w:bCs/>
                <w:kern w:val="0"/>
                <w:szCs w:val="21"/>
                <w:lang w:bidi="ar"/>
              </w:rPr>
              <w:t>废气可行技术参考表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031"/>
              <w:gridCol w:w="2513"/>
              <w:gridCol w:w="109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1" w:type="dxa"/>
                  <w:vAlign w:val="center"/>
                </w:tcPr>
                <w:p>
                  <w:pPr>
                    <w:pStyle w:val="27"/>
                    <w:spacing w:line="240" w:lineRule="auto"/>
                    <w:ind w:firstLine="0" w:firstLineChars="0"/>
                    <w:jc w:val="center"/>
                    <w:rPr>
                      <w:kern w:val="0"/>
                      <w:sz w:val="21"/>
                      <w:szCs w:val="21"/>
                    </w:rPr>
                  </w:pPr>
                  <w:r>
                    <w:rPr>
                      <w:rFonts w:hint="eastAsia"/>
                      <w:kern w:val="0"/>
                      <w:sz w:val="21"/>
                      <w:szCs w:val="21"/>
                    </w:rPr>
                    <w:t>污染物产生设施</w:t>
                  </w:r>
                </w:p>
              </w:tc>
              <w:tc>
                <w:tcPr>
                  <w:tcW w:w="1035" w:type="dxa"/>
                  <w:vAlign w:val="center"/>
                </w:tcPr>
                <w:p>
                  <w:pPr>
                    <w:pStyle w:val="27"/>
                    <w:spacing w:line="240" w:lineRule="auto"/>
                    <w:ind w:firstLine="0" w:firstLineChars="0"/>
                    <w:jc w:val="center"/>
                    <w:rPr>
                      <w:kern w:val="0"/>
                      <w:sz w:val="21"/>
                      <w:szCs w:val="21"/>
                    </w:rPr>
                  </w:pPr>
                  <w:r>
                    <w:rPr>
                      <w:rFonts w:hint="eastAsia"/>
                      <w:kern w:val="0"/>
                      <w:sz w:val="21"/>
                      <w:szCs w:val="21"/>
                    </w:rPr>
                    <w:t>废气产污环节</w:t>
                  </w:r>
                </w:p>
              </w:tc>
              <w:tc>
                <w:tcPr>
                  <w:tcW w:w="2525" w:type="dxa"/>
                  <w:vAlign w:val="center"/>
                </w:tcPr>
                <w:p>
                  <w:pPr>
                    <w:pStyle w:val="27"/>
                    <w:spacing w:line="240" w:lineRule="auto"/>
                    <w:ind w:firstLine="0" w:firstLineChars="0"/>
                    <w:jc w:val="center"/>
                    <w:rPr>
                      <w:kern w:val="0"/>
                      <w:sz w:val="21"/>
                      <w:szCs w:val="21"/>
                    </w:rPr>
                  </w:pPr>
                  <w:r>
                    <w:rPr>
                      <w:rFonts w:hint="eastAsia"/>
                      <w:kern w:val="0"/>
                      <w:sz w:val="21"/>
                      <w:szCs w:val="21"/>
                    </w:rPr>
                    <w:t>污染物种类</w:t>
                  </w:r>
                </w:p>
              </w:tc>
              <w:tc>
                <w:tcPr>
                  <w:tcW w:w="1100" w:type="dxa"/>
                  <w:vAlign w:val="center"/>
                </w:tcPr>
                <w:p>
                  <w:pPr>
                    <w:pStyle w:val="27"/>
                    <w:spacing w:line="240" w:lineRule="auto"/>
                    <w:ind w:firstLine="0" w:firstLineChars="0"/>
                    <w:jc w:val="center"/>
                    <w:rPr>
                      <w:kern w:val="0"/>
                      <w:sz w:val="21"/>
                      <w:szCs w:val="21"/>
                    </w:rPr>
                  </w:pPr>
                  <w:r>
                    <w:rPr>
                      <w:rFonts w:hint="eastAsia"/>
                      <w:kern w:val="0"/>
                      <w:sz w:val="21"/>
                      <w:szCs w:val="21"/>
                    </w:rPr>
                    <w:t>排放形式</w:t>
                  </w:r>
                </w:p>
              </w:tc>
              <w:tc>
                <w:tcPr>
                  <w:tcW w:w="2045" w:type="dxa"/>
                  <w:vAlign w:val="center"/>
                </w:tcPr>
                <w:p>
                  <w:pPr>
                    <w:pStyle w:val="27"/>
                    <w:spacing w:line="240" w:lineRule="auto"/>
                    <w:ind w:firstLine="0" w:firstLineChars="0"/>
                    <w:jc w:val="center"/>
                    <w:rPr>
                      <w:kern w:val="0"/>
                      <w:sz w:val="21"/>
                      <w:szCs w:val="21"/>
                    </w:rPr>
                  </w:pPr>
                  <w:r>
                    <w:rPr>
                      <w:rFonts w:hint="eastAsia"/>
                      <w:kern w:val="0"/>
                      <w:sz w:val="21"/>
                      <w:szCs w:val="21"/>
                    </w:rPr>
                    <w:t>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1" w:type="dxa"/>
                  <w:vAlign w:val="center"/>
                </w:tcPr>
                <w:p>
                  <w:pPr>
                    <w:pStyle w:val="27"/>
                    <w:spacing w:line="240" w:lineRule="auto"/>
                    <w:ind w:firstLine="0" w:firstLineChars="0"/>
                    <w:jc w:val="center"/>
                    <w:rPr>
                      <w:kern w:val="0"/>
                      <w:sz w:val="21"/>
                      <w:szCs w:val="21"/>
                    </w:rPr>
                  </w:pPr>
                  <w:r>
                    <w:rPr>
                      <w:rFonts w:hint="eastAsia"/>
                      <w:kern w:val="0"/>
                      <w:sz w:val="21"/>
                      <w:szCs w:val="21"/>
                    </w:rPr>
                    <w:t>污水处</w:t>
                  </w:r>
                </w:p>
                <w:p>
                  <w:pPr>
                    <w:pStyle w:val="27"/>
                    <w:spacing w:line="240" w:lineRule="auto"/>
                    <w:ind w:firstLine="0" w:firstLineChars="0"/>
                    <w:jc w:val="center"/>
                    <w:rPr>
                      <w:kern w:val="0"/>
                      <w:sz w:val="21"/>
                      <w:szCs w:val="21"/>
                    </w:rPr>
                  </w:pPr>
                  <w:r>
                    <w:rPr>
                      <w:rFonts w:hint="eastAsia"/>
                      <w:kern w:val="0"/>
                      <w:sz w:val="21"/>
                      <w:szCs w:val="21"/>
                    </w:rPr>
                    <w:t>理站</w:t>
                  </w:r>
                </w:p>
              </w:tc>
              <w:tc>
                <w:tcPr>
                  <w:tcW w:w="1035" w:type="dxa"/>
                  <w:vAlign w:val="center"/>
                </w:tcPr>
                <w:p>
                  <w:pPr>
                    <w:pStyle w:val="27"/>
                    <w:spacing w:line="240" w:lineRule="auto"/>
                    <w:ind w:firstLine="0" w:firstLineChars="0"/>
                    <w:jc w:val="center"/>
                    <w:rPr>
                      <w:kern w:val="0"/>
                      <w:sz w:val="21"/>
                      <w:szCs w:val="21"/>
                    </w:rPr>
                  </w:pPr>
                  <w:r>
                    <w:rPr>
                      <w:rFonts w:hint="eastAsia"/>
                      <w:kern w:val="0"/>
                      <w:sz w:val="21"/>
                      <w:szCs w:val="21"/>
                    </w:rPr>
                    <w:t>污水处理</w:t>
                  </w:r>
                </w:p>
              </w:tc>
              <w:tc>
                <w:tcPr>
                  <w:tcW w:w="2525" w:type="dxa"/>
                  <w:vAlign w:val="center"/>
                </w:tcPr>
                <w:p>
                  <w:pPr>
                    <w:pStyle w:val="27"/>
                    <w:spacing w:line="240" w:lineRule="auto"/>
                    <w:ind w:firstLine="0" w:firstLineChars="0"/>
                    <w:jc w:val="center"/>
                    <w:rPr>
                      <w:kern w:val="0"/>
                      <w:sz w:val="21"/>
                      <w:szCs w:val="21"/>
                    </w:rPr>
                  </w:pPr>
                  <w:r>
                    <w:rPr>
                      <w:rFonts w:hint="eastAsia"/>
                      <w:kern w:val="0"/>
                      <w:sz w:val="21"/>
                      <w:szCs w:val="21"/>
                    </w:rPr>
                    <w:t>氨、硫化氢、臭气浓度、甲烷（指处理站内最高体积百分数）、氯气</w:t>
                  </w:r>
                </w:p>
              </w:tc>
              <w:tc>
                <w:tcPr>
                  <w:tcW w:w="1100" w:type="dxa"/>
                  <w:vAlign w:val="center"/>
                </w:tcPr>
                <w:p>
                  <w:pPr>
                    <w:pStyle w:val="27"/>
                    <w:spacing w:line="240" w:lineRule="auto"/>
                    <w:ind w:firstLine="0" w:firstLineChars="0"/>
                    <w:jc w:val="center"/>
                    <w:rPr>
                      <w:kern w:val="0"/>
                      <w:sz w:val="21"/>
                      <w:szCs w:val="21"/>
                    </w:rPr>
                  </w:pPr>
                  <w:r>
                    <w:rPr>
                      <w:rFonts w:hint="eastAsia"/>
                      <w:kern w:val="0"/>
                      <w:sz w:val="21"/>
                      <w:szCs w:val="21"/>
                    </w:rPr>
                    <w:t>无组织</w:t>
                  </w:r>
                </w:p>
              </w:tc>
              <w:tc>
                <w:tcPr>
                  <w:tcW w:w="2045" w:type="dxa"/>
                  <w:vAlign w:val="center"/>
                </w:tcPr>
                <w:p>
                  <w:pPr>
                    <w:pStyle w:val="27"/>
                    <w:spacing w:line="240" w:lineRule="auto"/>
                    <w:ind w:firstLine="0" w:firstLineChars="0"/>
                    <w:jc w:val="center"/>
                    <w:rPr>
                      <w:kern w:val="0"/>
                      <w:sz w:val="21"/>
                      <w:szCs w:val="21"/>
                    </w:rPr>
                  </w:pPr>
                  <w:r>
                    <w:rPr>
                      <w:rFonts w:hint="eastAsia"/>
                      <w:kern w:val="0"/>
                      <w:sz w:val="21"/>
                      <w:szCs w:val="21"/>
                    </w:rPr>
                    <w:t>产生恶臭区域加罩或加盖，投放除臭剂</w:t>
                  </w:r>
                </w:p>
              </w:tc>
            </w:tr>
          </w:tbl>
          <w:p>
            <w:pPr>
              <w:spacing w:line="360" w:lineRule="auto"/>
              <w:ind w:firstLine="480" w:firstLineChars="200"/>
              <w:rPr>
                <w:bCs/>
                <w:sz w:val="24"/>
                <w:szCs w:val="32"/>
              </w:rPr>
            </w:pPr>
          </w:p>
          <w:p>
            <w:pPr>
              <w:spacing w:line="360" w:lineRule="auto"/>
              <w:ind w:firstLine="480" w:firstLineChars="200"/>
              <w:rPr>
                <w:bCs/>
                <w:sz w:val="24"/>
                <w:szCs w:val="32"/>
              </w:rPr>
            </w:pPr>
            <w:r>
              <w:rPr>
                <w:rFonts w:hint="eastAsia"/>
                <w:bCs/>
                <w:sz w:val="24"/>
                <w:szCs w:val="32"/>
              </w:rPr>
              <w:t>由上表可知，</w:t>
            </w:r>
            <w:bookmarkStart w:id="15" w:name="_Hlk170972326"/>
            <w:r>
              <w:rPr>
                <w:rFonts w:hint="eastAsia"/>
                <w:bCs/>
                <w:sz w:val="24"/>
                <w:szCs w:val="32"/>
              </w:rPr>
              <w:t>院区内污水处理站产生恶臭区域加盖处理属于废气可行技术，同时，</w:t>
            </w:r>
            <w:bookmarkStart w:id="16" w:name="_Hlk170972442"/>
            <w:r>
              <w:rPr>
                <w:rFonts w:hint="eastAsia"/>
                <w:bCs/>
                <w:sz w:val="24"/>
                <w:szCs w:val="32"/>
              </w:rPr>
              <w:t>根据</w:t>
            </w:r>
            <w:r>
              <w:rPr>
                <w:rFonts w:hint="eastAsia"/>
                <w:sz w:val="24"/>
              </w:rPr>
              <w:t>湖南华科检测技术有限公司</w:t>
            </w:r>
            <w:r>
              <w:rPr>
                <w:sz w:val="24"/>
              </w:rPr>
              <w:t>202</w:t>
            </w:r>
            <w:r>
              <w:rPr>
                <w:rFonts w:hint="eastAsia"/>
                <w:sz w:val="24"/>
              </w:rPr>
              <w:t>4年6月20日-21日对</w:t>
            </w:r>
            <w:bookmarkEnd w:id="15"/>
            <w:r>
              <w:rPr>
                <w:rFonts w:hint="eastAsia"/>
                <w:sz w:val="24"/>
              </w:rPr>
              <w:t>项目污水处理设施无组织排放废气进行现场采样监测可知：院区营运期间，项目污水处理设施无组织排放的废气监测因子氨、硫化氢均能够达到《医疗机构水污染物排放标准》（GB18466-2005）表3中污水处理设施周边大气污染物控制标准。综上，项目废气治理措施可行。</w:t>
            </w:r>
            <w:bookmarkEnd w:id="16"/>
          </w:p>
          <w:p>
            <w:pPr>
              <w:spacing w:line="360" w:lineRule="auto"/>
              <w:ind w:firstLine="480" w:firstLineChars="200"/>
              <w:rPr>
                <w:bCs/>
                <w:sz w:val="24"/>
                <w:szCs w:val="32"/>
              </w:rPr>
            </w:pPr>
            <w:r>
              <w:rPr>
                <w:sz w:val="24"/>
                <w:szCs w:val="32"/>
              </w:rPr>
              <w:fldChar w:fldCharType="begin"/>
            </w:r>
            <w:r>
              <w:rPr>
                <w:sz w:val="24"/>
                <w:szCs w:val="32"/>
              </w:rPr>
              <w:instrText xml:space="preserve"> </w:instrText>
            </w:r>
            <w:r>
              <w:rPr>
                <w:rFonts w:hint="eastAsia"/>
                <w:sz w:val="24"/>
                <w:szCs w:val="32"/>
              </w:rPr>
              <w:instrText xml:space="preserve">= 2 \* GB3</w:instrText>
            </w:r>
            <w:r>
              <w:rPr>
                <w:sz w:val="24"/>
                <w:szCs w:val="32"/>
              </w:rPr>
              <w:instrText xml:space="preserve"> </w:instrText>
            </w:r>
            <w:r>
              <w:rPr>
                <w:sz w:val="24"/>
                <w:szCs w:val="32"/>
              </w:rPr>
              <w:fldChar w:fldCharType="separate"/>
            </w:r>
            <w:r>
              <w:rPr>
                <w:rFonts w:hint="eastAsia"/>
                <w:sz w:val="24"/>
                <w:szCs w:val="32"/>
              </w:rPr>
              <w:t>②</w:t>
            </w:r>
            <w:r>
              <w:rPr>
                <w:sz w:val="24"/>
                <w:szCs w:val="32"/>
              </w:rPr>
              <w:fldChar w:fldCharType="end"/>
            </w:r>
            <w:r>
              <w:rPr>
                <w:rFonts w:hint="eastAsia"/>
                <w:sz w:val="24"/>
                <w:szCs w:val="32"/>
              </w:rPr>
              <w:t>食堂油烟</w:t>
            </w:r>
          </w:p>
          <w:p>
            <w:pPr>
              <w:adjustRightInd w:val="0"/>
              <w:snapToGrid w:val="0"/>
              <w:spacing w:line="360" w:lineRule="auto"/>
              <w:ind w:firstLine="480" w:firstLineChars="200"/>
              <w:rPr>
                <w:sz w:val="24"/>
                <w:szCs w:val="32"/>
              </w:rPr>
            </w:pPr>
            <w:r>
              <w:rPr>
                <w:rFonts w:hint="eastAsia"/>
                <w:sz w:val="24"/>
                <w:szCs w:val="32"/>
              </w:rPr>
              <w:t>院区食堂灶头基准排风量为6</w:t>
            </w:r>
            <w:r>
              <w:rPr>
                <w:sz w:val="24"/>
                <w:szCs w:val="32"/>
              </w:rPr>
              <w:t>000m</w:t>
            </w:r>
            <w:r>
              <w:rPr>
                <w:rFonts w:hint="eastAsia"/>
                <w:sz w:val="24"/>
                <w:szCs w:val="32"/>
                <w:vertAlign w:val="superscript"/>
              </w:rPr>
              <w:t>3</w:t>
            </w:r>
            <w:r>
              <w:rPr>
                <w:sz w:val="24"/>
                <w:szCs w:val="32"/>
              </w:rPr>
              <w:t>/h</w:t>
            </w:r>
            <w:r>
              <w:rPr>
                <w:rFonts w:hint="eastAsia"/>
                <w:sz w:val="24"/>
                <w:szCs w:val="32"/>
              </w:rPr>
              <w:t>，</w:t>
            </w:r>
            <w:r>
              <w:rPr>
                <w:sz w:val="24"/>
                <w:szCs w:val="32"/>
              </w:rPr>
              <w:t>油烟</w:t>
            </w:r>
            <w:r>
              <w:rPr>
                <w:rFonts w:hint="eastAsia"/>
                <w:sz w:val="24"/>
                <w:szCs w:val="32"/>
              </w:rPr>
              <w:t>产生速率0.00</w:t>
            </w:r>
            <w:r>
              <w:rPr>
                <w:sz w:val="24"/>
                <w:szCs w:val="32"/>
              </w:rPr>
              <w:t>75kg/h</w:t>
            </w:r>
            <w:r>
              <w:rPr>
                <w:rFonts w:hint="eastAsia"/>
                <w:sz w:val="24"/>
                <w:szCs w:val="32"/>
              </w:rPr>
              <w:t>，</w:t>
            </w:r>
            <w:r>
              <w:rPr>
                <w:sz w:val="24"/>
                <w:szCs w:val="32"/>
              </w:rPr>
              <w:t>设1台抽油烟机</w:t>
            </w:r>
            <w:r>
              <w:rPr>
                <w:rFonts w:hint="eastAsia"/>
                <w:sz w:val="24"/>
                <w:szCs w:val="32"/>
              </w:rPr>
              <w:t>，处理效率为7</w:t>
            </w:r>
            <w:r>
              <w:rPr>
                <w:sz w:val="24"/>
                <w:szCs w:val="32"/>
              </w:rPr>
              <w:t>0%</w:t>
            </w:r>
            <w:r>
              <w:rPr>
                <w:rFonts w:hint="eastAsia"/>
                <w:sz w:val="24"/>
                <w:szCs w:val="32"/>
              </w:rPr>
              <w:t>，经抽油烟机处理后的食堂油烟排放量为</w:t>
            </w:r>
            <w:r>
              <w:rPr>
                <w:sz w:val="24"/>
                <w:szCs w:val="32"/>
              </w:rPr>
              <w:t>4.93kg/a</w:t>
            </w:r>
            <w:r>
              <w:rPr>
                <w:rFonts w:hint="eastAsia"/>
                <w:sz w:val="24"/>
                <w:szCs w:val="32"/>
              </w:rPr>
              <w:t>，排放速率为0.002</w:t>
            </w:r>
            <w:r>
              <w:rPr>
                <w:sz w:val="24"/>
                <w:szCs w:val="32"/>
              </w:rPr>
              <w:t>3kg/h</w:t>
            </w:r>
            <w:r>
              <w:rPr>
                <w:rFonts w:hint="eastAsia"/>
                <w:sz w:val="24"/>
                <w:szCs w:val="32"/>
              </w:rPr>
              <w:t>，排放浓度为0.</w:t>
            </w:r>
            <w:r>
              <w:rPr>
                <w:sz w:val="24"/>
                <w:szCs w:val="32"/>
              </w:rPr>
              <w:t>38mg/m</w:t>
            </w:r>
            <w:r>
              <w:rPr>
                <w:rFonts w:hint="eastAsia"/>
                <w:sz w:val="24"/>
                <w:szCs w:val="32"/>
                <w:vertAlign w:val="superscript"/>
              </w:rPr>
              <w:t>3</w:t>
            </w:r>
            <w:r>
              <w:rPr>
                <w:rFonts w:hint="eastAsia"/>
                <w:sz w:val="24"/>
                <w:szCs w:val="32"/>
              </w:rPr>
              <w:t>，排放浓度符合《饮食业油烟排放标准（试行）》（GB18483-2001）中2.0</w:t>
            </w:r>
            <w:r>
              <w:rPr>
                <w:sz w:val="24"/>
                <w:szCs w:val="32"/>
              </w:rPr>
              <w:t>mg/m</w:t>
            </w:r>
            <w:r>
              <w:rPr>
                <w:rFonts w:hint="eastAsia"/>
                <w:sz w:val="24"/>
                <w:szCs w:val="32"/>
                <w:vertAlign w:val="superscript"/>
              </w:rPr>
              <w:t>3</w:t>
            </w:r>
            <w:r>
              <w:rPr>
                <w:rFonts w:hint="eastAsia"/>
                <w:sz w:val="24"/>
                <w:szCs w:val="32"/>
              </w:rPr>
              <w:t>排放限值要求。</w:t>
            </w:r>
          </w:p>
          <w:p>
            <w:pPr>
              <w:adjustRightInd w:val="0"/>
              <w:snapToGrid w:val="0"/>
              <w:spacing w:line="360" w:lineRule="auto"/>
              <w:ind w:firstLine="480" w:firstLineChars="200"/>
              <w:rPr>
                <w:sz w:val="24"/>
              </w:rPr>
            </w:pPr>
            <w:r>
              <w:rPr>
                <w:rFonts w:hint="eastAsia"/>
                <w:sz w:val="24"/>
              </w:rPr>
              <w:t>本项目大气污染物无组织排放量如下表所示：</w:t>
            </w:r>
          </w:p>
          <w:p>
            <w:pPr>
              <w:spacing w:line="360" w:lineRule="auto"/>
              <w:ind w:firstLine="442" w:firstLineChars="200"/>
              <w:jc w:val="center"/>
              <w:rPr>
                <w:b/>
                <w:bCs/>
                <w:sz w:val="22"/>
              </w:rPr>
            </w:pPr>
            <w:r>
              <w:rPr>
                <w:rFonts w:hint="eastAsia"/>
                <w:b/>
                <w:bCs/>
                <w:sz w:val="22"/>
              </w:rPr>
              <w:t>表</w:t>
            </w:r>
            <w:r>
              <w:rPr>
                <w:b/>
                <w:bCs/>
                <w:sz w:val="22"/>
              </w:rPr>
              <w:t>4-2    大气污染物无组织排放量核算表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713"/>
              <w:gridCol w:w="646"/>
              <w:gridCol w:w="635"/>
              <w:gridCol w:w="1162"/>
              <w:gridCol w:w="2028"/>
              <w:gridCol w:w="124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1" w:type="pct"/>
                  <w:vMerge w:val="restart"/>
                  <w:vAlign w:val="center"/>
                </w:tcPr>
                <w:p>
                  <w:pPr>
                    <w:jc w:val="center"/>
                    <w:rPr>
                      <w:sz w:val="22"/>
                    </w:rPr>
                  </w:pPr>
                  <w:r>
                    <w:rPr>
                      <w:sz w:val="22"/>
                    </w:rPr>
                    <w:t>序号</w:t>
                  </w:r>
                </w:p>
              </w:tc>
              <w:tc>
                <w:tcPr>
                  <w:tcW w:w="473" w:type="pct"/>
                  <w:vMerge w:val="restart"/>
                  <w:vAlign w:val="center"/>
                </w:tcPr>
                <w:p>
                  <w:pPr>
                    <w:jc w:val="center"/>
                    <w:rPr>
                      <w:sz w:val="22"/>
                    </w:rPr>
                  </w:pPr>
                  <w:r>
                    <w:rPr>
                      <w:sz w:val="22"/>
                    </w:rPr>
                    <w:t>排放口编号</w:t>
                  </w:r>
                </w:p>
              </w:tc>
              <w:tc>
                <w:tcPr>
                  <w:tcW w:w="422" w:type="pct"/>
                  <w:vMerge w:val="restart"/>
                  <w:vAlign w:val="center"/>
                </w:tcPr>
                <w:p>
                  <w:pPr>
                    <w:jc w:val="center"/>
                    <w:rPr>
                      <w:sz w:val="22"/>
                    </w:rPr>
                  </w:pPr>
                  <w:r>
                    <w:rPr>
                      <w:sz w:val="22"/>
                    </w:rPr>
                    <w:t>产污环节</w:t>
                  </w:r>
                </w:p>
              </w:tc>
              <w:tc>
                <w:tcPr>
                  <w:tcW w:w="415" w:type="pct"/>
                  <w:vMerge w:val="restart"/>
                  <w:vAlign w:val="center"/>
                </w:tcPr>
                <w:p>
                  <w:pPr>
                    <w:jc w:val="center"/>
                    <w:rPr>
                      <w:sz w:val="22"/>
                    </w:rPr>
                  </w:pPr>
                  <w:r>
                    <w:rPr>
                      <w:sz w:val="22"/>
                    </w:rPr>
                    <w:t>污染物</w:t>
                  </w:r>
                </w:p>
              </w:tc>
              <w:tc>
                <w:tcPr>
                  <w:tcW w:w="749" w:type="pct"/>
                  <w:vMerge w:val="restart"/>
                  <w:vAlign w:val="center"/>
                </w:tcPr>
                <w:p>
                  <w:pPr>
                    <w:jc w:val="center"/>
                    <w:rPr>
                      <w:sz w:val="22"/>
                    </w:rPr>
                  </w:pPr>
                  <w:r>
                    <w:rPr>
                      <w:sz w:val="22"/>
                    </w:rPr>
                    <w:t>主要污染防治措施</w:t>
                  </w:r>
                </w:p>
              </w:tc>
              <w:tc>
                <w:tcPr>
                  <w:tcW w:w="2096" w:type="pct"/>
                  <w:gridSpan w:val="2"/>
                  <w:vAlign w:val="center"/>
                </w:tcPr>
                <w:p>
                  <w:pPr>
                    <w:jc w:val="center"/>
                    <w:rPr>
                      <w:sz w:val="22"/>
                    </w:rPr>
                  </w:pPr>
                  <w:r>
                    <w:rPr>
                      <w:sz w:val="22"/>
                    </w:rPr>
                    <w:t>国家或地方污染物排放标准</w:t>
                  </w:r>
                </w:p>
              </w:tc>
              <w:tc>
                <w:tcPr>
                  <w:tcW w:w="564" w:type="pct"/>
                  <w:vMerge w:val="restart"/>
                  <w:vAlign w:val="center"/>
                </w:tcPr>
                <w:p>
                  <w:pPr>
                    <w:jc w:val="center"/>
                    <w:rPr>
                      <w:sz w:val="22"/>
                    </w:rPr>
                  </w:pPr>
                  <w:r>
                    <w:rPr>
                      <w:sz w:val="22"/>
                    </w:rPr>
                    <w:t>年排放量/（</w:t>
                  </w:r>
                  <w:r>
                    <w:rPr>
                      <w:rFonts w:hint="eastAsia"/>
                      <w:sz w:val="22"/>
                    </w:rPr>
                    <w:t>kg</w:t>
                  </w:r>
                  <w:r>
                    <w:rPr>
                      <w:sz w:val="22"/>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1" w:type="pct"/>
                  <w:vMerge w:val="continue"/>
                  <w:vAlign w:val="center"/>
                </w:tcPr>
                <w:p>
                  <w:pPr>
                    <w:jc w:val="center"/>
                    <w:rPr>
                      <w:sz w:val="22"/>
                    </w:rPr>
                  </w:pPr>
                </w:p>
              </w:tc>
              <w:tc>
                <w:tcPr>
                  <w:tcW w:w="473" w:type="pct"/>
                  <w:vMerge w:val="continue"/>
                  <w:vAlign w:val="center"/>
                </w:tcPr>
                <w:p>
                  <w:pPr>
                    <w:jc w:val="center"/>
                    <w:rPr>
                      <w:sz w:val="22"/>
                    </w:rPr>
                  </w:pPr>
                </w:p>
              </w:tc>
              <w:tc>
                <w:tcPr>
                  <w:tcW w:w="422" w:type="pct"/>
                  <w:vMerge w:val="continue"/>
                  <w:vAlign w:val="center"/>
                </w:tcPr>
                <w:p>
                  <w:pPr>
                    <w:jc w:val="center"/>
                    <w:rPr>
                      <w:sz w:val="22"/>
                    </w:rPr>
                  </w:pPr>
                </w:p>
              </w:tc>
              <w:tc>
                <w:tcPr>
                  <w:tcW w:w="415" w:type="pct"/>
                  <w:vMerge w:val="continue"/>
                  <w:vAlign w:val="center"/>
                </w:tcPr>
                <w:p>
                  <w:pPr>
                    <w:jc w:val="center"/>
                    <w:rPr>
                      <w:sz w:val="22"/>
                    </w:rPr>
                  </w:pPr>
                </w:p>
              </w:tc>
              <w:tc>
                <w:tcPr>
                  <w:tcW w:w="749" w:type="pct"/>
                  <w:vMerge w:val="continue"/>
                  <w:vAlign w:val="center"/>
                </w:tcPr>
                <w:p>
                  <w:pPr>
                    <w:jc w:val="center"/>
                    <w:rPr>
                      <w:sz w:val="22"/>
                    </w:rPr>
                  </w:pPr>
                </w:p>
              </w:tc>
              <w:tc>
                <w:tcPr>
                  <w:tcW w:w="1297" w:type="pct"/>
                  <w:vAlign w:val="center"/>
                </w:tcPr>
                <w:p>
                  <w:pPr>
                    <w:jc w:val="center"/>
                    <w:rPr>
                      <w:sz w:val="22"/>
                    </w:rPr>
                  </w:pPr>
                  <w:r>
                    <w:rPr>
                      <w:sz w:val="22"/>
                    </w:rPr>
                    <w:t>标准名称</w:t>
                  </w:r>
                </w:p>
              </w:tc>
              <w:tc>
                <w:tcPr>
                  <w:tcW w:w="799" w:type="pct"/>
                  <w:vAlign w:val="center"/>
                </w:tcPr>
                <w:p>
                  <w:pPr>
                    <w:jc w:val="center"/>
                    <w:rPr>
                      <w:sz w:val="22"/>
                    </w:rPr>
                  </w:pPr>
                  <w:r>
                    <w:rPr>
                      <w:sz w:val="22"/>
                    </w:rPr>
                    <w:t>浓度限值/（</w:t>
                  </w:r>
                  <w:r>
                    <w:rPr>
                      <w:rFonts w:hint="eastAsia"/>
                      <w:sz w:val="22"/>
                    </w:rPr>
                    <w:t>m</w:t>
                  </w:r>
                  <w:r>
                    <w:rPr>
                      <w:sz w:val="22"/>
                    </w:rPr>
                    <w:t>g/m</w:t>
                  </w:r>
                  <w:r>
                    <w:rPr>
                      <w:sz w:val="22"/>
                      <w:vertAlign w:val="superscript"/>
                    </w:rPr>
                    <w:t>3</w:t>
                  </w:r>
                  <w:r>
                    <w:rPr>
                      <w:sz w:val="22"/>
                    </w:rPr>
                    <w:t>）</w:t>
                  </w:r>
                </w:p>
              </w:tc>
              <w:tc>
                <w:tcPr>
                  <w:tcW w:w="564" w:type="pct"/>
                  <w:vMerge w:val="continue"/>
                  <w:vAlign w:val="center"/>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81" w:type="pct"/>
                  <w:vMerge w:val="restart"/>
                  <w:vAlign w:val="center"/>
                </w:tcPr>
                <w:p>
                  <w:pPr>
                    <w:jc w:val="center"/>
                    <w:rPr>
                      <w:sz w:val="22"/>
                    </w:rPr>
                  </w:pPr>
                  <w:r>
                    <w:rPr>
                      <w:rFonts w:hint="eastAsia"/>
                      <w:sz w:val="22"/>
                    </w:rPr>
                    <w:t>1</w:t>
                  </w:r>
                </w:p>
              </w:tc>
              <w:tc>
                <w:tcPr>
                  <w:tcW w:w="473" w:type="pct"/>
                  <w:vMerge w:val="restart"/>
                  <w:vAlign w:val="center"/>
                </w:tcPr>
                <w:p>
                  <w:pPr>
                    <w:jc w:val="center"/>
                    <w:rPr>
                      <w:sz w:val="22"/>
                    </w:rPr>
                  </w:pPr>
                  <w:r>
                    <w:rPr>
                      <w:rFonts w:hint="eastAsia"/>
                      <w:sz w:val="22"/>
                    </w:rPr>
                    <w:t>自建污水处理站</w:t>
                  </w:r>
                </w:p>
              </w:tc>
              <w:tc>
                <w:tcPr>
                  <w:tcW w:w="422" w:type="pct"/>
                  <w:vMerge w:val="restart"/>
                  <w:vAlign w:val="center"/>
                </w:tcPr>
                <w:p>
                  <w:pPr>
                    <w:jc w:val="center"/>
                    <w:rPr>
                      <w:sz w:val="22"/>
                    </w:rPr>
                  </w:pPr>
                  <w:r>
                    <w:rPr>
                      <w:rFonts w:hint="eastAsia"/>
                      <w:sz w:val="22"/>
                    </w:rPr>
                    <w:t>废水处理</w:t>
                  </w:r>
                </w:p>
              </w:tc>
              <w:tc>
                <w:tcPr>
                  <w:tcW w:w="415" w:type="pct"/>
                  <w:vAlign w:val="center"/>
                </w:tcPr>
                <w:p>
                  <w:pPr>
                    <w:jc w:val="center"/>
                    <w:rPr>
                      <w:kern w:val="0"/>
                      <w:sz w:val="22"/>
                      <w:szCs w:val="18"/>
                    </w:rPr>
                  </w:pPr>
                  <w:r>
                    <w:rPr>
                      <w:rFonts w:hint="eastAsia"/>
                      <w:kern w:val="0"/>
                      <w:sz w:val="22"/>
                      <w:szCs w:val="18"/>
                    </w:rPr>
                    <w:t>NH</w:t>
                  </w:r>
                  <w:r>
                    <w:rPr>
                      <w:rFonts w:hint="eastAsia"/>
                      <w:kern w:val="0"/>
                      <w:sz w:val="22"/>
                      <w:szCs w:val="18"/>
                      <w:vertAlign w:val="subscript"/>
                    </w:rPr>
                    <w:t>3</w:t>
                  </w:r>
                </w:p>
              </w:tc>
              <w:tc>
                <w:tcPr>
                  <w:tcW w:w="749" w:type="pct"/>
                  <w:vMerge w:val="restart"/>
                  <w:vAlign w:val="center"/>
                </w:tcPr>
                <w:p>
                  <w:pPr>
                    <w:jc w:val="center"/>
                    <w:rPr>
                      <w:sz w:val="22"/>
                    </w:rPr>
                  </w:pPr>
                  <w:r>
                    <w:rPr>
                      <w:rFonts w:hint="eastAsia"/>
                      <w:sz w:val="22"/>
                    </w:rPr>
                    <w:t>自建污水处理站加盖处理</w:t>
                  </w:r>
                </w:p>
              </w:tc>
              <w:tc>
                <w:tcPr>
                  <w:tcW w:w="1297" w:type="pct"/>
                  <w:vMerge w:val="restart"/>
                  <w:vAlign w:val="center"/>
                </w:tcPr>
                <w:p>
                  <w:pPr>
                    <w:jc w:val="center"/>
                    <w:rPr>
                      <w:sz w:val="22"/>
                    </w:rPr>
                  </w:pPr>
                  <w:r>
                    <w:rPr>
                      <w:rFonts w:hint="eastAsia"/>
                      <w:bCs/>
                      <w:sz w:val="22"/>
                    </w:rPr>
                    <w:t>行《医疗机构水污染物排放标准》（</w:t>
                  </w:r>
                  <w:r>
                    <w:rPr>
                      <w:bCs/>
                      <w:sz w:val="22"/>
                    </w:rPr>
                    <w:t>GB18466-2005</w:t>
                  </w:r>
                  <w:r>
                    <w:rPr>
                      <w:rFonts w:hint="eastAsia"/>
                      <w:bCs/>
                      <w:sz w:val="22"/>
                    </w:rPr>
                    <w:t>）</w:t>
                  </w:r>
                </w:p>
              </w:tc>
              <w:tc>
                <w:tcPr>
                  <w:tcW w:w="799" w:type="pct"/>
                  <w:vAlign w:val="center"/>
                </w:tcPr>
                <w:p>
                  <w:pPr>
                    <w:jc w:val="center"/>
                    <w:rPr>
                      <w:sz w:val="22"/>
                    </w:rPr>
                  </w:pPr>
                  <w:r>
                    <w:rPr>
                      <w:rFonts w:hint="eastAsia"/>
                      <w:sz w:val="22"/>
                      <w:szCs w:val="22"/>
                    </w:rPr>
                    <w:t>1</w:t>
                  </w:r>
                  <w:r>
                    <w:rPr>
                      <w:sz w:val="22"/>
                      <w:szCs w:val="22"/>
                    </w:rPr>
                    <w:t>.0</w:t>
                  </w:r>
                </w:p>
              </w:tc>
              <w:tc>
                <w:tcPr>
                  <w:tcW w:w="564" w:type="pct"/>
                  <w:vAlign w:val="center"/>
                </w:tcPr>
                <w:p>
                  <w:pPr>
                    <w:jc w:val="center"/>
                    <w:rPr>
                      <w:sz w:val="22"/>
                    </w:rPr>
                  </w:pPr>
                  <w:r>
                    <w:rPr>
                      <w:rFonts w:hint="eastAsia"/>
                      <w:sz w:val="22"/>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1" w:type="pct"/>
                  <w:vMerge w:val="continue"/>
                  <w:vAlign w:val="center"/>
                </w:tcPr>
                <w:p>
                  <w:pPr>
                    <w:jc w:val="center"/>
                    <w:rPr>
                      <w:sz w:val="22"/>
                    </w:rPr>
                  </w:pPr>
                </w:p>
              </w:tc>
              <w:tc>
                <w:tcPr>
                  <w:tcW w:w="473" w:type="pct"/>
                  <w:vMerge w:val="continue"/>
                  <w:vAlign w:val="center"/>
                </w:tcPr>
                <w:p>
                  <w:pPr>
                    <w:jc w:val="center"/>
                    <w:rPr>
                      <w:sz w:val="22"/>
                    </w:rPr>
                  </w:pPr>
                </w:p>
              </w:tc>
              <w:tc>
                <w:tcPr>
                  <w:tcW w:w="422" w:type="pct"/>
                  <w:vMerge w:val="continue"/>
                  <w:vAlign w:val="center"/>
                </w:tcPr>
                <w:p>
                  <w:pPr>
                    <w:jc w:val="center"/>
                    <w:rPr>
                      <w:sz w:val="22"/>
                    </w:rPr>
                  </w:pPr>
                </w:p>
              </w:tc>
              <w:tc>
                <w:tcPr>
                  <w:tcW w:w="415" w:type="pct"/>
                  <w:vAlign w:val="center"/>
                </w:tcPr>
                <w:p>
                  <w:pPr>
                    <w:jc w:val="center"/>
                    <w:rPr>
                      <w:kern w:val="0"/>
                      <w:sz w:val="22"/>
                      <w:szCs w:val="18"/>
                    </w:rPr>
                  </w:pPr>
                  <w:r>
                    <w:rPr>
                      <w:rFonts w:hint="eastAsia"/>
                      <w:kern w:val="0"/>
                      <w:sz w:val="22"/>
                      <w:szCs w:val="18"/>
                    </w:rPr>
                    <w:t>H</w:t>
                  </w:r>
                  <w:r>
                    <w:rPr>
                      <w:rFonts w:hint="eastAsia"/>
                      <w:kern w:val="0"/>
                      <w:sz w:val="22"/>
                      <w:szCs w:val="18"/>
                      <w:vertAlign w:val="subscript"/>
                    </w:rPr>
                    <w:t>2</w:t>
                  </w:r>
                  <w:r>
                    <w:rPr>
                      <w:rFonts w:hint="eastAsia"/>
                      <w:kern w:val="0"/>
                      <w:sz w:val="22"/>
                      <w:szCs w:val="18"/>
                    </w:rPr>
                    <w:t>S</w:t>
                  </w:r>
                </w:p>
              </w:tc>
              <w:tc>
                <w:tcPr>
                  <w:tcW w:w="749" w:type="pct"/>
                  <w:vMerge w:val="continue"/>
                  <w:vAlign w:val="center"/>
                </w:tcPr>
                <w:p>
                  <w:pPr>
                    <w:jc w:val="center"/>
                    <w:rPr>
                      <w:sz w:val="22"/>
                    </w:rPr>
                  </w:pPr>
                </w:p>
              </w:tc>
              <w:tc>
                <w:tcPr>
                  <w:tcW w:w="1297" w:type="pct"/>
                  <w:vMerge w:val="continue"/>
                  <w:vAlign w:val="center"/>
                </w:tcPr>
                <w:p>
                  <w:pPr>
                    <w:jc w:val="center"/>
                    <w:rPr>
                      <w:sz w:val="22"/>
                    </w:rPr>
                  </w:pPr>
                </w:p>
              </w:tc>
              <w:tc>
                <w:tcPr>
                  <w:tcW w:w="799" w:type="pct"/>
                  <w:vAlign w:val="center"/>
                </w:tcPr>
                <w:p>
                  <w:pPr>
                    <w:jc w:val="center"/>
                    <w:rPr>
                      <w:sz w:val="22"/>
                    </w:rPr>
                  </w:pPr>
                  <w:r>
                    <w:rPr>
                      <w:rFonts w:hint="eastAsia"/>
                      <w:sz w:val="22"/>
                      <w:szCs w:val="22"/>
                    </w:rPr>
                    <w:t>0</w:t>
                  </w:r>
                  <w:r>
                    <w:rPr>
                      <w:sz w:val="22"/>
                      <w:szCs w:val="22"/>
                    </w:rPr>
                    <w:t>.03</w:t>
                  </w:r>
                </w:p>
              </w:tc>
              <w:tc>
                <w:tcPr>
                  <w:tcW w:w="564" w:type="pct"/>
                  <w:vAlign w:val="center"/>
                </w:tcPr>
                <w:p>
                  <w:pPr>
                    <w:jc w:val="center"/>
                    <w:rPr>
                      <w:sz w:val="22"/>
                    </w:rPr>
                  </w:pPr>
                  <w:r>
                    <w:rPr>
                      <w:rFonts w:hint="eastAsia"/>
                      <w:sz w:val="22"/>
                    </w:rPr>
                    <w:t>0.2</w:t>
                  </w:r>
                </w:p>
              </w:tc>
            </w:tr>
          </w:tbl>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rFonts w:hint="eastAsia"/>
                <w:sz w:val="24"/>
              </w:rPr>
              <w:t>本项目大气污染物排放量汇总如下：</w:t>
            </w:r>
          </w:p>
          <w:p>
            <w:pPr>
              <w:adjustRightInd w:val="0"/>
              <w:snapToGrid w:val="0"/>
              <w:spacing w:line="360" w:lineRule="auto"/>
              <w:ind w:firstLine="442" w:firstLineChars="200"/>
              <w:jc w:val="center"/>
              <w:rPr>
                <w:b/>
                <w:bCs/>
                <w:sz w:val="22"/>
                <w:szCs w:val="22"/>
              </w:rPr>
            </w:pPr>
            <w:r>
              <w:rPr>
                <w:rFonts w:hint="eastAsia"/>
                <w:b/>
                <w:bCs/>
                <w:sz w:val="22"/>
                <w:szCs w:val="22"/>
              </w:rPr>
              <w:t>表4-3    大气污染物排放量核算表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2"/>
              <w:gridCol w:w="2584"/>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2" w:type="dxa"/>
                  <w:shd w:val="clear" w:color="auto" w:fill="auto"/>
                </w:tcPr>
                <w:p>
                  <w:pPr>
                    <w:adjustRightInd w:val="0"/>
                    <w:snapToGrid w:val="0"/>
                    <w:jc w:val="center"/>
                    <w:rPr>
                      <w:sz w:val="22"/>
                      <w:szCs w:val="22"/>
                    </w:rPr>
                  </w:pPr>
                  <w:r>
                    <w:rPr>
                      <w:rFonts w:hint="eastAsia"/>
                      <w:sz w:val="22"/>
                      <w:szCs w:val="22"/>
                    </w:rPr>
                    <w:t>序号</w:t>
                  </w:r>
                </w:p>
              </w:tc>
              <w:tc>
                <w:tcPr>
                  <w:tcW w:w="2584" w:type="dxa"/>
                  <w:shd w:val="clear" w:color="auto" w:fill="auto"/>
                </w:tcPr>
                <w:p>
                  <w:pPr>
                    <w:adjustRightInd w:val="0"/>
                    <w:snapToGrid w:val="0"/>
                    <w:jc w:val="center"/>
                    <w:rPr>
                      <w:sz w:val="22"/>
                      <w:szCs w:val="22"/>
                    </w:rPr>
                  </w:pPr>
                  <w:r>
                    <w:rPr>
                      <w:rFonts w:hint="eastAsia"/>
                      <w:sz w:val="22"/>
                      <w:szCs w:val="22"/>
                    </w:rPr>
                    <w:t>污染物</w:t>
                  </w:r>
                </w:p>
              </w:tc>
              <w:tc>
                <w:tcPr>
                  <w:tcW w:w="2598" w:type="dxa"/>
                  <w:shd w:val="clear" w:color="auto" w:fill="auto"/>
                </w:tcPr>
                <w:p>
                  <w:pPr>
                    <w:adjustRightInd w:val="0"/>
                    <w:snapToGrid w:val="0"/>
                    <w:jc w:val="center"/>
                    <w:rPr>
                      <w:sz w:val="22"/>
                      <w:szCs w:val="22"/>
                    </w:rPr>
                  </w:pPr>
                  <w:r>
                    <w:rPr>
                      <w:rFonts w:hint="eastAsia"/>
                      <w:sz w:val="22"/>
                      <w:szCs w:val="22"/>
                    </w:rPr>
                    <w:t>年排放量（kg/a）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2" w:type="dxa"/>
                  <w:shd w:val="clear" w:color="auto" w:fill="auto"/>
                </w:tcPr>
                <w:p>
                  <w:pPr>
                    <w:adjustRightInd w:val="0"/>
                    <w:snapToGrid w:val="0"/>
                    <w:jc w:val="center"/>
                    <w:rPr>
                      <w:sz w:val="22"/>
                      <w:szCs w:val="22"/>
                    </w:rPr>
                  </w:pPr>
                  <w:r>
                    <w:rPr>
                      <w:rFonts w:hint="eastAsia"/>
                      <w:sz w:val="22"/>
                      <w:szCs w:val="22"/>
                    </w:rPr>
                    <w:t>1</w:t>
                  </w:r>
                </w:p>
              </w:tc>
              <w:tc>
                <w:tcPr>
                  <w:tcW w:w="2584" w:type="dxa"/>
                  <w:shd w:val="clear" w:color="auto" w:fill="auto"/>
                  <w:vAlign w:val="center"/>
                </w:tcPr>
                <w:p>
                  <w:pPr>
                    <w:adjustRightInd w:val="0"/>
                    <w:snapToGrid w:val="0"/>
                    <w:jc w:val="center"/>
                    <w:rPr>
                      <w:sz w:val="22"/>
                      <w:szCs w:val="22"/>
                    </w:rPr>
                  </w:pPr>
                  <w:r>
                    <w:rPr>
                      <w:rFonts w:hint="eastAsia"/>
                      <w:kern w:val="0"/>
                      <w:sz w:val="22"/>
                      <w:szCs w:val="18"/>
                    </w:rPr>
                    <w:t>NH</w:t>
                  </w:r>
                  <w:r>
                    <w:rPr>
                      <w:rFonts w:hint="eastAsia"/>
                      <w:kern w:val="0"/>
                      <w:sz w:val="22"/>
                      <w:szCs w:val="18"/>
                      <w:vertAlign w:val="subscript"/>
                    </w:rPr>
                    <w:t>3</w:t>
                  </w:r>
                </w:p>
              </w:tc>
              <w:tc>
                <w:tcPr>
                  <w:tcW w:w="2598" w:type="dxa"/>
                  <w:shd w:val="clear" w:color="auto" w:fill="auto"/>
                  <w:vAlign w:val="center"/>
                </w:tcPr>
                <w:p>
                  <w:pPr>
                    <w:adjustRightInd w:val="0"/>
                    <w:snapToGrid w:val="0"/>
                    <w:jc w:val="center"/>
                    <w:rPr>
                      <w:sz w:val="22"/>
                      <w:szCs w:val="22"/>
                      <w:highlight w:val="yellow"/>
                    </w:rPr>
                  </w:pPr>
                  <w:r>
                    <w:rPr>
                      <w:rFonts w:hint="eastAsia"/>
                      <w:sz w:val="22"/>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2" w:type="dxa"/>
                  <w:shd w:val="clear" w:color="auto" w:fill="auto"/>
                </w:tcPr>
                <w:p>
                  <w:pPr>
                    <w:adjustRightInd w:val="0"/>
                    <w:snapToGrid w:val="0"/>
                    <w:jc w:val="center"/>
                    <w:rPr>
                      <w:sz w:val="22"/>
                      <w:szCs w:val="22"/>
                    </w:rPr>
                  </w:pPr>
                  <w:r>
                    <w:rPr>
                      <w:rFonts w:hint="eastAsia"/>
                      <w:sz w:val="22"/>
                      <w:szCs w:val="22"/>
                    </w:rPr>
                    <w:t>2</w:t>
                  </w:r>
                </w:p>
              </w:tc>
              <w:tc>
                <w:tcPr>
                  <w:tcW w:w="2584" w:type="dxa"/>
                  <w:shd w:val="clear" w:color="auto" w:fill="auto"/>
                  <w:vAlign w:val="center"/>
                </w:tcPr>
                <w:p>
                  <w:pPr>
                    <w:adjustRightInd w:val="0"/>
                    <w:snapToGrid w:val="0"/>
                    <w:jc w:val="center"/>
                    <w:rPr>
                      <w:sz w:val="22"/>
                      <w:szCs w:val="22"/>
                    </w:rPr>
                  </w:pPr>
                  <w:r>
                    <w:rPr>
                      <w:rFonts w:hint="eastAsia"/>
                      <w:kern w:val="0"/>
                      <w:sz w:val="22"/>
                      <w:szCs w:val="18"/>
                    </w:rPr>
                    <w:t>H</w:t>
                  </w:r>
                  <w:r>
                    <w:rPr>
                      <w:rFonts w:hint="eastAsia"/>
                      <w:kern w:val="0"/>
                      <w:sz w:val="22"/>
                      <w:szCs w:val="18"/>
                      <w:vertAlign w:val="subscript"/>
                    </w:rPr>
                    <w:t>2</w:t>
                  </w:r>
                  <w:r>
                    <w:rPr>
                      <w:rFonts w:hint="eastAsia"/>
                      <w:kern w:val="0"/>
                      <w:sz w:val="22"/>
                      <w:szCs w:val="18"/>
                    </w:rPr>
                    <w:t>S</w:t>
                  </w:r>
                </w:p>
              </w:tc>
              <w:tc>
                <w:tcPr>
                  <w:tcW w:w="2598" w:type="dxa"/>
                  <w:shd w:val="clear" w:color="auto" w:fill="auto"/>
                  <w:vAlign w:val="center"/>
                </w:tcPr>
                <w:p>
                  <w:pPr>
                    <w:adjustRightInd w:val="0"/>
                    <w:snapToGrid w:val="0"/>
                    <w:jc w:val="center"/>
                    <w:rPr>
                      <w:sz w:val="22"/>
                      <w:szCs w:val="22"/>
                      <w:highlight w:val="yellow"/>
                    </w:rPr>
                  </w:pPr>
                  <w:r>
                    <w:rPr>
                      <w:rFonts w:hint="eastAsia"/>
                      <w:sz w:val="22"/>
                    </w:rPr>
                    <w:t>0.2</w:t>
                  </w:r>
                </w:p>
              </w:tc>
            </w:tr>
          </w:tbl>
          <w:p>
            <w:pPr>
              <w:spacing w:line="360" w:lineRule="auto"/>
              <w:ind w:firstLine="480" w:firstLineChars="200"/>
              <w:rPr>
                <w:sz w:val="24"/>
                <w:szCs w:val="32"/>
              </w:rPr>
            </w:pPr>
          </w:p>
          <w:p>
            <w:pPr>
              <w:spacing w:line="360" w:lineRule="auto"/>
              <w:ind w:firstLine="482" w:firstLineChars="200"/>
              <w:rPr>
                <w:b/>
                <w:bCs/>
                <w:sz w:val="24"/>
              </w:rPr>
            </w:pPr>
            <w:r>
              <w:rPr>
                <w:rFonts w:hint="eastAsia"/>
                <w:b/>
                <w:bCs/>
                <w:sz w:val="24"/>
              </w:rPr>
              <w:t>二、废水</w:t>
            </w:r>
          </w:p>
          <w:p>
            <w:pPr>
              <w:spacing w:line="360" w:lineRule="auto"/>
              <w:ind w:firstLine="480" w:firstLineChars="200"/>
              <w:rPr>
                <w:sz w:val="24"/>
                <w:szCs w:val="32"/>
              </w:rPr>
            </w:pPr>
            <w:r>
              <w:rPr>
                <w:rFonts w:hint="eastAsia"/>
                <w:sz w:val="24"/>
                <w:szCs w:val="32"/>
              </w:rPr>
              <w:t>1、源强计算</w:t>
            </w:r>
          </w:p>
          <w:p>
            <w:pPr>
              <w:spacing w:line="360" w:lineRule="auto"/>
              <w:ind w:firstLine="480" w:firstLineChars="200"/>
              <w:rPr>
                <w:sz w:val="24"/>
                <w:szCs w:val="32"/>
              </w:rPr>
            </w:pPr>
            <w:r>
              <w:rPr>
                <w:rFonts w:hint="eastAsia"/>
                <w:sz w:val="24"/>
                <w:szCs w:val="32"/>
              </w:rPr>
              <w:t>由院区水平衡可知，</w:t>
            </w:r>
            <w:bookmarkStart w:id="17" w:name="_Hlk170972477"/>
            <w:r>
              <w:rPr>
                <w:rFonts w:hint="eastAsia"/>
                <w:sz w:val="24"/>
                <w:szCs w:val="32"/>
              </w:rPr>
              <w:t>院区废水主要为</w:t>
            </w:r>
            <w:r>
              <w:rPr>
                <w:sz w:val="24"/>
              </w:rPr>
              <w:t>门诊用水</w:t>
            </w:r>
            <w:r>
              <w:rPr>
                <w:rFonts w:hint="eastAsia"/>
                <w:sz w:val="24"/>
              </w:rPr>
              <w:t>、</w:t>
            </w:r>
            <w:r>
              <w:rPr>
                <w:sz w:val="24"/>
              </w:rPr>
              <w:t>住院用水、医</w:t>
            </w:r>
            <w:r>
              <w:rPr>
                <w:rFonts w:hint="eastAsia"/>
                <w:sz w:val="24"/>
              </w:rPr>
              <w:t>务</w:t>
            </w:r>
            <w:r>
              <w:rPr>
                <w:sz w:val="24"/>
              </w:rPr>
              <w:t>人员用水、保洁用水、洗衣房用水等</w:t>
            </w:r>
            <w:r>
              <w:rPr>
                <w:rFonts w:hint="eastAsia"/>
                <w:sz w:val="24"/>
              </w:rPr>
              <w:t>，上述废水统称为院区医疗废水，其产生量为9</w:t>
            </w:r>
            <w:r>
              <w:rPr>
                <w:sz w:val="24"/>
              </w:rPr>
              <w:t>610.5m</w:t>
            </w:r>
            <w:r>
              <w:rPr>
                <w:sz w:val="24"/>
                <w:vertAlign w:val="superscript"/>
              </w:rPr>
              <w:t>3</w:t>
            </w:r>
            <w:r>
              <w:rPr>
                <w:sz w:val="24"/>
              </w:rPr>
              <w:t>/a</w:t>
            </w:r>
            <w:r>
              <w:rPr>
                <w:rFonts w:hint="eastAsia"/>
                <w:sz w:val="24"/>
              </w:rPr>
              <w:t>（2</w:t>
            </w:r>
            <w:r>
              <w:rPr>
                <w:sz w:val="24"/>
              </w:rPr>
              <w:t>6.33m</w:t>
            </w:r>
            <w:r>
              <w:rPr>
                <w:sz w:val="24"/>
                <w:vertAlign w:val="superscript"/>
              </w:rPr>
              <w:t>3</w:t>
            </w:r>
            <w:r>
              <w:rPr>
                <w:sz w:val="24"/>
              </w:rPr>
              <w:t>/d</w:t>
            </w:r>
            <w:r>
              <w:rPr>
                <w:rFonts w:hint="eastAsia"/>
                <w:sz w:val="24"/>
              </w:rPr>
              <w:t>），根据湖南华科检测技术有限公司对院区自建污水处理站进口处采样监测结果可知</w:t>
            </w:r>
            <w:bookmarkEnd w:id="17"/>
            <w:r>
              <w:rPr>
                <w:rFonts w:hint="eastAsia"/>
                <w:sz w:val="24"/>
              </w:rPr>
              <w:t>，院区医疗废水产生源强如下表所示：</w:t>
            </w:r>
          </w:p>
          <w:p>
            <w:pPr>
              <w:spacing w:line="240" w:lineRule="atLeast"/>
              <w:jc w:val="center"/>
              <w:rPr>
                <w:b/>
                <w:bCs/>
                <w:szCs w:val="21"/>
              </w:rPr>
            </w:pPr>
            <w:r>
              <w:rPr>
                <w:rFonts w:hint="eastAsia"/>
                <w:b/>
                <w:bCs/>
                <w:szCs w:val="21"/>
              </w:rPr>
              <w:t>表</w:t>
            </w:r>
            <w:r>
              <w:rPr>
                <w:b/>
                <w:bCs/>
                <w:szCs w:val="21"/>
              </w:rPr>
              <w:t>4</w:t>
            </w:r>
            <w:r>
              <w:rPr>
                <w:rFonts w:hint="eastAsia"/>
                <w:b/>
                <w:bCs/>
                <w:szCs w:val="21"/>
              </w:rPr>
              <w:t>-</w:t>
            </w:r>
            <w:r>
              <w:rPr>
                <w:b/>
                <w:bCs/>
                <w:szCs w:val="21"/>
              </w:rPr>
              <w:t>4</w:t>
            </w:r>
            <w:r>
              <w:rPr>
                <w:rFonts w:hint="eastAsia"/>
                <w:b/>
                <w:bCs/>
                <w:szCs w:val="21"/>
              </w:rPr>
              <w:t xml:space="preserve"> </w:t>
            </w:r>
            <w:r>
              <w:rPr>
                <w:b/>
                <w:bCs/>
                <w:szCs w:val="21"/>
              </w:rPr>
              <w:t xml:space="preserve">  </w:t>
            </w:r>
            <w:r>
              <w:rPr>
                <w:rFonts w:hint="eastAsia"/>
                <w:b/>
                <w:bCs/>
                <w:szCs w:val="21"/>
              </w:rPr>
              <w:t xml:space="preserve"> 院区医疗废水水质监测结果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2594"/>
              <w:gridCol w:w="2161"/>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Align w:val="center"/>
                </w:tcPr>
                <w:p>
                  <w:pPr>
                    <w:jc w:val="center"/>
                    <w:rPr>
                      <w:kern w:val="0"/>
                      <w:sz w:val="22"/>
                      <w:szCs w:val="22"/>
                    </w:rPr>
                  </w:pPr>
                  <w:r>
                    <w:rPr>
                      <w:rFonts w:hint="eastAsia"/>
                      <w:kern w:val="0"/>
                      <w:sz w:val="22"/>
                      <w:szCs w:val="22"/>
                    </w:rPr>
                    <w:t>监测点位</w:t>
                  </w:r>
                </w:p>
              </w:tc>
              <w:tc>
                <w:tcPr>
                  <w:tcW w:w="1642" w:type="pct"/>
                  <w:vAlign w:val="center"/>
                </w:tcPr>
                <w:p>
                  <w:pPr>
                    <w:jc w:val="center"/>
                    <w:rPr>
                      <w:kern w:val="0"/>
                      <w:sz w:val="22"/>
                      <w:szCs w:val="22"/>
                    </w:rPr>
                  </w:pPr>
                  <w:r>
                    <w:rPr>
                      <w:rFonts w:hint="eastAsia"/>
                      <w:kern w:val="0"/>
                      <w:sz w:val="22"/>
                      <w:szCs w:val="22"/>
                    </w:rPr>
                    <w:t>监测因子</w:t>
                  </w:r>
                </w:p>
              </w:tc>
              <w:tc>
                <w:tcPr>
                  <w:tcW w:w="1368" w:type="pct"/>
                  <w:vAlign w:val="center"/>
                </w:tcPr>
                <w:p>
                  <w:pPr>
                    <w:jc w:val="center"/>
                    <w:rPr>
                      <w:kern w:val="0"/>
                      <w:sz w:val="22"/>
                      <w:szCs w:val="22"/>
                    </w:rPr>
                  </w:pPr>
                  <w:r>
                    <w:rPr>
                      <w:rFonts w:hint="eastAsia"/>
                      <w:kern w:val="0"/>
                      <w:sz w:val="22"/>
                      <w:szCs w:val="22"/>
                    </w:rPr>
                    <w:t>浓度范围（mg/L）</w:t>
                  </w:r>
                </w:p>
              </w:tc>
              <w:tc>
                <w:tcPr>
                  <w:tcW w:w="1250" w:type="pct"/>
                  <w:vAlign w:val="center"/>
                </w:tcPr>
                <w:p>
                  <w:pPr>
                    <w:jc w:val="center"/>
                    <w:rPr>
                      <w:kern w:val="0"/>
                      <w:sz w:val="22"/>
                      <w:szCs w:val="22"/>
                    </w:rPr>
                  </w:pPr>
                  <w:r>
                    <w:rPr>
                      <w:rFonts w:hint="eastAsia"/>
                      <w:kern w:val="0"/>
                      <w:sz w:val="22"/>
                      <w:szCs w:val="22"/>
                    </w:rPr>
                    <w:t>平均值（mg/L）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restart"/>
                  <w:vAlign w:val="center"/>
                </w:tcPr>
                <w:p>
                  <w:pPr>
                    <w:jc w:val="center"/>
                    <w:rPr>
                      <w:kern w:val="0"/>
                      <w:sz w:val="22"/>
                      <w:szCs w:val="22"/>
                    </w:rPr>
                  </w:pPr>
                  <w:r>
                    <w:rPr>
                      <w:rFonts w:hint="eastAsia"/>
                      <w:kern w:val="0"/>
                      <w:sz w:val="22"/>
                      <w:szCs w:val="22"/>
                    </w:rPr>
                    <w:t>自建污水处理站</w:t>
                  </w:r>
                </w:p>
                <w:p>
                  <w:pPr>
                    <w:jc w:val="center"/>
                    <w:rPr>
                      <w:kern w:val="0"/>
                      <w:sz w:val="22"/>
                      <w:szCs w:val="22"/>
                    </w:rPr>
                  </w:pPr>
                  <w:r>
                    <w:rPr>
                      <w:rFonts w:hint="eastAsia"/>
                      <w:kern w:val="0"/>
                      <w:sz w:val="22"/>
                      <w:szCs w:val="22"/>
                    </w:rPr>
                    <w:t>进口</w:t>
                  </w:r>
                </w:p>
              </w:tc>
              <w:tc>
                <w:tcPr>
                  <w:tcW w:w="1642" w:type="pct"/>
                  <w:vAlign w:val="center"/>
                </w:tcPr>
                <w:p>
                  <w:pPr>
                    <w:jc w:val="center"/>
                    <w:rPr>
                      <w:kern w:val="0"/>
                      <w:sz w:val="22"/>
                      <w:szCs w:val="22"/>
                    </w:rPr>
                  </w:pPr>
                  <w:r>
                    <w:rPr>
                      <w:rFonts w:hint="eastAsia"/>
                      <w:kern w:val="0"/>
                      <w:sz w:val="22"/>
                      <w:szCs w:val="22"/>
                    </w:rPr>
                    <w:t>阴离子表面活性剂</w:t>
                  </w:r>
                </w:p>
              </w:tc>
              <w:tc>
                <w:tcPr>
                  <w:tcW w:w="1368" w:type="pct"/>
                  <w:vAlign w:val="center"/>
                </w:tcPr>
                <w:p>
                  <w:pPr>
                    <w:jc w:val="center"/>
                    <w:rPr>
                      <w:kern w:val="0"/>
                      <w:sz w:val="22"/>
                      <w:szCs w:val="22"/>
                    </w:rPr>
                  </w:pPr>
                  <w:r>
                    <w:rPr>
                      <w:rFonts w:hint="eastAsia"/>
                      <w:kern w:val="0"/>
                      <w:sz w:val="22"/>
                      <w:szCs w:val="22"/>
                    </w:rPr>
                    <w:t>0.51-0.55</w:t>
                  </w:r>
                </w:p>
              </w:tc>
              <w:tc>
                <w:tcPr>
                  <w:tcW w:w="1250" w:type="pct"/>
                  <w:vAlign w:val="center"/>
                </w:tcPr>
                <w:p>
                  <w:pPr>
                    <w:jc w:val="center"/>
                    <w:rPr>
                      <w:kern w:val="0"/>
                      <w:sz w:val="22"/>
                      <w:szCs w:val="22"/>
                    </w:rPr>
                  </w:pPr>
                  <w:r>
                    <w:rPr>
                      <w:rFonts w:hint="eastAsia"/>
                      <w:kern w:val="0"/>
                      <w:sz w:val="22"/>
                      <w:szCs w:val="22"/>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vAlign w:val="center"/>
                </w:tcPr>
                <w:p>
                  <w:pPr>
                    <w:jc w:val="center"/>
                    <w:rPr>
                      <w:kern w:val="0"/>
                      <w:sz w:val="22"/>
                      <w:szCs w:val="22"/>
                    </w:rPr>
                  </w:pPr>
                </w:p>
              </w:tc>
              <w:tc>
                <w:tcPr>
                  <w:tcW w:w="1642" w:type="pct"/>
                  <w:vAlign w:val="center"/>
                </w:tcPr>
                <w:p>
                  <w:pPr>
                    <w:jc w:val="center"/>
                    <w:rPr>
                      <w:kern w:val="0"/>
                      <w:sz w:val="22"/>
                      <w:szCs w:val="22"/>
                    </w:rPr>
                  </w:pPr>
                  <w:r>
                    <w:rPr>
                      <w:rFonts w:hint="eastAsia"/>
                      <w:kern w:val="0"/>
                      <w:sz w:val="22"/>
                      <w:szCs w:val="22"/>
                    </w:rPr>
                    <w:t>总余氯（以Cl计）</w:t>
                  </w:r>
                </w:p>
              </w:tc>
              <w:tc>
                <w:tcPr>
                  <w:tcW w:w="1368" w:type="pct"/>
                  <w:vAlign w:val="center"/>
                </w:tcPr>
                <w:p>
                  <w:pPr>
                    <w:jc w:val="center"/>
                    <w:rPr>
                      <w:kern w:val="0"/>
                      <w:sz w:val="22"/>
                      <w:szCs w:val="22"/>
                    </w:rPr>
                  </w:pPr>
                  <w:r>
                    <w:rPr>
                      <w:rFonts w:hint="eastAsia"/>
                      <w:kern w:val="0"/>
                      <w:sz w:val="22"/>
                      <w:szCs w:val="22"/>
                    </w:rPr>
                    <w:t>0.05-0.06</w:t>
                  </w:r>
                </w:p>
              </w:tc>
              <w:tc>
                <w:tcPr>
                  <w:tcW w:w="1250" w:type="pct"/>
                  <w:vAlign w:val="center"/>
                </w:tcPr>
                <w:p>
                  <w:pPr>
                    <w:jc w:val="center"/>
                    <w:rPr>
                      <w:kern w:val="0"/>
                      <w:sz w:val="22"/>
                      <w:szCs w:val="22"/>
                    </w:rPr>
                  </w:pPr>
                  <w:r>
                    <w:rPr>
                      <w:rFonts w:hint="eastAsia"/>
                      <w:kern w:val="0"/>
                      <w:sz w:val="22"/>
                      <w:szCs w:val="22"/>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pct"/>
                  <w:vMerge w:val="continue"/>
                  <w:vAlign w:val="center"/>
                </w:tcPr>
                <w:p>
                  <w:pPr>
                    <w:jc w:val="center"/>
                    <w:rPr>
                      <w:kern w:val="0"/>
                      <w:sz w:val="22"/>
                      <w:szCs w:val="22"/>
                    </w:rPr>
                  </w:pPr>
                </w:p>
              </w:tc>
              <w:tc>
                <w:tcPr>
                  <w:tcW w:w="1642" w:type="pct"/>
                  <w:vAlign w:val="center"/>
                </w:tcPr>
                <w:p>
                  <w:pPr>
                    <w:jc w:val="center"/>
                    <w:rPr>
                      <w:kern w:val="0"/>
                      <w:sz w:val="22"/>
                      <w:szCs w:val="22"/>
                    </w:rPr>
                  </w:pPr>
                  <w:r>
                    <w:rPr>
                      <w:rFonts w:hint="eastAsia"/>
                      <w:kern w:val="0"/>
                      <w:sz w:val="22"/>
                      <w:szCs w:val="22"/>
                    </w:rPr>
                    <w:t>氨氮</w:t>
                  </w:r>
                </w:p>
              </w:tc>
              <w:tc>
                <w:tcPr>
                  <w:tcW w:w="1368" w:type="pct"/>
                  <w:vAlign w:val="center"/>
                </w:tcPr>
                <w:p>
                  <w:pPr>
                    <w:jc w:val="center"/>
                    <w:rPr>
                      <w:kern w:val="0"/>
                      <w:sz w:val="22"/>
                      <w:szCs w:val="22"/>
                    </w:rPr>
                  </w:pPr>
                  <w:r>
                    <w:rPr>
                      <w:rFonts w:hint="eastAsia"/>
                      <w:kern w:val="0"/>
                      <w:sz w:val="22"/>
                      <w:szCs w:val="22"/>
                    </w:rPr>
                    <w:t>38.0-40.5</w:t>
                  </w:r>
                </w:p>
              </w:tc>
              <w:tc>
                <w:tcPr>
                  <w:tcW w:w="1250" w:type="pct"/>
                  <w:vAlign w:val="center"/>
                </w:tcPr>
                <w:p>
                  <w:pPr>
                    <w:jc w:val="center"/>
                    <w:rPr>
                      <w:kern w:val="0"/>
                      <w:sz w:val="22"/>
                      <w:szCs w:val="22"/>
                    </w:rPr>
                  </w:pPr>
                  <w:r>
                    <w:rPr>
                      <w:rFonts w:hint="eastAsia"/>
                      <w:kern w:val="0"/>
                      <w:sz w:val="22"/>
                      <w:szCs w:val="22"/>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vAlign w:val="center"/>
                </w:tcPr>
                <w:p>
                  <w:pPr>
                    <w:jc w:val="center"/>
                    <w:rPr>
                      <w:kern w:val="0"/>
                      <w:sz w:val="22"/>
                      <w:szCs w:val="22"/>
                    </w:rPr>
                  </w:pPr>
                </w:p>
              </w:tc>
              <w:tc>
                <w:tcPr>
                  <w:tcW w:w="1642" w:type="pct"/>
                  <w:vAlign w:val="center"/>
                </w:tcPr>
                <w:p>
                  <w:pPr>
                    <w:jc w:val="center"/>
                    <w:rPr>
                      <w:kern w:val="0"/>
                      <w:sz w:val="22"/>
                      <w:szCs w:val="22"/>
                    </w:rPr>
                  </w:pPr>
                  <w:r>
                    <w:rPr>
                      <w:rFonts w:hint="eastAsia"/>
                      <w:kern w:val="0"/>
                      <w:sz w:val="22"/>
                      <w:szCs w:val="22"/>
                    </w:rPr>
                    <w:t>粪大肠菌群（MPN/L）</w:t>
                  </w:r>
                </w:p>
              </w:tc>
              <w:tc>
                <w:tcPr>
                  <w:tcW w:w="1368" w:type="pct"/>
                  <w:vAlign w:val="center"/>
                </w:tcPr>
                <w:p>
                  <w:pPr>
                    <w:jc w:val="center"/>
                    <w:rPr>
                      <w:kern w:val="0"/>
                      <w:sz w:val="22"/>
                      <w:szCs w:val="22"/>
                    </w:rPr>
                  </w:pPr>
                  <w:r>
                    <w:rPr>
                      <w:bCs/>
                      <w:kern w:val="0"/>
                      <w:sz w:val="22"/>
                      <w:szCs w:val="22"/>
                    </w:rPr>
                    <w:t>≥2.4×10</w:t>
                  </w:r>
                  <w:r>
                    <w:rPr>
                      <w:bCs/>
                      <w:kern w:val="0"/>
                      <w:sz w:val="22"/>
                      <w:szCs w:val="22"/>
                      <w:vertAlign w:val="superscript"/>
                    </w:rPr>
                    <w:t>4</w:t>
                  </w:r>
                </w:p>
              </w:tc>
              <w:tc>
                <w:tcPr>
                  <w:tcW w:w="1250" w:type="pct"/>
                  <w:vAlign w:val="center"/>
                </w:tcPr>
                <w:p>
                  <w:pPr>
                    <w:jc w:val="center"/>
                    <w:rPr>
                      <w:bCs/>
                      <w:kern w:val="0"/>
                      <w:sz w:val="22"/>
                      <w:szCs w:val="22"/>
                    </w:rPr>
                  </w:pPr>
                  <w:r>
                    <w:rPr>
                      <w:bCs/>
                      <w:kern w:val="0"/>
                      <w:sz w:val="22"/>
                      <w:szCs w:val="22"/>
                    </w:rPr>
                    <w:t>≥2.4×10</w:t>
                  </w:r>
                  <w:r>
                    <w:rPr>
                      <w:bCs/>
                      <w:kern w:val="0"/>
                      <w:sz w:val="22"/>
                      <w:szCs w:val="22"/>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vAlign w:val="center"/>
                </w:tcPr>
                <w:p>
                  <w:pPr>
                    <w:jc w:val="center"/>
                    <w:rPr>
                      <w:kern w:val="0"/>
                      <w:sz w:val="22"/>
                      <w:szCs w:val="22"/>
                    </w:rPr>
                  </w:pPr>
                </w:p>
              </w:tc>
              <w:tc>
                <w:tcPr>
                  <w:tcW w:w="1642" w:type="pct"/>
                  <w:vAlign w:val="center"/>
                </w:tcPr>
                <w:p>
                  <w:pPr>
                    <w:jc w:val="center"/>
                    <w:rPr>
                      <w:kern w:val="0"/>
                      <w:sz w:val="22"/>
                      <w:szCs w:val="22"/>
                    </w:rPr>
                  </w:pPr>
                  <w:r>
                    <w:rPr>
                      <w:rFonts w:hint="eastAsia"/>
                      <w:kern w:val="0"/>
                      <w:sz w:val="22"/>
                      <w:szCs w:val="22"/>
                    </w:rPr>
                    <w:t>化学需氧量</w:t>
                  </w:r>
                </w:p>
              </w:tc>
              <w:tc>
                <w:tcPr>
                  <w:tcW w:w="1368" w:type="pct"/>
                  <w:vAlign w:val="center"/>
                </w:tcPr>
                <w:p>
                  <w:pPr>
                    <w:jc w:val="center"/>
                    <w:rPr>
                      <w:kern w:val="0"/>
                      <w:sz w:val="22"/>
                      <w:szCs w:val="22"/>
                    </w:rPr>
                  </w:pPr>
                  <w:r>
                    <w:rPr>
                      <w:rFonts w:hint="eastAsia"/>
                      <w:kern w:val="0"/>
                      <w:sz w:val="22"/>
                      <w:szCs w:val="22"/>
                    </w:rPr>
                    <w:t>241-269</w:t>
                  </w:r>
                </w:p>
              </w:tc>
              <w:tc>
                <w:tcPr>
                  <w:tcW w:w="1250" w:type="pct"/>
                  <w:vAlign w:val="center"/>
                </w:tcPr>
                <w:p>
                  <w:pPr>
                    <w:jc w:val="center"/>
                    <w:rPr>
                      <w:kern w:val="0"/>
                      <w:sz w:val="22"/>
                      <w:szCs w:val="22"/>
                    </w:rPr>
                  </w:pPr>
                  <w:r>
                    <w:rPr>
                      <w:rFonts w:hint="eastAsia"/>
                      <w:kern w:val="0"/>
                      <w:sz w:val="22"/>
                      <w:szCs w:val="22"/>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vAlign w:val="center"/>
                </w:tcPr>
                <w:p>
                  <w:pPr>
                    <w:jc w:val="center"/>
                    <w:rPr>
                      <w:kern w:val="0"/>
                      <w:sz w:val="22"/>
                      <w:szCs w:val="22"/>
                    </w:rPr>
                  </w:pPr>
                </w:p>
              </w:tc>
              <w:tc>
                <w:tcPr>
                  <w:tcW w:w="1642" w:type="pct"/>
                  <w:vAlign w:val="center"/>
                </w:tcPr>
                <w:p>
                  <w:pPr>
                    <w:jc w:val="center"/>
                    <w:rPr>
                      <w:kern w:val="0"/>
                      <w:sz w:val="22"/>
                      <w:szCs w:val="22"/>
                    </w:rPr>
                  </w:pPr>
                  <w:r>
                    <w:rPr>
                      <w:rFonts w:hint="eastAsia"/>
                      <w:kern w:val="0"/>
                      <w:sz w:val="22"/>
                      <w:szCs w:val="22"/>
                    </w:rPr>
                    <w:t>动植物油</w:t>
                  </w:r>
                </w:p>
              </w:tc>
              <w:tc>
                <w:tcPr>
                  <w:tcW w:w="1368" w:type="pct"/>
                  <w:vAlign w:val="center"/>
                </w:tcPr>
                <w:p>
                  <w:pPr>
                    <w:jc w:val="center"/>
                    <w:rPr>
                      <w:kern w:val="0"/>
                      <w:sz w:val="22"/>
                      <w:szCs w:val="22"/>
                    </w:rPr>
                  </w:pPr>
                  <w:r>
                    <w:rPr>
                      <w:rFonts w:hint="eastAsia"/>
                      <w:kern w:val="0"/>
                      <w:sz w:val="22"/>
                      <w:szCs w:val="22"/>
                    </w:rPr>
                    <w:t>1.13-1.36</w:t>
                  </w:r>
                </w:p>
              </w:tc>
              <w:tc>
                <w:tcPr>
                  <w:tcW w:w="1250" w:type="pct"/>
                  <w:vAlign w:val="center"/>
                </w:tcPr>
                <w:p>
                  <w:pPr>
                    <w:jc w:val="center"/>
                    <w:rPr>
                      <w:kern w:val="0"/>
                      <w:sz w:val="22"/>
                      <w:szCs w:val="22"/>
                    </w:rPr>
                  </w:pPr>
                  <w:r>
                    <w:rPr>
                      <w:rFonts w:hint="eastAsia"/>
                      <w:kern w:val="0"/>
                      <w:sz w:val="22"/>
                      <w:szCs w:val="22"/>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pct"/>
                  <w:vMerge w:val="continue"/>
                  <w:vAlign w:val="center"/>
                </w:tcPr>
                <w:p>
                  <w:pPr>
                    <w:jc w:val="center"/>
                    <w:rPr>
                      <w:kern w:val="0"/>
                      <w:sz w:val="22"/>
                      <w:szCs w:val="22"/>
                    </w:rPr>
                  </w:pPr>
                </w:p>
              </w:tc>
              <w:tc>
                <w:tcPr>
                  <w:tcW w:w="1642" w:type="pct"/>
                  <w:vAlign w:val="center"/>
                </w:tcPr>
                <w:p>
                  <w:pPr>
                    <w:jc w:val="center"/>
                    <w:rPr>
                      <w:kern w:val="0"/>
                      <w:sz w:val="22"/>
                      <w:szCs w:val="22"/>
                    </w:rPr>
                  </w:pPr>
                  <w:r>
                    <w:rPr>
                      <w:rFonts w:hint="eastAsia"/>
                      <w:kern w:val="0"/>
                      <w:sz w:val="22"/>
                      <w:szCs w:val="22"/>
                    </w:rPr>
                    <w:t>悬浮物</w:t>
                  </w:r>
                </w:p>
              </w:tc>
              <w:tc>
                <w:tcPr>
                  <w:tcW w:w="1368" w:type="pct"/>
                  <w:vAlign w:val="center"/>
                </w:tcPr>
                <w:p>
                  <w:pPr>
                    <w:jc w:val="center"/>
                    <w:rPr>
                      <w:kern w:val="0"/>
                      <w:sz w:val="22"/>
                      <w:szCs w:val="22"/>
                    </w:rPr>
                  </w:pPr>
                  <w:r>
                    <w:rPr>
                      <w:rFonts w:hint="eastAsia"/>
                      <w:kern w:val="0"/>
                      <w:sz w:val="22"/>
                      <w:szCs w:val="22"/>
                    </w:rPr>
                    <w:t>53-58</w:t>
                  </w:r>
                </w:p>
              </w:tc>
              <w:tc>
                <w:tcPr>
                  <w:tcW w:w="1250" w:type="pct"/>
                  <w:vAlign w:val="center"/>
                </w:tcPr>
                <w:p>
                  <w:pPr>
                    <w:jc w:val="center"/>
                    <w:rPr>
                      <w:kern w:val="0"/>
                      <w:sz w:val="22"/>
                      <w:szCs w:val="22"/>
                    </w:rPr>
                  </w:pPr>
                  <w:r>
                    <w:rPr>
                      <w:rFonts w:hint="eastAsia"/>
                      <w:kern w:val="0"/>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vAlign w:val="center"/>
                </w:tcPr>
                <w:p>
                  <w:pPr>
                    <w:jc w:val="center"/>
                    <w:rPr>
                      <w:kern w:val="0"/>
                      <w:sz w:val="22"/>
                      <w:szCs w:val="22"/>
                    </w:rPr>
                  </w:pPr>
                </w:p>
              </w:tc>
              <w:tc>
                <w:tcPr>
                  <w:tcW w:w="1642" w:type="pct"/>
                  <w:vAlign w:val="center"/>
                </w:tcPr>
                <w:p>
                  <w:pPr>
                    <w:jc w:val="center"/>
                    <w:rPr>
                      <w:kern w:val="0"/>
                      <w:sz w:val="22"/>
                      <w:szCs w:val="22"/>
                    </w:rPr>
                  </w:pPr>
                  <w:r>
                    <w:rPr>
                      <w:rFonts w:hint="eastAsia"/>
                      <w:kern w:val="0"/>
                      <w:sz w:val="22"/>
                      <w:szCs w:val="22"/>
                    </w:rPr>
                    <w:t>p</w:t>
                  </w:r>
                  <w:r>
                    <w:rPr>
                      <w:kern w:val="0"/>
                      <w:sz w:val="22"/>
                      <w:szCs w:val="22"/>
                    </w:rPr>
                    <w:t>H</w:t>
                  </w:r>
                </w:p>
              </w:tc>
              <w:tc>
                <w:tcPr>
                  <w:tcW w:w="1368" w:type="pct"/>
                  <w:vAlign w:val="center"/>
                </w:tcPr>
                <w:p>
                  <w:pPr>
                    <w:jc w:val="center"/>
                    <w:rPr>
                      <w:kern w:val="0"/>
                      <w:sz w:val="22"/>
                      <w:szCs w:val="22"/>
                    </w:rPr>
                  </w:pPr>
                  <w:r>
                    <w:rPr>
                      <w:rFonts w:hint="eastAsia"/>
                      <w:kern w:val="0"/>
                      <w:sz w:val="22"/>
                      <w:szCs w:val="22"/>
                    </w:rPr>
                    <w:t>7.1-7.7</w:t>
                  </w:r>
                </w:p>
              </w:tc>
              <w:tc>
                <w:tcPr>
                  <w:tcW w:w="1250" w:type="pct"/>
                  <w:vAlign w:val="center"/>
                </w:tcPr>
                <w:p>
                  <w:pPr>
                    <w:jc w:val="center"/>
                    <w:rPr>
                      <w:kern w:val="0"/>
                      <w:sz w:val="22"/>
                      <w:szCs w:val="22"/>
                    </w:rPr>
                  </w:pPr>
                  <w:r>
                    <w:rPr>
                      <w:rFonts w:hint="eastAsia"/>
                      <w:kern w:val="0"/>
                      <w:sz w:val="22"/>
                      <w:szCs w:val="22"/>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vAlign w:val="center"/>
                </w:tcPr>
                <w:p>
                  <w:pPr>
                    <w:jc w:val="center"/>
                    <w:rPr>
                      <w:kern w:val="0"/>
                      <w:sz w:val="22"/>
                      <w:szCs w:val="22"/>
                    </w:rPr>
                  </w:pPr>
                </w:p>
              </w:tc>
              <w:tc>
                <w:tcPr>
                  <w:tcW w:w="1642" w:type="pct"/>
                  <w:vAlign w:val="center"/>
                </w:tcPr>
                <w:p>
                  <w:pPr>
                    <w:jc w:val="center"/>
                    <w:rPr>
                      <w:kern w:val="0"/>
                      <w:sz w:val="22"/>
                      <w:szCs w:val="22"/>
                    </w:rPr>
                  </w:pPr>
                  <w:r>
                    <w:rPr>
                      <w:rFonts w:hint="eastAsia"/>
                      <w:kern w:val="0"/>
                      <w:sz w:val="22"/>
                      <w:szCs w:val="22"/>
                    </w:rPr>
                    <w:t>五日生化需氧量</w:t>
                  </w:r>
                </w:p>
              </w:tc>
              <w:tc>
                <w:tcPr>
                  <w:tcW w:w="1368" w:type="pct"/>
                  <w:vAlign w:val="center"/>
                </w:tcPr>
                <w:p>
                  <w:pPr>
                    <w:jc w:val="center"/>
                    <w:rPr>
                      <w:kern w:val="0"/>
                      <w:sz w:val="22"/>
                      <w:szCs w:val="22"/>
                    </w:rPr>
                  </w:pPr>
                  <w:r>
                    <w:rPr>
                      <w:rFonts w:hint="eastAsia"/>
                      <w:kern w:val="0"/>
                      <w:sz w:val="22"/>
                      <w:szCs w:val="22"/>
                    </w:rPr>
                    <w:t>129-155</w:t>
                  </w:r>
                </w:p>
              </w:tc>
              <w:tc>
                <w:tcPr>
                  <w:tcW w:w="1250" w:type="pct"/>
                  <w:vAlign w:val="center"/>
                </w:tcPr>
                <w:p>
                  <w:pPr>
                    <w:jc w:val="center"/>
                    <w:rPr>
                      <w:kern w:val="0"/>
                      <w:sz w:val="22"/>
                      <w:szCs w:val="22"/>
                    </w:rPr>
                  </w:pPr>
                  <w:r>
                    <w:rPr>
                      <w:rFonts w:hint="eastAsia"/>
                      <w:kern w:val="0"/>
                      <w:sz w:val="22"/>
                      <w:szCs w:val="22"/>
                    </w:rPr>
                    <w:t>142</w:t>
                  </w:r>
                </w:p>
              </w:tc>
            </w:tr>
          </w:tbl>
          <w:p>
            <w:pPr>
              <w:spacing w:line="360" w:lineRule="auto"/>
              <w:ind w:firstLine="480" w:firstLineChars="200"/>
              <w:rPr>
                <w:sz w:val="24"/>
                <w:szCs w:val="32"/>
              </w:rPr>
            </w:pPr>
          </w:p>
          <w:p>
            <w:pPr>
              <w:spacing w:line="360" w:lineRule="auto"/>
              <w:ind w:firstLine="480" w:firstLineChars="200"/>
              <w:rPr>
                <w:sz w:val="24"/>
                <w:szCs w:val="32"/>
              </w:rPr>
            </w:pPr>
            <w:r>
              <w:rPr>
                <w:rFonts w:hint="eastAsia"/>
                <w:sz w:val="24"/>
                <w:szCs w:val="32"/>
              </w:rPr>
              <w:t>2、达标排放情况</w:t>
            </w:r>
          </w:p>
          <w:p>
            <w:pPr>
              <w:spacing w:line="360" w:lineRule="auto"/>
              <w:ind w:firstLine="480" w:firstLineChars="200"/>
              <w:rPr>
                <w:sz w:val="24"/>
              </w:rPr>
            </w:pPr>
            <w:bookmarkStart w:id="18" w:name="_Hlk170972502"/>
            <w:r>
              <w:rPr>
                <w:rFonts w:hint="eastAsia"/>
                <w:sz w:val="24"/>
              </w:rPr>
              <w:t>院区门诊病人、住院病人以及医务人员处产生的生活废水经化粪池处理后，再与地面保洁废水、洗衣房废水一并排入院区自建污水处理站处理，自建污水处理站设计处理规模为3</w:t>
            </w:r>
            <w:r>
              <w:rPr>
                <w:sz w:val="24"/>
              </w:rPr>
              <w:t>0m</w:t>
            </w:r>
            <w:r>
              <w:rPr>
                <w:sz w:val="24"/>
                <w:vertAlign w:val="superscript"/>
              </w:rPr>
              <w:t>3</w:t>
            </w:r>
            <w:r>
              <w:rPr>
                <w:sz w:val="24"/>
              </w:rPr>
              <w:t>/d</w:t>
            </w:r>
            <w:r>
              <w:rPr>
                <w:rFonts w:hint="eastAsia"/>
                <w:sz w:val="24"/>
              </w:rPr>
              <w:t>，处理工艺为“A</w:t>
            </w:r>
            <w:r>
              <w:rPr>
                <w:sz w:val="24"/>
              </w:rPr>
              <w:t>O+</w:t>
            </w:r>
            <w:r>
              <w:rPr>
                <w:rFonts w:hint="eastAsia"/>
                <w:sz w:val="24"/>
              </w:rPr>
              <w:t>二氧化氯消毒”工艺</w:t>
            </w:r>
            <w:bookmarkEnd w:id="18"/>
            <w:r>
              <w:rPr>
                <w:rFonts w:hint="eastAsia"/>
                <w:sz w:val="24"/>
              </w:rPr>
              <w:t>，其处理工艺如下所示：</w:t>
            </w:r>
          </w:p>
          <w:p>
            <w:pPr>
              <w:spacing w:line="360" w:lineRule="auto"/>
              <w:rPr>
                <w:sz w:val="24"/>
                <w:szCs w:val="32"/>
              </w:rPr>
            </w:pPr>
            <w:r>
              <w:rPr>
                <w:rFonts w:hint="eastAsia"/>
                <w:sz w:val="24"/>
                <w:szCs w:val="32"/>
              </w:rPr>
              <mc:AlternateContent>
                <mc:Choice Requires="wpc">
                  <w:drawing>
                    <wp:inline distT="0" distB="0" distL="0" distR="0">
                      <wp:extent cx="4914900" cy="3295650"/>
                      <wp:effectExtent l="0" t="0" r="0" b="0"/>
                      <wp:docPr id="578034747"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85749970" name="文本框 685749970"/>
                              <wps:cNvSpPr txBox="1"/>
                              <wps:spPr>
                                <a:xfrm>
                                  <a:off x="2105026" y="95250"/>
                                  <a:ext cx="742950" cy="285750"/>
                                </a:xfrm>
                                <a:prstGeom prst="rect">
                                  <a:avLst/>
                                </a:prstGeom>
                                <a:solidFill>
                                  <a:schemeClr val="lt1"/>
                                </a:solidFill>
                                <a:ln w="6350">
                                  <a:solidFill>
                                    <a:prstClr val="black"/>
                                  </a:solidFill>
                                </a:ln>
                              </wps:spPr>
                              <wps:txbx>
                                <w:txbxContent>
                                  <w:p>
                                    <w:pPr>
                                      <w:jc w:val="center"/>
                                    </w:pPr>
                                    <w:r>
                                      <w:rPr>
                                        <w:rFonts w:hint="eastAsia"/>
                                      </w:rPr>
                                      <w:t>医疗废水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6872330" name="直接箭头连接符 576872330"/>
                              <wps:cNvCnPr/>
                              <wps:spPr>
                                <a:xfrm>
                                  <a:off x="2476500" y="38100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4744449" name="文本框 1"/>
                              <wps:cNvSpPr txBox="1"/>
                              <wps:spPr>
                                <a:xfrm>
                                  <a:off x="2105026" y="637200"/>
                                  <a:ext cx="742950" cy="285750"/>
                                </a:xfrm>
                                <a:prstGeom prst="rect">
                                  <a:avLst/>
                                </a:prstGeom>
                                <a:solidFill>
                                  <a:schemeClr val="lt1"/>
                                </a:solidFill>
                                <a:ln w="6350">
                                  <a:solidFill>
                                    <a:prstClr val="black"/>
                                  </a:solidFill>
                                </a:ln>
                              </wps:spPr>
                              <wps:txbx>
                                <w:txbxContent>
                                  <w:p>
                                    <w:pPr>
                                      <w:jc w:val="center"/>
                                      <w:rPr>
                                        <w:szCs w:val="21"/>
                                      </w:rPr>
                                    </w:pPr>
                                    <w:r>
                                      <w:rPr>
                                        <w:rFonts w:hint="eastAsia"/>
                                        <w:szCs w:val="21"/>
                                      </w:rPr>
                                      <w:t>调节池</w:t>
                                    </w:r>
                                  </w:p>
                                </w:txbxContent>
                              </wps:txbx>
                              <wps:bodyPr rot="0" spcFirstLastPara="0" vert="horz" wrap="square" lIns="91440" tIns="45720" rIns="91440" bIns="45720" numCol="1" spcCol="0" rtlCol="0" fromWordArt="0" anchor="t" anchorCtr="0" forceAA="0" compatLnSpc="1">
                                <a:noAutofit/>
                              </wps:bodyPr>
                            </wps:wsp>
                            <wps:wsp>
                              <wps:cNvPr id="2083749719" name="直接箭头连接符 2083749719"/>
                              <wps:cNvCnPr/>
                              <wps:spPr>
                                <a:xfrm>
                                  <a:off x="2485050" y="92295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2497999" name="文本框 1"/>
                              <wps:cNvSpPr txBox="1"/>
                              <wps:spPr>
                                <a:xfrm>
                                  <a:off x="2123100" y="1189650"/>
                                  <a:ext cx="742950" cy="285750"/>
                                </a:xfrm>
                                <a:prstGeom prst="rect">
                                  <a:avLst/>
                                </a:prstGeom>
                                <a:solidFill>
                                  <a:schemeClr val="lt1"/>
                                </a:solidFill>
                                <a:ln w="6350">
                                  <a:solidFill>
                                    <a:prstClr val="black"/>
                                  </a:solidFill>
                                </a:ln>
                              </wps:spPr>
                              <wps:txbx>
                                <w:txbxContent>
                                  <w:p>
                                    <w:pPr>
                                      <w:jc w:val="center"/>
                                      <w:rPr>
                                        <w:szCs w:val="21"/>
                                      </w:rPr>
                                    </w:pPr>
                                    <w:r>
                                      <w:rPr>
                                        <w:rFonts w:hint="eastAsia"/>
                                        <w:szCs w:val="21"/>
                                      </w:rPr>
                                      <w:t>厌氧段</w:t>
                                    </w:r>
                                  </w:p>
                                </w:txbxContent>
                              </wps:txbx>
                              <wps:bodyPr rot="0" spcFirstLastPara="0" vert="horz" wrap="square" lIns="91440" tIns="45720" rIns="91440" bIns="45720" numCol="1" spcCol="0" rtlCol="0" fromWordArt="0" anchor="t" anchorCtr="0" forceAA="0" compatLnSpc="1">
                                <a:noAutofit/>
                              </wps:bodyPr>
                            </wps:wsp>
                            <wps:wsp>
                              <wps:cNvPr id="1361794818" name="直接箭头连接符 1361794818"/>
                              <wps:cNvCnPr/>
                              <wps:spPr>
                                <a:xfrm>
                                  <a:off x="2493305" y="147413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1650636" name="文本框 1"/>
                              <wps:cNvSpPr txBox="1"/>
                              <wps:spPr>
                                <a:xfrm>
                                  <a:off x="2132625" y="1740830"/>
                                  <a:ext cx="742950" cy="285750"/>
                                </a:xfrm>
                                <a:prstGeom prst="rect">
                                  <a:avLst/>
                                </a:prstGeom>
                                <a:solidFill>
                                  <a:schemeClr val="lt1"/>
                                </a:solidFill>
                                <a:ln w="6350">
                                  <a:solidFill>
                                    <a:prstClr val="black"/>
                                  </a:solidFill>
                                </a:ln>
                              </wps:spPr>
                              <wps:txbx>
                                <w:txbxContent>
                                  <w:p>
                                    <w:pPr>
                                      <w:jc w:val="center"/>
                                      <w:rPr>
                                        <w:szCs w:val="21"/>
                                      </w:rPr>
                                    </w:pPr>
                                    <w:r>
                                      <w:rPr>
                                        <w:rFonts w:hint="eastAsia"/>
                                        <w:szCs w:val="21"/>
                                      </w:rPr>
                                      <w:t>好氧段</w:t>
                                    </w:r>
                                  </w:p>
                                </w:txbxContent>
                              </wps:txbx>
                              <wps:bodyPr rot="0" spcFirstLastPara="0" vert="horz" wrap="square" lIns="91440" tIns="45720" rIns="91440" bIns="45720" numCol="1" spcCol="0" rtlCol="0" fromWordArt="0" anchor="t" anchorCtr="0" forceAA="0" compatLnSpc="1">
                                <a:noAutofit/>
                              </wps:bodyPr>
                            </wps:wsp>
                            <wps:wsp>
                              <wps:cNvPr id="1066174038" name="直接箭头连接符 1066174038"/>
                              <wps:cNvCnPr/>
                              <wps:spPr>
                                <a:xfrm>
                                  <a:off x="2500585" y="202658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79153683" name="文本框 1"/>
                              <wps:cNvSpPr txBox="1"/>
                              <wps:spPr>
                                <a:xfrm>
                                  <a:off x="2142150" y="2293280"/>
                                  <a:ext cx="742950" cy="285750"/>
                                </a:xfrm>
                                <a:prstGeom prst="rect">
                                  <a:avLst/>
                                </a:prstGeom>
                                <a:solidFill>
                                  <a:schemeClr val="lt1"/>
                                </a:solidFill>
                                <a:ln w="6350">
                                  <a:solidFill>
                                    <a:prstClr val="black"/>
                                  </a:solidFill>
                                </a:ln>
                              </wps:spPr>
                              <wps:txbx>
                                <w:txbxContent>
                                  <w:p>
                                    <w:pPr>
                                      <w:jc w:val="center"/>
                                      <w:rPr>
                                        <w:szCs w:val="21"/>
                                      </w:rPr>
                                    </w:pPr>
                                    <w:r>
                                      <w:rPr>
                                        <w:rFonts w:hint="eastAsia"/>
                                        <w:szCs w:val="21"/>
                                      </w:rPr>
                                      <w:t>消毒池</w:t>
                                    </w:r>
                                  </w:p>
                                </w:txbxContent>
                              </wps:txbx>
                              <wps:bodyPr rot="0" spcFirstLastPara="0" vert="horz" wrap="square" lIns="91440" tIns="45720" rIns="91440" bIns="45720" numCol="1" spcCol="0" rtlCol="0" fromWordArt="0" anchor="t" anchorCtr="0" forceAA="0" compatLnSpc="1">
                                <a:noAutofit/>
                              </wps:bodyPr>
                            </wps:wsp>
                            <wps:wsp>
                              <wps:cNvPr id="1156730004" name="直接箭头连接符 1156730004"/>
                              <wps:cNvCnPr/>
                              <wps:spPr>
                                <a:xfrm>
                                  <a:off x="2518070" y="257903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002433" name="文本框 1"/>
                              <wps:cNvSpPr txBox="1"/>
                              <wps:spPr>
                                <a:xfrm>
                                  <a:off x="1980225" y="2837475"/>
                                  <a:ext cx="1077300" cy="285750"/>
                                </a:xfrm>
                                <a:prstGeom prst="rect">
                                  <a:avLst/>
                                </a:prstGeom>
                                <a:solidFill>
                                  <a:schemeClr val="lt1"/>
                                </a:solidFill>
                                <a:ln w="6350">
                                  <a:solidFill>
                                    <a:prstClr val="black"/>
                                  </a:solidFill>
                                </a:ln>
                              </wps:spPr>
                              <wps:txbx>
                                <w:txbxContent>
                                  <w:p>
                                    <w:pPr>
                                      <w:jc w:val="center"/>
                                      <w:rPr>
                                        <w:szCs w:val="21"/>
                                      </w:rPr>
                                    </w:pPr>
                                    <w:r>
                                      <w:rPr>
                                        <w:rFonts w:hint="eastAsia"/>
                                        <w:szCs w:val="21"/>
                                      </w:rPr>
                                      <w:t>排入市政管网</w:t>
                                    </w:r>
                                  </w:p>
                                </w:txbxContent>
                              </wps:txbx>
                              <wps:bodyPr rot="0" spcFirstLastPara="0" vert="horz" wrap="square" lIns="91440" tIns="45720" rIns="91440" bIns="45720" numCol="1" spcCol="0" rtlCol="0" fromWordArt="0" anchor="t" anchorCtr="0" forceAA="0" compatLnSpc="1">
                                <a:noAutofit/>
                              </wps:bodyPr>
                            </wps:wsp>
                            <wps:wsp>
                              <wps:cNvPr id="1210035065" name="矩形 1210035065"/>
                              <wps:cNvSpPr/>
                              <wps:spPr>
                                <a:xfrm>
                                  <a:off x="1800225" y="1047750"/>
                                  <a:ext cx="1371600" cy="1123950"/>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13737644" name="文本框 1"/>
                              <wps:cNvSpPr txBox="1"/>
                              <wps:spPr>
                                <a:xfrm>
                                  <a:off x="3113700" y="1027725"/>
                                  <a:ext cx="963000" cy="285750"/>
                                </a:xfrm>
                                <a:prstGeom prst="rect">
                                  <a:avLst/>
                                </a:prstGeom>
                                <a:noFill/>
                                <a:ln w="6350">
                                  <a:noFill/>
                                </a:ln>
                              </wps:spPr>
                              <wps:txbx>
                                <w:txbxContent>
                                  <w:p>
                                    <w:pPr>
                                      <w:jc w:val="center"/>
                                      <w:rPr>
                                        <w:szCs w:val="21"/>
                                      </w:rPr>
                                    </w:pPr>
                                    <w:r>
                                      <w:rPr>
                                        <w:rFonts w:hint="eastAsia"/>
                                        <w:szCs w:val="21"/>
                                      </w:rPr>
                                      <w:t>一体化设备</w:t>
                                    </w:r>
                                  </w:p>
                                </w:txbxContent>
                              </wps:txbx>
                              <wps:bodyPr rot="0" spcFirstLastPara="0" vert="horz" wrap="square" lIns="91440" tIns="45720" rIns="91440" bIns="45720" numCol="1" spcCol="0" rtlCol="0" fromWordArt="0" anchor="t" anchorCtr="0" forceAA="0" compatLnSpc="1">
                                <a:noAutofit/>
                              </wps:bodyPr>
                            </wps:wsp>
                            <wps:wsp>
                              <wps:cNvPr id="1782082407" name="直接箭头连接符 1782082407"/>
                              <wps:cNvCnPr/>
                              <wps:spPr>
                                <a:xfrm>
                                  <a:off x="1800225" y="243840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48829268" name="文本框 1"/>
                              <wps:cNvSpPr txBox="1"/>
                              <wps:spPr>
                                <a:xfrm>
                                  <a:off x="656250" y="2283755"/>
                                  <a:ext cx="1229700" cy="285750"/>
                                </a:xfrm>
                                <a:prstGeom prst="rect">
                                  <a:avLst/>
                                </a:prstGeom>
                                <a:noFill/>
                                <a:ln w="6350">
                                  <a:noFill/>
                                </a:ln>
                              </wps:spPr>
                              <wps:txbx>
                                <w:txbxContent>
                                  <w:p>
                                    <w:pPr>
                                      <w:jc w:val="center"/>
                                      <w:rPr>
                                        <w:szCs w:val="21"/>
                                      </w:rPr>
                                    </w:pPr>
                                    <w:r>
                                      <w:rPr>
                                        <w:rFonts w:hint="eastAsia"/>
                                        <w:szCs w:val="21"/>
                                      </w:rPr>
                                      <w:t>二氧化氯投加器</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w:pict>
                    <v:group id="画布 2" o:spid="_x0000_s1026" o:spt="203" style="height:259.5pt;width:387pt;" coordsize="4914900,3295650" editas="canvas" o:gfxdata="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">
                      <o:lock v:ext="edit" aspectratio="f"/>
                      <v:shape id="画布 2" o:spid="_x0000_s1026" style="position:absolute;left:0;top:0;height:3295650;width:4914900;" fillcolor="#FFFFFF" filled="t" stroked="f" coordsize="21600,21600" o:gfxdata="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">
                        <v:fill on="t" focussize="0,0"/>
                        <v:stroke on="f"/>
                        <v:imagedata o:title=""/>
                        <o:lock v:ext="edit" aspectratio="t"/>
                      </v:shape>
                      <v:shape id="_x0000_s1026" o:spid="_x0000_s1026" o:spt="202" type="#_x0000_t202" style="position:absolute;left:2105026;top:95250;height:285750;width:742950;" fillcolor="#FFFFFF [3201]" filled="t" stroked="t" coordsize="21600,21600" o:gfxdata="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2q62fTAAAABQEAAA8AAAAAAAAAAQAgAAAAIgAAAGRycy9kb3ducmV2LnhtbFBLAQIUABQA&#10;AAAIAIdO4kCjVqMFZwIAANAEAAAOAAAAAAAAAAEAIAAAACIBAABkcnMvZTJvRG9jLnhtbFBLBQYA&#10;AAAABgAGAFkBAAD7BQAAAAA=&#10;">
                        <v:fill on="t" focussize="0,0"/>
                        <v:stroke weight="0.5pt" color="#000000" joinstyle="round"/>
                        <v:imagedata o:title=""/>
                        <o:lock v:ext="edit" aspectratio="f"/>
                        <v:textbox>
                          <w:txbxContent>
                            <w:p>
                              <w:pPr>
                                <w:jc w:val="center"/>
                              </w:pPr>
                              <w:r>
                                <w:rPr>
                                  <w:rFonts w:hint="eastAsia"/>
                                </w:rPr>
                                <w:t>医疗废水</w:t>
                              </w:r>
                            </w:p>
                          </w:txbxContent>
                        </v:textbox>
                      </v:shape>
                      <v:shape id="_x0000_s1026" o:spid="_x0000_s1026" o:spt="32" type="#_x0000_t32" style="position:absolute;left:2476500;top:381000;height:257175;width:0;" filled="f" stroked="t" coordsize="21600,21600" o:gfxdata="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Ir5A3TAAAABQEAAA8AAAAAAAAA&#10;AQAgAAAAIgAAAGRycy9kb3ducmV2LnhtbFBLAQIUABQAAAAIAIdO4kBpGabzFgIAAPsDAAAOAAAA&#10;AAAAAAEAIAAAACIBAABkcnMvZTJvRG9jLnhtbFBLBQYAAAAABgAGAFkBAACqBQAAAAA=&#10;">
                        <v:fill on="f" focussize="0,0"/>
                        <v:stroke weight="0.5pt" color="#000000 [3200]" miterlimit="8" joinstyle="miter" endarrow="block"/>
                        <v:imagedata o:title=""/>
                        <o:lock v:ext="edit" aspectratio="f"/>
                      </v:shape>
                      <v:shape id="文本框 1" o:spid="_x0000_s1026" o:spt="202" type="#_x0000_t202" style="position:absolute;left:2105026;top:637200;height:285750;width:742950;" fillcolor="#FFFFFF [3201]" filled="t" stroked="t" coordsize="21600,21600" o:gfxdata="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dqutn0wAAAAUBAAAPAAAA&#10;AAAAAAEAIAAAACIAAABkcnMvZG93bnJldi54bWxQSwECFAAUAAAACACHTuJABufNolMCAACZBAAA&#10;DgAAAAAAAAABACAAAAAiAQAAZHJzL2Uyb0RvYy54bWxQSwUGAAAAAAYABgBZAQAA5wUAAAAA&#10;">
                        <v:fill on="t" focussize="0,0"/>
                        <v:stroke weight="0.5pt" color="#000000" joinstyle="round"/>
                        <v:imagedata o:title=""/>
                        <o:lock v:ext="edit" aspectratio="f"/>
                        <v:textbox>
                          <w:txbxContent>
                            <w:p>
                              <w:pPr>
                                <w:jc w:val="center"/>
                                <w:rPr>
                                  <w:szCs w:val="21"/>
                                </w:rPr>
                              </w:pPr>
                              <w:r>
                                <w:rPr>
                                  <w:rFonts w:hint="eastAsia"/>
                                  <w:szCs w:val="21"/>
                                </w:rPr>
                                <w:t>调节池</w:t>
                              </w:r>
                            </w:p>
                          </w:txbxContent>
                        </v:textbox>
                      </v:shape>
                      <v:shape id="_x0000_s1026" o:spid="_x0000_s1026" o:spt="32" type="#_x0000_t32" style="position:absolute;left:2485050;top:922950;height:257175;width:0;" filled="f" stroked="t" coordsize="21600,21600" o:gfxdata="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ivkDdMAAAAFAQAADwAAAAAA&#10;AAABACAAAAAiAAAAZHJzL2Rvd25yZXYueG1sUEsBAhQAFAAAAAgAh07iQPKIl8QYAgAA/QMAAA4A&#10;AAAAAAAAAQAgAAAAIgEAAGRycy9lMm9Eb2MueG1sUEsFBgAAAAAGAAYAWQEAAKwFAAAAAA==&#10;">
                        <v:fill on="f" focussize="0,0"/>
                        <v:stroke weight="0.5pt" color="#000000 [3200]" miterlimit="8" joinstyle="miter" endarrow="block"/>
                        <v:imagedata o:title=""/>
                        <o:lock v:ext="edit" aspectratio="f"/>
                      </v:shape>
                      <v:shape id="文本框 1" o:spid="_x0000_s1026" o:spt="202" type="#_x0000_t202" style="position:absolute;left:2123100;top:1189650;height:285750;width:742950;" fillcolor="#FFFFFF [3201]" filled="t" stroked="t" coordsize="21600,21600" o:gfxdata="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2q62fTAAAABQEA&#10;AA8AAAAAAAAAAQAgAAAAIgAAAGRycy9kb3ducmV2LnhtbFBLAQIUABQAAAAIAIdO4kCrNskDWAIA&#10;AJoEAAAOAAAAAAAAAAEAIAAAACIBAABkcnMvZTJvRG9jLnhtbFBLBQYAAAAABgAGAFkBAADsBQAA&#10;AAA=&#10;">
                        <v:fill on="t" focussize="0,0"/>
                        <v:stroke weight="0.5pt" color="#000000" joinstyle="round"/>
                        <v:imagedata o:title=""/>
                        <o:lock v:ext="edit" aspectratio="f"/>
                        <v:textbox>
                          <w:txbxContent>
                            <w:p>
                              <w:pPr>
                                <w:jc w:val="center"/>
                                <w:rPr>
                                  <w:szCs w:val="21"/>
                                </w:rPr>
                              </w:pPr>
                              <w:r>
                                <w:rPr>
                                  <w:rFonts w:hint="eastAsia"/>
                                  <w:szCs w:val="21"/>
                                </w:rPr>
                                <w:t>厌氧段</w:t>
                              </w:r>
                            </w:p>
                          </w:txbxContent>
                        </v:textbox>
                      </v:shape>
                      <v:shape id="_x0000_s1026" o:spid="_x0000_s1026" o:spt="32" type="#_x0000_t32" style="position:absolute;left:2493305;top:1474130;height:257175;width:0;" filled="f" stroked="t" coordsize="21600,21600" o:gfxdata="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CK+QN0wAAAAUBAAAPAAAA&#10;AAAAAAEAIAAAACIAAABkcnMvZG93bnJldi54bWxQSwECFAAUAAAACACHTuJA/Fy4ExoCAAD+AwAA&#10;DgAAAAAAAAABACAAAAAiAQAAZHJzL2Uyb0RvYy54bWxQSwUGAAAAAAYABgBZAQAArgUAAAAA&#10;">
                        <v:fill on="f" focussize="0,0"/>
                        <v:stroke weight="0.5pt" color="#000000 [3200]" miterlimit="8" joinstyle="miter" endarrow="block"/>
                        <v:imagedata o:title=""/>
                        <o:lock v:ext="edit" aspectratio="f"/>
                      </v:shape>
                      <v:shape id="文本框 1" o:spid="_x0000_s1026" o:spt="202" type="#_x0000_t202" style="position:absolute;left:2132625;top:1740830;height:285750;width:742950;" fillcolor="#FFFFFF [3201]" filled="t" stroked="t" coordsize="21600,21600" o:gfxdata="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arrZ9MAAAAFAQAA&#10;DwAAAAAAAAABACAAAAAiAAAAZHJzL2Rvd25yZXYueG1sUEsBAhQAFAAAAAgAh07iQFqj4ulXAgAA&#10;mgQAAA4AAAAAAAAAAQAgAAAAIgEAAGRycy9lMm9Eb2MueG1sUEsFBgAAAAAGAAYAWQEAAOsFAAAA&#10;AA==&#10;">
                        <v:fill on="t" focussize="0,0"/>
                        <v:stroke weight="0.5pt" color="#000000" joinstyle="round"/>
                        <v:imagedata o:title=""/>
                        <o:lock v:ext="edit" aspectratio="f"/>
                        <v:textbox>
                          <w:txbxContent>
                            <w:p>
                              <w:pPr>
                                <w:jc w:val="center"/>
                                <w:rPr>
                                  <w:szCs w:val="21"/>
                                </w:rPr>
                              </w:pPr>
                              <w:r>
                                <w:rPr>
                                  <w:rFonts w:hint="eastAsia"/>
                                  <w:szCs w:val="21"/>
                                </w:rPr>
                                <w:t>好氧段</w:t>
                              </w:r>
                            </w:p>
                          </w:txbxContent>
                        </v:textbox>
                      </v:shape>
                      <v:shape id="_x0000_s1026" o:spid="_x0000_s1026" o:spt="32" type="#_x0000_t32" style="position:absolute;left:2500585;top:2026580;height:257175;width:0;" filled="f" stroked="t" coordsize="21600,21600" o:gfxdata="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Ir5A3TAAAABQEAAA8AAAAA&#10;AAAAAQAgAAAAIgAAAGRycy9kb3ducmV2LnhtbFBLAQIUABQAAAAIAIdO4kAKsnPHGQIAAP4DAAAO&#10;AAAAAAAAAAEAIAAAACIBAABkcnMvZTJvRG9jLnhtbFBLBQYAAAAABgAGAFkBAACtBQAAAAA=&#10;">
                        <v:fill on="f" focussize="0,0"/>
                        <v:stroke weight="0.5pt" color="#000000 [3200]" miterlimit="8" joinstyle="miter" endarrow="block"/>
                        <v:imagedata o:title=""/>
                        <o:lock v:ext="edit" aspectratio="f"/>
                      </v:shape>
                      <v:shape id="文本框 1" o:spid="_x0000_s1026" o:spt="202" type="#_x0000_t202" style="position:absolute;left:2142150;top:2293280;height:285750;width:742950;" fillcolor="#FFFFFF [3201]" filled="t" stroked="t" coordsize="21600,21600" o:gfxdata="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2q62fTAAAABQEAAA8A&#10;AAAAAAAAAQAgAAAAIgAAAGRycy9kb3ducmV2LnhtbFBLAQIUABQAAAAIAIdO4kBpWZ1BVQIAAJsE&#10;AAAOAAAAAAAAAAEAIAAAACIBAABkcnMvZTJvRG9jLnhtbFBLBQYAAAAABgAGAFkBAADpBQAAAAA=&#10;">
                        <v:fill on="t" focussize="0,0"/>
                        <v:stroke weight="0.5pt" color="#000000" joinstyle="round"/>
                        <v:imagedata o:title=""/>
                        <o:lock v:ext="edit" aspectratio="f"/>
                        <v:textbox>
                          <w:txbxContent>
                            <w:p>
                              <w:pPr>
                                <w:jc w:val="center"/>
                                <w:rPr>
                                  <w:szCs w:val="21"/>
                                </w:rPr>
                              </w:pPr>
                              <w:r>
                                <w:rPr>
                                  <w:rFonts w:hint="eastAsia"/>
                                  <w:szCs w:val="21"/>
                                </w:rPr>
                                <w:t>消毒池</w:t>
                              </w:r>
                            </w:p>
                          </w:txbxContent>
                        </v:textbox>
                      </v:shape>
                      <v:shape id="_x0000_s1026" o:spid="_x0000_s1026" o:spt="32" type="#_x0000_t32" style="position:absolute;left:2518070;top:2579030;height:257175;width:0;" filled="f" stroked="t" coordsize="21600,21600" o:gfxdata="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Ir5A3TAAAABQEAAA8AAAAAAAAA&#10;AQAgAAAAIgAAAGRycy9kb3ducmV2LnhtbFBLAQIUABQAAAAIAIdO4kC5/KdSFgIAAP4DAAAOAAAA&#10;AAAAAAEAIAAAACIBAABkcnMvZTJvRG9jLnhtbFBLBQYAAAAABgAGAFkBAACqBQAAAAA=&#10;">
                        <v:fill on="f" focussize="0,0"/>
                        <v:stroke weight="0.5pt" color="#000000 [3200]" miterlimit="8" joinstyle="miter" endarrow="block"/>
                        <v:imagedata o:title=""/>
                        <o:lock v:ext="edit" aspectratio="f"/>
                      </v:shape>
                      <v:shape id="文本框 1" o:spid="_x0000_s1026" o:spt="202" type="#_x0000_t202" style="position:absolute;left:1980225;top:2837475;height:285750;width:1077300;" fillcolor="#FFFFFF [3201]" filled="t" stroked="t" coordsize="21600,21600" o:gfxdata="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arrZ9MAAAAFAQAA&#10;DwAAAAAAAAABACAAAAAiAAAAZHJzL2Rvd25yZXYueG1sUEsBAhQAFAAAAAgAh07iQNORy8FXAgAA&#10;mwQAAA4AAAAAAAAAAQAgAAAAIgEAAGRycy9lMm9Eb2MueG1sUEsFBgAAAAAGAAYAWQEAAOsFAAAA&#10;AA==&#10;">
                        <v:fill on="t" focussize="0,0"/>
                        <v:stroke weight="0.5pt" color="#000000" joinstyle="round"/>
                        <v:imagedata o:title=""/>
                        <o:lock v:ext="edit" aspectratio="f"/>
                        <v:textbox>
                          <w:txbxContent>
                            <w:p>
                              <w:pPr>
                                <w:jc w:val="center"/>
                                <w:rPr>
                                  <w:szCs w:val="21"/>
                                </w:rPr>
                              </w:pPr>
                              <w:r>
                                <w:rPr>
                                  <w:rFonts w:hint="eastAsia"/>
                                  <w:szCs w:val="21"/>
                                </w:rPr>
                                <w:t>排入市政管网</w:t>
                              </w:r>
                            </w:p>
                          </w:txbxContent>
                        </v:textbox>
                      </v:shape>
                      <v:rect id="_x0000_s1026" o:spid="_x0000_s1026" o:spt="1" style="position:absolute;left:1800225;top:1047750;height:1123950;width:1371600;v-text-anchor:middle;" filled="f" stroked="t" coordsize="21600,21600" o:gfxdata="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CnO9jdQAAAAFAQAADwAAAAAAAAABACAAAAAiAAAA&#10;ZHJzL2Rvd25yZXYueG1sUEsBAhQAFAAAAAgAh07iQNDeOCB9AgAA7AQAAA4AAAAAAAAAAQAgAAAA&#10;IwEAAGRycy9lMm9Eb2MueG1sUEsFBgAAAAAGAAYAWQEAABIGAAAAAA==&#10;">
                        <v:fill on="f" focussize="0,0"/>
                        <v:stroke weight="1pt" color="#000000 [3213]" miterlimit="8" joinstyle="miter" dashstyle="dashDot"/>
                        <v:imagedata o:title=""/>
                        <o:lock v:ext="edit" aspectratio="f"/>
                      </v:rect>
                      <v:shape id="文本框 1" o:spid="_x0000_s1026" o:spt="202" type="#_x0000_t202" style="position:absolute;left:3113700;top:1027725;height:285750;width:963000;" filled="f" stroked="f" coordsize="21600,21600" o:gfxdata="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68AnHXAAAABQEAAA8AAAAAAAAAAQAgAAAAIgAAAGRycy9k&#10;b3ducmV2LnhtbFBLAQIUABQAAAAIAIdO4kCJRMv8PAIAAEoEAAAOAAAAAAAAAAEAIAAAACYBAABk&#10;cnMvZTJvRG9jLnhtbFBLBQYAAAAABgAGAFkBAADUBQAAAAA=&#10;">
                        <v:fill on="f" focussize="0,0"/>
                        <v:stroke on="f" weight="0.5pt"/>
                        <v:imagedata o:title=""/>
                        <o:lock v:ext="edit" aspectratio="f"/>
                        <v:textbox>
                          <w:txbxContent>
                            <w:p>
                              <w:pPr>
                                <w:jc w:val="center"/>
                                <w:rPr>
                                  <w:szCs w:val="21"/>
                                </w:rPr>
                              </w:pPr>
                              <w:r>
                                <w:rPr>
                                  <w:rFonts w:hint="eastAsia"/>
                                  <w:szCs w:val="21"/>
                                </w:rPr>
                                <w:t>一体化设备</w:t>
                              </w:r>
                            </w:p>
                          </w:txbxContent>
                        </v:textbox>
                      </v:shape>
                      <v:shape id="_x0000_s1026" o:spid="_x0000_s1026" o:spt="32" type="#_x0000_t32" style="position:absolute;left:1800225;top:2438400;height:0;width:333375;" filled="f" stroked="t" coordsize="21600,21600" o:gfxdata="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ivkDdMAAAAFAQAADwAA&#10;AAAAAAABACAAAAAiAAAAZHJzL2Rvd25yZXYueG1sUEsBAhQAFAAAAAgAh07iQBuQ1XobAgAA/gMA&#10;AA4AAAAAAAAAAQAgAAAAIgEAAGRycy9lMm9Eb2MueG1sUEsFBgAAAAAGAAYAWQEAAK8FAAAAAA==&#10;">
                        <v:fill on="f" focussize="0,0"/>
                        <v:stroke weight="0.5pt" color="#000000 [3200]" miterlimit="8" joinstyle="miter" endarrow="block"/>
                        <v:imagedata o:title=""/>
                        <o:lock v:ext="edit" aspectratio="f"/>
                      </v:shape>
                      <v:shape id="文本框 1" o:spid="_x0000_s1026" o:spt="202" type="#_x0000_t202" style="position:absolute;left:656250;top:2283755;height:285750;width:1229700;" filled="f" stroked="f" coordsize="21600,21600" o:gfxdata="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rwCcdcAAAAFAQAADwAAAAAAAAABACAAAAAiAAAAZHJzL2Rv&#10;d25yZXYueG1sUEsBAhQAFAAAAAgAh07iQFv44Ds7AgAASgQAAA4AAAAAAAAAAQAgAAAAJgEAAGRy&#10;cy9lMm9Eb2MueG1sUEsFBgAAAAAGAAYAWQEAANMFAAAAAA==&#10;">
                        <v:fill on="f" focussize="0,0"/>
                        <v:stroke on="f" weight="0.5pt"/>
                        <v:imagedata o:title=""/>
                        <o:lock v:ext="edit" aspectratio="f"/>
                        <v:textbox>
                          <w:txbxContent>
                            <w:p>
                              <w:pPr>
                                <w:jc w:val="center"/>
                                <w:rPr>
                                  <w:szCs w:val="21"/>
                                </w:rPr>
                              </w:pPr>
                              <w:r>
                                <w:rPr>
                                  <w:rFonts w:hint="eastAsia"/>
                                  <w:szCs w:val="21"/>
                                </w:rPr>
                                <w:t>二氧化氯投加器</w:t>
                              </w:r>
                            </w:p>
                          </w:txbxContent>
                        </v:textbox>
                      </v:shape>
                      <w10:wrap type="none"/>
                      <w10:anchorlock/>
                    </v:group>
                  </w:pict>
                </mc:Fallback>
              </mc:AlternateContent>
            </w:r>
          </w:p>
          <w:p>
            <w:pPr>
              <w:spacing w:line="360" w:lineRule="auto"/>
              <w:ind w:firstLine="442" w:firstLineChars="200"/>
              <w:jc w:val="center"/>
              <w:rPr>
                <w:b/>
                <w:bCs/>
                <w:sz w:val="22"/>
                <w:szCs w:val="28"/>
              </w:rPr>
            </w:pPr>
            <w:r>
              <w:rPr>
                <w:rFonts w:hint="eastAsia"/>
                <w:b/>
                <w:bCs/>
                <w:sz w:val="22"/>
                <w:szCs w:val="28"/>
              </w:rPr>
              <w:t>图4</w:t>
            </w:r>
            <w:r>
              <w:rPr>
                <w:b/>
                <w:bCs/>
                <w:sz w:val="22"/>
                <w:szCs w:val="28"/>
              </w:rPr>
              <w:t xml:space="preserve">-1    </w:t>
            </w:r>
            <w:r>
              <w:rPr>
                <w:rFonts w:hint="eastAsia"/>
                <w:b/>
                <w:bCs/>
                <w:sz w:val="22"/>
                <w:szCs w:val="28"/>
              </w:rPr>
              <w:t>污水处理站工艺流程图</w:t>
            </w:r>
          </w:p>
          <w:p>
            <w:pPr>
              <w:spacing w:line="360" w:lineRule="auto"/>
              <w:ind w:firstLine="480" w:firstLineChars="200"/>
              <w:rPr>
                <w:sz w:val="24"/>
                <w:szCs w:val="32"/>
              </w:rPr>
            </w:pPr>
            <w:r>
              <w:rPr>
                <w:rFonts w:hint="eastAsia"/>
                <w:sz w:val="24"/>
                <w:szCs w:val="32"/>
              </w:rPr>
              <w:t>污水处理设施各处理阶段作用如下：</w:t>
            </w:r>
          </w:p>
          <w:p>
            <w:pPr>
              <w:spacing w:line="360" w:lineRule="auto"/>
              <w:ind w:firstLine="480" w:firstLineChars="200"/>
              <w:rPr>
                <w:sz w:val="24"/>
                <w:szCs w:val="32"/>
              </w:rPr>
            </w:pPr>
            <w:r>
              <w:rPr>
                <w:rFonts w:hint="eastAsia"/>
                <w:sz w:val="24"/>
                <w:szCs w:val="32"/>
              </w:rPr>
              <w:t>化粪池：污水经化粪池的沉淀和厌氧消化，将固体与废水分离，有效降低后续管道、泵等的堵塞以及减轻后续处理单元的负荷。</w:t>
            </w:r>
          </w:p>
          <w:p>
            <w:pPr>
              <w:spacing w:line="360" w:lineRule="auto"/>
              <w:ind w:firstLine="480" w:firstLineChars="200"/>
              <w:rPr>
                <w:sz w:val="24"/>
                <w:szCs w:val="32"/>
              </w:rPr>
            </w:pPr>
            <w:r>
              <w:rPr>
                <w:rFonts w:hint="eastAsia"/>
                <w:sz w:val="24"/>
                <w:szCs w:val="32"/>
              </w:rPr>
              <w:t>调节池：通过调节池保证原水水质的基本稳定，通过预曝气方式悬浮物在单元内沉降，同时提供污水的生化处理效果，确保处理系统的正常运行。</w:t>
            </w:r>
          </w:p>
          <w:p>
            <w:pPr>
              <w:spacing w:line="360" w:lineRule="auto"/>
              <w:ind w:firstLine="480" w:firstLineChars="200"/>
              <w:rPr>
                <w:sz w:val="24"/>
                <w:szCs w:val="32"/>
                <w:u w:val="single"/>
              </w:rPr>
            </w:pPr>
            <w:r>
              <w:rPr>
                <w:rFonts w:hint="eastAsia"/>
                <w:sz w:val="24"/>
                <w:szCs w:val="32"/>
              </w:rPr>
              <w:t>厌氧、好氧段：内置组合生物填料，将污水从上层自流进入厌氧区经再进入接触氧化区，通过微孔曝气器的充氧搅拌作用，利用污水中好氧微生物的分解作用从而将污水进行进一步生化处理；同时设置回流泵，以100%的回流比将该区的污水回流，从而对污水精细有效的脱氮除磷。</w:t>
            </w:r>
            <w:r>
              <w:rPr>
                <w:rFonts w:hint="eastAsia"/>
                <w:sz w:val="24"/>
                <w:szCs w:val="32"/>
                <w:u w:val="single"/>
              </w:rPr>
              <w:t>其中：好氧池容积为6m</w:t>
            </w:r>
            <w:r>
              <w:rPr>
                <w:rFonts w:hint="eastAsia"/>
                <w:sz w:val="24"/>
                <w:szCs w:val="32"/>
                <w:u w:val="single"/>
                <w:vertAlign w:val="superscript"/>
              </w:rPr>
              <w:t>3</w:t>
            </w:r>
            <w:r>
              <w:rPr>
                <w:rFonts w:hint="eastAsia"/>
                <w:sz w:val="24"/>
                <w:szCs w:val="32"/>
                <w:u w:val="single"/>
              </w:rPr>
              <w:t>，厌氧池容积为4m</w:t>
            </w:r>
            <w:r>
              <w:rPr>
                <w:rFonts w:hint="eastAsia"/>
                <w:sz w:val="24"/>
                <w:szCs w:val="32"/>
                <w:u w:val="single"/>
                <w:vertAlign w:val="superscript"/>
              </w:rPr>
              <w:t>3</w:t>
            </w:r>
            <w:r>
              <w:rPr>
                <w:rFonts w:hint="eastAsia"/>
                <w:sz w:val="24"/>
                <w:szCs w:val="32"/>
                <w:u w:val="single"/>
              </w:rPr>
              <w:t>。</w:t>
            </w:r>
          </w:p>
          <w:p>
            <w:pPr>
              <w:spacing w:line="360" w:lineRule="auto"/>
              <w:ind w:firstLine="480" w:firstLineChars="200"/>
              <w:rPr>
                <w:sz w:val="24"/>
                <w:szCs w:val="32"/>
                <w:u w:val="single"/>
              </w:rPr>
            </w:pPr>
            <w:r>
              <w:rPr>
                <w:rFonts w:hint="eastAsia"/>
                <w:sz w:val="24"/>
                <w:szCs w:val="32"/>
                <w:u w:val="single"/>
              </w:rPr>
              <w:t>消毒：本项目废水末端采用二氧化氯消毒工艺，其工艺原理是在二氧化氯投加器中直接投加配置好的二氧化氯稳定溶液，二氧化氯稳定溶液采用二氧化氯消毒粉AB剂配置，不会产生氯气，不会对大气环境产生影响，二氧化氯在消毒池出口余氯控制在1mg/L以上，有效氯投加量大于50mg/L，消毒接触时间大于1.5小时。根据现场踏勘，院区内二氧化氯投加器为两台，一用一备。</w:t>
            </w:r>
          </w:p>
          <w:p>
            <w:pPr>
              <w:spacing w:line="360" w:lineRule="auto"/>
              <w:ind w:firstLine="480" w:firstLineChars="200"/>
              <w:rPr>
                <w:sz w:val="24"/>
                <w:szCs w:val="32"/>
              </w:rPr>
            </w:pPr>
            <w:r>
              <w:rPr>
                <w:sz w:val="24"/>
                <w:szCs w:val="32"/>
              </w:rPr>
              <w:t>根据《医疗机构污水污染排放标准》（GB18466-2005）和《医院</w:t>
            </w:r>
            <w:r>
              <w:rPr>
                <w:rFonts w:hint="eastAsia"/>
                <w:sz w:val="24"/>
                <w:szCs w:val="32"/>
              </w:rPr>
              <w:t>污水处理</w:t>
            </w:r>
            <w:r>
              <w:rPr>
                <w:sz w:val="24"/>
                <w:szCs w:val="32"/>
              </w:rPr>
              <w:t>工程</w:t>
            </w:r>
            <w:r>
              <w:rPr>
                <w:rFonts w:hint="eastAsia"/>
                <w:sz w:val="24"/>
                <w:szCs w:val="32"/>
              </w:rPr>
              <w:t>技术</w:t>
            </w:r>
            <w:r>
              <w:rPr>
                <w:sz w:val="24"/>
                <w:szCs w:val="32"/>
              </w:rPr>
              <w:t>规范》（HJ2029-2013）中的规定：出水排入城市污水管网（终端已建有正常运行的二级污水处理厂）的非传染病医院污水，可采用一级强化处理工艺</w:t>
            </w:r>
            <w:r>
              <w:rPr>
                <w:rFonts w:hint="eastAsia"/>
                <w:sz w:val="24"/>
                <w:szCs w:val="32"/>
              </w:rPr>
              <w:t>；</w:t>
            </w:r>
            <w:r>
              <w:rPr>
                <w:sz w:val="24"/>
                <w:szCs w:val="32"/>
              </w:rPr>
              <w:t>特殊性质污水应经预处理后进入医院污水处理系统。</w:t>
            </w:r>
            <w:r>
              <w:rPr>
                <w:rFonts w:hint="eastAsia"/>
                <w:sz w:val="24"/>
                <w:szCs w:val="32"/>
              </w:rPr>
              <w:t>本项目污水排入城市污水管网，处理工艺为</w:t>
            </w:r>
            <w:r>
              <w:rPr>
                <w:rFonts w:hint="eastAsia"/>
                <w:sz w:val="24"/>
              </w:rPr>
              <w:t>“A</w:t>
            </w:r>
            <w:r>
              <w:rPr>
                <w:sz w:val="24"/>
              </w:rPr>
              <w:t>O+</w:t>
            </w:r>
            <w:r>
              <w:rPr>
                <w:rFonts w:hint="eastAsia"/>
                <w:sz w:val="24"/>
              </w:rPr>
              <w:t>二氧化氯消毒”，属于一级强化处理工艺，符合《排污许可证申请与核发技术规范 医疗机构》（HJ1105-2020）附录 A 中的表A.2中技术要求，因此，本项目废水处理工艺可行。</w:t>
            </w:r>
          </w:p>
          <w:p>
            <w:pPr>
              <w:spacing w:line="360" w:lineRule="auto"/>
              <w:ind w:firstLine="480" w:firstLineChars="200"/>
              <w:rPr>
                <w:sz w:val="24"/>
                <w:szCs w:val="32"/>
              </w:rPr>
            </w:pPr>
            <w:r>
              <w:rPr>
                <w:rFonts w:hint="eastAsia"/>
                <w:sz w:val="24"/>
                <w:szCs w:val="32"/>
              </w:rPr>
              <w:t>另根据</w:t>
            </w:r>
            <w:r>
              <w:rPr>
                <w:rFonts w:hint="eastAsia"/>
                <w:sz w:val="24"/>
              </w:rPr>
              <w:t>湖南华科检测技术有限公司对院区废水排口进行检测，其检测结果如下：</w:t>
            </w:r>
          </w:p>
          <w:p>
            <w:pPr>
              <w:spacing w:line="240" w:lineRule="atLeast"/>
              <w:jc w:val="center"/>
              <w:rPr>
                <w:b/>
                <w:bCs/>
                <w:szCs w:val="21"/>
              </w:rPr>
            </w:pPr>
            <w:r>
              <w:rPr>
                <w:rFonts w:hint="eastAsia"/>
                <w:b/>
                <w:bCs/>
                <w:szCs w:val="21"/>
              </w:rPr>
              <w:t>表</w:t>
            </w:r>
            <w:r>
              <w:rPr>
                <w:b/>
                <w:bCs/>
                <w:szCs w:val="21"/>
              </w:rPr>
              <w:t>4</w:t>
            </w:r>
            <w:r>
              <w:rPr>
                <w:rFonts w:hint="eastAsia"/>
                <w:b/>
                <w:bCs/>
                <w:szCs w:val="21"/>
              </w:rPr>
              <w:t>-</w:t>
            </w:r>
            <w:r>
              <w:rPr>
                <w:b/>
                <w:bCs/>
                <w:szCs w:val="21"/>
              </w:rPr>
              <w:t>5</w:t>
            </w:r>
            <w:r>
              <w:rPr>
                <w:rFonts w:hint="eastAsia"/>
                <w:b/>
                <w:bCs/>
                <w:szCs w:val="21"/>
              </w:rPr>
              <w:t xml:space="preserve"> </w:t>
            </w:r>
            <w:r>
              <w:rPr>
                <w:b/>
                <w:bCs/>
                <w:szCs w:val="21"/>
              </w:rPr>
              <w:t xml:space="preserve">  </w:t>
            </w:r>
            <w:r>
              <w:rPr>
                <w:rFonts w:hint="eastAsia"/>
                <w:b/>
                <w:bCs/>
                <w:szCs w:val="21"/>
              </w:rPr>
              <w:t xml:space="preserve"> 院区总排口水质监测结果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2161"/>
              <w:gridCol w:w="1153"/>
              <w:gridCol w:w="1008"/>
              <w:gridCol w:w="1153"/>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Align w:val="center"/>
                </w:tcPr>
                <w:p>
                  <w:pPr>
                    <w:jc w:val="center"/>
                    <w:rPr>
                      <w:kern w:val="0"/>
                      <w:sz w:val="22"/>
                      <w:szCs w:val="22"/>
                    </w:rPr>
                  </w:pPr>
                  <w:r>
                    <w:rPr>
                      <w:rFonts w:hint="eastAsia"/>
                      <w:kern w:val="0"/>
                      <w:sz w:val="22"/>
                      <w:szCs w:val="22"/>
                    </w:rPr>
                    <w:t>监测点位</w:t>
                  </w:r>
                </w:p>
              </w:tc>
              <w:tc>
                <w:tcPr>
                  <w:tcW w:w="1368" w:type="pct"/>
                  <w:vAlign w:val="center"/>
                </w:tcPr>
                <w:p>
                  <w:pPr>
                    <w:jc w:val="center"/>
                    <w:rPr>
                      <w:kern w:val="0"/>
                      <w:sz w:val="22"/>
                      <w:szCs w:val="22"/>
                    </w:rPr>
                  </w:pPr>
                  <w:r>
                    <w:rPr>
                      <w:rFonts w:hint="eastAsia"/>
                      <w:kern w:val="0"/>
                      <w:sz w:val="22"/>
                      <w:szCs w:val="22"/>
                    </w:rPr>
                    <w:t>监测因子</w:t>
                  </w:r>
                </w:p>
              </w:tc>
              <w:tc>
                <w:tcPr>
                  <w:tcW w:w="730" w:type="pct"/>
                  <w:vAlign w:val="center"/>
                </w:tcPr>
                <w:p>
                  <w:pPr>
                    <w:jc w:val="center"/>
                    <w:rPr>
                      <w:kern w:val="0"/>
                      <w:sz w:val="22"/>
                      <w:szCs w:val="22"/>
                    </w:rPr>
                  </w:pPr>
                  <w:r>
                    <w:rPr>
                      <w:rFonts w:hint="eastAsia"/>
                      <w:kern w:val="0"/>
                      <w:sz w:val="22"/>
                      <w:szCs w:val="22"/>
                    </w:rPr>
                    <w:t>浓度范围</w:t>
                  </w:r>
                </w:p>
              </w:tc>
              <w:tc>
                <w:tcPr>
                  <w:tcW w:w="638" w:type="pct"/>
                  <w:vAlign w:val="center"/>
                </w:tcPr>
                <w:p>
                  <w:pPr>
                    <w:jc w:val="center"/>
                    <w:rPr>
                      <w:kern w:val="0"/>
                      <w:sz w:val="22"/>
                      <w:szCs w:val="22"/>
                    </w:rPr>
                  </w:pPr>
                  <w:r>
                    <w:rPr>
                      <w:rFonts w:hint="eastAsia"/>
                      <w:kern w:val="0"/>
                      <w:sz w:val="22"/>
                      <w:szCs w:val="22"/>
                    </w:rPr>
                    <w:t>平均值</w:t>
                  </w:r>
                </w:p>
              </w:tc>
              <w:tc>
                <w:tcPr>
                  <w:tcW w:w="730" w:type="pct"/>
                  <w:vAlign w:val="center"/>
                </w:tcPr>
                <w:p>
                  <w:pPr>
                    <w:jc w:val="center"/>
                    <w:rPr>
                      <w:kern w:val="0"/>
                      <w:sz w:val="22"/>
                      <w:szCs w:val="22"/>
                    </w:rPr>
                  </w:pPr>
                  <w:r>
                    <w:rPr>
                      <w:rFonts w:hint="eastAsia"/>
                      <w:kern w:val="0"/>
                      <w:sz w:val="22"/>
                      <w:szCs w:val="22"/>
                    </w:rPr>
                    <w:t>排放标准</w:t>
                  </w:r>
                </w:p>
              </w:tc>
              <w:tc>
                <w:tcPr>
                  <w:tcW w:w="794" w:type="pct"/>
                </w:tcPr>
                <w:p>
                  <w:pPr>
                    <w:jc w:val="center"/>
                    <w:rPr>
                      <w:kern w:val="0"/>
                      <w:sz w:val="22"/>
                      <w:szCs w:val="22"/>
                    </w:rPr>
                  </w:pPr>
                  <w:r>
                    <w:rPr>
                      <w:rFonts w:hint="eastAsia"/>
                      <w:kern w:val="0"/>
                      <w:sz w:val="22"/>
                      <w:szCs w:val="22"/>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restart"/>
                  <w:vAlign w:val="center"/>
                </w:tcPr>
                <w:p>
                  <w:pPr>
                    <w:jc w:val="center"/>
                    <w:rPr>
                      <w:kern w:val="0"/>
                      <w:sz w:val="22"/>
                      <w:szCs w:val="22"/>
                    </w:rPr>
                  </w:pPr>
                  <w:r>
                    <w:rPr>
                      <w:rFonts w:hint="eastAsia"/>
                      <w:kern w:val="0"/>
                      <w:sz w:val="22"/>
                      <w:szCs w:val="22"/>
                    </w:rPr>
                    <w:t>废水总</w:t>
                  </w:r>
                </w:p>
                <w:p>
                  <w:pPr>
                    <w:jc w:val="center"/>
                    <w:rPr>
                      <w:kern w:val="0"/>
                      <w:sz w:val="22"/>
                      <w:szCs w:val="22"/>
                    </w:rPr>
                  </w:pPr>
                  <w:r>
                    <w:rPr>
                      <w:rFonts w:hint="eastAsia"/>
                      <w:kern w:val="0"/>
                      <w:sz w:val="22"/>
                      <w:szCs w:val="22"/>
                    </w:rPr>
                    <w:t>排口</w:t>
                  </w:r>
                </w:p>
              </w:tc>
              <w:tc>
                <w:tcPr>
                  <w:tcW w:w="1368" w:type="pct"/>
                  <w:vAlign w:val="center"/>
                </w:tcPr>
                <w:p>
                  <w:pPr>
                    <w:jc w:val="center"/>
                    <w:rPr>
                      <w:kern w:val="0"/>
                      <w:sz w:val="22"/>
                      <w:szCs w:val="22"/>
                    </w:rPr>
                  </w:pPr>
                  <w:r>
                    <w:rPr>
                      <w:rFonts w:hint="eastAsia"/>
                      <w:kern w:val="0"/>
                      <w:sz w:val="22"/>
                      <w:szCs w:val="22"/>
                    </w:rPr>
                    <w:t>阴离子表面活性剂</w:t>
                  </w:r>
                </w:p>
              </w:tc>
              <w:tc>
                <w:tcPr>
                  <w:tcW w:w="730" w:type="pct"/>
                  <w:vAlign w:val="center"/>
                </w:tcPr>
                <w:p>
                  <w:pPr>
                    <w:jc w:val="center"/>
                    <w:rPr>
                      <w:kern w:val="0"/>
                      <w:sz w:val="22"/>
                      <w:szCs w:val="22"/>
                    </w:rPr>
                  </w:pPr>
                  <w:r>
                    <w:rPr>
                      <w:rFonts w:hint="eastAsia"/>
                      <w:kern w:val="0"/>
                      <w:sz w:val="22"/>
                      <w:szCs w:val="22"/>
                    </w:rPr>
                    <w:t>0.22-0.27</w:t>
                  </w:r>
                </w:p>
              </w:tc>
              <w:tc>
                <w:tcPr>
                  <w:tcW w:w="638" w:type="pct"/>
                  <w:vAlign w:val="center"/>
                </w:tcPr>
                <w:p>
                  <w:pPr>
                    <w:jc w:val="center"/>
                    <w:rPr>
                      <w:kern w:val="0"/>
                      <w:sz w:val="22"/>
                      <w:szCs w:val="22"/>
                    </w:rPr>
                  </w:pPr>
                  <w:r>
                    <w:rPr>
                      <w:rFonts w:hint="eastAsia"/>
                      <w:kern w:val="0"/>
                      <w:sz w:val="22"/>
                      <w:szCs w:val="22"/>
                    </w:rPr>
                    <w:t>0.25</w:t>
                  </w:r>
                </w:p>
              </w:tc>
              <w:tc>
                <w:tcPr>
                  <w:tcW w:w="730" w:type="pct"/>
                  <w:vAlign w:val="center"/>
                </w:tcPr>
                <w:p>
                  <w:pPr>
                    <w:jc w:val="center"/>
                    <w:rPr>
                      <w:kern w:val="0"/>
                      <w:sz w:val="22"/>
                      <w:szCs w:val="22"/>
                    </w:rPr>
                  </w:pPr>
                  <w:r>
                    <w:rPr>
                      <w:rFonts w:hint="eastAsia"/>
                      <w:kern w:val="0"/>
                      <w:sz w:val="22"/>
                      <w:szCs w:val="22"/>
                    </w:rPr>
                    <w:t>10</w:t>
                  </w:r>
                </w:p>
              </w:tc>
              <w:tc>
                <w:tcPr>
                  <w:tcW w:w="794" w:type="pct"/>
                </w:tcPr>
                <w:p>
                  <w:pPr>
                    <w:jc w:val="center"/>
                    <w:rPr>
                      <w:kern w:val="0"/>
                      <w:sz w:val="22"/>
                      <w:szCs w:val="22"/>
                    </w:rPr>
                  </w:pPr>
                  <w:r>
                    <w:rPr>
                      <w:rFonts w:hint="eastAsia"/>
                      <w:kern w:val="0"/>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vAlign w:val="center"/>
                </w:tcPr>
                <w:p>
                  <w:pPr>
                    <w:jc w:val="center"/>
                    <w:rPr>
                      <w:kern w:val="0"/>
                      <w:sz w:val="22"/>
                      <w:szCs w:val="22"/>
                    </w:rPr>
                  </w:pPr>
                </w:p>
              </w:tc>
              <w:tc>
                <w:tcPr>
                  <w:tcW w:w="1368" w:type="pct"/>
                  <w:vAlign w:val="center"/>
                </w:tcPr>
                <w:p>
                  <w:pPr>
                    <w:jc w:val="center"/>
                    <w:rPr>
                      <w:kern w:val="0"/>
                      <w:sz w:val="22"/>
                      <w:szCs w:val="22"/>
                    </w:rPr>
                  </w:pPr>
                  <w:r>
                    <w:rPr>
                      <w:rFonts w:hint="eastAsia"/>
                      <w:kern w:val="0"/>
                      <w:sz w:val="22"/>
                      <w:szCs w:val="22"/>
                    </w:rPr>
                    <w:t>总余氯（以Cl计）</w:t>
                  </w:r>
                </w:p>
              </w:tc>
              <w:tc>
                <w:tcPr>
                  <w:tcW w:w="730" w:type="pct"/>
                  <w:vAlign w:val="center"/>
                </w:tcPr>
                <w:p>
                  <w:pPr>
                    <w:jc w:val="center"/>
                    <w:rPr>
                      <w:kern w:val="0"/>
                      <w:sz w:val="22"/>
                      <w:szCs w:val="22"/>
                    </w:rPr>
                  </w:pPr>
                  <w:r>
                    <w:rPr>
                      <w:rFonts w:hint="eastAsia"/>
                      <w:kern w:val="0"/>
                      <w:sz w:val="22"/>
                      <w:szCs w:val="22"/>
                    </w:rPr>
                    <w:t>0.17-0.18</w:t>
                  </w:r>
                </w:p>
              </w:tc>
              <w:tc>
                <w:tcPr>
                  <w:tcW w:w="638" w:type="pct"/>
                  <w:vAlign w:val="center"/>
                </w:tcPr>
                <w:p>
                  <w:pPr>
                    <w:jc w:val="center"/>
                    <w:rPr>
                      <w:kern w:val="0"/>
                      <w:sz w:val="22"/>
                      <w:szCs w:val="22"/>
                    </w:rPr>
                  </w:pPr>
                  <w:r>
                    <w:rPr>
                      <w:rFonts w:hint="eastAsia"/>
                      <w:kern w:val="0"/>
                      <w:sz w:val="22"/>
                      <w:szCs w:val="22"/>
                    </w:rPr>
                    <w:t>0.17</w:t>
                  </w:r>
                </w:p>
              </w:tc>
              <w:tc>
                <w:tcPr>
                  <w:tcW w:w="730" w:type="pct"/>
                  <w:vAlign w:val="center"/>
                </w:tcPr>
                <w:p>
                  <w:pPr>
                    <w:jc w:val="center"/>
                    <w:rPr>
                      <w:kern w:val="0"/>
                      <w:sz w:val="22"/>
                      <w:szCs w:val="22"/>
                    </w:rPr>
                  </w:pPr>
                  <w:r>
                    <w:rPr>
                      <w:rFonts w:hint="eastAsia"/>
                      <w:kern w:val="0"/>
                      <w:sz w:val="22"/>
                      <w:szCs w:val="22"/>
                    </w:rPr>
                    <w:t>/</w:t>
                  </w:r>
                </w:p>
              </w:tc>
              <w:tc>
                <w:tcPr>
                  <w:tcW w:w="794" w:type="pct"/>
                </w:tcPr>
                <w:p>
                  <w:pPr>
                    <w:jc w:val="center"/>
                    <w:rPr>
                      <w:kern w:val="0"/>
                      <w:sz w:val="22"/>
                      <w:szCs w:val="22"/>
                    </w:rPr>
                  </w:pPr>
                  <w:r>
                    <w:rPr>
                      <w:rFonts w:hint="eastAsia"/>
                      <w:kern w:val="0"/>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pct"/>
                  <w:vMerge w:val="continue"/>
                  <w:vAlign w:val="center"/>
                </w:tcPr>
                <w:p>
                  <w:pPr>
                    <w:jc w:val="center"/>
                    <w:rPr>
                      <w:kern w:val="0"/>
                      <w:sz w:val="22"/>
                      <w:szCs w:val="22"/>
                    </w:rPr>
                  </w:pPr>
                </w:p>
              </w:tc>
              <w:tc>
                <w:tcPr>
                  <w:tcW w:w="1368" w:type="pct"/>
                  <w:vAlign w:val="center"/>
                </w:tcPr>
                <w:p>
                  <w:pPr>
                    <w:jc w:val="center"/>
                    <w:rPr>
                      <w:kern w:val="0"/>
                      <w:sz w:val="22"/>
                      <w:szCs w:val="22"/>
                    </w:rPr>
                  </w:pPr>
                  <w:r>
                    <w:rPr>
                      <w:rFonts w:hint="eastAsia"/>
                      <w:kern w:val="0"/>
                      <w:sz w:val="22"/>
                      <w:szCs w:val="22"/>
                    </w:rPr>
                    <w:t>氨氮</w:t>
                  </w:r>
                </w:p>
              </w:tc>
              <w:tc>
                <w:tcPr>
                  <w:tcW w:w="730" w:type="pct"/>
                  <w:vAlign w:val="center"/>
                </w:tcPr>
                <w:p>
                  <w:pPr>
                    <w:jc w:val="center"/>
                    <w:rPr>
                      <w:kern w:val="0"/>
                      <w:sz w:val="22"/>
                      <w:szCs w:val="22"/>
                    </w:rPr>
                  </w:pPr>
                  <w:r>
                    <w:rPr>
                      <w:rFonts w:hint="eastAsia"/>
                      <w:kern w:val="0"/>
                      <w:sz w:val="22"/>
                      <w:szCs w:val="22"/>
                    </w:rPr>
                    <w:t>5.22-5.77</w:t>
                  </w:r>
                </w:p>
              </w:tc>
              <w:tc>
                <w:tcPr>
                  <w:tcW w:w="638" w:type="pct"/>
                  <w:vAlign w:val="center"/>
                </w:tcPr>
                <w:p>
                  <w:pPr>
                    <w:jc w:val="center"/>
                    <w:rPr>
                      <w:kern w:val="0"/>
                      <w:sz w:val="22"/>
                      <w:szCs w:val="22"/>
                    </w:rPr>
                  </w:pPr>
                  <w:r>
                    <w:rPr>
                      <w:rFonts w:hint="eastAsia"/>
                      <w:kern w:val="0"/>
                      <w:sz w:val="22"/>
                      <w:szCs w:val="22"/>
                    </w:rPr>
                    <w:t>5.50</w:t>
                  </w:r>
                </w:p>
              </w:tc>
              <w:tc>
                <w:tcPr>
                  <w:tcW w:w="730" w:type="pct"/>
                  <w:vAlign w:val="center"/>
                </w:tcPr>
                <w:p>
                  <w:pPr>
                    <w:jc w:val="center"/>
                    <w:rPr>
                      <w:kern w:val="0"/>
                      <w:sz w:val="22"/>
                      <w:szCs w:val="22"/>
                    </w:rPr>
                  </w:pPr>
                  <w:r>
                    <w:rPr>
                      <w:rFonts w:hint="eastAsia"/>
                      <w:kern w:val="0"/>
                      <w:sz w:val="22"/>
                      <w:szCs w:val="22"/>
                    </w:rPr>
                    <w:t>/</w:t>
                  </w:r>
                </w:p>
              </w:tc>
              <w:tc>
                <w:tcPr>
                  <w:tcW w:w="794" w:type="pct"/>
                </w:tcPr>
                <w:p>
                  <w:pPr>
                    <w:jc w:val="center"/>
                    <w:rPr>
                      <w:kern w:val="0"/>
                      <w:sz w:val="22"/>
                      <w:szCs w:val="22"/>
                    </w:rPr>
                  </w:pPr>
                  <w:r>
                    <w:rPr>
                      <w:rFonts w:hint="eastAsia"/>
                      <w:kern w:val="0"/>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vAlign w:val="center"/>
                </w:tcPr>
                <w:p>
                  <w:pPr>
                    <w:jc w:val="center"/>
                    <w:rPr>
                      <w:kern w:val="0"/>
                      <w:sz w:val="22"/>
                      <w:szCs w:val="22"/>
                    </w:rPr>
                  </w:pPr>
                </w:p>
              </w:tc>
              <w:tc>
                <w:tcPr>
                  <w:tcW w:w="1368" w:type="pct"/>
                  <w:vAlign w:val="center"/>
                </w:tcPr>
                <w:p>
                  <w:pPr>
                    <w:jc w:val="center"/>
                    <w:rPr>
                      <w:kern w:val="0"/>
                      <w:sz w:val="22"/>
                      <w:szCs w:val="22"/>
                    </w:rPr>
                  </w:pPr>
                  <w:r>
                    <w:rPr>
                      <w:rFonts w:hint="eastAsia"/>
                      <w:kern w:val="0"/>
                      <w:sz w:val="22"/>
                      <w:szCs w:val="22"/>
                    </w:rPr>
                    <w:t>粪大肠菌群</w:t>
                  </w:r>
                </w:p>
              </w:tc>
              <w:tc>
                <w:tcPr>
                  <w:tcW w:w="730" w:type="pct"/>
                  <w:vAlign w:val="center"/>
                </w:tcPr>
                <w:p>
                  <w:pPr>
                    <w:jc w:val="center"/>
                    <w:rPr>
                      <w:kern w:val="0"/>
                      <w:sz w:val="22"/>
                      <w:szCs w:val="22"/>
                    </w:rPr>
                  </w:pPr>
                  <w:r>
                    <w:rPr>
                      <w:rFonts w:hint="eastAsia"/>
                      <w:kern w:val="0"/>
                      <w:sz w:val="22"/>
                      <w:szCs w:val="22"/>
                    </w:rPr>
                    <w:t>230-410</w:t>
                  </w:r>
                </w:p>
              </w:tc>
              <w:tc>
                <w:tcPr>
                  <w:tcW w:w="638" w:type="pct"/>
                  <w:vAlign w:val="center"/>
                </w:tcPr>
                <w:p>
                  <w:pPr>
                    <w:jc w:val="center"/>
                    <w:rPr>
                      <w:kern w:val="0"/>
                      <w:sz w:val="22"/>
                      <w:szCs w:val="22"/>
                    </w:rPr>
                  </w:pPr>
                  <w:r>
                    <w:rPr>
                      <w:rFonts w:hint="eastAsia"/>
                      <w:kern w:val="0"/>
                      <w:sz w:val="22"/>
                      <w:szCs w:val="22"/>
                    </w:rPr>
                    <w:t>321</w:t>
                  </w:r>
                </w:p>
              </w:tc>
              <w:tc>
                <w:tcPr>
                  <w:tcW w:w="730" w:type="pct"/>
                  <w:vAlign w:val="center"/>
                </w:tcPr>
                <w:p>
                  <w:pPr>
                    <w:jc w:val="center"/>
                    <w:rPr>
                      <w:kern w:val="0"/>
                      <w:sz w:val="22"/>
                      <w:szCs w:val="22"/>
                    </w:rPr>
                  </w:pPr>
                  <w:r>
                    <w:rPr>
                      <w:rFonts w:hint="eastAsia"/>
                      <w:kern w:val="0"/>
                      <w:sz w:val="22"/>
                      <w:szCs w:val="22"/>
                    </w:rPr>
                    <w:t>5000</w:t>
                  </w:r>
                </w:p>
              </w:tc>
              <w:tc>
                <w:tcPr>
                  <w:tcW w:w="794" w:type="pct"/>
                </w:tcPr>
                <w:p>
                  <w:pPr>
                    <w:jc w:val="center"/>
                    <w:rPr>
                      <w:kern w:val="0"/>
                      <w:sz w:val="22"/>
                      <w:szCs w:val="22"/>
                    </w:rPr>
                  </w:pPr>
                  <w:r>
                    <w:rPr>
                      <w:rFonts w:hint="eastAsia"/>
                      <w:kern w:val="0"/>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vAlign w:val="center"/>
                </w:tcPr>
                <w:p>
                  <w:pPr>
                    <w:jc w:val="center"/>
                    <w:rPr>
                      <w:kern w:val="0"/>
                      <w:sz w:val="22"/>
                      <w:szCs w:val="22"/>
                    </w:rPr>
                  </w:pPr>
                </w:p>
              </w:tc>
              <w:tc>
                <w:tcPr>
                  <w:tcW w:w="1368" w:type="pct"/>
                  <w:vAlign w:val="center"/>
                </w:tcPr>
                <w:p>
                  <w:pPr>
                    <w:jc w:val="center"/>
                    <w:rPr>
                      <w:kern w:val="0"/>
                      <w:sz w:val="22"/>
                      <w:szCs w:val="22"/>
                    </w:rPr>
                  </w:pPr>
                  <w:r>
                    <w:rPr>
                      <w:rFonts w:hint="eastAsia"/>
                      <w:kern w:val="0"/>
                      <w:sz w:val="22"/>
                      <w:szCs w:val="22"/>
                    </w:rPr>
                    <w:t>化学需氧量</w:t>
                  </w:r>
                </w:p>
              </w:tc>
              <w:tc>
                <w:tcPr>
                  <w:tcW w:w="730" w:type="pct"/>
                  <w:vAlign w:val="center"/>
                </w:tcPr>
                <w:p>
                  <w:pPr>
                    <w:jc w:val="center"/>
                    <w:rPr>
                      <w:kern w:val="0"/>
                      <w:sz w:val="22"/>
                      <w:szCs w:val="22"/>
                    </w:rPr>
                  </w:pPr>
                  <w:r>
                    <w:rPr>
                      <w:rFonts w:hint="eastAsia"/>
                      <w:kern w:val="0"/>
                      <w:sz w:val="22"/>
                      <w:szCs w:val="22"/>
                    </w:rPr>
                    <w:t>20-28</w:t>
                  </w:r>
                </w:p>
              </w:tc>
              <w:tc>
                <w:tcPr>
                  <w:tcW w:w="638" w:type="pct"/>
                  <w:vAlign w:val="center"/>
                </w:tcPr>
                <w:p>
                  <w:pPr>
                    <w:jc w:val="center"/>
                    <w:rPr>
                      <w:kern w:val="0"/>
                      <w:sz w:val="22"/>
                      <w:szCs w:val="22"/>
                    </w:rPr>
                  </w:pPr>
                  <w:r>
                    <w:rPr>
                      <w:rFonts w:hint="eastAsia"/>
                      <w:kern w:val="0"/>
                      <w:sz w:val="22"/>
                      <w:szCs w:val="22"/>
                    </w:rPr>
                    <w:t>24</w:t>
                  </w:r>
                </w:p>
              </w:tc>
              <w:tc>
                <w:tcPr>
                  <w:tcW w:w="730" w:type="pct"/>
                  <w:vAlign w:val="center"/>
                </w:tcPr>
                <w:p>
                  <w:pPr>
                    <w:jc w:val="center"/>
                    <w:rPr>
                      <w:kern w:val="0"/>
                      <w:sz w:val="22"/>
                      <w:szCs w:val="22"/>
                    </w:rPr>
                  </w:pPr>
                  <w:r>
                    <w:rPr>
                      <w:rFonts w:hint="eastAsia"/>
                      <w:kern w:val="0"/>
                      <w:sz w:val="22"/>
                      <w:szCs w:val="22"/>
                    </w:rPr>
                    <w:t>250</w:t>
                  </w:r>
                </w:p>
              </w:tc>
              <w:tc>
                <w:tcPr>
                  <w:tcW w:w="794" w:type="pct"/>
                </w:tcPr>
                <w:p>
                  <w:pPr>
                    <w:jc w:val="center"/>
                    <w:rPr>
                      <w:kern w:val="0"/>
                      <w:sz w:val="22"/>
                      <w:szCs w:val="22"/>
                    </w:rPr>
                  </w:pPr>
                  <w:r>
                    <w:rPr>
                      <w:rFonts w:hint="eastAsia"/>
                      <w:kern w:val="0"/>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vAlign w:val="center"/>
                </w:tcPr>
                <w:p>
                  <w:pPr>
                    <w:jc w:val="center"/>
                    <w:rPr>
                      <w:kern w:val="0"/>
                      <w:sz w:val="22"/>
                      <w:szCs w:val="22"/>
                    </w:rPr>
                  </w:pPr>
                </w:p>
              </w:tc>
              <w:tc>
                <w:tcPr>
                  <w:tcW w:w="1368" w:type="pct"/>
                  <w:vAlign w:val="center"/>
                </w:tcPr>
                <w:p>
                  <w:pPr>
                    <w:jc w:val="center"/>
                    <w:rPr>
                      <w:kern w:val="0"/>
                      <w:sz w:val="22"/>
                      <w:szCs w:val="22"/>
                    </w:rPr>
                  </w:pPr>
                  <w:r>
                    <w:rPr>
                      <w:rFonts w:hint="eastAsia"/>
                      <w:kern w:val="0"/>
                      <w:sz w:val="22"/>
                      <w:szCs w:val="22"/>
                    </w:rPr>
                    <w:t>动植物油</w:t>
                  </w:r>
                </w:p>
              </w:tc>
              <w:tc>
                <w:tcPr>
                  <w:tcW w:w="730" w:type="pct"/>
                  <w:vAlign w:val="center"/>
                </w:tcPr>
                <w:p>
                  <w:pPr>
                    <w:jc w:val="center"/>
                    <w:rPr>
                      <w:kern w:val="0"/>
                      <w:sz w:val="22"/>
                      <w:szCs w:val="22"/>
                    </w:rPr>
                  </w:pPr>
                  <w:r>
                    <w:rPr>
                      <w:rFonts w:hint="eastAsia"/>
                      <w:kern w:val="0"/>
                      <w:sz w:val="22"/>
                      <w:szCs w:val="22"/>
                    </w:rPr>
                    <w:t>0.73-0.89</w:t>
                  </w:r>
                </w:p>
              </w:tc>
              <w:tc>
                <w:tcPr>
                  <w:tcW w:w="638" w:type="pct"/>
                  <w:vAlign w:val="center"/>
                </w:tcPr>
                <w:p>
                  <w:pPr>
                    <w:jc w:val="center"/>
                    <w:rPr>
                      <w:kern w:val="0"/>
                      <w:sz w:val="22"/>
                      <w:szCs w:val="22"/>
                    </w:rPr>
                  </w:pPr>
                  <w:r>
                    <w:rPr>
                      <w:rFonts w:hint="eastAsia"/>
                      <w:kern w:val="0"/>
                      <w:sz w:val="22"/>
                      <w:szCs w:val="22"/>
                    </w:rPr>
                    <w:t>0.80</w:t>
                  </w:r>
                </w:p>
              </w:tc>
              <w:tc>
                <w:tcPr>
                  <w:tcW w:w="730" w:type="pct"/>
                  <w:vAlign w:val="center"/>
                </w:tcPr>
                <w:p>
                  <w:pPr>
                    <w:jc w:val="center"/>
                    <w:rPr>
                      <w:kern w:val="0"/>
                      <w:sz w:val="22"/>
                      <w:szCs w:val="22"/>
                    </w:rPr>
                  </w:pPr>
                  <w:r>
                    <w:rPr>
                      <w:rFonts w:hint="eastAsia"/>
                      <w:kern w:val="0"/>
                      <w:sz w:val="22"/>
                      <w:szCs w:val="22"/>
                    </w:rPr>
                    <w:t>20</w:t>
                  </w:r>
                </w:p>
              </w:tc>
              <w:tc>
                <w:tcPr>
                  <w:tcW w:w="794" w:type="pct"/>
                </w:tcPr>
                <w:p>
                  <w:pPr>
                    <w:jc w:val="center"/>
                    <w:rPr>
                      <w:kern w:val="0"/>
                      <w:sz w:val="22"/>
                      <w:szCs w:val="22"/>
                    </w:rPr>
                  </w:pPr>
                  <w:r>
                    <w:rPr>
                      <w:rFonts w:hint="eastAsia"/>
                      <w:kern w:val="0"/>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pct"/>
                  <w:vMerge w:val="continue"/>
                  <w:vAlign w:val="center"/>
                </w:tcPr>
                <w:p>
                  <w:pPr>
                    <w:jc w:val="center"/>
                    <w:rPr>
                      <w:kern w:val="0"/>
                      <w:sz w:val="22"/>
                      <w:szCs w:val="22"/>
                    </w:rPr>
                  </w:pPr>
                </w:p>
              </w:tc>
              <w:tc>
                <w:tcPr>
                  <w:tcW w:w="1368" w:type="pct"/>
                  <w:vAlign w:val="center"/>
                </w:tcPr>
                <w:p>
                  <w:pPr>
                    <w:jc w:val="center"/>
                    <w:rPr>
                      <w:kern w:val="0"/>
                      <w:sz w:val="22"/>
                      <w:szCs w:val="22"/>
                    </w:rPr>
                  </w:pPr>
                  <w:r>
                    <w:rPr>
                      <w:rFonts w:hint="eastAsia"/>
                      <w:kern w:val="0"/>
                      <w:sz w:val="22"/>
                      <w:szCs w:val="22"/>
                    </w:rPr>
                    <w:t>悬浮物</w:t>
                  </w:r>
                </w:p>
              </w:tc>
              <w:tc>
                <w:tcPr>
                  <w:tcW w:w="730" w:type="pct"/>
                  <w:vAlign w:val="center"/>
                </w:tcPr>
                <w:p>
                  <w:pPr>
                    <w:jc w:val="center"/>
                    <w:rPr>
                      <w:kern w:val="0"/>
                      <w:sz w:val="22"/>
                      <w:szCs w:val="22"/>
                    </w:rPr>
                  </w:pPr>
                  <w:r>
                    <w:rPr>
                      <w:rFonts w:hint="eastAsia"/>
                      <w:kern w:val="0"/>
                      <w:sz w:val="22"/>
                      <w:szCs w:val="22"/>
                    </w:rPr>
                    <w:t>14-18</w:t>
                  </w:r>
                </w:p>
              </w:tc>
              <w:tc>
                <w:tcPr>
                  <w:tcW w:w="638" w:type="pct"/>
                  <w:vAlign w:val="center"/>
                </w:tcPr>
                <w:p>
                  <w:pPr>
                    <w:jc w:val="center"/>
                    <w:rPr>
                      <w:kern w:val="0"/>
                      <w:sz w:val="22"/>
                      <w:szCs w:val="22"/>
                    </w:rPr>
                  </w:pPr>
                  <w:r>
                    <w:rPr>
                      <w:rFonts w:hint="eastAsia"/>
                      <w:kern w:val="0"/>
                      <w:sz w:val="22"/>
                      <w:szCs w:val="22"/>
                    </w:rPr>
                    <w:t>16</w:t>
                  </w:r>
                </w:p>
              </w:tc>
              <w:tc>
                <w:tcPr>
                  <w:tcW w:w="730" w:type="pct"/>
                  <w:vAlign w:val="center"/>
                </w:tcPr>
                <w:p>
                  <w:pPr>
                    <w:jc w:val="center"/>
                    <w:rPr>
                      <w:kern w:val="0"/>
                      <w:sz w:val="22"/>
                      <w:szCs w:val="22"/>
                    </w:rPr>
                  </w:pPr>
                  <w:r>
                    <w:rPr>
                      <w:rFonts w:hint="eastAsia"/>
                      <w:kern w:val="0"/>
                      <w:sz w:val="22"/>
                      <w:szCs w:val="22"/>
                    </w:rPr>
                    <w:t>60</w:t>
                  </w:r>
                </w:p>
              </w:tc>
              <w:tc>
                <w:tcPr>
                  <w:tcW w:w="794" w:type="pct"/>
                </w:tcPr>
                <w:p>
                  <w:pPr>
                    <w:jc w:val="center"/>
                    <w:rPr>
                      <w:kern w:val="0"/>
                      <w:sz w:val="22"/>
                      <w:szCs w:val="22"/>
                    </w:rPr>
                  </w:pPr>
                  <w:r>
                    <w:rPr>
                      <w:rFonts w:hint="eastAsia"/>
                      <w:kern w:val="0"/>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vAlign w:val="center"/>
                </w:tcPr>
                <w:p>
                  <w:pPr>
                    <w:jc w:val="center"/>
                    <w:rPr>
                      <w:kern w:val="0"/>
                      <w:sz w:val="22"/>
                      <w:szCs w:val="22"/>
                    </w:rPr>
                  </w:pPr>
                </w:p>
              </w:tc>
              <w:tc>
                <w:tcPr>
                  <w:tcW w:w="1368" w:type="pct"/>
                  <w:vAlign w:val="center"/>
                </w:tcPr>
                <w:p>
                  <w:pPr>
                    <w:jc w:val="center"/>
                    <w:rPr>
                      <w:kern w:val="0"/>
                      <w:sz w:val="22"/>
                      <w:szCs w:val="22"/>
                    </w:rPr>
                  </w:pPr>
                  <w:r>
                    <w:rPr>
                      <w:rFonts w:hint="eastAsia"/>
                      <w:kern w:val="0"/>
                      <w:sz w:val="22"/>
                      <w:szCs w:val="22"/>
                    </w:rPr>
                    <w:t>p</w:t>
                  </w:r>
                  <w:r>
                    <w:rPr>
                      <w:kern w:val="0"/>
                      <w:sz w:val="22"/>
                      <w:szCs w:val="22"/>
                    </w:rPr>
                    <w:t>H</w:t>
                  </w:r>
                </w:p>
              </w:tc>
              <w:tc>
                <w:tcPr>
                  <w:tcW w:w="730" w:type="pct"/>
                  <w:vAlign w:val="center"/>
                </w:tcPr>
                <w:p>
                  <w:pPr>
                    <w:jc w:val="center"/>
                    <w:rPr>
                      <w:kern w:val="0"/>
                      <w:sz w:val="22"/>
                      <w:szCs w:val="22"/>
                    </w:rPr>
                  </w:pPr>
                  <w:r>
                    <w:rPr>
                      <w:rFonts w:hint="eastAsia"/>
                      <w:kern w:val="0"/>
                      <w:sz w:val="22"/>
                      <w:szCs w:val="22"/>
                    </w:rPr>
                    <w:t>6.8-7.6</w:t>
                  </w:r>
                </w:p>
              </w:tc>
              <w:tc>
                <w:tcPr>
                  <w:tcW w:w="638" w:type="pct"/>
                  <w:vAlign w:val="center"/>
                </w:tcPr>
                <w:p>
                  <w:pPr>
                    <w:jc w:val="center"/>
                    <w:rPr>
                      <w:kern w:val="0"/>
                      <w:sz w:val="22"/>
                      <w:szCs w:val="22"/>
                    </w:rPr>
                  </w:pPr>
                  <w:r>
                    <w:rPr>
                      <w:rFonts w:hint="eastAsia"/>
                      <w:kern w:val="0"/>
                      <w:sz w:val="22"/>
                      <w:szCs w:val="22"/>
                    </w:rPr>
                    <w:t>7.2</w:t>
                  </w:r>
                </w:p>
              </w:tc>
              <w:tc>
                <w:tcPr>
                  <w:tcW w:w="730" w:type="pct"/>
                  <w:vAlign w:val="center"/>
                </w:tcPr>
                <w:p>
                  <w:pPr>
                    <w:jc w:val="center"/>
                    <w:rPr>
                      <w:kern w:val="0"/>
                      <w:sz w:val="22"/>
                      <w:szCs w:val="22"/>
                    </w:rPr>
                  </w:pPr>
                  <w:r>
                    <w:rPr>
                      <w:rFonts w:hint="eastAsia"/>
                      <w:kern w:val="0"/>
                      <w:sz w:val="22"/>
                      <w:szCs w:val="22"/>
                    </w:rPr>
                    <w:t>6-9</w:t>
                  </w:r>
                </w:p>
              </w:tc>
              <w:tc>
                <w:tcPr>
                  <w:tcW w:w="794" w:type="pct"/>
                </w:tcPr>
                <w:p>
                  <w:pPr>
                    <w:jc w:val="center"/>
                    <w:rPr>
                      <w:kern w:val="0"/>
                      <w:sz w:val="22"/>
                      <w:szCs w:val="22"/>
                    </w:rPr>
                  </w:pPr>
                  <w:r>
                    <w:rPr>
                      <w:rFonts w:hint="eastAsia"/>
                      <w:kern w:val="0"/>
                      <w:sz w:val="22"/>
                      <w:szCs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vAlign w:val="center"/>
                </w:tcPr>
                <w:p>
                  <w:pPr>
                    <w:jc w:val="center"/>
                    <w:rPr>
                      <w:kern w:val="0"/>
                      <w:sz w:val="22"/>
                      <w:szCs w:val="22"/>
                    </w:rPr>
                  </w:pPr>
                </w:p>
              </w:tc>
              <w:tc>
                <w:tcPr>
                  <w:tcW w:w="1368" w:type="pct"/>
                  <w:vAlign w:val="center"/>
                </w:tcPr>
                <w:p>
                  <w:pPr>
                    <w:jc w:val="center"/>
                    <w:rPr>
                      <w:kern w:val="0"/>
                      <w:sz w:val="22"/>
                      <w:szCs w:val="22"/>
                    </w:rPr>
                  </w:pPr>
                  <w:r>
                    <w:rPr>
                      <w:rFonts w:hint="eastAsia"/>
                      <w:kern w:val="0"/>
                      <w:sz w:val="22"/>
                      <w:szCs w:val="22"/>
                    </w:rPr>
                    <w:t>五日生化需氧量</w:t>
                  </w:r>
                </w:p>
              </w:tc>
              <w:tc>
                <w:tcPr>
                  <w:tcW w:w="730" w:type="pct"/>
                  <w:vAlign w:val="center"/>
                </w:tcPr>
                <w:p>
                  <w:pPr>
                    <w:jc w:val="center"/>
                    <w:rPr>
                      <w:kern w:val="0"/>
                      <w:sz w:val="22"/>
                      <w:szCs w:val="22"/>
                    </w:rPr>
                  </w:pPr>
                  <w:r>
                    <w:rPr>
                      <w:rFonts w:hint="eastAsia"/>
                      <w:kern w:val="0"/>
                      <w:sz w:val="22"/>
                      <w:szCs w:val="22"/>
                    </w:rPr>
                    <w:t>4.5-5.6</w:t>
                  </w:r>
                </w:p>
              </w:tc>
              <w:tc>
                <w:tcPr>
                  <w:tcW w:w="638" w:type="pct"/>
                  <w:vAlign w:val="center"/>
                </w:tcPr>
                <w:p>
                  <w:pPr>
                    <w:jc w:val="center"/>
                    <w:rPr>
                      <w:kern w:val="0"/>
                      <w:sz w:val="22"/>
                      <w:szCs w:val="22"/>
                    </w:rPr>
                  </w:pPr>
                  <w:r>
                    <w:rPr>
                      <w:rFonts w:hint="eastAsia"/>
                      <w:kern w:val="0"/>
                      <w:sz w:val="22"/>
                      <w:szCs w:val="22"/>
                    </w:rPr>
                    <w:t>5.1</w:t>
                  </w:r>
                </w:p>
              </w:tc>
              <w:tc>
                <w:tcPr>
                  <w:tcW w:w="730" w:type="pct"/>
                  <w:vAlign w:val="center"/>
                </w:tcPr>
                <w:p>
                  <w:pPr>
                    <w:jc w:val="center"/>
                    <w:rPr>
                      <w:kern w:val="0"/>
                      <w:sz w:val="22"/>
                      <w:szCs w:val="22"/>
                    </w:rPr>
                  </w:pPr>
                  <w:r>
                    <w:rPr>
                      <w:rFonts w:hint="eastAsia"/>
                      <w:kern w:val="0"/>
                      <w:sz w:val="22"/>
                      <w:szCs w:val="22"/>
                    </w:rPr>
                    <w:t>100</w:t>
                  </w:r>
                </w:p>
              </w:tc>
              <w:tc>
                <w:tcPr>
                  <w:tcW w:w="794" w:type="pct"/>
                </w:tcPr>
                <w:p>
                  <w:pPr>
                    <w:jc w:val="center"/>
                    <w:rPr>
                      <w:kern w:val="0"/>
                      <w:sz w:val="22"/>
                      <w:szCs w:val="22"/>
                    </w:rPr>
                  </w:pPr>
                  <w:r>
                    <w:rPr>
                      <w:rFonts w:hint="eastAsia"/>
                      <w:kern w:val="0"/>
                      <w:sz w:val="22"/>
                      <w:szCs w:val="22"/>
                    </w:rPr>
                    <w:t>达标</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从上表可以看出，</w:t>
            </w:r>
            <w:bookmarkStart w:id="19" w:name="_Hlk170972553"/>
            <w:r>
              <w:rPr>
                <w:rFonts w:hint="eastAsia"/>
                <w:sz w:val="24"/>
              </w:rPr>
              <w:t>院区总排口废水监测因子均满足《医疗机构水污染物排放标准》（</w:t>
            </w:r>
            <w:r>
              <w:rPr>
                <w:sz w:val="24"/>
              </w:rPr>
              <w:t>GB18466-2005</w:t>
            </w:r>
            <w:r>
              <w:rPr>
                <w:rFonts w:hint="eastAsia"/>
                <w:sz w:val="24"/>
              </w:rPr>
              <w:t>）表</w:t>
            </w:r>
            <w:r>
              <w:rPr>
                <w:sz w:val="24"/>
              </w:rPr>
              <w:t>2</w:t>
            </w:r>
            <w:r>
              <w:rPr>
                <w:rFonts w:hint="eastAsia"/>
                <w:sz w:val="24"/>
              </w:rPr>
              <w:t>预处理标准，并满足澧县污水处理厂进水水质要求。</w:t>
            </w:r>
            <w:bookmarkEnd w:id="19"/>
          </w:p>
          <w:p>
            <w:pPr>
              <w:spacing w:line="360" w:lineRule="auto"/>
              <w:ind w:firstLine="480" w:firstLineChars="200"/>
              <w:rPr>
                <w:sz w:val="24"/>
                <w:szCs w:val="32"/>
              </w:rPr>
            </w:pPr>
            <w:r>
              <w:rPr>
                <w:rFonts w:hint="eastAsia"/>
                <w:sz w:val="24"/>
                <w:szCs w:val="32"/>
              </w:rPr>
              <w:t>3、排放口基本信息</w:t>
            </w:r>
          </w:p>
          <w:p>
            <w:pPr>
              <w:spacing w:line="360" w:lineRule="auto"/>
              <w:ind w:firstLine="480" w:firstLineChars="200"/>
              <w:rPr>
                <w:sz w:val="24"/>
                <w:szCs w:val="32"/>
              </w:rPr>
            </w:pPr>
          </w:p>
          <w:p>
            <w:pPr>
              <w:spacing w:line="360" w:lineRule="auto"/>
              <w:ind w:firstLine="480" w:firstLineChars="200"/>
              <w:rPr>
                <w:sz w:val="24"/>
                <w:szCs w:val="32"/>
              </w:rPr>
            </w:pPr>
          </w:p>
          <w:p>
            <w:pPr>
              <w:tabs>
                <w:tab w:val="left" w:pos="195"/>
              </w:tabs>
              <w:snapToGrid w:val="0"/>
              <w:jc w:val="center"/>
              <w:rPr>
                <w:b/>
                <w:szCs w:val="21"/>
              </w:rPr>
            </w:pPr>
            <w:r>
              <w:rPr>
                <w:b/>
                <w:szCs w:val="21"/>
              </w:rPr>
              <w:t>表4</w:t>
            </w:r>
            <w:r>
              <w:rPr>
                <w:rFonts w:hint="eastAsia"/>
                <w:b/>
                <w:szCs w:val="21"/>
              </w:rPr>
              <w:t>-</w:t>
            </w:r>
            <w:r>
              <w:rPr>
                <w:b/>
                <w:szCs w:val="21"/>
              </w:rPr>
              <w:t xml:space="preserve">6  </w:t>
            </w:r>
            <w:r>
              <w:rPr>
                <w:rFonts w:hint="eastAsia"/>
                <w:b/>
                <w:szCs w:val="21"/>
              </w:rPr>
              <w:t xml:space="preserve">  </w:t>
            </w:r>
            <w:r>
              <w:rPr>
                <w:b/>
                <w:szCs w:val="21"/>
              </w:rPr>
              <w:t>废水间接排放口基本情况表</w:t>
            </w:r>
            <w:bookmarkStart w:id="20" w:name="BIAO12"/>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
              <w:gridCol w:w="827"/>
              <w:gridCol w:w="557"/>
              <w:gridCol w:w="1364"/>
              <w:gridCol w:w="1273"/>
              <w:gridCol w:w="669"/>
              <w:gridCol w:w="746"/>
              <w:gridCol w:w="470"/>
              <w:gridCol w:w="683"/>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35" w:type="pct"/>
                  <w:vMerge w:val="restart"/>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序号</w:t>
                  </w:r>
                </w:p>
              </w:tc>
              <w:tc>
                <w:tcPr>
                  <w:tcW w:w="527" w:type="pct"/>
                  <w:vMerge w:val="restart"/>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排放口编号</w:t>
                  </w:r>
                </w:p>
              </w:tc>
              <w:tc>
                <w:tcPr>
                  <w:tcW w:w="356" w:type="pct"/>
                  <w:vMerge w:val="restart"/>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排放口名称</w:t>
                  </w:r>
                </w:p>
              </w:tc>
              <w:tc>
                <w:tcPr>
                  <w:tcW w:w="1676" w:type="pct"/>
                  <w:gridSpan w:val="2"/>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排放口地理坐标</w:t>
                  </w:r>
                </w:p>
              </w:tc>
              <w:tc>
                <w:tcPr>
                  <w:tcW w:w="426" w:type="pct"/>
                  <w:vMerge w:val="restart"/>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排放去向</w:t>
                  </w:r>
                </w:p>
              </w:tc>
              <w:tc>
                <w:tcPr>
                  <w:tcW w:w="475" w:type="pct"/>
                  <w:vMerge w:val="restart"/>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排放规律</w:t>
                  </w:r>
                </w:p>
              </w:tc>
              <w:tc>
                <w:tcPr>
                  <w:tcW w:w="1305" w:type="pct"/>
                  <w:gridSpan w:val="3"/>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35"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527"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356"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867" w:type="pct"/>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经度</w:t>
                  </w:r>
                </w:p>
              </w:tc>
              <w:tc>
                <w:tcPr>
                  <w:tcW w:w="809" w:type="pct"/>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纬度</w:t>
                  </w:r>
                </w:p>
              </w:tc>
              <w:tc>
                <w:tcPr>
                  <w:tcW w:w="426"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475"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300" w:type="pct"/>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名称</w:t>
                  </w:r>
                </w:p>
              </w:tc>
              <w:tc>
                <w:tcPr>
                  <w:tcW w:w="407" w:type="pct"/>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污染物种类</w:t>
                  </w:r>
                </w:p>
              </w:tc>
              <w:tc>
                <w:tcPr>
                  <w:tcW w:w="598" w:type="pct"/>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国家或地方污染物排放标准浓度限值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235" w:type="pct"/>
                  <w:vMerge w:val="restart"/>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1</w:t>
                  </w:r>
                </w:p>
              </w:tc>
              <w:tc>
                <w:tcPr>
                  <w:tcW w:w="527" w:type="pct"/>
                  <w:vMerge w:val="restart"/>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DW001</w:t>
                  </w:r>
                </w:p>
              </w:tc>
              <w:tc>
                <w:tcPr>
                  <w:tcW w:w="356" w:type="pct"/>
                  <w:vMerge w:val="restart"/>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废水</w:t>
                  </w:r>
                  <w:r>
                    <w:rPr>
                      <w:rFonts w:hint="eastAsia" w:ascii="Times New Roman" w:hAnsi="Times New Roman"/>
                      <w:szCs w:val="21"/>
                    </w:rPr>
                    <w:t>总</w:t>
                  </w:r>
                  <w:r>
                    <w:rPr>
                      <w:rFonts w:ascii="Times New Roman" w:hAnsi="Times New Roman"/>
                      <w:szCs w:val="21"/>
                    </w:rPr>
                    <w:t>排放口</w:t>
                  </w:r>
                </w:p>
              </w:tc>
              <w:tc>
                <w:tcPr>
                  <w:tcW w:w="867" w:type="pct"/>
                  <w:vMerge w:val="restart"/>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111.77155226</w:t>
                  </w:r>
                </w:p>
              </w:tc>
              <w:tc>
                <w:tcPr>
                  <w:tcW w:w="809" w:type="pct"/>
                  <w:vMerge w:val="restart"/>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29.64479743</w:t>
                  </w:r>
                </w:p>
              </w:tc>
              <w:tc>
                <w:tcPr>
                  <w:tcW w:w="426" w:type="pct"/>
                  <w:vMerge w:val="restart"/>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进入</w:t>
                  </w:r>
                  <w:r>
                    <w:rPr>
                      <w:rFonts w:hint="eastAsia" w:ascii="Times New Roman" w:hAnsi="Times New Roman"/>
                      <w:szCs w:val="21"/>
                    </w:rPr>
                    <w:t>澧县</w:t>
                  </w:r>
                  <w:r>
                    <w:rPr>
                      <w:rFonts w:ascii="Times New Roman" w:hAnsi="Times New Roman"/>
                      <w:szCs w:val="21"/>
                    </w:rPr>
                    <w:t>污水处理厂</w:t>
                  </w:r>
                </w:p>
              </w:tc>
              <w:tc>
                <w:tcPr>
                  <w:tcW w:w="475" w:type="pct"/>
                  <w:vMerge w:val="restart"/>
                  <w:vAlign w:val="center"/>
                </w:tcPr>
                <w:p>
                  <w:pPr>
                    <w:pStyle w:val="34"/>
                    <w:adjustRightInd w:val="0"/>
                    <w:snapToGrid w:val="0"/>
                    <w:ind w:left="-63" w:leftChars="-30" w:right="-63" w:rightChars="-30"/>
                    <w:jc w:val="center"/>
                    <w:rPr>
                      <w:rFonts w:ascii="Times New Roman" w:hAnsi="Times New Roman"/>
                      <w:szCs w:val="21"/>
                    </w:rPr>
                  </w:pPr>
                  <w:r>
                    <w:rPr>
                      <w:rFonts w:ascii="Times New Roman" w:hAnsi="Times New Roman"/>
                      <w:szCs w:val="21"/>
                    </w:rPr>
                    <w:t>间歇排放，流量不稳定</w:t>
                  </w:r>
                </w:p>
              </w:tc>
              <w:tc>
                <w:tcPr>
                  <w:tcW w:w="300" w:type="pct"/>
                  <w:vMerge w:val="restart"/>
                  <w:vAlign w:val="center"/>
                </w:tcPr>
                <w:p>
                  <w:pPr>
                    <w:pStyle w:val="12"/>
                    <w:adjustRightInd w:val="0"/>
                    <w:snapToGrid w:val="0"/>
                    <w:spacing w:after="0"/>
                    <w:ind w:left="-63" w:leftChars="-30" w:right="-63" w:rightChars="-30" w:firstLine="0" w:firstLineChars="0"/>
                    <w:jc w:val="center"/>
                    <w:rPr>
                      <w:szCs w:val="21"/>
                    </w:rPr>
                  </w:pPr>
                  <w:r>
                    <w:rPr>
                      <w:rFonts w:hint="eastAsia"/>
                      <w:szCs w:val="21"/>
                    </w:rPr>
                    <w:t>澧县污水处理厂</w:t>
                  </w:r>
                </w:p>
              </w:tc>
              <w:tc>
                <w:tcPr>
                  <w:tcW w:w="407" w:type="pct"/>
                  <w:vAlign w:val="center"/>
                </w:tcPr>
                <w:p>
                  <w:pPr>
                    <w:pStyle w:val="34"/>
                    <w:adjustRightInd w:val="0"/>
                    <w:snapToGrid w:val="0"/>
                    <w:ind w:left="-63" w:leftChars="-30" w:right="-63" w:rightChars="-30"/>
                    <w:jc w:val="center"/>
                    <w:rPr>
                      <w:rFonts w:ascii="Times New Roman" w:hAnsi="Times New Roman"/>
                      <w:szCs w:val="21"/>
                    </w:rPr>
                  </w:pPr>
                  <w:r>
                    <w:rPr>
                      <w:rFonts w:hint="eastAsia" w:ascii="Times New Roman" w:hAnsi="Times New Roman"/>
                      <w:szCs w:val="21"/>
                    </w:rPr>
                    <w:t>COD</w:t>
                  </w:r>
                  <w:r>
                    <w:rPr>
                      <w:rFonts w:hint="eastAsia" w:ascii="Times New Roman" w:hAnsi="Times New Roman"/>
                      <w:szCs w:val="21"/>
                      <w:vertAlign w:val="subscript"/>
                    </w:rPr>
                    <w:t>Cr</w:t>
                  </w:r>
                </w:p>
              </w:tc>
              <w:tc>
                <w:tcPr>
                  <w:tcW w:w="598" w:type="pct"/>
                  <w:vAlign w:val="center"/>
                </w:tcPr>
                <w:p>
                  <w:pPr>
                    <w:pStyle w:val="34"/>
                    <w:adjustRightInd w:val="0"/>
                    <w:snapToGrid w:val="0"/>
                    <w:ind w:left="-63" w:leftChars="-30" w:right="-63" w:rightChars="-30"/>
                    <w:jc w:val="center"/>
                    <w:rPr>
                      <w:rFonts w:ascii="Times New Roman" w:hAnsi="Times New Roman"/>
                      <w:szCs w:val="21"/>
                    </w:rPr>
                  </w:pPr>
                  <w:r>
                    <w:rPr>
                      <w:rFonts w:hint="eastAsia" w:ascii="Times New Roman" w:hAnsi="Times New Roman"/>
                      <w:szCs w:val="21"/>
                    </w:rPr>
                    <w:t>1</w:t>
                  </w:r>
                  <w:r>
                    <w:rPr>
                      <w:rFonts w:ascii="Times New Roman" w:hAnsi="Times New Roman"/>
                      <w:szCs w:val="21"/>
                    </w:rPr>
                    <w:t>80</w:t>
                  </w:r>
                </w:p>
              </w:tc>
              <w:bookmarkStart w:id="21" w:name="BIAO12FSJJPFK"/>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235"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527"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356"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867"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809"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426"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475"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300" w:type="pct"/>
                  <w:vMerge w:val="continue"/>
                  <w:vAlign w:val="center"/>
                </w:tcPr>
                <w:p>
                  <w:pPr>
                    <w:pStyle w:val="12"/>
                    <w:adjustRightInd w:val="0"/>
                    <w:snapToGrid w:val="0"/>
                    <w:spacing w:after="0"/>
                    <w:ind w:left="-63" w:leftChars="-30" w:right="-63" w:rightChars="-30" w:firstLine="0" w:firstLineChars="0"/>
                    <w:jc w:val="center"/>
                    <w:rPr>
                      <w:szCs w:val="21"/>
                    </w:rPr>
                  </w:pPr>
                </w:p>
              </w:tc>
              <w:tc>
                <w:tcPr>
                  <w:tcW w:w="407" w:type="pct"/>
                  <w:vAlign w:val="center"/>
                </w:tcPr>
                <w:p>
                  <w:pPr>
                    <w:pStyle w:val="34"/>
                    <w:adjustRightInd w:val="0"/>
                    <w:snapToGrid w:val="0"/>
                    <w:ind w:left="-63" w:leftChars="-30" w:right="-63" w:rightChars="-30"/>
                    <w:jc w:val="center"/>
                    <w:rPr>
                      <w:rFonts w:ascii="Times New Roman" w:hAnsi="Times New Roman"/>
                      <w:szCs w:val="21"/>
                    </w:rPr>
                  </w:pPr>
                  <w:r>
                    <w:rPr>
                      <w:rFonts w:hint="eastAsia" w:ascii="Times New Roman" w:hAnsi="Times New Roman"/>
                      <w:szCs w:val="21"/>
                    </w:rPr>
                    <w:t>BOD</w:t>
                  </w:r>
                  <w:r>
                    <w:rPr>
                      <w:rFonts w:hint="eastAsia" w:ascii="Times New Roman" w:hAnsi="Times New Roman"/>
                      <w:szCs w:val="21"/>
                      <w:vertAlign w:val="subscript"/>
                    </w:rPr>
                    <w:t>5</w:t>
                  </w:r>
                </w:p>
              </w:tc>
              <w:tc>
                <w:tcPr>
                  <w:tcW w:w="598" w:type="pct"/>
                  <w:vAlign w:val="center"/>
                </w:tcPr>
                <w:p>
                  <w:pPr>
                    <w:pStyle w:val="34"/>
                    <w:adjustRightInd w:val="0"/>
                    <w:snapToGrid w:val="0"/>
                    <w:ind w:left="-63" w:leftChars="-30" w:right="-63" w:rightChars="-30"/>
                    <w:jc w:val="center"/>
                    <w:rPr>
                      <w:rFonts w:ascii="Times New Roman" w:hAnsi="Times New Roman"/>
                      <w:szCs w:val="21"/>
                    </w:rPr>
                  </w:pPr>
                  <w:r>
                    <w:rPr>
                      <w:rFonts w:hint="eastAsia" w:ascii="Times New Roman" w:hAnsi="Times New Roman"/>
                      <w:szCs w:val="21"/>
                    </w:rPr>
                    <w:t>9</w:t>
                  </w:r>
                  <w:r>
                    <w:rPr>
                      <w:rFonts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235"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527"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356"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867"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809"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426"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475"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300" w:type="pct"/>
                  <w:vMerge w:val="continue"/>
                  <w:vAlign w:val="center"/>
                </w:tcPr>
                <w:p>
                  <w:pPr>
                    <w:pStyle w:val="12"/>
                    <w:adjustRightInd w:val="0"/>
                    <w:snapToGrid w:val="0"/>
                    <w:spacing w:after="0"/>
                    <w:ind w:left="-63" w:leftChars="-30" w:right="-63" w:rightChars="-30" w:firstLine="0" w:firstLineChars="0"/>
                    <w:jc w:val="center"/>
                    <w:rPr>
                      <w:szCs w:val="21"/>
                    </w:rPr>
                  </w:pPr>
                </w:p>
              </w:tc>
              <w:tc>
                <w:tcPr>
                  <w:tcW w:w="407" w:type="pct"/>
                  <w:vAlign w:val="center"/>
                </w:tcPr>
                <w:p>
                  <w:pPr>
                    <w:pStyle w:val="34"/>
                    <w:adjustRightInd w:val="0"/>
                    <w:snapToGrid w:val="0"/>
                    <w:ind w:left="-63" w:leftChars="-30" w:right="-63" w:rightChars="-30"/>
                    <w:jc w:val="center"/>
                    <w:rPr>
                      <w:rFonts w:ascii="Times New Roman" w:hAnsi="Times New Roman"/>
                      <w:szCs w:val="21"/>
                    </w:rPr>
                  </w:pPr>
                  <w:r>
                    <w:rPr>
                      <w:rFonts w:hint="eastAsia" w:ascii="Times New Roman" w:hAnsi="Times New Roman"/>
                      <w:szCs w:val="21"/>
                    </w:rPr>
                    <w:t>NH</w:t>
                  </w:r>
                  <w:r>
                    <w:rPr>
                      <w:rFonts w:hint="eastAsia" w:ascii="Times New Roman" w:hAnsi="Times New Roman"/>
                      <w:szCs w:val="21"/>
                      <w:vertAlign w:val="subscript"/>
                    </w:rPr>
                    <w:t>3</w:t>
                  </w:r>
                  <w:r>
                    <w:rPr>
                      <w:rFonts w:hint="eastAsia" w:ascii="Times New Roman" w:hAnsi="Times New Roman"/>
                      <w:szCs w:val="21"/>
                    </w:rPr>
                    <w:t>-N</w:t>
                  </w:r>
                </w:p>
              </w:tc>
              <w:tc>
                <w:tcPr>
                  <w:tcW w:w="598" w:type="pct"/>
                  <w:vAlign w:val="center"/>
                </w:tcPr>
                <w:p>
                  <w:pPr>
                    <w:pStyle w:val="34"/>
                    <w:adjustRightInd w:val="0"/>
                    <w:snapToGrid w:val="0"/>
                    <w:ind w:left="-63" w:leftChars="-30" w:right="-63" w:rightChars="-30"/>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235"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527"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356"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867"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809"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426"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475" w:type="pct"/>
                  <w:vMerge w:val="continue"/>
                  <w:vAlign w:val="center"/>
                </w:tcPr>
                <w:p>
                  <w:pPr>
                    <w:pStyle w:val="34"/>
                    <w:adjustRightInd w:val="0"/>
                    <w:snapToGrid w:val="0"/>
                    <w:ind w:left="-63" w:leftChars="-30" w:right="-63" w:rightChars="-30"/>
                    <w:jc w:val="center"/>
                    <w:rPr>
                      <w:rFonts w:ascii="Times New Roman" w:hAnsi="Times New Roman"/>
                      <w:szCs w:val="21"/>
                    </w:rPr>
                  </w:pPr>
                </w:p>
              </w:tc>
              <w:tc>
                <w:tcPr>
                  <w:tcW w:w="300" w:type="pct"/>
                  <w:vMerge w:val="continue"/>
                  <w:vAlign w:val="center"/>
                </w:tcPr>
                <w:p>
                  <w:pPr>
                    <w:pStyle w:val="12"/>
                    <w:adjustRightInd w:val="0"/>
                    <w:snapToGrid w:val="0"/>
                    <w:spacing w:after="0"/>
                    <w:ind w:left="-63" w:leftChars="-30" w:right="-63" w:rightChars="-30" w:firstLine="0" w:firstLineChars="0"/>
                    <w:jc w:val="center"/>
                    <w:rPr>
                      <w:szCs w:val="21"/>
                    </w:rPr>
                  </w:pPr>
                </w:p>
              </w:tc>
              <w:tc>
                <w:tcPr>
                  <w:tcW w:w="407" w:type="pct"/>
                  <w:vAlign w:val="center"/>
                </w:tcPr>
                <w:p>
                  <w:pPr>
                    <w:pStyle w:val="34"/>
                    <w:adjustRightInd w:val="0"/>
                    <w:snapToGrid w:val="0"/>
                    <w:ind w:left="-63" w:leftChars="-30" w:right="-63" w:rightChars="-30"/>
                    <w:jc w:val="center"/>
                    <w:rPr>
                      <w:rFonts w:ascii="Times New Roman" w:hAnsi="Times New Roman"/>
                      <w:szCs w:val="21"/>
                    </w:rPr>
                  </w:pPr>
                  <w:r>
                    <w:rPr>
                      <w:rFonts w:hint="eastAsia" w:ascii="Times New Roman" w:hAnsi="Times New Roman"/>
                      <w:szCs w:val="21"/>
                    </w:rPr>
                    <w:t>SS</w:t>
                  </w:r>
                </w:p>
              </w:tc>
              <w:tc>
                <w:tcPr>
                  <w:tcW w:w="598" w:type="pct"/>
                  <w:vAlign w:val="center"/>
                </w:tcPr>
                <w:p>
                  <w:pPr>
                    <w:pStyle w:val="34"/>
                    <w:adjustRightInd w:val="0"/>
                    <w:snapToGrid w:val="0"/>
                    <w:ind w:left="-63" w:leftChars="-30" w:right="-63" w:rightChars="-30"/>
                    <w:jc w:val="center"/>
                    <w:rPr>
                      <w:rFonts w:ascii="Times New Roman" w:hAnsi="Times New Roman"/>
                      <w:szCs w:val="21"/>
                    </w:rPr>
                  </w:pPr>
                  <w:r>
                    <w:rPr>
                      <w:rFonts w:hint="eastAsia" w:ascii="Times New Roman" w:hAnsi="Times New Roman"/>
                      <w:szCs w:val="21"/>
                    </w:rPr>
                    <w:t>1</w:t>
                  </w:r>
                  <w:r>
                    <w:rPr>
                      <w:rFonts w:ascii="Times New Roman" w:hAnsi="Times New Roman"/>
                      <w:szCs w:val="21"/>
                    </w:rPr>
                    <w:t>98</w:t>
                  </w:r>
                </w:p>
              </w:tc>
            </w:tr>
            <w:bookmarkEnd w:id="20"/>
            <w:bookmarkEnd w:id="21"/>
          </w:tbl>
          <w:p>
            <w:pPr>
              <w:spacing w:line="360" w:lineRule="auto"/>
              <w:ind w:firstLine="480" w:firstLineChars="200"/>
              <w:rPr>
                <w:sz w:val="24"/>
                <w:szCs w:val="32"/>
              </w:rPr>
            </w:pPr>
          </w:p>
          <w:p>
            <w:pPr>
              <w:spacing w:line="360" w:lineRule="auto"/>
              <w:ind w:firstLine="482" w:firstLineChars="200"/>
              <w:rPr>
                <w:b/>
                <w:bCs/>
                <w:sz w:val="24"/>
              </w:rPr>
            </w:pPr>
            <w:r>
              <w:rPr>
                <w:rFonts w:hint="eastAsia"/>
                <w:b/>
                <w:bCs/>
                <w:sz w:val="24"/>
              </w:rPr>
              <w:t>三、噪声</w:t>
            </w:r>
          </w:p>
          <w:p>
            <w:pPr>
              <w:spacing w:line="360" w:lineRule="auto"/>
              <w:ind w:firstLine="480" w:firstLineChars="200"/>
              <w:rPr>
                <w:sz w:val="24"/>
                <w:szCs w:val="32"/>
              </w:rPr>
            </w:pPr>
            <w:bookmarkStart w:id="22" w:name="_Hlk170972655"/>
            <w:r>
              <w:rPr>
                <w:rFonts w:hint="eastAsia"/>
                <w:sz w:val="24"/>
                <w:szCs w:val="32"/>
              </w:rPr>
              <w:t>项目的主要噪声源为医疗设备和患者在医院内的活动噪声，其声压级在50~60dB(A)。项目所有使用的医疗设备和患者活动范围均处于室内，医疗设备噪声值均较小，人员活动噪声值相对有限。</w:t>
            </w:r>
          </w:p>
          <w:p>
            <w:pPr>
              <w:spacing w:line="360" w:lineRule="auto"/>
              <w:ind w:firstLine="480" w:firstLineChars="200"/>
              <w:rPr>
                <w:sz w:val="24"/>
                <w:szCs w:val="32"/>
              </w:rPr>
            </w:pPr>
            <w:r>
              <w:rPr>
                <w:sz w:val="24"/>
                <w:szCs w:val="32"/>
              </w:rPr>
              <w:t>本项目自身属于敏感区域，需保持较好的声环境质量水平，同时医疗设备均</w:t>
            </w:r>
            <w:r>
              <w:rPr>
                <w:rFonts w:hint="eastAsia"/>
                <w:sz w:val="24"/>
                <w:szCs w:val="32"/>
              </w:rPr>
              <w:t>位于</w:t>
            </w:r>
            <w:r>
              <w:rPr>
                <w:sz w:val="24"/>
                <w:szCs w:val="32"/>
              </w:rPr>
              <w:t>独立的科室内，并配套隔声和吸声墙体建设，病房已采取隔声窗建设，人员活动均在整栋院楼内，经过对院内人员合理的管制和墙体隔声后。本项目噪声源在以最大噪声值运行的情况下，噪声传播至项目边界可符合《工业企业厂界环境噪声排放标准》（ GB12348-2008）2类标准要求，则对项目周边的声环境质量影响较小，对项目附近居民不会造成明显影响</w:t>
            </w:r>
            <w:r>
              <w:rPr>
                <w:rFonts w:hint="eastAsia"/>
                <w:sz w:val="24"/>
                <w:szCs w:val="32"/>
              </w:rPr>
              <w:t>。</w:t>
            </w:r>
          </w:p>
          <w:p>
            <w:pPr>
              <w:spacing w:line="360" w:lineRule="auto"/>
              <w:ind w:firstLine="480" w:firstLineChars="200"/>
              <w:rPr>
                <w:sz w:val="24"/>
                <w:szCs w:val="32"/>
              </w:rPr>
            </w:pPr>
            <w:r>
              <w:rPr>
                <w:rFonts w:hint="eastAsia"/>
                <w:sz w:val="24"/>
                <w:szCs w:val="32"/>
              </w:rPr>
              <w:t>由声环境现状监测可知，项目正常运营时，</w:t>
            </w:r>
            <w:r>
              <w:rPr>
                <w:rFonts w:hint="eastAsia"/>
                <w:sz w:val="24"/>
              </w:rPr>
              <w:t>院区厂界及北侧最近居民点点声环境质量均满足《声环境质量标准》（GB3096-2008）中2类标准。</w:t>
            </w:r>
            <w:bookmarkEnd w:id="22"/>
          </w:p>
          <w:p>
            <w:pPr>
              <w:spacing w:line="360" w:lineRule="auto"/>
              <w:ind w:firstLine="482" w:firstLineChars="200"/>
              <w:rPr>
                <w:b/>
                <w:bCs/>
                <w:sz w:val="24"/>
              </w:rPr>
            </w:pPr>
            <w:r>
              <w:rPr>
                <w:rFonts w:hint="eastAsia"/>
                <w:b/>
                <w:bCs/>
                <w:sz w:val="24"/>
              </w:rPr>
              <w:t>四、固体废物</w:t>
            </w:r>
          </w:p>
          <w:p>
            <w:pPr>
              <w:pStyle w:val="35"/>
              <w:spacing w:line="360" w:lineRule="auto"/>
              <w:ind w:firstLine="480"/>
              <w:jc w:val="both"/>
              <w:rPr>
                <w:sz w:val="24"/>
              </w:rPr>
            </w:pPr>
            <w:r>
              <w:rPr>
                <w:rFonts w:hint="eastAsia"/>
                <w:sz w:val="24"/>
              </w:rPr>
              <w:t>1、固废产生情况</w:t>
            </w:r>
          </w:p>
          <w:p>
            <w:pPr>
              <w:spacing w:line="360" w:lineRule="auto"/>
              <w:ind w:firstLine="480" w:firstLineChars="200"/>
              <w:rPr>
                <w:sz w:val="24"/>
                <w:szCs w:val="32"/>
              </w:rPr>
            </w:pPr>
            <w:r>
              <w:rPr>
                <w:sz w:val="24"/>
                <w:szCs w:val="22"/>
              </w:rPr>
              <w:t>项目固体废弃物主要来源于生活垃圾以及诊治过程产生的医疗垃圾</w:t>
            </w:r>
            <w:r>
              <w:rPr>
                <w:rFonts w:hint="eastAsia"/>
                <w:sz w:val="24"/>
              </w:rPr>
              <w:t>。</w:t>
            </w:r>
          </w:p>
          <w:p>
            <w:pPr>
              <w:spacing w:line="360" w:lineRule="auto"/>
              <w:ind w:firstLine="480"/>
              <w:rPr>
                <w:sz w:val="24"/>
                <w:szCs w:val="22"/>
              </w:rPr>
            </w:pPr>
            <w:r>
              <w:rPr>
                <w:sz w:val="24"/>
                <w:szCs w:val="22"/>
              </w:rPr>
              <w:t>①生活垃圾</w:t>
            </w:r>
          </w:p>
          <w:p>
            <w:pPr>
              <w:spacing w:line="360" w:lineRule="auto"/>
              <w:ind w:firstLine="480"/>
              <w:rPr>
                <w:sz w:val="24"/>
                <w:szCs w:val="22"/>
              </w:rPr>
            </w:pPr>
            <w:r>
              <w:rPr>
                <w:rFonts w:hint="eastAsia"/>
                <w:sz w:val="24"/>
                <w:szCs w:val="22"/>
              </w:rPr>
              <w:t>院区共有</w:t>
            </w:r>
            <w:r>
              <w:rPr>
                <w:sz w:val="24"/>
                <w:szCs w:val="22"/>
              </w:rPr>
              <w:t>床位</w:t>
            </w:r>
            <w:r>
              <w:rPr>
                <w:rFonts w:hint="eastAsia"/>
                <w:sz w:val="24"/>
                <w:szCs w:val="22"/>
              </w:rPr>
              <w:t>7</w:t>
            </w:r>
            <w:r>
              <w:rPr>
                <w:sz w:val="24"/>
                <w:szCs w:val="22"/>
              </w:rPr>
              <w:t>0张，住院病人按每病床每日产生生活垃圾1.0kg 计（包括其家属产生的生活垃圾），医院年营运365天，则年产量为25.55t/a；医院劳动定员</w:t>
            </w:r>
            <w:r>
              <w:rPr>
                <w:rFonts w:hint="eastAsia"/>
                <w:sz w:val="24"/>
                <w:szCs w:val="22"/>
              </w:rPr>
              <w:t>5</w:t>
            </w:r>
            <w:r>
              <w:rPr>
                <w:sz w:val="24"/>
                <w:szCs w:val="22"/>
              </w:rPr>
              <w:t>0人，生活垃圾按0.5kg/人·d 计，年工作365天，则年产量为9.13t/a。</w:t>
            </w:r>
          </w:p>
          <w:p>
            <w:pPr>
              <w:spacing w:line="360" w:lineRule="auto"/>
              <w:ind w:firstLine="480"/>
              <w:rPr>
                <w:sz w:val="24"/>
                <w:szCs w:val="22"/>
              </w:rPr>
            </w:pPr>
            <w:r>
              <w:rPr>
                <w:sz w:val="24"/>
                <w:szCs w:val="22"/>
              </w:rPr>
              <w:t>综上，本医院生活垃圾产生总量为34.68t/a，均交由环卫部门清运。</w:t>
            </w:r>
          </w:p>
          <w:p>
            <w:pPr>
              <w:spacing w:line="360" w:lineRule="auto"/>
              <w:ind w:firstLine="480"/>
              <w:rPr>
                <w:sz w:val="24"/>
                <w:szCs w:val="22"/>
              </w:rPr>
            </w:pPr>
            <w:r>
              <w:rPr>
                <w:sz w:val="24"/>
                <w:szCs w:val="22"/>
              </w:rPr>
              <w:t>②医疗废物</w:t>
            </w:r>
          </w:p>
          <w:p>
            <w:pPr>
              <w:pStyle w:val="37"/>
              <w:rPr>
                <w:u w:val="single"/>
              </w:rPr>
            </w:pPr>
            <w:r>
              <w:rPr>
                <w:rFonts w:hint="eastAsia"/>
                <w:u w:val="single"/>
              </w:rPr>
              <w:t>参考</w:t>
            </w:r>
            <w:r>
              <w:rPr>
                <w:u w:val="single"/>
              </w:rPr>
              <w:t>“</w:t>
            </w:r>
            <w:r>
              <w:rPr>
                <w:rFonts w:hint="eastAsia"/>
                <w:u w:val="single"/>
              </w:rPr>
              <w:t>第二次全国污染源普查城镇生活源产排污系数手册</w:t>
            </w:r>
            <w:r>
              <w:rPr>
                <w:u w:val="single"/>
              </w:rPr>
              <w:t>”</w:t>
            </w:r>
            <w:r>
              <w:rPr>
                <w:rFonts w:hint="eastAsia"/>
                <w:u w:val="single"/>
              </w:rPr>
              <w:t>第四分册，院区共有</w:t>
            </w:r>
            <w:r>
              <w:rPr>
                <w:u w:val="single"/>
              </w:rPr>
              <w:t>床位</w:t>
            </w:r>
            <w:r>
              <w:rPr>
                <w:rFonts w:hint="eastAsia"/>
                <w:u w:val="single"/>
              </w:rPr>
              <w:t>7</w:t>
            </w:r>
            <w:r>
              <w:rPr>
                <w:u w:val="single"/>
              </w:rPr>
              <w:t>0张，</w:t>
            </w:r>
            <w:r>
              <w:rPr>
                <w:rFonts w:hint="eastAsia"/>
                <w:u w:val="single"/>
              </w:rPr>
              <w:t>属于</w:t>
            </w:r>
            <w:r>
              <w:rPr>
                <w:u w:val="single"/>
              </w:rPr>
              <w:t>10~100</w:t>
            </w:r>
            <w:r>
              <w:rPr>
                <w:rFonts w:hint="eastAsia"/>
                <w:u w:val="single"/>
              </w:rPr>
              <w:t>床规模范围；依据排污手册医疗垃圾核算系数为每病床每日产生医疗废物</w:t>
            </w:r>
            <w:r>
              <w:rPr>
                <w:u w:val="single"/>
              </w:rPr>
              <w:t>0.42kg</w:t>
            </w:r>
            <w:r>
              <w:rPr>
                <w:rFonts w:hint="eastAsia"/>
                <w:u w:val="single"/>
              </w:rPr>
              <w:t>床</w:t>
            </w:r>
            <w:r>
              <w:rPr>
                <w:u w:val="single"/>
              </w:rPr>
              <w:t>•</w:t>
            </w:r>
            <w:r>
              <w:rPr>
                <w:rFonts w:hint="eastAsia"/>
                <w:u w:val="single"/>
              </w:rPr>
              <w:t>日，其校核系数为每病床每日产生医疗废物</w:t>
            </w:r>
            <w:r>
              <w:rPr>
                <w:u w:val="single"/>
              </w:rPr>
              <w:t>0.2~0.9kg</w:t>
            </w:r>
            <w:r>
              <w:rPr>
                <w:rFonts w:hint="eastAsia"/>
                <w:u w:val="single"/>
              </w:rPr>
              <w:t>床</w:t>
            </w:r>
            <w:r>
              <w:rPr>
                <w:u w:val="single"/>
              </w:rPr>
              <w:t>•</w:t>
            </w:r>
            <w:r>
              <w:rPr>
                <w:rFonts w:hint="eastAsia"/>
                <w:u w:val="single"/>
              </w:rPr>
              <w:t>日，结合项目所在地区医院验收实际医疗废物排污量，本项目病房医疗废物产生量</w:t>
            </w:r>
            <w:r>
              <w:rPr>
                <w:u w:val="single"/>
              </w:rPr>
              <w:t>0.3kg</w:t>
            </w:r>
            <w:r>
              <w:rPr>
                <w:rFonts w:hint="eastAsia"/>
                <w:u w:val="single"/>
              </w:rPr>
              <w:t>床</w:t>
            </w:r>
            <w:r>
              <w:rPr>
                <w:u w:val="single"/>
              </w:rPr>
              <w:t>•</w:t>
            </w:r>
            <w:r>
              <w:rPr>
                <w:rFonts w:hint="eastAsia"/>
                <w:u w:val="single"/>
              </w:rPr>
              <w:t>日计算，则医疗废物产生量为</w:t>
            </w:r>
            <w:r>
              <w:rPr>
                <w:u w:val="single"/>
              </w:rPr>
              <w:t>21kg/d</w:t>
            </w:r>
            <w:r>
              <w:rPr>
                <w:rFonts w:hint="eastAsia"/>
                <w:u w:val="single"/>
              </w:rPr>
              <w:t>，约</w:t>
            </w:r>
            <w:r>
              <w:rPr>
                <w:u w:val="single"/>
              </w:rPr>
              <w:t>7.67t/a</w:t>
            </w:r>
            <w:r>
              <w:rPr>
                <w:rFonts w:hint="eastAsia"/>
                <w:u w:val="single"/>
              </w:rPr>
              <w:t>。医疗废物设暂存间收集后委托有相关资质的单位清运和处置。医疗废物属于危险废物，按国家危险废物名录分为医疗废物（</w:t>
            </w:r>
            <w:r>
              <w:rPr>
                <w:u w:val="single"/>
              </w:rPr>
              <w:t>HW01</w:t>
            </w:r>
            <w:r>
              <w:rPr>
                <w:rFonts w:hint="eastAsia"/>
                <w:u w:val="single"/>
              </w:rPr>
              <w:t>）。根据《国家危险废物名录》（</w:t>
            </w:r>
            <w:r>
              <w:rPr>
                <w:u w:val="single"/>
              </w:rPr>
              <w:t>2021</w:t>
            </w:r>
            <w:r>
              <w:rPr>
                <w:rFonts w:hint="eastAsia"/>
                <w:u w:val="single"/>
              </w:rPr>
              <w:t>年版），医疗废物分为感染性废物、损伤性废物、病理性废物、化学性废物、药物性废物五大类。</w:t>
            </w:r>
          </w:p>
          <w:p>
            <w:pPr>
              <w:pStyle w:val="37"/>
              <w:rPr>
                <w:u w:val="single"/>
              </w:rPr>
            </w:pPr>
            <w:r>
              <w:rPr>
                <w:rFonts w:hint="eastAsia"/>
                <w:u w:val="single"/>
              </w:rPr>
              <w:t>感染性废物：主要包括一次性医疗器械如透析器、一次性医疗用品和卫生用品等，以及病人血液、体液或排泄物污染的物品如棉签、纱布、经检验室化验过的血液、尿液等。</w:t>
            </w:r>
          </w:p>
          <w:p>
            <w:pPr>
              <w:pStyle w:val="37"/>
              <w:rPr>
                <w:u w:val="single"/>
              </w:rPr>
            </w:pPr>
            <w:r>
              <w:rPr>
                <w:rFonts w:hint="eastAsia"/>
                <w:u w:val="single"/>
              </w:rPr>
              <w:t>损伤性废物：主要是治疗区产生的废弃一次性注射器、针头及其他可能引起切伤刺伤的器物。</w:t>
            </w:r>
          </w:p>
          <w:p>
            <w:pPr>
              <w:pStyle w:val="37"/>
              <w:rPr>
                <w:u w:val="single"/>
              </w:rPr>
            </w:pPr>
            <w:r>
              <w:rPr>
                <w:rFonts w:hint="eastAsia"/>
                <w:u w:val="single"/>
              </w:rPr>
              <w:t>药物性废物：主要是过期的、废弃的药品、从病房退回的药品和淘汰的药物、煎药产生的药渣等。</w:t>
            </w:r>
          </w:p>
          <w:p>
            <w:pPr>
              <w:pStyle w:val="37"/>
              <w:rPr>
                <w:u w:val="single"/>
              </w:rPr>
            </w:pPr>
            <w:r>
              <w:rPr>
                <w:rFonts w:hint="eastAsia"/>
                <w:u w:val="single"/>
              </w:rPr>
              <w:t>化学性废物：主要为废弃的碘伏、酒精等化学消毒剂。</w:t>
            </w:r>
          </w:p>
          <w:p>
            <w:pPr>
              <w:pStyle w:val="37"/>
              <w:rPr>
                <w:u w:val="single"/>
              </w:rPr>
            </w:pPr>
            <w:r>
              <w:rPr>
                <w:rFonts w:hint="eastAsia"/>
                <w:u w:val="single"/>
              </w:rPr>
              <w:t>病理性废物：诊疗过程中产生的人体废弃物，包括手术中产生的废弃人体组织、病理切片后废弃的人体组织、病理腊块等。但本项目不设置手术室，不涉及病理性废物产生。</w:t>
            </w:r>
          </w:p>
          <w:p>
            <w:pPr>
              <w:pStyle w:val="37"/>
              <w:rPr>
                <w:u w:val="single"/>
              </w:rPr>
            </w:pPr>
            <w:r>
              <w:rPr>
                <w:rFonts w:hint="eastAsia"/>
                <w:u w:val="single"/>
              </w:rPr>
              <w:t>本项目医疗废物包括感染性医疗废物（主要为携带病原微生物具有引发感染性疾病传播危险的医疗废物，包括棉球、棉签、引流棉条、纱布及其他各种敷料）、损伤性废物（使用后的一次性注射器、一次性针头、刀片等）、药物性废物（过期、淘汰、变质或者被污染的废弃的药品）和化学性废物（检验室产生的废化学试剂等）。根据项目建设特点，项目各类医疗废物产生量和组成情况见下表。</w:t>
            </w:r>
          </w:p>
          <w:p>
            <w:pPr>
              <w:pStyle w:val="36"/>
              <w:spacing w:line="240" w:lineRule="auto"/>
              <w:ind w:firstLine="0" w:firstLineChars="0"/>
              <w:jc w:val="center"/>
              <w:rPr>
                <w:b/>
                <w:szCs w:val="21"/>
              </w:rPr>
            </w:pPr>
          </w:p>
          <w:p>
            <w:pPr>
              <w:pStyle w:val="36"/>
              <w:spacing w:line="240" w:lineRule="auto"/>
              <w:ind w:firstLine="0" w:firstLineChars="0"/>
              <w:jc w:val="center"/>
              <w:rPr>
                <w:b/>
                <w:szCs w:val="21"/>
                <w:u w:val="single"/>
              </w:rPr>
            </w:pPr>
            <w:r>
              <w:rPr>
                <w:b/>
                <w:szCs w:val="21"/>
                <w:u w:val="single"/>
              </w:rPr>
              <w:t>表</w:t>
            </w:r>
            <w:r>
              <w:rPr>
                <w:rFonts w:hint="eastAsia"/>
                <w:b/>
                <w:szCs w:val="21"/>
                <w:u w:val="single"/>
              </w:rPr>
              <w:t>4-</w:t>
            </w:r>
            <w:r>
              <w:rPr>
                <w:b/>
                <w:szCs w:val="21"/>
                <w:u w:val="single"/>
              </w:rPr>
              <w:t xml:space="preserve">7  </w:t>
            </w:r>
            <w:r>
              <w:rPr>
                <w:rFonts w:hint="eastAsia"/>
                <w:b/>
                <w:szCs w:val="21"/>
                <w:u w:val="single"/>
              </w:rPr>
              <w:t xml:space="preserve">  项目医疗废物组成情况</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1188"/>
              <w:gridCol w:w="1055"/>
              <w:gridCol w:w="1762"/>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Merge w:val="restart"/>
                  <w:vAlign w:val="center"/>
                </w:tcPr>
                <w:p>
                  <w:pPr>
                    <w:jc w:val="center"/>
                    <w:rPr>
                      <w:kern w:val="24"/>
                      <w:szCs w:val="21"/>
                    </w:rPr>
                  </w:pPr>
                  <w:r>
                    <w:rPr>
                      <w:rFonts w:hint="eastAsia"/>
                      <w:kern w:val="24"/>
                      <w:szCs w:val="21"/>
                    </w:rPr>
                    <w:t>医疗废物组成</w:t>
                  </w:r>
                </w:p>
              </w:tc>
              <w:tc>
                <w:tcPr>
                  <w:tcW w:w="3735" w:type="pct"/>
                  <w:gridSpan w:val="4"/>
                  <w:vAlign w:val="center"/>
                </w:tcPr>
                <w:p>
                  <w:pPr>
                    <w:jc w:val="center"/>
                    <w:rPr>
                      <w:kern w:val="24"/>
                      <w:szCs w:val="21"/>
                    </w:rPr>
                  </w:pPr>
                  <w:r>
                    <w:rPr>
                      <w:rFonts w:hint="eastAsia"/>
                      <w:kern w:val="24"/>
                      <w:szCs w:val="21"/>
                    </w:rPr>
                    <w:t>医疗废物类型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Merge w:val="continue"/>
                  <w:vAlign w:val="center"/>
                </w:tcPr>
                <w:p>
                  <w:pPr>
                    <w:jc w:val="center"/>
                    <w:rPr>
                      <w:kern w:val="24"/>
                      <w:szCs w:val="21"/>
                    </w:rPr>
                  </w:pPr>
                </w:p>
              </w:tc>
              <w:tc>
                <w:tcPr>
                  <w:tcW w:w="752" w:type="pct"/>
                  <w:vAlign w:val="center"/>
                </w:tcPr>
                <w:p>
                  <w:pPr>
                    <w:jc w:val="center"/>
                    <w:rPr>
                      <w:kern w:val="24"/>
                      <w:szCs w:val="21"/>
                    </w:rPr>
                  </w:pPr>
                  <w:r>
                    <w:rPr>
                      <w:rFonts w:hint="eastAsia"/>
                      <w:kern w:val="24"/>
                      <w:szCs w:val="21"/>
                    </w:rPr>
                    <w:t>感染性</w:t>
                  </w:r>
                </w:p>
              </w:tc>
              <w:tc>
                <w:tcPr>
                  <w:tcW w:w="668" w:type="pct"/>
                  <w:vAlign w:val="center"/>
                </w:tcPr>
                <w:p>
                  <w:pPr>
                    <w:jc w:val="center"/>
                    <w:rPr>
                      <w:kern w:val="24"/>
                      <w:szCs w:val="21"/>
                    </w:rPr>
                  </w:pPr>
                  <w:r>
                    <w:rPr>
                      <w:rFonts w:hint="eastAsia"/>
                      <w:kern w:val="24"/>
                      <w:szCs w:val="21"/>
                    </w:rPr>
                    <w:t>损伤性</w:t>
                  </w:r>
                </w:p>
              </w:tc>
              <w:tc>
                <w:tcPr>
                  <w:tcW w:w="1115" w:type="pct"/>
                  <w:vAlign w:val="center"/>
                </w:tcPr>
                <w:p>
                  <w:pPr>
                    <w:jc w:val="center"/>
                    <w:rPr>
                      <w:kern w:val="24"/>
                      <w:szCs w:val="21"/>
                    </w:rPr>
                  </w:pPr>
                  <w:r>
                    <w:rPr>
                      <w:rFonts w:hint="eastAsia"/>
                      <w:kern w:val="24"/>
                      <w:szCs w:val="21"/>
                    </w:rPr>
                    <w:t>药物性</w:t>
                  </w:r>
                </w:p>
              </w:tc>
              <w:tc>
                <w:tcPr>
                  <w:tcW w:w="1198" w:type="pct"/>
                  <w:vAlign w:val="center"/>
                </w:tcPr>
                <w:p>
                  <w:pPr>
                    <w:jc w:val="center"/>
                    <w:rPr>
                      <w:kern w:val="24"/>
                      <w:szCs w:val="21"/>
                    </w:rPr>
                  </w:pPr>
                  <w:r>
                    <w:rPr>
                      <w:rFonts w:hint="eastAsia"/>
                      <w:kern w:val="24"/>
                      <w:szCs w:val="21"/>
                    </w:rPr>
                    <w:t>化学性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Align w:val="center"/>
                </w:tcPr>
                <w:p>
                  <w:pPr>
                    <w:jc w:val="center"/>
                    <w:rPr>
                      <w:kern w:val="24"/>
                      <w:szCs w:val="21"/>
                    </w:rPr>
                  </w:pPr>
                  <w:r>
                    <w:rPr>
                      <w:rFonts w:hint="eastAsia"/>
                      <w:kern w:val="24"/>
                      <w:szCs w:val="21"/>
                    </w:rPr>
                    <w:t>比例（%）</w:t>
                  </w:r>
                </w:p>
              </w:tc>
              <w:tc>
                <w:tcPr>
                  <w:tcW w:w="752" w:type="pct"/>
                  <w:vAlign w:val="center"/>
                </w:tcPr>
                <w:p>
                  <w:pPr>
                    <w:jc w:val="center"/>
                    <w:rPr>
                      <w:kern w:val="24"/>
                      <w:szCs w:val="21"/>
                    </w:rPr>
                  </w:pPr>
                  <w:r>
                    <w:rPr>
                      <w:rFonts w:hint="eastAsia"/>
                      <w:kern w:val="24"/>
                      <w:szCs w:val="21"/>
                    </w:rPr>
                    <w:t>50</w:t>
                  </w:r>
                </w:p>
              </w:tc>
              <w:tc>
                <w:tcPr>
                  <w:tcW w:w="668" w:type="pct"/>
                  <w:vAlign w:val="center"/>
                </w:tcPr>
                <w:p>
                  <w:pPr>
                    <w:jc w:val="center"/>
                    <w:rPr>
                      <w:kern w:val="24"/>
                      <w:szCs w:val="21"/>
                    </w:rPr>
                  </w:pPr>
                  <w:r>
                    <w:rPr>
                      <w:rFonts w:hint="eastAsia"/>
                      <w:kern w:val="24"/>
                      <w:szCs w:val="21"/>
                    </w:rPr>
                    <w:t>20</w:t>
                  </w:r>
                </w:p>
              </w:tc>
              <w:tc>
                <w:tcPr>
                  <w:tcW w:w="1115" w:type="pct"/>
                  <w:vAlign w:val="center"/>
                </w:tcPr>
                <w:p>
                  <w:pPr>
                    <w:jc w:val="center"/>
                    <w:rPr>
                      <w:kern w:val="24"/>
                      <w:szCs w:val="21"/>
                    </w:rPr>
                  </w:pPr>
                  <w:r>
                    <w:rPr>
                      <w:rFonts w:hint="eastAsia"/>
                      <w:kern w:val="24"/>
                      <w:szCs w:val="21"/>
                    </w:rPr>
                    <w:t>20</w:t>
                  </w:r>
                </w:p>
              </w:tc>
              <w:tc>
                <w:tcPr>
                  <w:tcW w:w="1198" w:type="pct"/>
                  <w:vAlign w:val="center"/>
                </w:tcPr>
                <w:p>
                  <w:pPr>
                    <w:jc w:val="center"/>
                    <w:rPr>
                      <w:kern w:val="24"/>
                      <w:szCs w:val="21"/>
                    </w:rPr>
                  </w:pPr>
                  <w:r>
                    <w:rPr>
                      <w:rFonts w:hint="eastAsia"/>
                      <w:kern w:val="2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1264" w:type="pct"/>
                  <w:vAlign w:val="center"/>
                </w:tcPr>
                <w:p>
                  <w:pPr>
                    <w:jc w:val="center"/>
                    <w:rPr>
                      <w:kern w:val="24"/>
                      <w:szCs w:val="21"/>
                    </w:rPr>
                  </w:pPr>
                  <w:r>
                    <w:rPr>
                      <w:rFonts w:hint="eastAsia"/>
                      <w:kern w:val="24"/>
                      <w:szCs w:val="21"/>
                    </w:rPr>
                    <w:t>产生量（t/a）</w:t>
                  </w:r>
                </w:p>
              </w:tc>
              <w:tc>
                <w:tcPr>
                  <w:tcW w:w="752" w:type="pct"/>
                  <w:vAlign w:val="center"/>
                </w:tcPr>
                <w:p>
                  <w:pPr>
                    <w:jc w:val="center"/>
                    <w:rPr>
                      <w:kern w:val="24"/>
                      <w:szCs w:val="21"/>
                    </w:rPr>
                  </w:pPr>
                  <w:r>
                    <w:rPr>
                      <w:kern w:val="24"/>
                      <w:szCs w:val="21"/>
                    </w:rPr>
                    <w:t>3.84</w:t>
                  </w:r>
                </w:p>
              </w:tc>
              <w:tc>
                <w:tcPr>
                  <w:tcW w:w="668" w:type="pct"/>
                  <w:vAlign w:val="center"/>
                </w:tcPr>
                <w:p>
                  <w:pPr>
                    <w:jc w:val="center"/>
                    <w:rPr>
                      <w:kern w:val="24"/>
                      <w:szCs w:val="21"/>
                    </w:rPr>
                  </w:pPr>
                  <w:r>
                    <w:rPr>
                      <w:kern w:val="24"/>
                      <w:szCs w:val="21"/>
                    </w:rPr>
                    <w:t>1.53</w:t>
                  </w:r>
                </w:p>
              </w:tc>
              <w:tc>
                <w:tcPr>
                  <w:tcW w:w="1115" w:type="pct"/>
                  <w:vAlign w:val="center"/>
                </w:tcPr>
                <w:p>
                  <w:pPr>
                    <w:jc w:val="center"/>
                    <w:rPr>
                      <w:kern w:val="24"/>
                      <w:szCs w:val="21"/>
                    </w:rPr>
                  </w:pPr>
                  <w:r>
                    <w:rPr>
                      <w:kern w:val="24"/>
                      <w:szCs w:val="21"/>
                    </w:rPr>
                    <w:t>1.53</w:t>
                  </w:r>
                </w:p>
              </w:tc>
              <w:tc>
                <w:tcPr>
                  <w:tcW w:w="1198" w:type="pct"/>
                  <w:vAlign w:val="center"/>
                </w:tcPr>
                <w:p>
                  <w:pPr>
                    <w:jc w:val="center"/>
                    <w:rPr>
                      <w:kern w:val="24"/>
                      <w:szCs w:val="21"/>
                    </w:rPr>
                  </w:pPr>
                  <w:r>
                    <w:rPr>
                      <w:kern w:val="24"/>
                      <w:szCs w:val="21"/>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4" w:type="pct"/>
                  <w:vAlign w:val="center"/>
                </w:tcPr>
                <w:p>
                  <w:pPr>
                    <w:jc w:val="center"/>
                    <w:rPr>
                      <w:kern w:val="24"/>
                      <w:szCs w:val="21"/>
                    </w:rPr>
                  </w:pPr>
                  <w:r>
                    <w:rPr>
                      <w:rFonts w:hint="eastAsia"/>
                      <w:kern w:val="24"/>
                      <w:szCs w:val="21"/>
                    </w:rPr>
                    <w:t>合计（t/a）</w:t>
                  </w:r>
                </w:p>
              </w:tc>
              <w:tc>
                <w:tcPr>
                  <w:tcW w:w="3735" w:type="pct"/>
                  <w:gridSpan w:val="4"/>
                  <w:vAlign w:val="center"/>
                </w:tcPr>
                <w:p>
                  <w:pPr>
                    <w:jc w:val="center"/>
                    <w:rPr>
                      <w:kern w:val="24"/>
                      <w:szCs w:val="21"/>
                    </w:rPr>
                  </w:pPr>
                  <w:r>
                    <w:rPr>
                      <w:kern w:val="24"/>
                      <w:szCs w:val="21"/>
                    </w:rPr>
                    <w:t>7.67</w:t>
                  </w:r>
                </w:p>
              </w:tc>
            </w:tr>
          </w:tbl>
          <w:p>
            <w:pPr>
              <w:spacing w:line="360" w:lineRule="auto"/>
              <w:ind w:firstLine="480" w:firstLineChars="200"/>
              <w:rPr>
                <w:sz w:val="24"/>
                <w:szCs w:val="32"/>
              </w:rPr>
            </w:pPr>
          </w:p>
          <w:p>
            <w:pPr>
              <w:pStyle w:val="37"/>
              <w:rPr>
                <w:u w:val="single"/>
              </w:rPr>
            </w:pPr>
            <w:r>
              <w:rPr>
                <w:u w:val="single"/>
              </w:rPr>
              <w:t>③</w:t>
            </w:r>
            <w:r>
              <w:rPr>
                <w:rFonts w:hint="eastAsia"/>
                <w:u w:val="single"/>
              </w:rPr>
              <w:t>污水处理设施污泥</w:t>
            </w:r>
          </w:p>
          <w:p>
            <w:pPr>
              <w:pStyle w:val="37"/>
              <w:rPr>
                <w:u w:val="single"/>
              </w:rPr>
            </w:pPr>
            <w:r>
              <w:rPr>
                <w:rFonts w:hint="eastAsia" w:ascii="宋体" w:hAnsi="宋体" w:cs="宋体"/>
                <w:kern w:val="0"/>
                <w:szCs w:val="24"/>
                <w:u w:val="single"/>
                <w:lang w:bidi="ar"/>
              </w:rPr>
              <w:t>根据医院实际运行情况，污水处理站产生的污泥量一般每立方米污水产泥量约有</w:t>
            </w:r>
            <w:r>
              <w:rPr>
                <w:kern w:val="0"/>
                <w:szCs w:val="24"/>
                <w:u w:val="single"/>
                <w:lang w:bidi="ar"/>
              </w:rPr>
              <w:t>0.15kg</w:t>
            </w:r>
            <w:r>
              <w:rPr>
                <w:u w:val="single"/>
              </w:rPr>
              <w:t>，废水量为9610.5m</w:t>
            </w:r>
            <w:r>
              <w:rPr>
                <w:u w:val="single"/>
                <w:vertAlign w:val="superscript"/>
              </w:rPr>
              <w:t>3</w:t>
            </w:r>
            <w:r>
              <w:rPr>
                <w:u w:val="single"/>
              </w:rPr>
              <w:t>/a，即</w:t>
            </w:r>
            <w:r>
              <w:rPr>
                <w:rFonts w:hint="eastAsia"/>
                <w:u w:val="single"/>
              </w:rPr>
              <w:t>污泥产生</w:t>
            </w:r>
            <w:r>
              <w:rPr>
                <w:u w:val="single"/>
              </w:rPr>
              <w:t>量约为1.44t/a。</w:t>
            </w:r>
          </w:p>
          <w:p>
            <w:pPr>
              <w:pStyle w:val="37"/>
              <w:jc w:val="both"/>
              <w:rPr>
                <w:rFonts w:ascii="宋体" w:hAnsi="宋体" w:cs="宋体"/>
                <w:kern w:val="0"/>
                <w:szCs w:val="24"/>
                <w:u w:val="single"/>
                <w:lang w:bidi="ar"/>
              </w:rPr>
            </w:pPr>
            <w:r>
              <w:rPr>
                <w:u w:val="single"/>
              </w:rPr>
              <w:t>根据《医疗机构水污染物排放标准》（GB18466-2005）中4.3污泥控制与处置可知，栅渣、化粪池和污水处理站污泥属“HW01 医疗废物中 831-001-01 感染性废物”类危险废物，应按危险废物进行处理和处置。</w:t>
            </w:r>
            <w:r>
              <w:rPr>
                <w:rFonts w:hint="eastAsia"/>
                <w:u w:val="single"/>
              </w:rPr>
              <w:t>根据现场踏勘，院区营运至今污水处理设施污泥未进行清运，本次环评要求，</w:t>
            </w:r>
            <w:r>
              <w:rPr>
                <w:u w:val="single"/>
              </w:rPr>
              <w:t>医院需委托有资质单位进行清运处理，清掏前需经无害化处理达到《医疗机构水污染物排放标准》（GB18466-2005）中表4医疗机构污泥控制标准（即粪大肠</w:t>
            </w:r>
            <w:r>
              <w:rPr>
                <w:kern w:val="0"/>
                <w:szCs w:val="24"/>
                <w:u w:val="single"/>
                <w:lang w:bidi="ar"/>
              </w:rPr>
              <w:t>菌群数≤100MPN/P，蛔虫卵死亡率＞95%）要</w:t>
            </w:r>
            <w:r>
              <w:rPr>
                <w:rFonts w:ascii="宋体" w:hAnsi="宋体" w:cs="宋体"/>
                <w:kern w:val="0"/>
                <w:szCs w:val="24"/>
                <w:u w:val="single"/>
                <w:lang w:bidi="ar"/>
              </w:rPr>
              <w:t>求后密闭封装外运。</w:t>
            </w:r>
          </w:p>
          <w:p>
            <w:pPr>
              <w:pStyle w:val="37"/>
              <w:jc w:val="both"/>
              <w:rPr>
                <w:kern w:val="0"/>
                <w:szCs w:val="24"/>
                <w:u w:val="single"/>
                <w:lang w:bidi="ar"/>
              </w:rPr>
            </w:pPr>
            <w:r>
              <w:rPr>
                <w:kern w:val="0"/>
                <w:szCs w:val="24"/>
                <w:u w:val="single"/>
                <w:lang w:bidi="ar"/>
              </w:rPr>
              <w:t>④废包装材料</w:t>
            </w:r>
          </w:p>
          <w:p>
            <w:pPr>
              <w:pStyle w:val="37"/>
              <w:jc w:val="both"/>
              <w:rPr>
                <w:kern w:val="0"/>
                <w:szCs w:val="24"/>
                <w:u w:val="single"/>
                <w:lang w:bidi="ar"/>
              </w:rPr>
            </w:pPr>
            <w:r>
              <w:rPr>
                <w:kern w:val="0"/>
                <w:szCs w:val="24"/>
                <w:u w:val="single"/>
                <w:lang w:bidi="ar"/>
              </w:rPr>
              <w:t>项目在运营过程中，会产生诸如药品外包装、医用器械等材料外包装，不属于医疗废物，属于一般固废，根据业主提供的资料，产生量约为0.1t/a，此部分固废收集后外售给废品回收站。</w:t>
            </w:r>
          </w:p>
          <w:p>
            <w:pPr>
              <w:pStyle w:val="37"/>
              <w:jc w:val="both"/>
              <w:rPr>
                <w:kern w:val="0"/>
                <w:szCs w:val="24"/>
                <w:u w:val="single"/>
                <w:lang w:bidi="ar"/>
              </w:rPr>
            </w:pPr>
            <w:r>
              <w:rPr>
                <w:kern w:val="0"/>
                <w:szCs w:val="24"/>
                <w:u w:val="single"/>
                <w:lang w:bidi="ar"/>
              </w:rPr>
              <w:t>⑤输液瓶（袋）</w:t>
            </w:r>
            <w:r>
              <w:rPr>
                <w:rFonts w:hint="eastAsia"/>
                <w:kern w:val="0"/>
                <w:szCs w:val="24"/>
                <w:u w:val="single"/>
                <w:lang w:bidi="ar"/>
              </w:rPr>
              <w:t>、透析桶</w:t>
            </w:r>
          </w:p>
          <w:p>
            <w:pPr>
              <w:pStyle w:val="37"/>
              <w:jc w:val="both"/>
              <w:rPr>
                <w:kern w:val="0"/>
                <w:szCs w:val="24"/>
                <w:u w:val="single"/>
                <w:lang w:bidi="ar"/>
              </w:rPr>
            </w:pPr>
            <w:r>
              <w:rPr>
                <w:kern w:val="0"/>
                <w:szCs w:val="24"/>
                <w:u w:val="single"/>
                <w:lang w:bidi="ar"/>
              </w:rPr>
              <w:t>根据卫生部卫生办医发《关于明确医疗废物分类有关问题的通知》（[2005]292号）文件和湖南省卫生和计划生育委员会、湖南省环境保护厅、湖南省公安厅（湘卫函[2017]429号）《关于进一步加强医疗废物管理工作通知》：未被病人血液、体液、排泄物污染的各种玻璃或一次性塑料输液瓶（袋），盛装化疗药物的输液瓶（袋）除外，为可回收一般固废，根据业主提供的资料，项目产生量为0.4t/a，袋装分类收集由回收公司统一回收资源化综合利用。</w:t>
            </w:r>
          </w:p>
          <w:p>
            <w:pPr>
              <w:ind w:firstLine="422"/>
              <w:jc w:val="center"/>
              <w:rPr>
                <w:b/>
              </w:rPr>
            </w:pPr>
          </w:p>
          <w:p>
            <w:pPr>
              <w:ind w:firstLine="422"/>
              <w:jc w:val="center"/>
              <w:rPr>
                <w:b/>
              </w:rPr>
            </w:pPr>
          </w:p>
          <w:p>
            <w:pPr>
              <w:ind w:firstLine="422"/>
              <w:jc w:val="center"/>
              <w:rPr>
                <w:b/>
              </w:rPr>
            </w:pPr>
          </w:p>
          <w:p>
            <w:pPr>
              <w:ind w:firstLine="422"/>
              <w:jc w:val="center"/>
              <w:rPr>
                <w:b/>
                <w:u w:val="single"/>
              </w:rPr>
            </w:pPr>
            <w:r>
              <w:rPr>
                <w:rFonts w:hint="eastAsia"/>
                <w:b/>
                <w:u w:val="single"/>
              </w:rPr>
              <w:t>表4-</w:t>
            </w:r>
            <w:r>
              <w:rPr>
                <w:b/>
                <w:u w:val="single"/>
              </w:rPr>
              <w:t xml:space="preserve">8  </w:t>
            </w:r>
            <w:r>
              <w:rPr>
                <w:rFonts w:hint="eastAsia"/>
                <w:b/>
                <w:u w:val="single"/>
              </w:rPr>
              <w:t xml:space="preserve">  固体废物产生量及处理措施一览表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2"/>
              <w:gridCol w:w="1241"/>
              <w:gridCol w:w="633"/>
              <w:gridCol w:w="744"/>
              <w:gridCol w:w="542"/>
              <w:gridCol w:w="621"/>
              <w:gridCol w:w="665"/>
              <w:gridCol w:w="162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482" w:type="dxa"/>
                  <w:vAlign w:val="center"/>
                </w:tcPr>
                <w:p>
                  <w:pPr>
                    <w:widowControl/>
                    <w:jc w:val="center"/>
                    <w:rPr>
                      <w:bCs/>
                      <w:szCs w:val="21"/>
                    </w:rPr>
                  </w:pPr>
                  <w:r>
                    <w:rPr>
                      <w:bCs/>
                      <w:szCs w:val="21"/>
                    </w:rPr>
                    <w:t>序号</w:t>
                  </w:r>
                </w:p>
              </w:tc>
              <w:tc>
                <w:tcPr>
                  <w:tcW w:w="1389" w:type="dxa"/>
                  <w:vAlign w:val="center"/>
                </w:tcPr>
                <w:p>
                  <w:pPr>
                    <w:widowControl/>
                    <w:jc w:val="center"/>
                    <w:rPr>
                      <w:bCs/>
                      <w:szCs w:val="21"/>
                    </w:rPr>
                  </w:pPr>
                  <w:r>
                    <w:rPr>
                      <w:bCs/>
                      <w:szCs w:val="21"/>
                    </w:rPr>
                    <w:t>固废名称</w:t>
                  </w:r>
                </w:p>
              </w:tc>
              <w:tc>
                <w:tcPr>
                  <w:tcW w:w="756" w:type="dxa"/>
                  <w:vAlign w:val="center"/>
                </w:tcPr>
                <w:p>
                  <w:pPr>
                    <w:widowControl/>
                    <w:jc w:val="center"/>
                    <w:rPr>
                      <w:bCs/>
                      <w:szCs w:val="21"/>
                    </w:rPr>
                  </w:pPr>
                  <w:r>
                    <w:rPr>
                      <w:bCs/>
                      <w:szCs w:val="21"/>
                    </w:rPr>
                    <w:t>属性类型</w:t>
                  </w:r>
                </w:p>
              </w:tc>
              <w:tc>
                <w:tcPr>
                  <w:tcW w:w="900" w:type="dxa"/>
                  <w:vAlign w:val="center"/>
                </w:tcPr>
                <w:p>
                  <w:pPr>
                    <w:widowControl/>
                    <w:jc w:val="center"/>
                    <w:rPr>
                      <w:bCs/>
                      <w:szCs w:val="21"/>
                    </w:rPr>
                  </w:pPr>
                  <w:r>
                    <w:rPr>
                      <w:bCs/>
                      <w:szCs w:val="21"/>
                    </w:rPr>
                    <w:t>产生工序</w:t>
                  </w:r>
                </w:p>
              </w:tc>
              <w:tc>
                <w:tcPr>
                  <w:tcW w:w="638" w:type="dxa"/>
                  <w:vAlign w:val="center"/>
                </w:tcPr>
                <w:p>
                  <w:pPr>
                    <w:widowControl/>
                    <w:jc w:val="center"/>
                    <w:rPr>
                      <w:bCs/>
                      <w:szCs w:val="21"/>
                    </w:rPr>
                  </w:pPr>
                  <w:r>
                    <w:rPr>
                      <w:bCs/>
                      <w:szCs w:val="21"/>
                    </w:rPr>
                    <w:t>形态</w:t>
                  </w:r>
                </w:p>
              </w:tc>
              <w:tc>
                <w:tcPr>
                  <w:tcW w:w="662" w:type="dxa"/>
                  <w:vAlign w:val="center"/>
                </w:tcPr>
                <w:p>
                  <w:pPr>
                    <w:widowControl/>
                    <w:jc w:val="center"/>
                    <w:rPr>
                      <w:bCs/>
                      <w:szCs w:val="21"/>
                    </w:rPr>
                  </w:pPr>
                  <w:r>
                    <w:rPr>
                      <w:bCs/>
                      <w:szCs w:val="21"/>
                    </w:rPr>
                    <w:t>产生量</w:t>
                  </w:r>
                </w:p>
              </w:tc>
              <w:tc>
                <w:tcPr>
                  <w:tcW w:w="750" w:type="dxa"/>
                  <w:vAlign w:val="center"/>
                </w:tcPr>
                <w:p>
                  <w:pPr>
                    <w:widowControl/>
                    <w:jc w:val="center"/>
                    <w:rPr>
                      <w:bCs/>
                      <w:szCs w:val="21"/>
                    </w:rPr>
                  </w:pPr>
                  <w:r>
                    <w:rPr>
                      <w:rFonts w:hint="eastAsia"/>
                      <w:bCs/>
                      <w:szCs w:val="21"/>
                    </w:rPr>
                    <w:t>最大储存量</w:t>
                  </w:r>
                </w:p>
              </w:tc>
              <w:tc>
                <w:tcPr>
                  <w:tcW w:w="657" w:type="dxa"/>
                  <w:vAlign w:val="center"/>
                </w:tcPr>
                <w:p>
                  <w:pPr>
                    <w:widowControl/>
                    <w:jc w:val="center"/>
                    <w:rPr>
                      <w:bCs/>
                      <w:szCs w:val="21"/>
                    </w:rPr>
                  </w:pPr>
                  <w:r>
                    <w:rPr>
                      <w:rFonts w:hint="eastAsia"/>
                      <w:bCs/>
                      <w:szCs w:val="21"/>
                    </w:rPr>
                    <w:t>代码</w:t>
                  </w:r>
                </w:p>
              </w:tc>
              <w:tc>
                <w:tcPr>
                  <w:tcW w:w="1702" w:type="dxa"/>
                  <w:vAlign w:val="center"/>
                </w:tcPr>
                <w:p>
                  <w:pPr>
                    <w:widowControl/>
                    <w:jc w:val="center"/>
                    <w:rPr>
                      <w:bCs/>
                      <w:szCs w:val="21"/>
                    </w:rPr>
                  </w:pPr>
                  <w:r>
                    <w:rPr>
                      <w:rFonts w:hint="eastAsia"/>
                      <w:bCs/>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482" w:type="dxa"/>
                  <w:vAlign w:val="center"/>
                </w:tcPr>
                <w:p>
                  <w:pPr>
                    <w:widowControl/>
                    <w:jc w:val="center"/>
                    <w:rPr>
                      <w:bCs/>
                      <w:szCs w:val="21"/>
                    </w:rPr>
                  </w:pPr>
                  <w:r>
                    <w:rPr>
                      <w:bCs/>
                      <w:szCs w:val="21"/>
                    </w:rPr>
                    <w:t>1</w:t>
                  </w:r>
                </w:p>
              </w:tc>
              <w:tc>
                <w:tcPr>
                  <w:tcW w:w="1389" w:type="dxa"/>
                  <w:vAlign w:val="center"/>
                </w:tcPr>
                <w:p>
                  <w:pPr>
                    <w:widowControl/>
                    <w:jc w:val="center"/>
                    <w:rPr>
                      <w:bCs/>
                      <w:szCs w:val="21"/>
                    </w:rPr>
                  </w:pPr>
                  <w:r>
                    <w:rPr>
                      <w:bCs/>
                      <w:szCs w:val="21"/>
                    </w:rPr>
                    <w:t>生活垃圾</w:t>
                  </w:r>
                </w:p>
              </w:tc>
              <w:tc>
                <w:tcPr>
                  <w:tcW w:w="756" w:type="dxa"/>
                  <w:vAlign w:val="center"/>
                </w:tcPr>
                <w:p>
                  <w:pPr>
                    <w:widowControl/>
                    <w:jc w:val="center"/>
                    <w:rPr>
                      <w:bCs/>
                      <w:szCs w:val="21"/>
                    </w:rPr>
                  </w:pPr>
                  <w:r>
                    <w:rPr>
                      <w:bCs/>
                      <w:szCs w:val="21"/>
                    </w:rPr>
                    <w:t>一般固废</w:t>
                  </w:r>
                </w:p>
              </w:tc>
              <w:tc>
                <w:tcPr>
                  <w:tcW w:w="900" w:type="dxa"/>
                  <w:vAlign w:val="center"/>
                </w:tcPr>
                <w:p>
                  <w:pPr>
                    <w:widowControl/>
                    <w:jc w:val="center"/>
                    <w:rPr>
                      <w:bCs/>
                      <w:szCs w:val="21"/>
                    </w:rPr>
                  </w:pPr>
                  <w:r>
                    <w:rPr>
                      <w:bCs/>
                      <w:szCs w:val="21"/>
                    </w:rPr>
                    <w:t>员工生活</w:t>
                  </w:r>
                </w:p>
              </w:tc>
              <w:tc>
                <w:tcPr>
                  <w:tcW w:w="638" w:type="dxa"/>
                  <w:vAlign w:val="center"/>
                </w:tcPr>
                <w:p>
                  <w:pPr>
                    <w:widowControl/>
                    <w:jc w:val="center"/>
                    <w:rPr>
                      <w:bCs/>
                      <w:szCs w:val="21"/>
                    </w:rPr>
                  </w:pPr>
                  <w:r>
                    <w:rPr>
                      <w:bCs/>
                      <w:szCs w:val="21"/>
                    </w:rPr>
                    <w:t>固态</w:t>
                  </w:r>
                </w:p>
              </w:tc>
              <w:tc>
                <w:tcPr>
                  <w:tcW w:w="662" w:type="dxa"/>
                  <w:vAlign w:val="center"/>
                </w:tcPr>
                <w:p>
                  <w:pPr>
                    <w:widowControl/>
                    <w:jc w:val="center"/>
                    <w:rPr>
                      <w:bCs/>
                      <w:szCs w:val="21"/>
                    </w:rPr>
                  </w:pPr>
                  <w:r>
                    <w:rPr>
                      <w:bCs/>
                      <w:szCs w:val="21"/>
                    </w:rPr>
                    <w:t>34.68</w:t>
                  </w:r>
                </w:p>
              </w:tc>
              <w:tc>
                <w:tcPr>
                  <w:tcW w:w="750" w:type="dxa"/>
                  <w:vAlign w:val="center"/>
                </w:tcPr>
                <w:p>
                  <w:pPr>
                    <w:widowControl/>
                    <w:jc w:val="center"/>
                    <w:rPr>
                      <w:bCs/>
                      <w:szCs w:val="21"/>
                    </w:rPr>
                  </w:pPr>
                  <w:r>
                    <w:rPr>
                      <w:rFonts w:hint="eastAsia"/>
                      <w:bCs/>
                      <w:szCs w:val="21"/>
                    </w:rPr>
                    <w:t>0.5</w:t>
                  </w:r>
                </w:p>
              </w:tc>
              <w:tc>
                <w:tcPr>
                  <w:tcW w:w="657" w:type="dxa"/>
                  <w:vAlign w:val="center"/>
                </w:tcPr>
                <w:p>
                  <w:pPr>
                    <w:widowControl/>
                    <w:jc w:val="center"/>
                    <w:rPr>
                      <w:bCs/>
                      <w:szCs w:val="21"/>
                    </w:rPr>
                  </w:pPr>
                  <w:r>
                    <w:rPr>
                      <w:rFonts w:hint="eastAsia"/>
                      <w:bCs/>
                      <w:szCs w:val="21"/>
                    </w:rPr>
                    <w:t>900-001-S64</w:t>
                  </w:r>
                </w:p>
              </w:tc>
              <w:tc>
                <w:tcPr>
                  <w:tcW w:w="1702" w:type="dxa"/>
                  <w:vAlign w:val="center"/>
                </w:tcPr>
                <w:p>
                  <w:pPr>
                    <w:widowControl/>
                    <w:jc w:val="center"/>
                    <w:rPr>
                      <w:bCs/>
                      <w:szCs w:val="21"/>
                    </w:rPr>
                  </w:pPr>
                  <w:r>
                    <w:rPr>
                      <w:bCs/>
                      <w:szCs w:val="21"/>
                    </w:rPr>
                    <w:t>均交由环卫部门清运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482" w:type="dxa"/>
                  <w:vAlign w:val="center"/>
                </w:tcPr>
                <w:p>
                  <w:pPr>
                    <w:widowControl/>
                    <w:jc w:val="center"/>
                    <w:rPr>
                      <w:bCs/>
                      <w:szCs w:val="21"/>
                    </w:rPr>
                  </w:pPr>
                  <w:r>
                    <w:rPr>
                      <w:rFonts w:hint="eastAsia"/>
                      <w:bCs/>
                      <w:szCs w:val="21"/>
                    </w:rPr>
                    <w:t>2</w:t>
                  </w:r>
                </w:p>
              </w:tc>
              <w:tc>
                <w:tcPr>
                  <w:tcW w:w="1389" w:type="dxa"/>
                  <w:vAlign w:val="center"/>
                </w:tcPr>
                <w:p>
                  <w:pPr>
                    <w:widowControl/>
                    <w:jc w:val="center"/>
                    <w:rPr>
                      <w:bCs/>
                      <w:szCs w:val="21"/>
                    </w:rPr>
                  </w:pPr>
                  <w:r>
                    <w:rPr>
                      <w:bCs/>
                      <w:szCs w:val="21"/>
                    </w:rPr>
                    <w:t>医疗垃圾</w:t>
                  </w:r>
                </w:p>
              </w:tc>
              <w:tc>
                <w:tcPr>
                  <w:tcW w:w="756" w:type="dxa"/>
                  <w:vMerge w:val="restart"/>
                  <w:vAlign w:val="center"/>
                </w:tcPr>
                <w:p>
                  <w:pPr>
                    <w:widowControl/>
                    <w:jc w:val="center"/>
                    <w:rPr>
                      <w:bCs/>
                      <w:szCs w:val="21"/>
                    </w:rPr>
                  </w:pPr>
                  <w:r>
                    <w:rPr>
                      <w:bCs/>
                      <w:szCs w:val="21"/>
                    </w:rPr>
                    <w:t>危险废物</w:t>
                  </w:r>
                </w:p>
              </w:tc>
              <w:tc>
                <w:tcPr>
                  <w:tcW w:w="900" w:type="dxa"/>
                  <w:vAlign w:val="center"/>
                </w:tcPr>
                <w:p>
                  <w:pPr>
                    <w:widowControl/>
                    <w:jc w:val="center"/>
                    <w:rPr>
                      <w:bCs/>
                      <w:szCs w:val="21"/>
                    </w:rPr>
                  </w:pPr>
                  <w:r>
                    <w:rPr>
                      <w:bCs/>
                      <w:szCs w:val="21"/>
                    </w:rPr>
                    <w:t>医院科室日常产生</w:t>
                  </w:r>
                </w:p>
              </w:tc>
              <w:tc>
                <w:tcPr>
                  <w:tcW w:w="638" w:type="dxa"/>
                  <w:vAlign w:val="center"/>
                </w:tcPr>
                <w:p>
                  <w:pPr>
                    <w:widowControl/>
                    <w:jc w:val="center"/>
                    <w:rPr>
                      <w:bCs/>
                      <w:szCs w:val="21"/>
                    </w:rPr>
                  </w:pPr>
                  <w:r>
                    <w:rPr>
                      <w:bCs/>
                      <w:szCs w:val="21"/>
                    </w:rPr>
                    <w:t>固态</w:t>
                  </w:r>
                </w:p>
              </w:tc>
              <w:tc>
                <w:tcPr>
                  <w:tcW w:w="662" w:type="dxa"/>
                  <w:vAlign w:val="center"/>
                </w:tcPr>
                <w:p>
                  <w:pPr>
                    <w:widowControl/>
                    <w:jc w:val="center"/>
                    <w:rPr>
                      <w:bCs/>
                      <w:szCs w:val="21"/>
                    </w:rPr>
                  </w:pPr>
                  <w:r>
                    <w:rPr>
                      <w:bCs/>
                      <w:szCs w:val="21"/>
                    </w:rPr>
                    <w:t>7.67</w:t>
                  </w:r>
                </w:p>
              </w:tc>
              <w:tc>
                <w:tcPr>
                  <w:tcW w:w="750" w:type="dxa"/>
                  <w:vAlign w:val="center"/>
                </w:tcPr>
                <w:p>
                  <w:pPr>
                    <w:widowControl/>
                    <w:jc w:val="center"/>
                    <w:rPr>
                      <w:bCs/>
                      <w:szCs w:val="21"/>
                    </w:rPr>
                  </w:pPr>
                  <w:r>
                    <w:rPr>
                      <w:rFonts w:hint="eastAsia"/>
                      <w:bCs/>
                      <w:szCs w:val="21"/>
                    </w:rPr>
                    <w:t>0.05</w:t>
                  </w:r>
                </w:p>
              </w:tc>
              <w:tc>
                <w:tcPr>
                  <w:tcW w:w="657" w:type="dxa"/>
                  <w:vMerge w:val="restart"/>
                  <w:vAlign w:val="center"/>
                </w:tcPr>
                <w:p>
                  <w:pPr>
                    <w:widowControl/>
                    <w:jc w:val="center"/>
                    <w:rPr>
                      <w:bCs/>
                      <w:szCs w:val="21"/>
                    </w:rPr>
                  </w:pPr>
                  <w:r>
                    <w:rPr>
                      <w:bCs/>
                      <w:szCs w:val="21"/>
                    </w:rPr>
                    <w:t>HW01</w:t>
                  </w:r>
                  <w:r>
                    <w:rPr>
                      <w:rFonts w:hint="eastAsia"/>
                      <w:bCs/>
                      <w:szCs w:val="21"/>
                    </w:rPr>
                    <w:t>-</w:t>
                  </w:r>
                  <w:r>
                    <w:rPr>
                      <w:bCs/>
                      <w:szCs w:val="21"/>
                    </w:rPr>
                    <w:t>831-002-01</w:t>
                  </w:r>
                </w:p>
              </w:tc>
              <w:tc>
                <w:tcPr>
                  <w:tcW w:w="1702" w:type="dxa"/>
                  <w:vMerge w:val="restart"/>
                  <w:vAlign w:val="center"/>
                </w:tcPr>
                <w:p>
                  <w:pPr>
                    <w:widowControl/>
                    <w:jc w:val="center"/>
                    <w:rPr>
                      <w:bCs/>
                      <w:szCs w:val="21"/>
                    </w:rPr>
                  </w:pPr>
                  <w:r>
                    <w:rPr>
                      <w:bCs/>
                      <w:szCs w:val="21"/>
                    </w:rPr>
                    <w:t>暂存于医疗废物间内，</w:t>
                  </w:r>
                  <w:r>
                    <w:rPr>
                      <w:rFonts w:hint="eastAsia"/>
                      <w:bCs/>
                      <w:szCs w:val="21"/>
                    </w:rPr>
                    <w:t>定期</w:t>
                  </w:r>
                  <w:r>
                    <w:rPr>
                      <w:bCs/>
                      <w:szCs w:val="21"/>
                    </w:rPr>
                    <w:t>委托</w:t>
                  </w:r>
                  <w:r>
                    <w:rPr>
                      <w:rFonts w:hint="eastAsia" w:ascii="宋体" w:hAnsi="宋体" w:cs="宋体"/>
                      <w:sz w:val="22"/>
                      <w:szCs w:val="18"/>
                    </w:rPr>
                    <w:t>湖南荣森环保科技有限公司</w:t>
                  </w:r>
                  <w:r>
                    <w:rPr>
                      <w:rFonts w:hint="eastAsia"/>
                      <w:bCs/>
                      <w:szCs w:val="21"/>
                    </w:rPr>
                    <w:t>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482" w:type="dxa"/>
                  <w:vAlign w:val="center"/>
                </w:tcPr>
                <w:p>
                  <w:pPr>
                    <w:widowControl/>
                    <w:jc w:val="center"/>
                    <w:rPr>
                      <w:bCs/>
                      <w:szCs w:val="21"/>
                    </w:rPr>
                  </w:pPr>
                  <w:r>
                    <w:rPr>
                      <w:rFonts w:hint="eastAsia"/>
                      <w:bCs/>
                      <w:szCs w:val="21"/>
                    </w:rPr>
                    <w:t>3</w:t>
                  </w:r>
                </w:p>
              </w:tc>
              <w:tc>
                <w:tcPr>
                  <w:tcW w:w="1389" w:type="dxa"/>
                  <w:vAlign w:val="center"/>
                </w:tcPr>
                <w:p>
                  <w:pPr>
                    <w:widowControl/>
                    <w:jc w:val="center"/>
                    <w:rPr>
                      <w:bCs/>
                      <w:szCs w:val="21"/>
                    </w:rPr>
                  </w:pPr>
                  <w:r>
                    <w:rPr>
                      <w:rFonts w:hint="eastAsia"/>
                      <w:bCs/>
                      <w:szCs w:val="21"/>
                    </w:rPr>
                    <w:t>污水处理设施污泥</w:t>
                  </w:r>
                </w:p>
              </w:tc>
              <w:tc>
                <w:tcPr>
                  <w:tcW w:w="756" w:type="dxa"/>
                  <w:vMerge w:val="continue"/>
                  <w:vAlign w:val="center"/>
                </w:tcPr>
                <w:p>
                  <w:pPr>
                    <w:widowControl/>
                    <w:jc w:val="center"/>
                    <w:rPr>
                      <w:bCs/>
                      <w:szCs w:val="21"/>
                    </w:rPr>
                  </w:pPr>
                </w:p>
              </w:tc>
              <w:tc>
                <w:tcPr>
                  <w:tcW w:w="900" w:type="dxa"/>
                  <w:vAlign w:val="center"/>
                </w:tcPr>
                <w:p>
                  <w:pPr>
                    <w:widowControl/>
                    <w:jc w:val="center"/>
                    <w:rPr>
                      <w:bCs/>
                      <w:szCs w:val="21"/>
                    </w:rPr>
                  </w:pPr>
                  <w:r>
                    <w:rPr>
                      <w:bCs/>
                      <w:szCs w:val="21"/>
                    </w:rPr>
                    <w:t>废水预处理设施</w:t>
                  </w:r>
                </w:p>
              </w:tc>
              <w:tc>
                <w:tcPr>
                  <w:tcW w:w="638" w:type="dxa"/>
                  <w:vAlign w:val="center"/>
                </w:tcPr>
                <w:p>
                  <w:pPr>
                    <w:widowControl/>
                    <w:jc w:val="center"/>
                    <w:rPr>
                      <w:bCs/>
                      <w:szCs w:val="21"/>
                    </w:rPr>
                  </w:pPr>
                  <w:r>
                    <w:rPr>
                      <w:bCs/>
                      <w:szCs w:val="21"/>
                    </w:rPr>
                    <w:t>固态</w:t>
                  </w:r>
                </w:p>
              </w:tc>
              <w:tc>
                <w:tcPr>
                  <w:tcW w:w="662" w:type="dxa"/>
                  <w:vAlign w:val="center"/>
                </w:tcPr>
                <w:p>
                  <w:pPr>
                    <w:widowControl/>
                    <w:jc w:val="center"/>
                    <w:rPr>
                      <w:bCs/>
                      <w:szCs w:val="21"/>
                    </w:rPr>
                  </w:pPr>
                  <w:r>
                    <w:rPr>
                      <w:bCs/>
                      <w:szCs w:val="21"/>
                    </w:rPr>
                    <w:t>1.44</w:t>
                  </w:r>
                </w:p>
              </w:tc>
              <w:tc>
                <w:tcPr>
                  <w:tcW w:w="750" w:type="dxa"/>
                  <w:vAlign w:val="center"/>
                </w:tcPr>
                <w:p>
                  <w:pPr>
                    <w:widowControl/>
                    <w:jc w:val="center"/>
                    <w:rPr>
                      <w:bCs/>
                      <w:szCs w:val="21"/>
                    </w:rPr>
                  </w:pPr>
                  <w:r>
                    <w:rPr>
                      <w:rFonts w:hint="eastAsia"/>
                      <w:bCs/>
                      <w:szCs w:val="21"/>
                    </w:rPr>
                    <w:t>0.06</w:t>
                  </w:r>
                </w:p>
              </w:tc>
              <w:tc>
                <w:tcPr>
                  <w:tcW w:w="657" w:type="dxa"/>
                  <w:vMerge w:val="continue"/>
                  <w:vAlign w:val="center"/>
                </w:tcPr>
                <w:p>
                  <w:pPr>
                    <w:widowControl/>
                    <w:jc w:val="center"/>
                    <w:rPr>
                      <w:bCs/>
                      <w:szCs w:val="21"/>
                    </w:rPr>
                  </w:pPr>
                </w:p>
              </w:tc>
              <w:tc>
                <w:tcPr>
                  <w:tcW w:w="1702" w:type="dxa"/>
                  <w:vMerge w:val="continue"/>
                  <w:vAlign w:val="center"/>
                </w:tcPr>
                <w:p>
                  <w:pPr>
                    <w:widowControl/>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482" w:type="dxa"/>
                  <w:vAlign w:val="center"/>
                </w:tcPr>
                <w:p>
                  <w:pPr>
                    <w:widowControl/>
                    <w:jc w:val="center"/>
                    <w:rPr>
                      <w:bCs/>
                      <w:szCs w:val="21"/>
                    </w:rPr>
                  </w:pPr>
                  <w:r>
                    <w:rPr>
                      <w:rFonts w:hint="eastAsia"/>
                      <w:bCs/>
                      <w:szCs w:val="21"/>
                    </w:rPr>
                    <w:t>4</w:t>
                  </w:r>
                </w:p>
              </w:tc>
              <w:tc>
                <w:tcPr>
                  <w:tcW w:w="1389" w:type="dxa"/>
                  <w:vAlign w:val="center"/>
                </w:tcPr>
                <w:p>
                  <w:pPr>
                    <w:widowControl/>
                    <w:jc w:val="center"/>
                    <w:rPr>
                      <w:bCs/>
                      <w:szCs w:val="21"/>
                    </w:rPr>
                  </w:pPr>
                  <w:r>
                    <w:rPr>
                      <w:bCs/>
                      <w:szCs w:val="21"/>
                    </w:rPr>
                    <w:t>废包装材料</w:t>
                  </w:r>
                </w:p>
              </w:tc>
              <w:tc>
                <w:tcPr>
                  <w:tcW w:w="756" w:type="dxa"/>
                  <w:vMerge w:val="restart"/>
                  <w:vAlign w:val="center"/>
                </w:tcPr>
                <w:p>
                  <w:pPr>
                    <w:widowControl/>
                    <w:jc w:val="center"/>
                    <w:rPr>
                      <w:bCs/>
                      <w:szCs w:val="21"/>
                    </w:rPr>
                  </w:pPr>
                  <w:r>
                    <w:rPr>
                      <w:bCs/>
                      <w:szCs w:val="21"/>
                    </w:rPr>
                    <w:t>一般固废</w:t>
                  </w:r>
                </w:p>
              </w:tc>
              <w:tc>
                <w:tcPr>
                  <w:tcW w:w="900" w:type="dxa"/>
                  <w:vAlign w:val="center"/>
                </w:tcPr>
                <w:p>
                  <w:pPr>
                    <w:widowControl/>
                    <w:jc w:val="center"/>
                    <w:rPr>
                      <w:bCs/>
                      <w:szCs w:val="21"/>
                    </w:rPr>
                  </w:pPr>
                  <w:r>
                    <w:rPr>
                      <w:rFonts w:hint="eastAsia"/>
                      <w:bCs/>
                      <w:szCs w:val="21"/>
                    </w:rPr>
                    <w:t>包装</w:t>
                  </w:r>
                </w:p>
              </w:tc>
              <w:tc>
                <w:tcPr>
                  <w:tcW w:w="638" w:type="dxa"/>
                  <w:vAlign w:val="center"/>
                </w:tcPr>
                <w:p>
                  <w:pPr>
                    <w:widowControl/>
                    <w:jc w:val="center"/>
                    <w:rPr>
                      <w:bCs/>
                      <w:szCs w:val="21"/>
                    </w:rPr>
                  </w:pPr>
                  <w:r>
                    <w:rPr>
                      <w:bCs/>
                      <w:szCs w:val="21"/>
                    </w:rPr>
                    <w:t>固态</w:t>
                  </w:r>
                </w:p>
              </w:tc>
              <w:tc>
                <w:tcPr>
                  <w:tcW w:w="662" w:type="dxa"/>
                  <w:vAlign w:val="center"/>
                </w:tcPr>
                <w:p>
                  <w:pPr>
                    <w:widowControl/>
                    <w:jc w:val="center"/>
                    <w:rPr>
                      <w:bCs/>
                      <w:szCs w:val="21"/>
                    </w:rPr>
                  </w:pPr>
                  <w:r>
                    <w:rPr>
                      <w:rFonts w:hint="eastAsia"/>
                      <w:bCs/>
                      <w:szCs w:val="21"/>
                    </w:rPr>
                    <w:t>0.1</w:t>
                  </w:r>
                </w:p>
              </w:tc>
              <w:tc>
                <w:tcPr>
                  <w:tcW w:w="750" w:type="dxa"/>
                  <w:vAlign w:val="center"/>
                </w:tcPr>
                <w:p>
                  <w:pPr>
                    <w:widowControl/>
                    <w:jc w:val="center"/>
                    <w:rPr>
                      <w:bCs/>
                      <w:szCs w:val="21"/>
                    </w:rPr>
                  </w:pPr>
                  <w:r>
                    <w:rPr>
                      <w:rFonts w:hint="eastAsia"/>
                      <w:bCs/>
                      <w:szCs w:val="21"/>
                    </w:rPr>
                    <w:t>0.02</w:t>
                  </w:r>
                </w:p>
              </w:tc>
              <w:tc>
                <w:tcPr>
                  <w:tcW w:w="657" w:type="dxa"/>
                  <w:vAlign w:val="center"/>
                </w:tcPr>
                <w:p>
                  <w:pPr>
                    <w:widowControl/>
                    <w:jc w:val="center"/>
                    <w:rPr>
                      <w:bCs/>
                      <w:szCs w:val="21"/>
                    </w:rPr>
                  </w:pPr>
                  <w:r>
                    <w:rPr>
                      <w:rFonts w:hint="eastAsia"/>
                      <w:bCs/>
                      <w:szCs w:val="21"/>
                    </w:rPr>
                    <w:t>900-099-S59</w:t>
                  </w:r>
                </w:p>
              </w:tc>
              <w:tc>
                <w:tcPr>
                  <w:tcW w:w="1702" w:type="dxa"/>
                  <w:vAlign w:val="center"/>
                </w:tcPr>
                <w:p>
                  <w:pPr>
                    <w:widowControl/>
                    <w:jc w:val="center"/>
                    <w:rPr>
                      <w:bCs/>
                      <w:szCs w:val="21"/>
                    </w:rPr>
                  </w:pPr>
                  <w:r>
                    <w:rPr>
                      <w:rFonts w:hint="eastAsia"/>
                      <w:bCs/>
                      <w:szCs w:val="21"/>
                    </w:rPr>
                    <w:t>固废收集后外售给废品回收站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482" w:type="dxa"/>
                  <w:vAlign w:val="center"/>
                </w:tcPr>
                <w:p>
                  <w:pPr>
                    <w:widowControl/>
                    <w:jc w:val="center"/>
                    <w:rPr>
                      <w:bCs/>
                      <w:szCs w:val="21"/>
                    </w:rPr>
                  </w:pPr>
                  <w:r>
                    <w:rPr>
                      <w:rFonts w:hint="eastAsia"/>
                      <w:bCs/>
                      <w:szCs w:val="21"/>
                    </w:rPr>
                    <w:t>5</w:t>
                  </w:r>
                </w:p>
              </w:tc>
              <w:tc>
                <w:tcPr>
                  <w:tcW w:w="1389" w:type="dxa"/>
                  <w:vAlign w:val="center"/>
                </w:tcPr>
                <w:p>
                  <w:pPr>
                    <w:widowControl/>
                    <w:jc w:val="center"/>
                    <w:rPr>
                      <w:bCs/>
                      <w:szCs w:val="21"/>
                    </w:rPr>
                  </w:pPr>
                  <w:r>
                    <w:rPr>
                      <w:bCs/>
                      <w:szCs w:val="21"/>
                    </w:rPr>
                    <w:t>输液瓶（袋）</w:t>
                  </w:r>
                  <w:r>
                    <w:rPr>
                      <w:rFonts w:hint="eastAsia"/>
                      <w:bCs/>
                      <w:szCs w:val="21"/>
                    </w:rPr>
                    <w:t>、透析桶</w:t>
                  </w:r>
                </w:p>
              </w:tc>
              <w:tc>
                <w:tcPr>
                  <w:tcW w:w="756" w:type="dxa"/>
                  <w:vMerge w:val="continue"/>
                  <w:vAlign w:val="center"/>
                </w:tcPr>
                <w:p>
                  <w:pPr>
                    <w:widowControl/>
                    <w:jc w:val="center"/>
                    <w:rPr>
                      <w:bCs/>
                      <w:szCs w:val="21"/>
                    </w:rPr>
                  </w:pPr>
                </w:p>
              </w:tc>
              <w:tc>
                <w:tcPr>
                  <w:tcW w:w="900" w:type="dxa"/>
                  <w:vAlign w:val="center"/>
                </w:tcPr>
                <w:p>
                  <w:pPr>
                    <w:widowControl/>
                    <w:jc w:val="center"/>
                    <w:rPr>
                      <w:bCs/>
                      <w:szCs w:val="21"/>
                    </w:rPr>
                  </w:pPr>
                  <w:r>
                    <w:rPr>
                      <w:rFonts w:hint="eastAsia"/>
                      <w:bCs/>
                      <w:szCs w:val="21"/>
                    </w:rPr>
                    <w:t>输液</w:t>
                  </w:r>
                </w:p>
              </w:tc>
              <w:tc>
                <w:tcPr>
                  <w:tcW w:w="638" w:type="dxa"/>
                  <w:vAlign w:val="center"/>
                </w:tcPr>
                <w:p>
                  <w:pPr>
                    <w:widowControl/>
                    <w:jc w:val="center"/>
                    <w:rPr>
                      <w:bCs/>
                      <w:szCs w:val="21"/>
                    </w:rPr>
                  </w:pPr>
                  <w:r>
                    <w:rPr>
                      <w:bCs/>
                      <w:szCs w:val="21"/>
                    </w:rPr>
                    <w:t>固态</w:t>
                  </w:r>
                </w:p>
              </w:tc>
              <w:tc>
                <w:tcPr>
                  <w:tcW w:w="662" w:type="dxa"/>
                  <w:vAlign w:val="center"/>
                </w:tcPr>
                <w:p>
                  <w:pPr>
                    <w:widowControl/>
                    <w:jc w:val="center"/>
                    <w:rPr>
                      <w:bCs/>
                      <w:szCs w:val="21"/>
                    </w:rPr>
                  </w:pPr>
                  <w:r>
                    <w:rPr>
                      <w:rFonts w:hint="eastAsia"/>
                      <w:bCs/>
                      <w:szCs w:val="21"/>
                    </w:rPr>
                    <w:t>0.4</w:t>
                  </w:r>
                </w:p>
              </w:tc>
              <w:tc>
                <w:tcPr>
                  <w:tcW w:w="750" w:type="dxa"/>
                  <w:vAlign w:val="center"/>
                </w:tcPr>
                <w:p>
                  <w:pPr>
                    <w:widowControl/>
                    <w:jc w:val="center"/>
                    <w:rPr>
                      <w:bCs/>
                      <w:szCs w:val="21"/>
                    </w:rPr>
                  </w:pPr>
                  <w:r>
                    <w:rPr>
                      <w:rFonts w:hint="eastAsia"/>
                      <w:bCs/>
                      <w:szCs w:val="21"/>
                    </w:rPr>
                    <w:t>0.04</w:t>
                  </w:r>
                </w:p>
              </w:tc>
              <w:tc>
                <w:tcPr>
                  <w:tcW w:w="657" w:type="dxa"/>
                  <w:vAlign w:val="center"/>
                </w:tcPr>
                <w:p>
                  <w:pPr>
                    <w:widowControl/>
                    <w:jc w:val="center"/>
                    <w:rPr>
                      <w:bCs/>
                      <w:szCs w:val="21"/>
                    </w:rPr>
                  </w:pPr>
                  <w:r>
                    <w:rPr>
                      <w:rFonts w:hint="eastAsia"/>
                      <w:bCs/>
                      <w:szCs w:val="21"/>
                    </w:rPr>
                    <w:t>900-014-S17</w:t>
                  </w:r>
                </w:p>
              </w:tc>
              <w:tc>
                <w:tcPr>
                  <w:tcW w:w="1702" w:type="dxa"/>
                  <w:vAlign w:val="center"/>
                </w:tcPr>
                <w:p>
                  <w:pPr>
                    <w:widowControl/>
                    <w:jc w:val="center"/>
                    <w:rPr>
                      <w:bCs/>
                      <w:szCs w:val="21"/>
                    </w:rPr>
                  </w:pPr>
                  <w:r>
                    <w:rPr>
                      <w:bCs/>
                      <w:szCs w:val="21"/>
                    </w:rPr>
                    <w:t>由</w:t>
                  </w:r>
                  <w:r>
                    <w:rPr>
                      <w:rFonts w:hint="eastAsia"/>
                      <w:bCs/>
                      <w:szCs w:val="21"/>
                    </w:rPr>
                    <w:t>湖南典旺塑业有限</w:t>
                  </w:r>
                  <w:r>
                    <w:rPr>
                      <w:bCs/>
                      <w:szCs w:val="21"/>
                    </w:rPr>
                    <w:t>公司统一回收资源化综合利用</w:t>
                  </w:r>
                </w:p>
              </w:tc>
            </w:tr>
          </w:tbl>
          <w:p>
            <w:pPr>
              <w:spacing w:line="360" w:lineRule="auto"/>
              <w:ind w:firstLine="480" w:firstLineChars="200"/>
              <w:rPr>
                <w:sz w:val="24"/>
                <w:szCs w:val="32"/>
              </w:rPr>
            </w:pPr>
          </w:p>
          <w:p>
            <w:pPr>
              <w:overflowPunct w:val="0"/>
              <w:autoSpaceDE w:val="0"/>
              <w:autoSpaceDN w:val="0"/>
              <w:adjustRightInd w:val="0"/>
              <w:spacing w:line="360" w:lineRule="auto"/>
              <w:ind w:firstLine="480" w:firstLineChars="200"/>
              <w:rPr>
                <w:sz w:val="24"/>
              </w:rPr>
            </w:pPr>
            <w:r>
              <w:rPr>
                <w:rFonts w:hint="eastAsia"/>
                <w:sz w:val="24"/>
              </w:rPr>
              <w:t>2、医疗废物处置措施分析</w:t>
            </w:r>
          </w:p>
          <w:p>
            <w:pPr>
              <w:spacing w:line="360" w:lineRule="auto"/>
              <w:ind w:firstLine="480" w:firstLineChars="200"/>
              <w:jc w:val="left"/>
              <w:rPr>
                <w:sz w:val="24"/>
              </w:rPr>
            </w:pPr>
            <w:r>
              <w:rPr>
                <w:rFonts w:hint="eastAsia"/>
                <w:sz w:val="24"/>
              </w:rPr>
              <w:t>医疗废物处理流程见下表：</w:t>
            </w:r>
          </w:p>
          <w:p>
            <w:pPr>
              <w:pStyle w:val="36"/>
              <w:spacing w:line="240" w:lineRule="auto"/>
              <w:ind w:firstLine="0" w:firstLineChars="0"/>
              <w:jc w:val="center"/>
              <w:rPr>
                <w:b/>
                <w:szCs w:val="21"/>
              </w:rPr>
            </w:pPr>
            <w:r>
              <w:rPr>
                <w:b/>
                <w:szCs w:val="21"/>
              </w:rPr>
              <w:t>表</w:t>
            </w:r>
            <w:r>
              <w:rPr>
                <w:rFonts w:hint="eastAsia"/>
                <w:b/>
                <w:szCs w:val="21"/>
              </w:rPr>
              <w:t>4-</w:t>
            </w:r>
            <w:r>
              <w:rPr>
                <w:b/>
                <w:szCs w:val="21"/>
              </w:rPr>
              <w:t xml:space="preserve">9  </w:t>
            </w:r>
            <w:r>
              <w:rPr>
                <w:rFonts w:hint="eastAsia"/>
                <w:b/>
                <w:szCs w:val="21"/>
              </w:rPr>
              <w:t xml:space="preserve">  医疗废物处理流程</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3114"/>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8" w:type="pct"/>
                  <w:vAlign w:val="center"/>
                </w:tcPr>
                <w:p>
                  <w:pPr>
                    <w:jc w:val="center"/>
                    <w:rPr>
                      <w:kern w:val="24"/>
                      <w:szCs w:val="21"/>
                    </w:rPr>
                  </w:pPr>
                  <w:r>
                    <w:rPr>
                      <w:rFonts w:hint="eastAsia"/>
                      <w:kern w:val="24"/>
                      <w:szCs w:val="21"/>
                    </w:rPr>
                    <w:t>分类</w:t>
                  </w:r>
                </w:p>
              </w:tc>
              <w:tc>
                <w:tcPr>
                  <w:tcW w:w="1971" w:type="pct"/>
                  <w:vAlign w:val="center"/>
                </w:tcPr>
                <w:p>
                  <w:pPr>
                    <w:jc w:val="center"/>
                    <w:rPr>
                      <w:kern w:val="24"/>
                      <w:szCs w:val="21"/>
                    </w:rPr>
                  </w:pPr>
                  <w:r>
                    <w:rPr>
                      <w:rFonts w:hint="eastAsia"/>
                      <w:kern w:val="24"/>
                      <w:szCs w:val="21"/>
                    </w:rPr>
                    <w:t>包含废气物品</w:t>
                  </w:r>
                </w:p>
              </w:tc>
              <w:tc>
                <w:tcPr>
                  <w:tcW w:w="2080" w:type="pct"/>
                  <w:vAlign w:val="center"/>
                </w:tcPr>
                <w:p>
                  <w:pPr>
                    <w:jc w:val="center"/>
                    <w:rPr>
                      <w:kern w:val="24"/>
                      <w:szCs w:val="21"/>
                    </w:rPr>
                  </w:pPr>
                  <w:r>
                    <w:rPr>
                      <w:rFonts w:hint="eastAsia"/>
                      <w:kern w:val="24"/>
                      <w:szCs w:val="21"/>
                    </w:rPr>
                    <w:t>处理流程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948" w:type="pct"/>
                  <w:vAlign w:val="center"/>
                </w:tcPr>
                <w:p>
                  <w:pPr>
                    <w:pStyle w:val="38"/>
                  </w:pPr>
                  <w:r>
                    <w:rPr>
                      <w:rFonts w:hint="eastAsia"/>
                    </w:rPr>
                    <w:t>感染性废物</w:t>
                  </w:r>
                </w:p>
              </w:tc>
              <w:tc>
                <w:tcPr>
                  <w:tcW w:w="1971" w:type="pct"/>
                  <w:vAlign w:val="center"/>
                </w:tcPr>
                <w:p>
                  <w:pPr>
                    <w:widowControl/>
                    <w:jc w:val="left"/>
                  </w:pPr>
                  <w:r>
                    <w:rPr>
                      <w:rFonts w:hint="eastAsia"/>
                    </w:rPr>
                    <w:t>一次性医疗用品和卫生用品等，以及病人血液、体液或排泄物污染的物品如棉签、纱布、经检验室化验过的血液、尿液。</w:t>
                  </w:r>
                </w:p>
              </w:tc>
              <w:tc>
                <w:tcPr>
                  <w:tcW w:w="2080" w:type="pct"/>
                  <w:vAlign w:val="center"/>
                </w:tcPr>
                <w:p>
                  <w:pPr>
                    <w:widowControl/>
                    <w:jc w:val="left"/>
                  </w:pPr>
                  <w:r>
                    <w:rPr>
                      <w:rFonts w:hint="eastAsia"/>
                    </w:rPr>
                    <w:t>使用后置入黄色垃圾袋，满</w:t>
                  </w:r>
                  <w:r>
                    <w:t>3/4</w:t>
                  </w:r>
                  <w:r>
                    <w:rPr>
                      <w:rFonts w:hint="eastAsia"/>
                    </w:rPr>
                    <w:t>时封口、标注、登记后由专人运送医疗废物暂存点检验废液采用防渗漏的废液桶盛装，标注、登记后由专人运送医疗废物暂存点。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948" w:type="pct"/>
                  <w:vAlign w:val="center"/>
                </w:tcPr>
                <w:p>
                  <w:pPr>
                    <w:pStyle w:val="38"/>
                  </w:pPr>
                  <w:r>
                    <w:rPr>
                      <w:rFonts w:hint="eastAsia"/>
                    </w:rPr>
                    <w:t>损伤性废物</w:t>
                  </w:r>
                </w:p>
              </w:tc>
              <w:tc>
                <w:tcPr>
                  <w:tcW w:w="1971" w:type="pct"/>
                  <w:vAlign w:val="center"/>
                </w:tcPr>
                <w:p>
                  <w:pPr>
                    <w:widowControl/>
                    <w:jc w:val="left"/>
                  </w:pPr>
                  <w:r>
                    <w:rPr>
                      <w:rFonts w:hint="eastAsia"/>
                    </w:rPr>
                    <w:t>主要是治疗区产生的废弃一次性注射器、针头及其他可能引起切伤刺伤的器物。</w:t>
                  </w:r>
                </w:p>
              </w:tc>
              <w:tc>
                <w:tcPr>
                  <w:tcW w:w="2080" w:type="pct"/>
                  <w:vAlign w:val="center"/>
                </w:tcPr>
                <w:p>
                  <w:pPr>
                    <w:widowControl/>
                    <w:jc w:val="left"/>
                  </w:pPr>
                  <w:r>
                    <w:rPr>
                      <w:rFonts w:hint="eastAsia"/>
                    </w:rPr>
                    <w:t>不得与其他废物混放。置入标有</w:t>
                  </w:r>
                  <w:r>
                    <w:t>“</w:t>
                  </w:r>
                  <w:r>
                    <w:rPr>
                      <w:rFonts w:hint="eastAsia"/>
                    </w:rPr>
                    <w:t>损伤性废物</w:t>
                  </w:r>
                  <w:r>
                    <w:t>”</w:t>
                  </w:r>
                  <w:r>
                    <w:rPr>
                      <w:rFonts w:hint="eastAsia"/>
                    </w:rPr>
                    <w:t>专用利器盒内收集，满</w:t>
                  </w:r>
                  <w:r>
                    <w:t>3/4</w:t>
                  </w:r>
                  <w:r>
                    <w:rPr>
                      <w:rFonts w:hint="eastAsia"/>
                    </w:rPr>
                    <w:t>时封口、标注、登记后由专人运送医疗废物暂存点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948" w:type="pct"/>
                  <w:vAlign w:val="center"/>
                </w:tcPr>
                <w:p>
                  <w:pPr>
                    <w:pStyle w:val="38"/>
                  </w:pPr>
                  <w:r>
                    <w:rPr>
                      <w:rFonts w:hint="eastAsia"/>
                    </w:rPr>
                    <w:t>化学性废物</w:t>
                  </w:r>
                </w:p>
              </w:tc>
              <w:tc>
                <w:tcPr>
                  <w:tcW w:w="1971" w:type="pct"/>
                  <w:vAlign w:val="center"/>
                </w:tcPr>
                <w:p>
                  <w:pPr>
                    <w:widowControl/>
                    <w:jc w:val="left"/>
                  </w:pPr>
                  <w:r>
                    <w:rPr>
                      <w:rFonts w:hint="eastAsia"/>
                    </w:rPr>
                    <w:t>废弃的碘伏、酒精等化学消毒剂，检验室产生的废化学试剂。</w:t>
                  </w:r>
                </w:p>
              </w:tc>
              <w:tc>
                <w:tcPr>
                  <w:tcW w:w="2080" w:type="pct"/>
                  <w:vAlign w:val="center"/>
                </w:tcPr>
                <w:p>
                  <w:pPr>
                    <w:widowControl/>
                    <w:jc w:val="left"/>
                  </w:pPr>
                  <w:r>
                    <w:rPr>
                      <w:rFonts w:hint="eastAsia"/>
                    </w:rPr>
                    <w:t>参照国家有关法律、法规、规定和标准，根据不同情况给予销毁、退换或交专门机构处理。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948" w:type="pct"/>
                  <w:vAlign w:val="center"/>
                </w:tcPr>
                <w:p>
                  <w:pPr>
                    <w:pStyle w:val="38"/>
                  </w:pPr>
                  <w:r>
                    <w:rPr>
                      <w:rFonts w:hint="eastAsia"/>
                    </w:rPr>
                    <w:t>药物性废物</w:t>
                  </w:r>
                </w:p>
              </w:tc>
              <w:tc>
                <w:tcPr>
                  <w:tcW w:w="1971" w:type="pct"/>
                  <w:vAlign w:val="center"/>
                </w:tcPr>
                <w:p>
                  <w:pPr>
                    <w:widowControl/>
                    <w:jc w:val="left"/>
                  </w:pPr>
                  <w:r>
                    <w:rPr>
                      <w:rFonts w:hint="eastAsia"/>
                    </w:rPr>
                    <w:t>主要是过期的、废弃的药品、从病房退回的药品和淘汰的药物、煎药产生的药渣。</w:t>
                  </w:r>
                </w:p>
              </w:tc>
              <w:tc>
                <w:tcPr>
                  <w:tcW w:w="2080" w:type="pct"/>
                  <w:vAlign w:val="center"/>
                </w:tcPr>
                <w:p>
                  <w:pPr>
                    <w:widowControl/>
                    <w:jc w:val="left"/>
                  </w:pPr>
                  <w:r>
                    <w:rPr>
                      <w:rFonts w:hint="eastAsia"/>
                    </w:rPr>
                    <w:t>少量普通药物性废物可以混入感染性废物，但应在标签上注明。参照国家有关法律、法规、规定和标准，根据不同情况给予销毁、退换或交专门机构处理。</w:t>
                  </w:r>
                </w:p>
              </w:tc>
            </w:tr>
          </w:tbl>
          <w:p>
            <w:pPr>
              <w:overflowPunct w:val="0"/>
              <w:autoSpaceDE w:val="0"/>
              <w:autoSpaceDN w:val="0"/>
              <w:adjustRightInd w:val="0"/>
              <w:spacing w:line="360" w:lineRule="auto"/>
              <w:ind w:firstLine="480" w:firstLineChars="200"/>
              <w:rPr>
                <w:sz w:val="24"/>
              </w:rPr>
            </w:pPr>
          </w:p>
          <w:p>
            <w:pPr>
              <w:overflowPunct w:val="0"/>
              <w:autoSpaceDE w:val="0"/>
              <w:autoSpaceDN w:val="0"/>
              <w:adjustRightInd w:val="0"/>
              <w:spacing w:line="360" w:lineRule="auto"/>
              <w:ind w:firstLine="480" w:firstLineChars="200"/>
              <w:rPr>
                <w:sz w:val="24"/>
              </w:rPr>
            </w:pPr>
            <w:r>
              <w:rPr>
                <w:rFonts w:hint="eastAsia"/>
                <w:sz w:val="24"/>
              </w:rPr>
              <w:t>3、医疗废物</w:t>
            </w:r>
            <w:r>
              <w:rPr>
                <w:sz w:val="24"/>
              </w:rPr>
              <w:t>暂存间</w:t>
            </w:r>
            <w:r>
              <w:rPr>
                <w:rFonts w:hint="eastAsia"/>
                <w:sz w:val="24"/>
              </w:rPr>
              <w:t>设置</w:t>
            </w:r>
          </w:p>
          <w:p>
            <w:pPr>
              <w:overflowPunct w:val="0"/>
              <w:autoSpaceDE w:val="0"/>
              <w:autoSpaceDN w:val="0"/>
              <w:adjustRightInd w:val="0"/>
              <w:spacing w:line="360" w:lineRule="auto"/>
              <w:ind w:firstLine="480" w:firstLineChars="200"/>
              <w:rPr>
                <w:sz w:val="24"/>
              </w:rPr>
            </w:pPr>
            <w:r>
              <w:rPr>
                <w:rFonts w:hint="eastAsia"/>
                <w:sz w:val="24"/>
              </w:rPr>
              <w:t>院区综合楼北侧已设置一间医疗废物间（</w:t>
            </w:r>
            <w:r>
              <w:rPr>
                <w:sz w:val="24"/>
              </w:rPr>
              <w:t>10</w:t>
            </w:r>
            <w:r>
              <w:rPr>
                <w:rFonts w:hint="eastAsia"/>
                <w:sz w:val="24"/>
              </w:rPr>
              <w:t>m</w:t>
            </w:r>
            <w:r>
              <w:rPr>
                <w:rFonts w:hint="eastAsia"/>
                <w:sz w:val="24"/>
                <w:vertAlign w:val="superscript"/>
              </w:rPr>
              <w:t>2</w:t>
            </w:r>
            <w:r>
              <w:rPr>
                <w:rFonts w:hint="eastAsia"/>
                <w:sz w:val="24"/>
              </w:rPr>
              <w:t>），根据现场踏勘，本项目危废间内未将不同的医疗废物进行分区，本环评建议完善医疗废物分区域、分类别、专桶专用摆放暂存，同时医疗废物间增设低温设施。</w:t>
            </w:r>
          </w:p>
          <w:p>
            <w:pPr>
              <w:overflowPunct w:val="0"/>
              <w:autoSpaceDE w:val="0"/>
              <w:autoSpaceDN w:val="0"/>
              <w:adjustRightInd w:val="0"/>
              <w:spacing w:line="360" w:lineRule="auto"/>
              <w:ind w:firstLine="480" w:firstLineChars="200"/>
              <w:rPr>
                <w:sz w:val="24"/>
              </w:rPr>
            </w:pPr>
            <w:r>
              <w:rPr>
                <w:rFonts w:hint="eastAsia"/>
                <w:sz w:val="24"/>
              </w:rPr>
              <w:t>危险废物管理及医疗废物暂存间相关要求及措施如下：</w:t>
            </w:r>
          </w:p>
          <w:p>
            <w:pPr>
              <w:overflowPunct w:val="0"/>
              <w:autoSpaceDE w:val="0"/>
              <w:autoSpaceDN w:val="0"/>
              <w:adjustRightInd w:val="0"/>
              <w:spacing w:line="360" w:lineRule="auto"/>
              <w:ind w:firstLine="480" w:firstLineChars="200"/>
              <w:rPr>
                <w:sz w:val="24"/>
              </w:rPr>
            </w:pPr>
            <w:r>
              <w:rPr>
                <w:rFonts w:hint="eastAsia"/>
                <w:sz w:val="24"/>
              </w:rPr>
              <w:t xml:space="preserve">①采用转移联单登记的方式对危险废物进行登记、交接和转移的管理。 </w:t>
            </w:r>
          </w:p>
          <w:p>
            <w:pPr>
              <w:overflowPunct w:val="0"/>
              <w:autoSpaceDE w:val="0"/>
              <w:autoSpaceDN w:val="0"/>
              <w:adjustRightInd w:val="0"/>
              <w:spacing w:line="360" w:lineRule="auto"/>
              <w:ind w:firstLine="480" w:firstLineChars="200"/>
              <w:rPr>
                <w:sz w:val="24"/>
              </w:rPr>
            </w:pPr>
            <w:r>
              <w:rPr>
                <w:rFonts w:hint="eastAsia"/>
                <w:sz w:val="24"/>
              </w:rPr>
              <w:t xml:space="preserve">②建立检查维护制度和档案制度，建立入库出库废物台账，长期保存， 供随时查阅。 </w:t>
            </w:r>
          </w:p>
          <w:p>
            <w:pPr>
              <w:overflowPunct w:val="0"/>
              <w:autoSpaceDE w:val="0"/>
              <w:autoSpaceDN w:val="0"/>
              <w:adjustRightInd w:val="0"/>
              <w:spacing w:line="360" w:lineRule="auto"/>
              <w:ind w:firstLine="480" w:firstLineChars="200"/>
              <w:rPr>
                <w:sz w:val="24"/>
              </w:rPr>
            </w:pPr>
            <w:r>
              <w:rPr>
                <w:rFonts w:hint="eastAsia"/>
                <w:sz w:val="24"/>
              </w:rPr>
              <w:t>③选址及设计符合《医疗废物集中处置技术规范》（环发</w:t>
            </w:r>
            <w:r>
              <w:rPr>
                <w:sz w:val="24"/>
              </w:rPr>
              <w:t xml:space="preserve">[2003] 206 </w:t>
            </w:r>
            <w:r>
              <w:rPr>
                <w:rFonts w:hint="eastAsia"/>
                <w:sz w:val="24"/>
              </w:rPr>
              <w:t xml:space="preserve">号） 和 </w:t>
            </w:r>
            <w:r>
              <w:rPr>
                <w:sz w:val="24"/>
              </w:rPr>
              <w:t>《危险废物贮存污染控制标准》（GB18597-20</w:t>
            </w:r>
            <w:r>
              <w:rPr>
                <w:rFonts w:hint="eastAsia"/>
                <w:sz w:val="24"/>
              </w:rPr>
              <w:t>23</w:t>
            </w:r>
            <w:r>
              <w:rPr>
                <w:sz w:val="24"/>
              </w:rPr>
              <w:t>）</w:t>
            </w:r>
            <w:r>
              <w:rPr>
                <w:rFonts w:hint="eastAsia"/>
                <w:sz w:val="24"/>
              </w:rPr>
              <w:t xml:space="preserve">要求，项目医疗废物暂存间位于医院用地范围东侧，设有独立房间，建筑面积5㎡，可满足其相应要求。 </w:t>
            </w:r>
          </w:p>
          <w:p>
            <w:pPr>
              <w:overflowPunct w:val="0"/>
              <w:autoSpaceDE w:val="0"/>
              <w:autoSpaceDN w:val="0"/>
              <w:adjustRightInd w:val="0"/>
              <w:spacing w:line="360" w:lineRule="auto"/>
              <w:ind w:firstLine="480" w:firstLineChars="200"/>
              <w:rPr>
                <w:sz w:val="24"/>
              </w:rPr>
            </w:pPr>
            <w:r>
              <w:rPr>
                <w:rFonts w:hint="eastAsia"/>
                <w:sz w:val="24"/>
              </w:rPr>
              <w:t>④按照《环境保护图形标志固体废物贮存（处置）场》（</w:t>
            </w:r>
            <w:r>
              <w:rPr>
                <w:sz w:val="24"/>
              </w:rPr>
              <w:t>GB15562.2-1995</w:t>
            </w:r>
            <w:r>
              <w:rPr>
                <w:rFonts w:hint="eastAsia"/>
                <w:sz w:val="24"/>
              </w:rPr>
              <w:t xml:space="preserve">）及其修改清单、《危险废物识别标志设置技术规范》（HJ 1276-2022）要求规范设置环境保护图形标志和警示标志，定期检查及维护。 </w:t>
            </w:r>
          </w:p>
          <w:p>
            <w:pPr>
              <w:overflowPunct w:val="0"/>
              <w:autoSpaceDE w:val="0"/>
              <w:autoSpaceDN w:val="0"/>
              <w:adjustRightInd w:val="0"/>
              <w:spacing w:line="360" w:lineRule="auto"/>
              <w:ind w:firstLine="480" w:firstLineChars="200"/>
              <w:rPr>
                <w:sz w:val="24"/>
              </w:rPr>
            </w:pPr>
            <w:r>
              <w:rPr>
                <w:rFonts w:hint="eastAsia"/>
                <w:sz w:val="24"/>
              </w:rPr>
              <w:t>⑤满足</w:t>
            </w:r>
            <w:r>
              <w:rPr>
                <w:sz w:val="24"/>
              </w:rPr>
              <w:t>“</w:t>
            </w:r>
            <w:r>
              <w:rPr>
                <w:rFonts w:hint="eastAsia"/>
                <w:sz w:val="24"/>
              </w:rPr>
              <w:t>四防</w:t>
            </w:r>
            <w:r>
              <w:rPr>
                <w:sz w:val="24"/>
              </w:rPr>
              <w:t>”</w:t>
            </w:r>
            <w:r>
              <w:rPr>
                <w:rFonts w:hint="eastAsia"/>
                <w:sz w:val="24"/>
              </w:rPr>
              <w:t xml:space="preserve">（渗漏、防流失、防扬散、防雨）要求。设防盗门并上锁， 设专人进行管理。室内设置安全照明设施和观察窗口。 </w:t>
            </w:r>
          </w:p>
          <w:p>
            <w:pPr>
              <w:overflowPunct w:val="0"/>
              <w:autoSpaceDE w:val="0"/>
              <w:autoSpaceDN w:val="0"/>
              <w:adjustRightInd w:val="0"/>
              <w:spacing w:line="360" w:lineRule="auto"/>
              <w:ind w:firstLine="480" w:firstLineChars="200"/>
              <w:rPr>
                <w:sz w:val="24"/>
              </w:rPr>
            </w:pPr>
            <w:r>
              <w:rPr>
                <w:rFonts w:hint="eastAsia"/>
                <w:sz w:val="24"/>
              </w:rPr>
              <w:t>⑥地面及裙脚进行防渗处理，防渗层渗透系数不大于</w:t>
            </w:r>
            <w:r>
              <w:rPr>
                <w:sz w:val="24"/>
              </w:rPr>
              <w:t>1.0×10</w:t>
            </w:r>
            <w:r>
              <w:rPr>
                <w:sz w:val="24"/>
                <w:vertAlign w:val="superscript"/>
              </w:rPr>
              <w:t>-7</w:t>
            </w:r>
            <w:r>
              <w:rPr>
                <w:sz w:val="24"/>
              </w:rPr>
              <w:t>cm/s</w:t>
            </w:r>
            <w:r>
              <w:rPr>
                <w:rFonts w:hint="eastAsia"/>
                <w:sz w:val="24"/>
              </w:rPr>
              <w:t>，防 渗材料必须与危险废物相容。医疗废物间设门栏，地面设地沟及收集设施。 门栏、裙脚所围建的容积及收集设施容积不低于堵截最大容器的最大储存量或总储量的</w:t>
            </w:r>
            <w:r>
              <w:rPr>
                <w:sz w:val="24"/>
              </w:rPr>
              <w:t>1/5</w:t>
            </w:r>
            <w:r>
              <w:rPr>
                <w:rFonts w:hint="eastAsia"/>
                <w:sz w:val="24"/>
              </w:rPr>
              <w:t xml:space="preserve">。在常温常压下易燃、易爆及排除有毒气体的危险废物必须就经预处理，使之稳定后贮存；否则，按易爆、易燃危险品贮存。 </w:t>
            </w:r>
          </w:p>
          <w:p>
            <w:pPr>
              <w:overflowPunct w:val="0"/>
              <w:autoSpaceDE w:val="0"/>
              <w:autoSpaceDN w:val="0"/>
              <w:adjustRightInd w:val="0"/>
              <w:spacing w:line="360" w:lineRule="auto"/>
              <w:ind w:firstLine="480" w:firstLineChars="200"/>
              <w:rPr>
                <w:sz w:val="24"/>
              </w:rPr>
            </w:pPr>
            <w:r>
              <w:rPr>
                <w:rFonts w:hint="eastAsia"/>
                <w:sz w:val="24"/>
              </w:rPr>
              <w:t xml:space="preserve">⑧必须与生活垃圾存放地分开，有防雨淋的装置，地基高度应确保设施 内不受雨洪冲击或浸泡。应有严密的封闭措施，设专人管理，避免非工作人 员进出，以及防鼠、防蚊蝇、防蟑螂、防盗以及预防儿童接触等安全措施。禁止一般工业固废和生活垃圾混入。 </w:t>
            </w:r>
          </w:p>
          <w:p>
            <w:pPr>
              <w:overflowPunct w:val="0"/>
              <w:autoSpaceDE w:val="0"/>
              <w:autoSpaceDN w:val="0"/>
              <w:adjustRightInd w:val="0"/>
              <w:spacing w:line="360" w:lineRule="auto"/>
              <w:ind w:firstLine="480" w:firstLineChars="200"/>
              <w:rPr>
                <w:sz w:val="24"/>
              </w:rPr>
            </w:pPr>
            <w:r>
              <w:rPr>
                <w:rFonts w:hint="eastAsia"/>
                <w:sz w:val="24"/>
              </w:rPr>
              <w:t>⑨库房内应张贴</w:t>
            </w:r>
            <w:r>
              <w:rPr>
                <w:sz w:val="24"/>
              </w:rPr>
              <w:t>“</w:t>
            </w:r>
            <w:r>
              <w:rPr>
                <w:rFonts w:hint="eastAsia"/>
                <w:sz w:val="24"/>
              </w:rPr>
              <w:t>禁止吸烟、饮食</w:t>
            </w:r>
            <w:r>
              <w:rPr>
                <w:sz w:val="24"/>
              </w:rPr>
              <w:t>”</w:t>
            </w:r>
            <w:r>
              <w:rPr>
                <w:rFonts w:hint="eastAsia"/>
                <w:sz w:val="24"/>
              </w:rPr>
              <w:t xml:space="preserve">的警示标识。 </w:t>
            </w:r>
          </w:p>
          <w:p>
            <w:pPr>
              <w:overflowPunct w:val="0"/>
              <w:autoSpaceDE w:val="0"/>
              <w:autoSpaceDN w:val="0"/>
              <w:adjustRightInd w:val="0"/>
              <w:spacing w:line="360" w:lineRule="auto"/>
              <w:ind w:firstLine="480" w:firstLineChars="200"/>
              <w:rPr>
                <w:sz w:val="24"/>
              </w:rPr>
            </w:pPr>
            <w:r>
              <w:rPr>
                <w:rFonts w:hint="eastAsia"/>
                <w:sz w:val="24"/>
              </w:rPr>
              <w:t xml:space="preserve">⑩采用桶装（贮存量不超过 </w:t>
            </w:r>
            <w:r>
              <w:rPr>
                <w:sz w:val="24"/>
              </w:rPr>
              <w:t>300kg</w:t>
            </w:r>
            <w:r>
              <w:rPr>
                <w:rFonts w:hint="eastAsia"/>
                <w:sz w:val="24"/>
              </w:rPr>
              <w:t>），桶顶与液面间保留</w:t>
            </w:r>
            <w:r>
              <w:rPr>
                <w:sz w:val="24"/>
              </w:rPr>
              <w:t>100mm</w:t>
            </w:r>
            <w:r>
              <w:rPr>
                <w:rFonts w:hint="eastAsia"/>
                <w:sz w:val="24"/>
              </w:rPr>
              <w:t>以上的空间，包装桶必须完好无损，包装桶上必须粘贴危险废物标签及警示标志， 包装桶下方设置储漏盘，包装桶和储漏盘材质需与危险废物相容，满足</w:t>
            </w:r>
            <w:r>
              <w:rPr>
                <w:sz w:val="24"/>
              </w:rPr>
              <w:t>《危险废物贮存污染控制标准》（GB18597-20</w:t>
            </w:r>
            <w:r>
              <w:rPr>
                <w:rFonts w:hint="eastAsia"/>
                <w:sz w:val="24"/>
              </w:rPr>
              <w:t>23</w:t>
            </w:r>
            <w:r>
              <w:rPr>
                <w:sz w:val="24"/>
              </w:rPr>
              <w:t>）</w:t>
            </w:r>
            <w:r>
              <w:rPr>
                <w:rFonts w:hint="eastAsia"/>
                <w:sz w:val="24"/>
              </w:rPr>
              <w:t>要求。</w:t>
            </w:r>
          </w:p>
          <w:p>
            <w:pPr>
              <w:overflowPunct w:val="0"/>
              <w:autoSpaceDE w:val="0"/>
              <w:autoSpaceDN w:val="0"/>
              <w:adjustRightInd w:val="0"/>
              <w:spacing w:line="360" w:lineRule="auto"/>
              <w:ind w:firstLine="480" w:firstLineChars="200"/>
              <w:rPr>
                <w:sz w:val="24"/>
                <w:u w:val="single"/>
              </w:rPr>
            </w:pPr>
            <w:r>
              <w:rPr>
                <w:rFonts w:hint="eastAsia"/>
                <w:sz w:val="24"/>
                <w:u w:val="single"/>
              </w:rPr>
              <w:t>院区内医疗废物按照《医疗废物管理条例》医疗废物暂时贮存的时间不得超过48小时。</w:t>
            </w:r>
          </w:p>
          <w:p>
            <w:pPr>
              <w:spacing w:line="360" w:lineRule="auto"/>
              <w:ind w:firstLine="482" w:firstLineChars="200"/>
              <w:rPr>
                <w:b/>
                <w:bCs/>
                <w:sz w:val="24"/>
              </w:rPr>
            </w:pPr>
            <w:r>
              <w:rPr>
                <w:rFonts w:hint="eastAsia"/>
                <w:b/>
                <w:bCs/>
                <w:sz w:val="24"/>
              </w:rPr>
              <w:t>五、环境风险</w:t>
            </w:r>
          </w:p>
          <w:p>
            <w:pPr>
              <w:spacing w:line="360" w:lineRule="auto"/>
              <w:ind w:firstLine="480"/>
              <w:rPr>
                <w:sz w:val="24"/>
              </w:rPr>
            </w:pPr>
            <w:r>
              <w:rPr>
                <w:rFonts w:hint="eastAsia"/>
                <w:sz w:val="24"/>
              </w:rPr>
              <w:t>1、</w:t>
            </w:r>
            <w:r>
              <w:rPr>
                <w:sz w:val="24"/>
              </w:rPr>
              <w:t>风险识别</w:t>
            </w:r>
          </w:p>
          <w:p>
            <w:pPr>
              <w:spacing w:line="360" w:lineRule="auto"/>
              <w:ind w:firstLine="480"/>
              <w:rPr>
                <w:sz w:val="24"/>
                <w:szCs w:val="22"/>
              </w:rPr>
            </w:pPr>
            <w:r>
              <w:rPr>
                <w:rFonts w:hint="eastAsia"/>
                <w:sz w:val="24"/>
                <w:szCs w:val="22"/>
              </w:rPr>
              <w:t>（1）风险物质识别</w:t>
            </w:r>
          </w:p>
          <w:p>
            <w:pPr>
              <w:spacing w:line="360" w:lineRule="auto"/>
              <w:ind w:firstLine="480"/>
              <w:rPr>
                <w:sz w:val="24"/>
              </w:rPr>
            </w:pPr>
            <w:r>
              <w:rPr>
                <w:rFonts w:hint="eastAsia"/>
                <w:sz w:val="24"/>
                <w:szCs w:val="22"/>
              </w:rPr>
              <w:t>本项目存在的环境风险物质主要为医疗废物、无水乙醇等</w:t>
            </w:r>
            <w:r>
              <w:rPr>
                <w:rFonts w:hint="eastAsia"/>
                <w:sz w:val="24"/>
              </w:rPr>
              <w:t>，本次评价识别出的突发环境事件风险物质见下表：</w:t>
            </w:r>
          </w:p>
          <w:p>
            <w:pPr>
              <w:pStyle w:val="6"/>
              <w:adjustRightInd w:val="0"/>
              <w:snapToGrid w:val="0"/>
              <w:spacing w:after="0" w:line="240" w:lineRule="auto"/>
              <w:ind w:left="0" w:leftChars="0" w:firstLine="422"/>
              <w:jc w:val="center"/>
              <w:rPr>
                <w:b/>
                <w:szCs w:val="21"/>
              </w:rPr>
            </w:pPr>
            <w:r>
              <w:rPr>
                <w:b/>
                <w:szCs w:val="21"/>
              </w:rPr>
              <w:t>表</w:t>
            </w:r>
            <w:r>
              <w:rPr>
                <w:rFonts w:hint="eastAsia"/>
                <w:b/>
                <w:szCs w:val="21"/>
              </w:rPr>
              <w:t>4-1</w:t>
            </w:r>
            <w:r>
              <w:rPr>
                <w:b/>
                <w:szCs w:val="21"/>
              </w:rPr>
              <w:t>0    项目涉及风险物质储存量与临界量一览表</w:t>
            </w:r>
          </w:p>
          <w:tbl>
            <w:tblPr>
              <w:tblStyle w:val="13"/>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5"/>
              <w:gridCol w:w="1577"/>
              <w:gridCol w:w="1611"/>
              <w:gridCol w:w="2091"/>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115" w:type="dxa"/>
                  <w:vAlign w:val="center"/>
                </w:tcPr>
                <w:p>
                  <w:pPr>
                    <w:adjustRightInd w:val="0"/>
                    <w:snapToGrid w:val="0"/>
                    <w:jc w:val="center"/>
                    <w:rPr>
                      <w:sz w:val="22"/>
                      <w:szCs w:val="22"/>
                    </w:rPr>
                  </w:pPr>
                  <w:r>
                    <w:rPr>
                      <w:rFonts w:hint="eastAsia"/>
                      <w:sz w:val="22"/>
                      <w:szCs w:val="22"/>
                    </w:rPr>
                    <w:t>序号</w:t>
                  </w:r>
                </w:p>
              </w:tc>
              <w:tc>
                <w:tcPr>
                  <w:tcW w:w="1577" w:type="dxa"/>
                  <w:vAlign w:val="center"/>
                </w:tcPr>
                <w:p>
                  <w:pPr>
                    <w:adjustRightInd w:val="0"/>
                    <w:snapToGrid w:val="0"/>
                    <w:jc w:val="center"/>
                    <w:rPr>
                      <w:sz w:val="22"/>
                      <w:szCs w:val="22"/>
                    </w:rPr>
                  </w:pPr>
                  <w:r>
                    <w:rPr>
                      <w:rFonts w:hint="eastAsia"/>
                      <w:sz w:val="22"/>
                      <w:szCs w:val="22"/>
                    </w:rPr>
                    <w:t>名称</w:t>
                  </w:r>
                </w:p>
              </w:tc>
              <w:tc>
                <w:tcPr>
                  <w:tcW w:w="1611" w:type="dxa"/>
                  <w:vAlign w:val="center"/>
                </w:tcPr>
                <w:p>
                  <w:pPr>
                    <w:adjustRightInd w:val="0"/>
                    <w:snapToGrid w:val="0"/>
                    <w:jc w:val="center"/>
                    <w:rPr>
                      <w:sz w:val="22"/>
                      <w:szCs w:val="22"/>
                    </w:rPr>
                  </w:pPr>
                  <w:r>
                    <w:rPr>
                      <w:rFonts w:hint="eastAsia"/>
                      <w:sz w:val="22"/>
                      <w:szCs w:val="22"/>
                    </w:rPr>
                    <w:t>临界量Q（t）</w:t>
                  </w:r>
                </w:p>
              </w:tc>
              <w:tc>
                <w:tcPr>
                  <w:tcW w:w="2091" w:type="dxa"/>
                  <w:vAlign w:val="center"/>
                </w:tcPr>
                <w:p>
                  <w:pPr>
                    <w:adjustRightInd w:val="0"/>
                    <w:snapToGrid w:val="0"/>
                    <w:jc w:val="center"/>
                    <w:rPr>
                      <w:sz w:val="22"/>
                      <w:szCs w:val="22"/>
                    </w:rPr>
                  </w:pPr>
                  <w:r>
                    <w:rPr>
                      <w:rFonts w:hint="eastAsia"/>
                      <w:sz w:val="22"/>
                      <w:szCs w:val="22"/>
                    </w:rPr>
                    <w:t>最大储存量q（t）</w:t>
                  </w:r>
                </w:p>
              </w:tc>
              <w:tc>
                <w:tcPr>
                  <w:tcW w:w="1504" w:type="dxa"/>
                  <w:vAlign w:val="center"/>
                </w:tcPr>
                <w:p>
                  <w:pPr>
                    <w:adjustRightInd w:val="0"/>
                    <w:snapToGrid w:val="0"/>
                    <w:jc w:val="center"/>
                    <w:rPr>
                      <w:sz w:val="22"/>
                      <w:szCs w:val="22"/>
                    </w:rPr>
                  </w:pPr>
                  <w:r>
                    <w:rPr>
                      <w:rFonts w:hint="eastAsia"/>
                      <w:sz w:val="22"/>
                      <w:szCs w:val="22"/>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115" w:type="dxa"/>
                  <w:vAlign w:val="center"/>
                </w:tcPr>
                <w:p>
                  <w:pPr>
                    <w:adjustRightInd w:val="0"/>
                    <w:snapToGrid w:val="0"/>
                    <w:jc w:val="center"/>
                    <w:rPr>
                      <w:sz w:val="22"/>
                      <w:szCs w:val="22"/>
                    </w:rPr>
                  </w:pPr>
                  <w:r>
                    <w:rPr>
                      <w:rFonts w:hint="eastAsia"/>
                      <w:sz w:val="22"/>
                      <w:szCs w:val="22"/>
                    </w:rPr>
                    <w:t>1</w:t>
                  </w:r>
                </w:p>
              </w:tc>
              <w:tc>
                <w:tcPr>
                  <w:tcW w:w="1577" w:type="dxa"/>
                  <w:vAlign w:val="center"/>
                </w:tcPr>
                <w:p>
                  <w:pPr>
                    <w:adjustRightInd w:val="0"/>
                    <w:snapToGrid w:val="0"/>
                    <w:jc w:val="center"/>
                    <w:rPr>
                      <w:sz w:val="22"/>
                      <w:szCs w:val="22"/>
                    </w:rPr>
                  </w:pPr>
                  <w:r>
                    <w:rPr>
                      <w:sz w:val="22"/>
                      <w:szCs w:val="22"/>
                    </w:rPr>
                    <w:t>乙醇消毒液</w:t>
                  </w:r>
                </w:p>
              </w:tc>
              <w:tc>
                <w:tcPr>
                  <w:tcW w:w="1611" w:type="dxa"/>
                  <w:vAlign w:val="center"/>
                </w:tcPr>
                <w:p>
                  <w:pPr>
                    <w:adjustRightInd w:val="0"/>
                    <w:snapToGrid w:val="0"/>
                    <w:jc w:val="center"/>
                    <w:rPr>
                      <w:sz w:val="22"/>
                      <w:szCs w:val="22"/>
                    </w:rPr>
                  </w:pPr>
                  <w:r>
                    <w:rPr>
                      <w:rFonts w:hint="eastAsia"/>
                      <w:sz w:val="22"/>
                      <w:szCs w:val="22"/>
                    </w:rPr>
                    <w:t>50</w:t>
                  </w:r>
                </w:p>
              </w:tc>
              <w:tc>
                <w:tcPr>
                  <w:tcW w:w="2091" w:type="dxa"/>
                  <w:vAlign w:val="center"/>
                </w:tcPr>
                <w:p>
                  <w:pPr>
                    <w:adjustRightInd w:val="0"/>
                    <w:snapToGrid w:val="0"/>
                    <w:jc w:val="center"/>
                    <w:rPr>
                      <w:sz w:val="22"/>
                      <w:szCs w:val="22"/>
                    </w:rPr>
                  </w:pPr>
                  <w:r>
                    <w:rPr>
                      <w:rFonts w:hint="eastAsia"/>
                      <w:sz w:val="22"/>
                      <w:szCs w:val="22"/>
                    </w:rPr>
                    <w:t>0.1</w:t>
                  </w:r>
                </w:p>
              </w:tc>
              <w:tc>
                <w:tcPr>
                  <w:tcW w:w="1504" w:type="dxa"/>
                  <w:vAlign w:val="center"/>
                </w:tcPr>
                <w:p>
                  <w:pPr>
                    <w:adjustRightInd w:val="0"/>
                    <w:snapToGrid w:val="0"/>
                    <w:jc w:val="center"/>
                    <w:rPr>
                      <w:sz w:val="22"/>
                      <w:szCs w:val="22"/>
                    </w:rPr>
                  </w:pPr>
                  <w:r>
                    <w:rPr>
                      <w:rFonts w:hint="eastAsia"/>
                      <w:sz w:val="22"/>
                      <w:szCs w:val="22"/>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115" w:type="dxa"/>
                  <w:vAlign w:val="center"/>
                </w:tcPr>
                <w:p>
                  <w:pPr>
                    <w:adjustRightInd w:val="0"/>
                    <w:snapToGrid w:val="0"/>
                    <w:jc w:val="center"/>
                    <w:rPr>
                      <w:sz w:val="22"/>
                      <w:szCs w:val="22"/>
                    </w:rPr>
                  </w:pPr>
                  <w:r>
                    <w:rPr>
                      <w:rFonts w:hint="eastAsia"/>
                      <w:sz w:val="22"/>
                      <w:szCs w:val="22"/>
                    </w:rPr>
                    <w:t>2</w:t>
                  </w:r>
                </w:p>
              </w:tc>
              <w:tc>
                <w:tcPr>
                  <w:tcW w:w="1577" w:type="dxa"/>
                  <w:vAlign w:val="center"/>
                </w:tcPr>
                <w:p>
                  <w:pPr>
                    <w:adjustRightInd w:val="0"/>
                    <w:snapToGrid w:val="0"/>
                    <w:jc w:val="center"/>
                    <w:rPr>
                      <w:sz w:val="22"/>
                      <w:szCs w:val="22"/>
                    </w:rPr>
                  </w:pPr>
                  <w:r>
                    <w:rPr>
                      <w:rFonts w:hint="eastAsia"/>
                      <w:sz w:val="22"/>
                      <w:szCs w:val="22"/>
                    </w:rPr>
                    <w:t>84消毒液</w:t>
                  </w:r>
                </w:p>
              </w:tc>
              <w:tc>
                <w:tcPr>
                  <w:tcW w:w="1611" w:type="dxa"/>
                  <w:vAlign w:val="center"/>
                </w:tcPr>
                <w:p>
                  <w:pPr>
                    <w:adjustRightInd w:val="0"/>
                    <w:snapToGrid w:val="0"/>
                    <w:jc w:val="center"/>
                    <w:rPr>
                      <w:sz w:val="22"/>
                      <w:szCs w:val="22"/>
                    </w:rPr>
                  </w:pPr>
                  <w:r>
                    <w:rPr>
                      <w:rFonts w:hint="eastAsia"/>
                      <w:sz w:val="22"/>
                      <w:szCs w:val="22"/>
                    </w:rPr>
                    <w:t>50</w:t>
                  </w:r>
                </w:p>
              </w:tc>
              <w:tc>
                <w:tcPr>
                  <w:tcW w:w="2091" w:type="dxa"/>
                  <w:vAlign w:val="center"/>
                </w:tcPr>
                <w:p>
                  <w:pPr>
                    <w:adjustRightInd w:val="0"/>
                    <w:snapToGrid w:val="0"/>
                    <w:jc w:val="center"/>
                    <w:rPr>
                      <w:sz w:val="22"/>
                      <w:szCs w:val="22"/>
                    </w:rPr>
                  </w:pPr>
                  <w:r>
                    <w:rPr>
                      <w:rFonts w:hint="eastAsia"/>
                      <w:sz w:val="22"/>
                      <w:szCs w:val="22"/>
                    </w:rPr>
                    <w:t>0.1</w:t>
                  </w:r>
                </w:p>
              </w:tc>
              <w:tc>
                <w:tcPr>
                  <w:tcW w:w="1504" w:type="dxa"/>
                  <w:vAlign w:val="center"/>
                </w:tcPr>
                <w:p>
                  <w:pPr>
                    <w:adjustRightInd w:val="0"/>
                    <w:snapToGrid w:val="0"/>
                    <w:jc w:val="center"/>
                    <w:rPr>
                      <w:sz w:val="22"/>
                      <w:szCs w:val="22"/>
                    </w:rPr>
                  </w:pPr>
                  <w:r>
                    <w:rPr>
                      <w:rFonts w:hint="eastAsia"/>
                      <w:sz w:val="22"/>
                      <w:szCs w:val="22"/>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115" w:type="dxa"/>
                  <w:vAlign w:val="center"/>
                </w:tcPr>
                <w:p>
                  <w:pPr>
                    <w:adjustRightInd w:val="0"/>
                    <w:snapToGrid w:val="0"/>
                    <w:jc w:val="center"/>
                    <w:rPr>
                      <w:sz w:val="22"/>
                      <w:szCs w:val="22"/>
                    </w:rPr>
                  </w:pPr>
                  <w:r>
                    <w:rPr>
                      <w:rFonts w:hint="eastAsia"/>
                      <w:sz w:val="22"/>
                      <w:szCs w:val="22"/>
                    </w:rPr>
                    <w:t>3</w:t>
                  </w:r>
                </w:p>
              </w:tc>
              <w:tc>
                <w:tcPr>
                  <w:tcW w:w="1577" w:type="dxa"/>
                  <w:vAlign w:val="center"/>
                </w:tcPr>
                <w:p>
                  <w:pPr>
                    <w:adjustRightInd w:val="0"/>
                    <w:snapToGrid w:val="0"/>
                    <w:jc w:val="center"/>
                    <w:rPr>
                      <w:sz w:val="22"/>
                      <w:szCs w:val="22"/>
                    </w:rPr>
                  </w:pPr>
                  <w:r>
                    <w:rPr>
                      <w:rFonts w:hint="eastAsia"/>
                      <w:sz w:val="22"/>
                      <w:szCs w:val="22"/>
                    </w:rPr>
                    <w:t>二氧化氯粉末</w:t>
                  </w:r>
                </w:p>
              </w:tc>
              <w:tc>
                <w:tcPr>
                  <w:tcW w:w="1611" w:type="dxa"/>
                  <w:vAlign w:val="center"/>
                </w:tcPr>
                <w:p>
                  <w:pPr>
                    <w:adjustRightInd w:val="0"/>
                    <w:snapToGrid w:val="0"/>
                    <w:jc w:val="center"/>
                    <w:rPr>
                      <w:sz w:val="22"/>
                      <w:szCs w:val="22"/>
                    </w:rPr>
                  </w:pPr>
                  <w:r>
                    <w:rPr>
                      <w:rFonts w:hint="eastAsia"/>
                      <w:sz w:val="22"/>
                      <w:szCs w:val="22"/>
                    </w:rPr>
                    <w:t>50</w:t>
                  </w:r>
                </w:p>
              </w:tc>
              <w:tc>
                <w:tcPr>
                  <w:tcW w:w="2091" w:type="dxa"/>
                  <w:vAlign w:val="center"/>
                </w:tcPr>
                <w:p>
                  <w:pPr>
                    <w:adjustRightInd w:val="0"/>
                    <w:snapToGrid w:val="0"/>
                    <w:jc w:val="center"/>
                    <w:rPr>
                      <w:sz w:val="22"/>
                      <w:szCs w:val="22"/>
                    </w:rPr>
                  </w:pPr>
                  <w:r>
                    <w:rPr>
                      <w:rFonts w:hint="eastAsia"/>
                      <w:sz w:val="22"/>
                      <w:szCs w:val="22"/>
                    </w:rPr>
                    <w:t>0.5</w:t>
                  </w:r>
                </w:p>
              </w:tc>
              <w:tc>
                <w:tcPr>
                  <w:tcW w:w="1504" w:type="dxa"/>
                  <w:vAlign w:val="center"/>
                </w:tcPr>
                <w:p>
                  <w:pPr>
                    <w:adjustRightInd w:val="0"/>
                    <w:snapToGrid w:val="0"/>
                    <w:jc w:val="center"/>
                    <w:rPr>
                      <w:sz w:val="22"/>
                      <w:szCs w:val="22"/>
                    </w:rPr>
                  </w:pPr>
                  <w:r>
                    <w:rPr>
                      <w:rFonts w:hint="eastAsia"/>
                      <w:sz w:val="22"/>
                      <w:szCs w:val="22"/>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115" w:type="dxa"/>
                  <w:vAlign w:val="center"/>
                </w:tcPr>
                <w:p>
                  <w:pPr>
                    <w:adjustRightInd w:val="0"/>
                    <w:snapToGrid w:val="0"/>
                    <w:jc w:val="center"/>
                    <w:rPr>
                      <w:sz w:val="22"/>
                      <w:szCs w:val="22"/>
                    </w:rPr>
                  </w:pPr>
                  <w:r>
                    <w:rPr>
                      <w:rFonts w:hint="eastAsia"/>
                      <w:sz w:val="22"/>
                      <w:szCs w:val="22"/>
                    </w:rPr>
                    <w:t>2</w:t>
                  </w:r>
                </w:p>
              </w:tc>
              <w:tc>
                <w:tcPr>
                  <w:tcW w:w="1577" w:type="dxa"/>
                  <w:vAlign w:val="center"/>
                </w:tcPr>
                <w:p>
                  <w:pPr>
                    <w:adjustRightInd w:val="0"/>
                    <w:snapToGrid w:val="0"/>
                    <w:jc w:val="center"/>
                    <w:rPr>
                      <w:sz w:val="22"/>
                      <w:szCs w:val="22"/>
                    </w:rPr>
                  </w:pPr>
                  <w:r>
                    <w:rPr>
                      <w:rFonts w:hint="eastAsia"/>
                      <w:sz w:val="22"/>
                      <w:szCs w:val="22"/>
                    </w:rPr>
                    <w:t>医疗危废</w:t>
                  </w:r>
                </w:p>
              </w:tc>
              <w:tc>
                <w:tcPr>
                  <w:tcW w:w="1611" w:type="dxa"/>
                  <w:vAlign w:val="center"/>
                </w:tcPr>
                <w:p>
                  <w:pPr>
                    <w:adjustRightInd w:val="0"/>
                    <w:snapToGrid w:val="0"/>
                    <w:jc w:val="center"/>
                    <w:rPr>
                      <w:sz w:val="22"/>
                      <w:szCs w:val="22"/>
                    </w:rPr>
                  </w:pPr>
                  <w:r>
                    <w:rPr>
                      <w:rFonts w:hint="eastAsia"/>
                      <w:sz w:val="22"/>
                      <w:szCs w:val="22"/>
                    </w:rPr>
                    <w:t>50</w:t>
                  </w:r>
                </w:p>
              </w:tc>
              <w:tc>
                <w:tcPr>
                  <w:tcW w:w="2091" w:type="dxa"/>
                  <w:vAlign w:val="center"/>
                </w:tcPr>
                <w:p>
                  <w:pPr>
                    <w:adjustRightInd w:val="0"/>
                    <w:snapToGrid w:val="0"/>
                    <w:jc w:val="center"/>
                    <w:rPr>
                      <w:sz w:val="22"/>
                      <w:szCs w:val="22"/>
                    </w:rPr>
                  </w:pPr>
                  <w:r>
                    <w:rPr>
                      <w:rFonts w:hint="eastAsia"/>
                      <w:sz w:val="22"/>
                      <w:szCs w:val="22"/>
                    </w:rPr>
                    <w:t>0.11</w:t>
                  </w:r>
                </w:p>
              </w:tc>
              <w:tc>
                <w:tcPr>
                  <w:tcW w:w="1504" w:type="dxa"/>
                  <w:vAlign w:val="center"/>
                </w:tcPr>
                <w:p>
                  <w:pPr>
                    <w:adjustRightInd w:val="0"/>
                    <w:snapToGrid w:val="0"/>
                    <w:jc w:val="center"/>
                    <w:rPr>
                      <w:sz w:val="22"/>
                      <w:szCs w:val="22"/>
                    </w:rPr>
                  </w:pPr>
                  <w:r>
                    <w:rPr>
                      <w:rFonts w:hint="eastAsia"/>
                      <w:sz w:val="22"/>
                      <w:szCs w:val="22"/>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6394" w:type="dxa"/>
                  <w:gridSpan w:val="4"/>
                  <w:vAlign w:val="center"/>
                </w:tcPr>
                <w:p>
                  <w:pPr>
                    <w:adjustRightInd w:val="0"/>
                    <w:snapToGrid w:val="0"/>
                    <w:jc w:val="center"/>
                    <w:rPr>
                      <w:sz w:val="22"/>
                      <w:szCs w:val="22"/>
                    </w:rPr>
                  </w:pPr>
                  <w:r>
                    <w:rPr>
                      <w:rFonts w:hint="eastAsia"/>
                      <w:sz w:val="22"/>
                      <w:szCs w:val="22"/>
                    </w:rPr>
                    <w:t>合计</w:t>
                  </w:r>
                </w:p>
              </w:tc>
              <w:tc>
                <w:tcPr>
                  <w:tcW w:w="1504" w:type="dxa"/>
                  <w:vAlign w:val="center"/>
                </w:tcPr>
                <w:p>
                  <w:pPr>
                    <w:adjustRightInd w:val="0"/>
                    <w:snapToGrid w:val="0"/>
                    <w:jc w:val="center"/>
                    <w:rPr>
                      <w:sz w:val="22"/>
                      <w:szCs w:val="22"/>
                    </w:rPr>
                  </w:pPr>
                  <w:r>
                    <w:rPr>
                      <w:rFonts w:hint="eastAsia"/>
                      <w:sz w:val="22"/>
                      <w:szCs w:val="22"/>
                    </w:rPr>
                    <w:t>0.0162</w:t>
                  </w:r>
                </w:p>
              </w:tc>
            </w:tr>
          </w:tbl>
          <w:p>
            <w:pPr>
              <w:pStyle w:val="37"/>
              <w:jc w:val="both"/>
              <w:rPr>
                <w:szCs w:val="24"/>
              </w:rPr>
            </w:pPr>
          </w:p>
          <w:p>
            <w:pPr>
              <w:pStyle w:val="37"/>
              <w:jc w:val="both"/>
            </w:pPr>
            <w:r>
              <w:rPr>
                <w:rFonts w:hint="eastAsia"/>
                <w:szCs w:val="24"/>
              </w:rPr>
              <w:t>（2）</w:t>
            </w:r>
            <w:r>
              <w:rPr>
                <w:rFonts w:hint="eastAsia"/>
              </w:rPr>
              <w:t>危险源识别</w:t>
            </w:r>
          </w:p>
          <w:p>
            <w:pPr>
              <w:pStyle w:val="37"/>
              <w:jc w:val="both"/>
              <w:rPr>
                <w:szCs w:val="24"/>
              </w:rPr>
            </w:pPr>
            <w:r>
              <w:rPr>
                <w:rFonts w:hint="eastAsia"/>
              </w:rPr>
              <w:t>本项目为医院的建设，环境风险事件主要是①电器发生短路引发的火灾、爆炸产生的次生环境事件；②医疗废物撒漏造成的环境风险事件；③废水非正常排放造成的环境风险事件；④医疗过程中使用的消毒剂及检测用试剂，如乙醇、醛类、有机酸等具有毒性或刺激性化学品，这些试剂在使用过程中用量较少，其储存量远远小于《危险化学品重大风险源辨别》（</w:t>
            </w:r>
            <w:r>
              <w:t>GB18218-20</w:t>
            </w:r>
            <w:r>
              <w:rPr>
                <w:rFonts w:hint="eastAsia"/>
              </w:rPr>
              <w:t>18）中规定</w:t>
            </w:r>
            <w:r>
              <w:rPr>
                <w:rFonts w:hint="eastAsia"/>
                <w:szCs w:val="24"/>
              </w:rPr>
              <w:t>的</w:t>
            </w:r>
            <w:r>
              <w:rPr>
                <w:szCs w:val="24"/>
              </w:rPr>
              <w:t>500t</w:t>
            </w:r>
            <w:r>
              <w:rPr>
                <w:rFonts w:hint="eastAsia"/>
                <w:szCs w:val="24"/>
              </w:rPr>
              <w:t>临界量。</w:t>
            </w:r>
          </w:p>
          <w:p>
            <w:pPr>
              <w:pStyle w:val="37"/>
              <w:jc w:val="both"/>
              <w:rPr>
                <w:szCs w:val="24"/>
              </w:rPr>
            </w:pPr>
            <w:r>
              <w:rPr>
                <w:rFonts w:hint="eastAsia"/>
                <w:szCs w:val="24"/>
              </w:rPr>
              <w:t>2、</w:t>
            </w:r>
            <w:r>
              <w:rPr>
                <w:szCs w:val="24"/>
              </w:rPr>
              <w:t>风险潜势判定</w:t>
            </w:r>
          </w:p>
          <w:p>
            <w:pPr>
              <w:pStyle w:val="37"/>
              <w:jc w:val="both"/>
              <w:rPr>
                <w:szCs w:val="24"/>
              </w:rPr>
            </w:pPr>
            <w:r>
              <w:rPr>
                <w:szCs w:val="24"/>
              </w:rPr>
              <w:t>根据《建设项目环境风险评价技术导则》（HJ169-2018），建设项目环境风险潜势划分为Ⅰ、Ⅱ、Ⅲ、Ⅳ、Ⅳ+级。根据建设项目涉及的物质和工艺系统的危险性及其所在地的环境敏感程度，结合事故情形下环境影响途径，对建设项目潜在环境危害程度进行概化分析，按照下表确定环境风险潜势。</w:t>
            </w:r>
          </w:p>
          <w:p>
            <w:pPr>
              <w:pStyle w:val="37"/>
              <w:jc w:val="both"/>
              <w:rPr>
                <w:szCs w:val="24"/>
              </w:rPr>
            </w:pPr>
          </w:p>
          <w:p>
            <w:pPr>
              <w:pStyle w:val="37"/>
              <w:jc w:val="both"/>
              <w:rPr>
                <w:szCs w:val="24"/>
              </w:rPr>
            </w:pPr>
          </w:p>
          <w:p>
            <w:pPr>
              <w:pStyle w:val="6"/>
              <w:adjustRightInd w:val="0"/>
              <w:snapToGrid w:val="0"/>
              <w:spacing w:after="0" w:line="240" w:lineRule="auto"/>
              <w:ind w:left="0" w:leftChars="0" w:firstLine="422"/>
              <w:jc w:val="center"/>
              <w:rPr>
                <w:b/>
                <w:szCs w:val="21"/>
              </w:rPr>
            </w:pPr>
            <w:r>
              <w:rPr>
                <w:b/>
                <w:szCs w:val="21"/>
              </w:rPr>
              <w:t>表4</w:t>
            </w:r>
            <w:r>
              <w:rPr>
                <w:rFonts w:hint="eastAsia"/>
                <w:b/>
                <w:szCs w:val="21"/>
              </w:rPr>
              <w:t>-1</w:t>
            </w:r>
            <w:r>
              <w:rPr>
                <w:b/>
                <w:szCs w:val="21"/>
              </w:rPr>
              <w:t xml:space="preserve">1  </w:t>
            </w:r>
            <w:r>
              <w:rPr>
                <w:rFonts w:hint="eastAsia"/>
                <w:b/>
                <w:szCs w:val="21"/>
              </w:rPr>
              <w:t xml:space="preserve"> </w:t>
            </w:r>
            <w:r>
              <w:rPr>
                <w:b/>
                <w:szCs w:val="21"/>
              </w:rPr>
              <w:t xml:space="preserve"> </w:t>
            </w:r>
            <w:r>
              <w:rPr>
                <w:rFonts w:hint="eastAsia"/>
                <w:b/>
                <w:szCs w:val="21"/>
              </w:rPr>
              <w:t>建设项目环境风险潜势划分</w:t>
            </w:r>
          </w:p>
          <w:tbl>
            <w:tblPr>
              <w:tblStyle w:val="13"/>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15"/>
              <w:gridCol w:w="1516"/>
              <w:gridCol w:w="1390"/>
              <w:gridCol w:w="129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15" w:type="dxa"/>
                  <w:vMerge w:val="restart"/>
                  <w:vAlign w:val="center"/>
                </w:tcPr>
                <w:p>
                  <w:pPr>
                    <w:adjustRightInd w:val="0"/>
                    <w:snapToGrid w:val="0"/>
                    <w:jc w:val="center"/>
                    <w:rPr>
                      <w:szCs w:val="21"/>
                    </w:rPr>
                  </w:pPr>
                  <w:r>
                    <w:rPr>
                      <w:szCs w:val="21"/>
                    </w:rPr>
                    <w:t>环境敏感程度（E）</w:t>
                  </w:r>
                </w:p>
              </w:tc>
              <w:tc>
                <w:tcPr>
                  <w:tcW w:w="5483" w:type="dxa"/>
                  <w:gridSpan w:val="4"/>
                  <w:vAlign w:val="center"/>
                </w:tcPr>
                <w:p>
                  <w:pPr>
                    <w:adjustRightInd w:val="0"/>
                    <w:snapToGrid w:val="0"/>
                    <w:jc w:val="center"/>
                    <w:rPr>
                      <w:szCs w:val="21"/>
                    </w:rPr>
                  </w:pPr>
                  <w:r>
                    <w:rPr>
                      <w:szCs w:val="21"/>
                    </w:rPr>
                    <w:t>危险物质及工艺系统危险性（</w:t>
                  </w:r>
                  <w:r>
                    <w:rPr>
                      <w:rFonts w:eastAsia="TimesNewRomanPS-BoldMT"/>
                      <w:szCs w:val="21"/>
                    </w:rPr>
                    <w:t>P</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15" w:type="dxa"/>
                  <w:vMerge w:val="continue"/>
                  <w:vAlign w:val="center"/>
                </w:tcPr>
                <w:p>
                  <w:pPr>
                    <w:adjustRightInd w:val="0"/>
                    <w:snapToGrid w:val="0"/>
                    <w:jc w:val="center"/>
                    <w:rPr>
                      <w:szCs w:val="21"/>
                    </w:rPr>
                  </w:pPr>
                </w:p>
              </w:tc>
              <w:tc>
                <w:tcPr>
                  <w:tcW w:w="1516" w:type="dxa"/>
                  <w:vAlign w:val="center"/>
                </w:tcPr>
                <w:p>
                  <w:pPr>
                    <w:adjustRightInd w:val="0"/>
                    <w:snapToGrid w:val="0"/>
                    <w:jc w:val="center"/>
                    <w:rPr>
                      <w:szCs w:val="21"/>
                    </w:rPr>
                  </w:pPr>
                  <w:r>
                    <w:rPr>
                      <w:szCs w:val="21"/>
                    </w:rPr>
                    <w:t>最高危害（P1）</w:t>
                  </w:r>
                </w:p>
              </w:tc>
              <w:tc>
                <w:tcPr>
                  <w:tcW w:w="1390" w:type="dxa"/>
                  <w:vAlign w:val="center"/>
                </w:tcPr>
                <w:p>
                  <w:pPr>
                    <w:adjustRightInd w:val="0"/>
                    <w:snapToGrid w:val="0"/>
                    <w:jc w:val="center"/>
                    <w:rPr>
                      <w:szCs w:val="21"/>
                    </w:rPr>
                  </w:pPr>
                  <w:r>
                    <w:rPr>
                      <w:szCs w:val="21"/>
                    </w:rPr>
                    <w:t>高度危害（P2）</w:t>
                  </w:r>
                </w:p>
              </w:tc>
              <w:tc>
                <w:tcPr>
                  <w:tcW w:w="1294" w:type="dxa"/>
                  <w:vAlign w:val="center"/>
                </w:tcPr>
                <w:p>
                  <w:pPr>
                    <w:adjustRightInd w:val="0"/>
                    <w:snapToGrid w:val="0"/>
                    <w:jc w:val="center"/>
                    <w:rPr>
                      <w:szCs w:val="21"/>
                    </w:rPr>
                  </w:pPr>
                  <w:r>
                    <w:rPr>
                      <w:szCs w:val="21"/>
                    </w:rPr>
                    <w:t>中度危害（P3）</w:t>
                  </w:r>
                </w:p>
              </w:tc>
              <w:tc>
                <w:tcPr>
                  <w:tcW w:w="1283" w:type="dxa"/>
                  <w:vAlign w:val="center"/>
                </w:tcPr>
                <w:p>
                  <w:pPr>
                    <w:adjustRightInd w:val="0"/>
                    <w:snapToGrid w:val="0"/>
                    <w:jc w:val="center"/>
                    <w:rPr>
                      <w:szCs w:val="21"/>
                    </w:rPr>
                  </w:pPr>
                  <w:r>
                    <w:rPr>
                      <w:szCs w:val="21"/>
                    </w:rP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15" w:type="dxa"/>
                  <w:vAlign w:val="center"/>
                </w:tcPr>
                <w:p>
                  <w:pPr>
                    <w:adjustRightInd w:val="0"/>
                    <w:snapToGrid w:val="0"/>
                    <w:jc w:val="left"/>
                    <w:rPr>
                      <w:szCs w:val="21"/>
                    </w:rPr>
                  </w:pPr>
                  <w:r>
                    <w:rPr>
                      <w:szCs w:val="21"/>
                    </w:rPr>
                    <w:t>环境高度敏感区（</w:t>
                  </w:r>
                  <w:r>
                    <w:rPr>
                      <w:rFonts w:eastAsia="TimesNewRomanPSMT"/>
                      <w:szCs w:val="21"/>
                    </w:rPr>
                    <w:t>E1</w:t>
                  </w:r>
                  <w:r>
                    <w:rPr>
                      <w:szCs w:val="21"/>
                    </w:rPr>
                    <w:t>）</w:t>
                  </w:r>
                </w:p>
              </w:tc>
              <w:tc>
                <w:tcPr>
                  <w:tcW w:w="1516" w:type="dxa"/>
                  <w:vAlign w:val="center"/>
                </w:tcPr>
                <w:p>
                  <w:pPr>
                    <w:adjustRightInd w:val="0"/>
                    <w:snapToGrid w:val="0"/>
                    <w:jc w:val="center"/>
                    <w:rPr>
                      <w:szCs w:val="21"/>
                    </w:rPr>
                  </w:pPr>
                  <w:r>
                    <w:rPr>
                      <w:szCs w:val="21"/>
                    </w:rPr>
                    <w:t>Ⅳ</w:t>
                  </w:r>
                  <w:r>
                    <w:rPr>
                      <w:rFonts w:eastAsia="TimesNewRomanPSMT"/>
                      <w:szCs w:val="21"/>
                    </w:rPr>
                    <w:t>+</w:t>
                  </w:r>
                </w:p>
              </w:tc>
              <w:tc>
                <w:tcPr>
                  <w:tcW w:w="1390" w:type="dxa"/>
                  <w:vAlign w:val="center"/>
                </w:tcPr>
                <w:p>
                  <w:pPr>
                    <w:adjustRightInd w:val="0"/>
                    <w:snapToGrid w:val="0"/>
                    <w:jc w:val="center"/>
                    <w:rPr>
                      <w:szCs w:val="21"/>
                    </w:rPr>
                  </w:pPr>
                  <w:r>
                    <w:rPr>
                      <w:szCs w:val="21"/>
                    </w:rPr>
                    <w:t>Ⅳ</w:t>
                  </w:r>
                </w:p>
              </w:tc>
              <w:tc>
                <w:tcPr>
                  <w:tcW w:w="1294" w:type="dxa"/>
                  <w:vAlign w:val="center"/>
                </w:tcPr>
                <w:p>
                  <w:pPr>
                    <w:adjustRightInd w:val="0"/>
                    <w:snapToGrid w:val="0"/>
                    <w:jc w:val="center"/>
                    <w:rPr>
                      <w:szCs w:val="21"/>
                    </w:rPr>
                  </w:pPr>
                  <w:r>
                    <w:rPr>
                      <w:szCs w:val="21"/>
                    </w:rPr>
                    <w:t>Ⅲ</w:t>
                  </w:r>
                </w:p>
              </w:tc>
              <w:tc>
                <w:tcPr>
                  <w:tcW w:w="1283" w:type="dxa"/>
                  <w:vAlign w:val="center"/>
                </w:tcPr>
                <w:p>
                  <w:pPr>
                    <w:adjustRightInd w:val="0"/>
                    <w:snapToGrid w:val="0"/>
                    <w:jc w:val="center"/>
                    <w:rPr>
                      <w:szCs w:val="21"/>
                    </w:rPr>
                  </w:pPr>
                  <w:r>
                    <w:rPr>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15" w:type="dxa"/>
                  <w:vAlign w:val="center"/>
                </w:tcPr>
                <w:p>
                  <w:pPr>
                    <w:adjustRightInd w:val="0"/>
                    <w:snapToGrid w:val="0"/>
                    <w:jc w:val="center"/>
                    <w:rPr>
                      <w:szCs w:val="21"/>
                    </w:rPr>
                  </w:pPr>
                  <w:r>
                    <w:rPr>
                      <w:szCs w:val="21"/>
                    </w:rPr>
                    <w:t>环境中度敏感区（</w:t>
                  </w:r>
                  <w:r>
                    <w:rPr>
                      <w:rFonts w:eastAsia="TimesNewRomanPSMT"/>
                      <w:szCs w:val="21"/>
                    </w:rPr>
                    <w:t>E</w:t>
                  </w:r>
                  <w:r>
                    <w:rPr>
                      <w:szCs w:val="21"/>
                    </w:rPr>
                    <w:t>2）</w:t>
                  </w:r>
                </w:p>
              </w:tc>
              <w:tc>
                <w:tcPr>
                  <w:tcW w:w="1516" w:type="dxa"/>
                  <w:vAlign w:val="center"/>
                </w:tcPr>
                <w:p>
                  <w:pPr>
                    <w:adjustRightInd w:val="0"/>
                    <w:snapToGrid w:val="0"/>
                    <w:jc w:val="center"/>
                    <w:rPr>
                      <w:szCs w:val="21"/>
                    </w:rPr>
                  </w:pPr>
                  <w:r>
                    <w:rPr>
                      <w:szCs w:val="21"/>
                    </w:rPr>
                    <w:t>Ⅳ</w:t>
                  </w:r>
                </w:p>
              </w:tc>
              <w:tc>
                <w:tcPr>
                  <w:tcW w:w="1390" w:type="dxa"/>
                  <w:vAlign w:val="center"/>
                </w:tcPr>
                <w:p>
                  <w:pPr>
                    <w:adjustRightInd w:val="0"/>
                    <w:snapToGrid w:val="0"/>
                    <w:jc w:val="center"/>
                    <w:rPr>
                      <w:szCs w:val="21"/>
                    </w:rPr>
                  </w:pPr>
                  <w:r>
                    <w:rPr>
                      <w:szCs w:val="21"/>
                    </w:rPr>
                    <w:t>Ⅲ</w:t>
                  </w:r>
                </w:p>
              </w:tc>
              <w:tc>
                <w:tcPr>
                  <w:tcW w:w="1294" w:type="dxa"/>
                  <w:vAlign w:val="center"/>
                </w:tcPr>
                <w:p>
                  <w:pPr>
                    <w:adjustRightInd w:val="0"/>
                    <w:snapToGrid w:val="0"/>
                    <w:jc w:val="center"/>
                    <w:rPr>
                      <w:szCs w:val="21"/>
                    </w:rPr>
                  </w:pPr>
                  <w:r>
                    <w:rPr>
                      <w:szCs w:val="21"/>
                    </w:rPr>
                    <w:t>Ⅲ</w:t>
                  </w:r>
                </w:p>
              </w:tc>
              <w:tc>
                <w:tcPr>
                  <w:tcW w:w="1283" w:type="dxa"/>
                  <w:vAlign w:val="center"/>
                </w:tcPr>
                <w:p>
                  <w:pPr>
                    <w:adjustRightInd w:val="0"/>
                    <w:snapToGrid w:val="0"/>
                    <w:jc w:val="center"/>
                    <w:rPr>
                      <w:szCs w:val="21"/>
                    </w:rPr>
                  </w:pPr>
                  <w:r>
                    <w:rPr>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15" w:type="dxa"/>
                  <w:vAlign w:val="center"/>
                </w:tcPr>
                <w:p>
                  <w:pPr>
                    <w:adjustRightInd w:val="0"/>
                    <w:snapToGrid w:val="0"/>
                    <w:jc w:val="center"/>
                    <w:rPr>
                      <w:szCs w:val="21"/>
                    </w:rPr>
                  </w:pPr>
                  <w:r>
                    <w:rPr>
                      <w:szCs w:val="21"/>
                    </w:rPr>
                    <w:t>环境低度敏感区（</w:t>
                  </w:r>
                  <w:r>
                    <w:rPr>
                      <w:rFonts w:eastAsia="TimesNewRomanPSMT"/>
                      <w:szCs w:val="21"/>
                    </w:rPr>
                    <w:t>E</w:t>
                  </w:r>
                  <w:r>
                    <w:rPr>
                      <w:szCs w:val="21"/>
                    </w:rPr>
                    <w:t>3）</w:t>
                  </w:r>
                </w:p>
              </w:tc>
              <w:tc>
                <w:tcPr>
                  <w:tcW w:w="1516" w:type="dxa"/>
                  <w:vAlign w:val="center"/>
                </w:tcPr>
                <w:p>
                  <w:pPr>
                    <w:adjustRightInd w:val="0"/>
                    <w:snapToGrid w:val="0"/>
                    <w:jc w:val="center"/>
                    <w:rPr>
                      <w:szCs w:val="21"/>
                    </w:rPr>
                  </w:pPr>
                  <w:r>
                    <w:rPr>
                      <w:szCs w:val="21"/>
                    </w:rPr>
                    <w:t>Ⅲ</w:t>
                  </w:r>
                </w:p>
              </w:tc>
              <w:tc>
                <w:tcPr>
                  <w:tcW w:w="1390" w:type="dxa"/>
                  <w:vAlign w:val="center"/>
                </w:tcPr>
                <w:p>
                  <w:pPr>
                    <w:adjustRightInd w:val="0"/>
                    <w:snapToGrid w:val="0"/>
                    <w:jc w:val="center"/>
                    <w:rPr>
                      <w:szCs w:val="21"/>
                    </w:rPr>
                  </w:pPr>
                  <w:r>
                    <w:rPr>
                      <w:szCs w:val="21"/>
                    </w:rPr>
                    <w:t>Ⅲ</w:t>
                  </w:r>
                </w:p>
              </w:tc>
              <w:tc>
                <w:tcPr>
                  <w:tcW w:w="1294" w:type="dxa"/>
                  <w:vAlign w:val="center"/>
                </w:tcPr>
                <w:p>
                  <w:pPr>
                    <w:adjustRightInd w:val="0"/>
                    <w:snapToGrid w:val="0"/>
                    <w:jc w:val="center"/>
                    <w:rPr>
                      <w:szCs w:val="21"/>
                    </w:rPr>
                  </w:pPr>
                  <w:r>
                    <w:rPr>
                      <w:szCs w:val="21"/>
                    </w:rPr>
                    <w:t>Ⅱ</w:t>
                  </w:r>
                </w:p>
              </w:tc>
              <w:tc>
                <w:tcPr>
                  <w:tcW w:w="1283" w:type="dxa"/>
                  <w:vAlign w:val="center"/>
                </w:tcPr>
                <w:p>
                  <w:pPr>
                    <w:adjustRightInd w:val="0"/>
                    <w:snapToGrid w:val="0"/>
                    <w:jc w:val="center"/>
                    <w:rPr>
                      <w:szCs w:val="21"/>
                    </w:rPr>
                  </w:pPr>
                  <w:r>
                    <w:rPr>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898" w:type="dxa"/>
                  <w:gridSpan w:val="5"/>
                  <w:vAlign w:val="center"/>
                </w:tcPr>
                <w:p>
                  <w:pPr>
                    <w:adjustRightInd w:val="0"/>
                    <w:snapToGrid w:val="0"/>
                    <w:jc w:val="center"/>
                    <w:rPr>
                      <w:szCs w:val="21"/>
                    </w:rPr>
                  </w:pPr>
                  <w:r>
                    <w:rPr>
                      <w:szCs w:val="21"/>
                    </w:rPr>
                    <w:t>注：Ⅳ</w:t>
                  </w:r>
                  <w:r>
                    <w:rPr>
                      <w:rFonts w:eastAsia="TimesNewRomanPSMT"/>
                      <w:szCs w:val="21"/>
                    </w:rPr>
                    <w:t>+</w:t>
                  </w:r>
                  <w:r>
                    <w:rPr>
                      <w:szCs w:val="21"/>
                    </w:rPr>
                    <w:t>为极高环境风险</w:t>
                  </w:r>
                </w:p>
              </w:tc>
            </w:tr>
          </w:tbl>
          <w:p>
            <w:pPr>
              <w:adjustRightInd w:val="0"/>
              <w:snapToGrid w:val="0"/>
              <w:spacing w:before="156" w:beforeLines="50" w:line="360" w:lineRule="auto"/>
              <w:ind w:firstLine="480" w:firstLineChars="200"/>
              <w:rPr>
                <w:sz w:val="24"/>
              </w:rPr>
            </w:pPr>
          </w:p>
          <w:p>
            <w:pPr>
              <w:adjustRightInd w:val="0"/>
              <w:snapToGrid w:val="0"/>
              <w:spacing w:before="156" w:beforeLines="50" w:line="360" w:lineRule="auto"/>
              <w:ind w:firstLine="480" w:firstLineChars="200"/>
              <w:rPr>
                <w:rFonts w:ascii="宋体" w:hAnsi="宋体"/>
                <w:sz w:val="24"/>
              </w:rPr>
            </w:pPr>
            <w:r>
              <w:rPr>
                <w:sz w:val="24"/>
              </w:rPr>
              <w:t>根据上表可知，风险潜势由危险物质及工艺系统危险性（P）与环境敏感程度（E）共同确定，而P 的分级由风险物质数量与临界量的比值（Q）和所属行业及生产工艺特点（M）共同确定。风险物质数量与临界量比值（Q）为每种风险物质在厂界内的最大存在总量与其在《建设项目环境风险评价技术导则》（HJ169-2018）附录B中对应临界量的比值Q。当企业存在多种风险物质时，按下式计算：</w:t>
            </w:r>
          </w:p>
          <w:p>
            <w:pPr>
              <w:spacing w:line="360" w:lineRule="auto"/>
              <w:jc w:val="center"/>
              <w:rPr>
                <w:rFonts w:eastAsia="TimesNewRomanPSMT"/>
                <w:sz w:val="24"/>
              </w:rPr>
            </w:pPr>
            <w:r>
              <w:rPr>
                <w:rFonts w:eastAsia="TimesNewRomanPSMT"/>
                <w:sz w:val="24"/>
              </w:rPr>
              <w:t>Q=q1/Q1+q2/Q2+...+qn/Qn</w:t>
            </w:r>
          </w:p>
          <w:p>
            <w:pPr>
              <w:adjustRightInd w:val="0"/>
              <w:snapToGrid w:val="0"/>
              <w:spacing w:line="360" w:lineRule="auto"/>
              <w:ind w:firstLine="480" w:firstLineChars="200"/>
              <w:rPr>
                <w:sz w:val="24"/>
              </w:rPr>
            </w:pPr>
            <w:r>
              <w:rPr>
                <w:sz w:val="24"/>
              </w:rPr>
              <w:t>式中：</w:t>
            </w:r>
            <w:r>
              <w:rPr>
                <w:rFonts w:eastAsia="TimesNewRomanPSMT"/>
                <w:sz w:val="24"/>
              </w:rPr>
              <w:t>q1</w:t>
            </w:r>
            <w:r>
              <w:rPr>
                <w:sz w:val="24"/>
              </w:rPr>
              <w:t>，</w:t>
            </w:r>
            <w:r>
              <w:rPr>
                <w:rFonts w:eastAsia="TimesNewRomanPSMT"/>
                <w:sz w:val="24"/>
              </w:rPr>
              <w:t>q2</w:t>
            </w:r>
            <w:r>
              <w:rPr>
                <w:sz w:val="24"/>
              </w:rPr>
              <w:t>，</w:t>
            </w:r>
            <w:r>
              <w:rPr>
                <w:rFonts w:eastAsia="TimesNewRomanPSMT"/>
                <w:sz w:val="24"/>
              </w:rPr>
              <w:t>qn—</w:t>
            </w:r>
            <w:r>
              <w:rPr>
                <w:sz w:val="24"/>
              </w:rPr>
              <w:t>每种风险物质的存在量，</w:t>
            </w:r>
            <w:r>
              <w:rPr>
                <w:rFonts w:eastAsia="TimesNewRomanPSMT"/>
                <w:sz w:val="24"/>
              </w:rPr>
              <w:t>t</w:t>
            </w:r>
            <w:r>
              <w:rPr>
                <w:sz w:val="24"/>
              </w:rPr>
              <w:t>；</w:t>
            </w:r>
          </w:p>
          <w:p>
            <w:pPr>
              <w:adjustRightInd w:val="0"/>
              <w:snapToGrid w:val="0"/>
              <w:spacing w:line="360" w:lineRule="auto"/>
              <w:ind w:firstLine="1200" w:firstLineChars="500"/>
              <w:rPr>
                <w:sz w:val="24"/>
              </w:rPr>
            </w:pPr>
            <w:r>
              <w:rPr>
                <w:rFonts w:eastAsia="TimesNewRomanPSMT"/>
                <w:sz w:val="24"/>
              </w:rPr>
              <w:t>Q1</w:t>
            </w:r>
            <w:r>
              <w:rPr>
                <w:sz w:val="24"/>
              </w:rPr>
              <w:t>，</w:t>
            </w:r>
            <w:r>
              <w:rPr>
                <w:rFonts w:eastAsia="TimesNewRomanPSMT"/>
                <w:sz w:val="24"/>
              </w:rPr>
              <w:t>Q2</w:t>
            </w:r>
            <w:r>
              <w:rPr>
                <w:sz w:val="24"/>
              </w:rPr>
              <w:t>，</w:t>
            </w:r>
            <w:r>
              <w:rPr>
                <w:rFonts w:eastAsia="TimesNewRomanPSMT"/>
                <w:sz w:val="24"/>
              </w:rPr>
              <w:t>Qn—</w:t>
            </w:r>
            <w:r>
              <w:rPr>
                <w:sz w:val="24"/>
              </w:rPr>
              <w:t>每种风险物质的临界量，</w:t>
            </w:r>
            <w:r>
              <w:rPr>
                <w:rFonts w:eastAsia="TimesNewRomanPSMT"/>
                <w:sz w:val="24"/>
              </w:rPr>
              <w:t>t</w:t>
            </w:r>
            <w:r>
              <w:rPr>
                <w:sz w:val="24"/>
              </w:rPr>
              <w:t>。</w:t>
            </w:r>
          </w:p>
          <w:p>
            <w:pPr>
              <w:adjustRightInd w:val="0"/>
              <w:snapToGrid w:val="0"/>
              <w:spacing w:line="360" w:lineRule="auto"/>
              <w:ind w:firstLine="480" w:firstLineChars="200"/>
              <w:rPr>
                <w:sz w:val="24"/>
              </w:rPr>
            </w:pPr>
            <w:r>
              <w:rPr>
                <w:sz w:val="24"/>
              </w:rPr>
              <w:t>当</w:t>
            </w:r>
            <w:r>
              <w:rPr>
                <w:rFonts w:eastAsia="TimesNewRomanPSMT"/>
                <w:sz w:val="24"/>
              </w:rPr>
              <w:t>Q</w:t>
            </w:r>
            <w:r>
              <w:rPr>
                <w:sz w:val="24"/>
              </w:rPr>
              <w:t>＜</w:t>
            </w:r>
            <w:r>
              <w:rPr>
                <w:rFonts w:eastAsia="TimesNewRomanPSMT"/>
                <w:sz w:val="24"/>
              </w:rPr>
              <w:t xml:space="preserve">1 </w:t>
            </w:r>
            <w:r>
              <w:rPr>
                <w:sz w:val="24"/>
              </w:rPr>
              <w:t>时，该项目环境风险潜势为Ⅰ；</w:t>
            </w:r>
          </w:p>
          <w:p>
            <w:pPr>
              <w:adjustRightInd w:val="0"/>
              <w:snapToGrid w:val="0"/>
              <w:spacing w:line="360" w:lineRule="auto"/>
              <w:ind w:firstLine="480" w:firstLineChars="200"/>
              <w:rPr>
                <w:sz w:val="24"/>
              </w:rPr>
            </w:pPr>
            <w:r>
              <w:rPr>
                <w:sz w:val="24"/>
              </w:rPr>
              <w:t>当Q≥1 时，将Q 值划分为：（1）1≤Q＜10；（2）10≤Q＜100；（3）Q≥100。</w:t>
            </w:r>
          </w:p>
          <w:p>
            <w:pPr>
              <w:adjustRightInd w:val="0"/>
              <w:snapToGrid w:val="0"/>
              <w:spacing w:line="360" w:lineRule="auto"/>
              <w:ind w:firstLine="480" w:firstLineChars="200"/>
              <w:rPr>
                <w:sz w:val="24"/>
                <w:u w:val="single"/>
              </w:rPr>
            </w:pPr>
            <w:r>
              <w:rPr>
                <w:sz w:val="24"/>
              </w:rPr>
              <w:t>根据《建设项目环境风险评价技术导则》（HJ169-2018）附录B 及结合本项目实际运营情况，项目涉及的危险化学品储存量</w:t>
            </w:r>
            <w:r>
              <w:rPr>
                <w:rFonts w:hint="eastAsia"/>
                <w:sz w:val="24"/>
              </w:rPr>
              <w:t>极少，</w:t>
            </w:r>
            <w:r>
              <w:rPr>
                <w:sz w:val="24"/>
              </w:rPr>
              <w:t>Q</w:t>
            </w:r>
            <w:r>
              <w:rPr>
                <w:rFonts w:hint="eastAsia"/>
                <w:sz w:val="24"/>
              </w:rPr>
              <w:t>=0.0162</w:t>
            </w:r>
            <w:r>
              <w:rPr>
                <w:sz w:val="24"/>
              </w:rPr>
              <w:t>，Q＜1，其环境风险潜势为Ⅰ。</w:t>
            </w:r>
          </w:p>
          <w:p>
            <w:pPr>
              <w:adjustRightInd w:val="0"/>
              <w:snapToGrid w:val="0"/>
              <w:spacing w:line="360" w:lineRule="auto"/>
              <w:ind w:firstLine="480" w:firstLineChars="200"/>
              <w:rPr>
                <w:sz w:val="24"/>
              </w:rPr>
            </w:pPr>
            <w:r>
              <w:rPr>
                <w:rFonts w:hint="eastAsia"/>
                <w:sz w:val="24"/>
              </w:rPr>
              <w:t>3、</w:t>
            </w:r>
            <w:r>
              <w:rPr>
                <w:sz w:val="24"/>
              </w:rPr>
              <w:t>评价等级判定</w:t>
            </w:r>
          </w:p>
          <w:p>
            <w:pPr>
              <w:adjustRightInd w:val="0"/>
              <w:snapToGrid w:val="0"/>
              <w:spacing w:line="360" w:lineRule="auto"/>
              <w:ind w:firstLine="480" w:firstLineChars="200"/>
              <w:rPr>
                <w:sz w:val="24"/>
              </w:rPr>
            </w:pPr>
            <w:r>
              <w:rPr>
                <w:sz w:val="24"/>
              </w:rPr>
              <w:t>环境风险评价工作等级划分为一级、二级、三级。根据建设项目设计的物质及工艺系统危险性和所在地的环境敏感性确定环境风险潜势，按照下表确定工作等级。风险潜势为Ⅳ级以上，进行一级评级；风险潜势为Ⅲ，进行二级评价；风险潜势为Ⅱ，进行三级评价；风险潜势为Ⅰ，可开展简单分析。</w:t>
            </w:r>
          </w:p>
          <w:p>
            <w:pPr>
              <w:pStyle w:val="6"/>
              <w:adjustRightInd w:val="0"/>
              <w:snapToGrid w:val="0"/>
              <w:spacing w:after="0" w:line="240" w:lineRule="auto"/>
              <w:ind w:left="0" w:leftChars="0" w:firstLine="422"/>
              <w:jc w:val="center"/>
              <w:rPr>
                <w:b/>
                <w:szCs w:val="21"/>
              </w:rPr>
            </w:pPr>
            <w:r>
              <w:rPr>
                <w:b/>
                <w:szCs w:val="21"/>
              </w:rPr>
              <w:t>表4</w:t>
            </w:r>
            <w:r>
              <w:rPr>
                <w:rFonts w:hint="eastAsia"/>
                <w:b/>
                <w:szCs w:val="21"/>
              </w:rPr>
              <w:t>-1</w:t>
            </w:r>
            <w:r>
              <w:rPr>
                <w:b/>
                <w:szCs w:val="21"/>
              </w:rPr>
              <w:t xml:space="preserve">2    </w:t>
            </w:r>
            <w:r>
              <w:rPr>
                <w:rFonts w:hint="eastAsia"/>
                <w:b/>
                <w:szCs w:val="21"/>
              </w:rPr>
              <w:t>评价等级划分</w:t>
            </w:r>
          </w:p>
          <w:tbl>
            <w:tblPr>
              <w:tblStyle w:val="13"/>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4"/>
              <w:gridCol w:w="1168"/>
              <w:gridCol w:w="1611"/>
              <w:gridCol w:w="1809"/>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524" w:type="dxa"/>
                  <w:vAlign w:val="center"/>
                </w:tcPr>
                <w:p>
                  <w:pPr>
                    <w:adjustRightInd w:val="0"/>
                    <w:snapToGrid w:val="0"/>
                    <w:jc w:val="center"/>
                    <w:rPr>
                      <w:b/>
                      <w:bCs/>
                      <w:szCs w:val="21"/>
                    </w:rPr>
                  </w:pPr>
                  <w:r>
                    <w:rPr>
                      <w:rFonts w:hint="eastAsia" w:ascii="宋体" w:hAnsi="宋体"/>
                      <w:szCs w:val="21"/>
                    </w:rPr>
                    <w:t>环境风险潜势</w:t>
                  </w:r>
                </w:p>
              </w:tc>
              <w:tc>
                <w:tcPr>
                  <w:tcW w:w="1168" w:type="dxa"/>
                  <w:vAlign w:val="center"/>
                </w:tcPr>
                <w:p>
                  <w:pPr>
                    <w:adjustRightInd w:val="0"/>
                    <w:snapToGrid w:val="0"/>
                    <w:jc w:val="center"/>
                    <w:rPr>
                      <w:b/>
                      <w:bCs/>
                      <w:szCs w:val="21"/>
                    </w:rPr>
                  </w:pPr>
                  <w:r>
                    <w:rPr>
                      <w:rFonts w:hint="eastAsia" w:ascii="宋体" w:hAnsi="宋体"/>
                      <w:szCs w:val="21"/>
                    </w:rPr>
                    <w:t>Ⅳ、Ⅳ</w:t>
                  </w:r>
                  <w:r>
                    <w:rPr>
                      <w:rFonts w:hint="eastAsia" w:ascii="TimesNewRomanPS-BoldMT" w:hAnsi="TimesNewRomanPS-BoldMT" w:eastAsia="TimesNewRomanPS-BoldMT"/>
                      <w:b/>
                      <w:szCs w:val="21"/>
                    </w:rPr>
                    <w:t>+</w:t>
                  </w:r>
                </w:p>
              </w:tc>
              <w:tc>
                <w:tcPr>
                  <w:tcW w:w="1611" w:type="dxa"/>
                  <w:vAlign w:val="center"/>
                </w:tcPr>
                <w:p>
                  <w:pPr>
                    <w:adjustRightInd w:val="0"/>
                    <w:snapToGrid w:val="0"/>
                    <w:jc w:val="center"/>
                    <w:rPr>
                      <w:b/>
                      <w:bCs/>
                      <w:szCs w:val="21"/>
                    </w:rPr>
                  </w:pPr>
                  <w:r>
                    <w:rPr>
                      <w:rFonts w:hint="eastAsia" w:ascii="宋体" w:hAnsi="宋体"/>
                      <w:szCs w:val="21"/>
                    </w:rPr>
                    <w:t>Ⅲ</w:t>
                  </w:r>
                </w:p>
              </w:tc>
              <w:tc>
                <w:tcPr>
                  <w:tcW w:w="1809" w:type="dxa"/>
                  <w:vAlign w:val="center"/>
                </w:tcPr>
                <w:p>
                  <w:pPr>
                    <w:adjustRightInd w:val="0"/>
                    <w:snapToGrid w:val="0"/>
                    <w:jc w:val="center"/>
                    <w:rPr>
                      <w:b/>
                      <w:bCs/>
                      <w:szCs w:val="21"/>
                    </w:rPr>
                  </w:pPr>
                  <w:r>
                    <w:rPr>
                      <w:rFonts w:hint="eastAsia" w:ascii="宋体" w:hAnsi="宋体"/>
                      <w:szCs w:val="21"/>
                    </w:rPr>
                    <w:t>Ⅱ</w:t>
                  </w:r>
                </w:p>
              </w:tc>
              <w:tc>
                <w:tcPr>
                  <w:tcW w:w="1786" w:type="dxa"/>
                  <w:vAlign w:val="center"/>
                </w:tcPr>
                <w:p>
                  <w:pPr>
                    <w:adjustRightInd w:val="0"/>
                    <w:snapToGrid w:val="0"/>
                    <w:jc w:val="center"/>
                    <w:rPr>
                      <w:b/>
                      <w:bCs/>
                      <w:szCs w:val="21"/>
                    </w:rPr>
                  </w:pPr>
                  <w:r>
                    <w:rPr>
                      <w:rFonts w:hint="eastAsia" w:ascii="宋体" w:hAnsi="宋体"/>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524" w:type="dxa"/>
                  <w:vAlign w:val="center"/>
                </w:tcPr>
                <w:p>
                  <w:pPr>
                    <w:adjustRightInd w:val="0"/>
                    <w:snapToGrid w:val="0"/>
                    <w:jc w:val="center"/>
                    <w:rPr>
                      <w:szCs w:val="21"/>
                    </w:rPr>
                  </w:pPr>
                  <w:r>
                    <w:rPr>
                      <w:rFonts w:hint="eastAsia" w:ascii="宋体" w:hAnsi="宋体"/>
                      <w:szCs w:val="21"/>
                    </w:rPr>
                    <w:t>评价工作等级</w:t>
                  </w:r>
                </w:p>
              </w:tc>
              <w:tc>
                <w:tcPr>
                  <w:tcW w:w="1168" w:type="dxa"/>
                  <w:vAlign w:val="center"/>
                </w:tcPr>
                <w:p>
                  <w:pPr>
                    <w:adjustRightInd w:val="0"/>
                    <w:snapToGrid w:val="0"/>
                    <w:jc w:val="center"/>
                    <w:rPr>
                      <w:szCs w:val="21"/>
                    </w:rPr>
                  </w:pPr>
                  <w:r>
                    <w:rPr>
                      <w:rFonts w:hint="eastAsia"/>
                      <w:szCs w:val="21"/>
                    </w:rPr>
                    <w:t>一</w:t>
                  </w:r>
                </w:p>
              </w:tc>
              <w:tc>
                <w:tcPr>
                  <w:tcW w:w="1611" w:type="dxa"/>
                  <w:vAlign w:val="center"/>
                </w:tcPr>
                <w:p>
                  <w:pPr>
                    <w:adjustRightInd w:val="0"/>
                    <w:snapToGrid w:val="0"/>
                    <w:jc w:val="center"/>
                    <w:rPr>
                      <w:szCs w:val="21"/>
                    </w:rPr>
                  </w:pPr>
                  <w:r>
                    <w:rPr>
                      <w:rFonts w:hint="eastAsia"/>
                      <w:szCs w:val="21"/>
                    </w:rPr>
                    <w:t>二</w:t>
                  </w:r>
                </w:p>
              </w:tc>
              <w:tc>
                <w:tcPr>
                  <w:tcW w:w="1809" w:type="dxa"/>
                  <w:vAlign w:val="center"/>
                </w:tcPr>
                <w:p>
                  <w:pPr>
                    <w:adjustRightInd w:val="0"/>
                    <w:snapToGrid w:val="0"/>
                    <w:jc w:val="center"/>
                    <w:rPr>
                      <w:szCs w:val="21"/>
                    </w:rPr>
                  </w:pPr>
                  <w:r>
                    <w:rPr>
                      <w:rFonts w:hint="eastAsia"/>
                      <w:szCs w:val="21"/>
                    </w:rPr>
                    <w:t>三</w:t>
                  </w:r>
                </w:p>
              </w:tc>
              <w:tc>
                <w:tcPr>
                  <w:tcW w:w="1786" w:type="dxa"/>
                  <w:vAlign w:val="center"/>
                </w:tcPr>
                <w:p>
                  <w:pPr>
                    <w:adjustRightInd w:val="0"/>
                    <w:snapToGrid w:val="0"/>
                    <w:jc w:val="center"/>
                    <w:rPr>
                      <w:szCs w:val="21"/>
                    </w:rPr>
                  </w:pPr>
                  <w:r>
                    <w:rPr>
                      <w:rFonts w:hint="eastAsia" w:ascii="宋体" w:hAnsi="宋体"/>
                      <w:szCs w:val="21"/>
                    </w:rPr>
                    <w:t>简单分析</w:t>
                  </w:r>
                  <w:r>
                    <w:rPr>
                      <w:rFonts w:hint="eastAsia" w:ascii="TimesNewRomanPSMT" w:hAnsi="TimesNewRomanPSMT" w:eastAsia="TimesNewRomanPSMT"/>
                      <w:szCs w:val="21"/>
                    </w:rPr>
                    <w:t>a</w:t>
                  </w:r>
                </w:p>
              </w:tc>
            </w:tr>
          </w:tbl>
          <w:p>
            <w:pPr>
              <w:adjustRightInd w:val="0"/>
              <w:snapToGrid w:val="0"/>
              <w:spacing w:line="360" w:lineRule="auto"/>
              <w:ind w:firstLine="480" w:firstLineChars="200"/>
              <w:jc w:val="left"/>
              <w:rPr>
                <w:sz w:val="24"/>
              </w:rPr>
            </w:pPr>
            <w:r>
              <w:rPr>
                <w:rFonts w:hint="eastAsia"/>
                <w:sz w:val="24"/>
              </w:rPr>
              <w:t>本项目风险评价等级为简单分析。</w:t>
            </w:r>
          </w:p>
          <w:p>
            <w:pPr>
              <w:adjustRightInd w:val="0"/>
              <w:snapToGrid w:val="0"/>
              <w:spacing w:line="360" w:lineRule="auto"/>
              <w:ind w:firstLine="480" w:firstLineChars="200"/>
              <w:jc w:val="left"/>
              <w:rPr>
                <w:sz w:val="24"/>
              </w:rPr>
            </w:pPr>
            <w:r>
              <w:rPr>
                <w:rFonts w:hint="eastAsia"/>
                <w:sz w:val="24"/>
              </w:rPr>
              <w:t>4、环境风险后果与影响分析</w:t>
            </w:r>
          </w:p>
          <w:p>
            <w:pPr>
              <w:adjustRightInd w:val="0"/>
              <w:snapToGrid w:val="0"/>
              <w:spacing w:line="360" w:lineRule="auto"/>
              <w:ind w:firstLine="480" w:firstLineChars="200"/>
              <w:jc w:val="left"/>
              <w:rPr>
                <w:sz w:val="24"/>
              </w:rPr>
            </w:pPr>
            <w:r>
              <w:rPr>
                <w:rFonts w:hint="eastAsia"/>
                <w:sz w:val="24"/>
              </w:rPr>
              <w:t xml:space="preserve">①污水处理站事故排放 </w:t>
            </w:r>
          </w:p>
          <w:p>
            <w:pPr>
              <w:adjustRightInd w:val="0"/>
              <w:snapToGrid w:val="0"/>
              <w:spacing w:line="360" w:lineRule="auto"/>
              <w:ind w:firstLine="480" w:firstLineChars="200"/>
              <w:rPr>
                <w:sz w:val="24"/>
              </w:rPr>
            </w:pPr>
            <w:r>
              <w:rPr>
                <w:rFonts w:hint="eastAsia"/>
                <w:sz w:val="24"/>
              </w:rPr>
              <w:t xml:space="preserve">医疗废水中的病原微生物主要有病原性细菌、肠道病毒、蠕虫卵和原虫四类。具体包括沙门氏菌属痢疾杆菌、霍乱弧菌、致病性大肠杆菌、传染性肝炎病毒、脊髓灰质炎病毒、柯萨基病毒、蛔虫卵、钩虫卵、血吸虫卵、阿米巴原虫。 </w:t>
            </w:r>
          </w:p>
          <w:p>
            <w:pPr>
              <w:adjustRightInd w:val="0"/>
              <w:snapToGrid w:val="0"/>
              <w:spacing w:line="360" w:lineRule="auto"/>
              <w:ind w:firstLine="480" w:firstLineChars="200"/>
              <w:rPr>
                <w:sz w:val="24"/>
              </w:rPr>
            </w:pPr>
            <w:r>
              <w:rPr>
                <w:rFonts w:hint="eastAsia"/>
                <w:sz w:val="24"/>
              </w:rPr>
              <w:t>我国大多数医疗废水中细菌总数每毫升达几百万至几千万个，其中大肠菌群数每毫升污水大多在</w:t>
            </w:r>
            <w:r>
              <w:rPr>
                <w:sz w:val="24"/>
              </w:rPr>
              <w:t>20</w:t>
            </w:r>
            <w:r>
              <w:rPr>
                <w:rFonts w:hint="eastAsia"/>
                <w:sz w:val="24"/>
              </w:rPr>
              <w:t>万个以上，肠道致病菌检出率达</w:t>
            </w:r>
            <w:r>
              <w:rPr>
                <w:sz w:val="24"/>
              </w:rPr>
              <w:t>30%~100%</w:t>
            </w:r>
            <w:r>
              <w:rPr>
                <w:rFonts w:hint="eastAsia"/>
                <w:sz w:val="24"/>
              </w:rPr>
              <w:t xml:space="preserve">，医院每天排出成百上千吨含有传染性病原菌的医疗废水，这些废水如不及时处理，通过市政污水管道进入污水处理厂后，造成处理后水的质量下降，影响人民身体健康。 </w:t>
            </w:r>
          </w:p>
          <w:p>
            <w:pPr>
              <w:adjustRightInd w:val="0"/>
              <w:snapToGrid w:val="0"/>
              <w:spacing w:line="360" w:lineRule="auto"/>
              <w:ind w:firstLine="480" w:firstLineChars="200"/>
              <w:rPr>
                <w:sz w:val="24"/>
              </w:rPr>
            </w:pPr>
            <w:r>
              <w:rPr>
                <w:rFonts w:hint="eastAsia"/>
                <w:sz w:val="24"/>
              </w:rPr>
              <w:t xml:space="preserve">② 医疗废物贮存和运输泄漏事故危害 </w:t>
            </w:r>
          </w:p>
          <w:p>
            <w:pPr>
              <w:adjustRightInd w:val="0"/>
              <w:snapToGrid w:val="0"/>
              <w:spacing w:line="360" w:lineRule="auto"/>
              <w:ind w:firstLine="480" w:firstLineChars="200"/>
              <w:rPr>
                <w:sz w:val="24"/>
              </w:rPr>
            </w:pPr>
            <w:r>
              <w:rPr>
                <w:rFonts w:hint="eastAsia"/>
                <w:sz w:val="24"/>
              </w:rPr>
              <w:t xml:space="preserve">医疗废物含有大量的致病菌、病毒、放射性物质以及较多的化学毒物等，具有极强的传染性、生物病毒性和腐蚀性，其病毒、病菌的危害性是普通生活垃圾的几十、几百甚至上千倍，对医疗废物的疏忽管理、处置不当，不仅会污染环境，会造成对水体、大气、土壤的污染，而且可能导致传染性疾病的流行，直接危害人们的身体健康。医疗垃圾由于携带病菌的数量巨大，种类繁多，具有空间传染、急性传染、交叉传染和潜伏传染等特征，其危害性更大。其具体危害性有以下几种： </w:t>
            </w:r>
          </w:p>
          <w:p>
            <w:pPr>
              <w:adjustRightInd w:val="0"/>
              <w:snapToGrid w:val="0"/>
              <w:spacing w:line="360" w:lineRule="auto"/>
              <w:ind w:firstLine="480" w:firstLineChars="200"/>
              <w:rPr>
                <w:sz w:val="24"/>
              </w:rPr>
            </w:pPr>
            <w:r>
              <w:rPr>
                <w:rFonts w:hint="eastAsia"/>
                <w:sz w:val="24"/>
              </w:rPr>
              <w:t xml:space="preserve">▲物理危害：物理危害主要是指来自锐利的物品，如碎玻璃、注射器、一次性手术刀和刀片等。物理危害的问题不在于他们本身造成的伤害，而是入侵了人体的防护屏障，从而使各类病菌进入人体。 </w:t>
            </w:r>
          </w:p>
          <w:p>
            <w:pPr>
              <w:adjustRightInd w:val="0"/>
              <w:snapToGrid w:val="0"/>
              <w:spacing w:line="360" w:lineRule="auto"/>
              <w:ind w:firstLine="480" w:firstLineChars="200"/>
              <w:rPr>
                <w:sz w:val="24"/>
              </w:rPr>
            </w:pPr>
            <w:r>
              <w:rPr>
                <w:rFonts w:hint="eastAsia"/>
                <w:sz w:val="24"/>
              </w:rPr>
              <w:t xml:space="preserve">▲化学危害：包括可燃性、反应性和毒性。 </w:t>
            </w:r>
          </w:p>
          <w:p>
            <w:pPr>
              <w:adjustRightInd w:val="0"/>
              <w:snapToGrid w:val="0"/>
              <w:spacing w:line="360" w:lineRule="auto"/>
              <w:ind w:firstLine="480" w:firstLineChars="200"/>
              <w:rPr>
                <w:sz w:val="24"/>
              </w:rPr>
            </w:pPr>
            <w:r>
              <w:rPr>
                <w:rFonts w:hint="eastAsia"/>
                <w:sz w:val="24"/>
              </w:rPr>
              <w:t xml:space="preserve">▲微生物危害：医疗废物的微生物危害来自于被病菌污染的物质。最典型的例子是传染源的培养基和传染病人的废物。 </w:t>
            </w:r>
          </w:p>
          <w:p>
            <w:pPr>
              <w:adjustRightInd w:val="0"/>
              <w:snapToGrid w:val="0"/>
              <w:spacing w:line="360" w:lineRule="auto"/>
              <w:ind w:firstLine="480" w:firstLineChars="200"/>
              <w:rPr>
                <w:sz w:val="24"/>
              </w:rPr>
            </w:pPr>
            <w:r>
              <w:rPr>
                <w:rFonts w:hint="eastAsia"/>
                <w:sz w:val="24"/>
              </w:rPr>
              <w:t xml:space="preserve">③ 二氧化氯投加器破损风险事故 </w:t>
            </w:r>
          </w:p>
          <w:p>
            <w:pPr>
              <w:adjustRightInd w:val="0"/>
              <w:snapToGrid w:val="0"/>
              <w:spacing w:line="360" w:lineRule="auto"/>
              <w:ind w:firstLine="480" w:firstLineChars="200"/>
              <w:rPr>
                <w:sz w:val="24"/>
              </w:rPr>
            </w:pPr>
            <w:r>
              <w:rPr>
                <w:rFonts w:hint="eastAsia"/>
                <w:sz w:val="24"/>
              </w:rPr>
              <w:t>在医疗污水处理站二氧化氯投加器的使用过程中，如果操作管理不当，二氧化氯稳定性溶液有可能会引起泄露继而产生爆炸事故。项目污水处理站加药间贮存二氧化氯粉末，因此，本项目可能发生的事故为二氧化氯使用过程中的泄露，二氧化氯蓄积遇光热或与有机物等发生氧化反应放热，引发火灾和爆炸事故。二氧化氯气体发生爆炸的起因，主要是由于二氧化氯气体自身浓度超过</w:t>
            </w:r>
            <w:r>
              <w:rPr>
                <w:sz w:val="24"/>
              </w:rPr>
              <w:t>10%</w:t>
            </w:r>
            <w:r>
              <w:rPr>
                <w:rFonts w:hint="eastAsia"/>
                <w:sz w:val="24"/>
              </w:rPr>
              <w:t xml:space="preserve">遇光热或者遇到外界因素影响、温度和压力急剧上升而引起的。 </w:t>
            </w:r>
          </w:p>
          <w:p>
            <w:pPr>
              <w:adjustRightInd w:val="0"/>
              <w:snapToGrid w:val="0"/>
              <w:spacing w:line="360" w:lineRule="auto"/>
              <w:ind w:firstLine="480" w:firstLineChars="200"/>
              <w:rPr>
                <w:sz w:val="24"/>
              </w:rPr>
            </w:pPr>
            <w:r>
              <w:rPr>
                <w:rFonts w:hint="eastAsia"/>
                <w:sz w:val="24"/>
              </w:rPr>
              <w:t xml:space="preserve">爆炸是突发性的能量释放，会造成大气中破坏性的冲击波、爆炸碎片等形成抛射物，造成危害。发生火灾时，火场的温度很高，辐射热强烈。且火灾蔓延速度较快，如果不及时抢救，极易造成大面积火灾。火灾、爆炸事故对环境的危害是热辐射、冲击波和抛射物造成的后果。此外，火灾燃烧过程产生的烟雾和有害气体可造成较大范围的环境污染。 </w:t>
            </w:r>
          </w:p>
          <w:p>
            <w:pPr>
              <w:overflowPunct w:val="0"/>
              <w:autoSpaceDE w:val="0"/>
              <w:autoSpaceDN w:val="0"/>
              <w:adjustRightInd w:val="0"/>
              <w:spacing w:line="360" w:lineRule="auto"/>
              <w:ind w:firstLine="480" w:firstLineChars="200"/>
              <w:rPr>
                <w:sz w:val="24"/>
              </w:rPr>
            </w:pPr>
            <w:r>
              <w:rPr>
                <w:rFonts w:hint="eastAsia"/>
                <w:sz w:val="24"/>
              </w:rPr>
              <w:t xml:space="preserve">本项目拟将二氧化氯投加器单独存放，则本项目发生二氧化氯泄漏引发爆炸的风险概率较低。基本不会产生二氧化氯泄漏风险影响。 </w:t>
            </w:r>
          </w:p>
          <w:p>
            <w:pPr>
              <w:overflowPunct w:val="0"/>
              <w:autoSpaceDE w:val="0"/>
              <w:autoSpaceDN w:val="0"/>
              <w:adjustRightInd w:val="0"/>
              <w:spacing w:line="360" w:lineRule="auto"/>
              <w:ind w:firstLine="480" w:firstLineChars="200"/>
              <w:rPr>
                <w:sz w:val="24"/>
              </w:rPr>
            </w:pPr>
            <w:r>
              <w:rPr>
                <w:rFonts w:hint="eastAsia"/>
                <w:sz w:val="24"/>
              </w:rPr>
              <w:t xml:space="preserve">5、环境风险防范和应急措施 </w:t>
            </w:r>
          </w:p>
          <w:p>
            <w:pPr>
              <w:overflowPunct w:val="0"/>
              <w:autoSpaceDE w:val="0"/>
              <w:autoSpaceDN w:val="0"/>
              <w:adjustRightInd w:val="0"/>
              <w:spacing w:line="360" w:lineRule="auto"/>
              <w:ind w:firstLine="480" w:firstLineChars="200"/>
              <w:rPr>
                <w:sz w:val="24"/>
              </w:rPr>
            </w:pPr>
            <w:r>
              <w:rPr>
                <w:rFonts w:hint="eastAsia"/>
                <w:sz w:val="24"/>
              </w:rPr>
              <w:t xml:space="preserve">①医疗废水非正常排放风险防范和应急措施 </w:t>
            </w:r>
          </w:p>
          <w:p>
            <w:pPr>
              <w:overflowPunct w:val="0"/>
              <w:autoSpaceDE w:val="0"/>
              <w:autoSpaceDN w:val="0"/>
              <w:adjustRightInd w:val="0"/>
              <w:spacing w:line="360" w:lineRule="auto"/>
              <w:ind w:firstLine="480" w:firstLineChars="200"/>
              <w:rPr>
                <w:sz w:val="24"/>
              </w:rPr>
            </w:pPr>
            <w:r>
              <w:rPr>
                <w:sz w:val="24"/>
              </w:rPr>
              <w:t>a</w:t>
            </w:r>
            <w:r>
              <w:rPr>
                <w:rFonts w:hint="eastAsia"/>
                <w:sz w:val="24"/>
              </w:rPr>
              <w:t xml:space="preserve">、加强医疗污水处理设施的日常维修和维护管理，配备足够的备用设备和应急零部件，确保处理设施正常、高效运行。设置事故池，若污水处理设施发生故障应立即将医疗污水引入事故池； </w:t>
            </w:r>
          </w:p>
          <w:p>
            <w:pPr>
              <w:overflowPunct w:val="0"/>
              <w:autoSpaceDE w:val="0"/>
              <w:autoSpaceDN w:val="0"/>
              <w:adjustRightInd w:val="0"/>
              <w:spacing w:line="360" w:lineRule="auto"/>
              <w:ind w:firstLine="480" w:firstLineChars="200"/>
              <w:rPr>
                <w:sz w:val="24"/>
              </w:rPr>
            </w:pPr>
            <w:r>
              <w:rPr>
                <w:sz w:val="24"/>
              </w:rPr>
              <w:t>b</w:t>
            </w:r>
            <w:r>
              <w:rPr>
                <w:rFonts w:hint="eastAsia"/>
                <w:sz w:val="24"/>
              </w:rPr>
              <w:t xml:space="preserve">、做好污水处理站等区域的防渗漏措施，保证污水管网畅通，避免污水渗漏导致土壤和地下水污染。 </w:t>
            </w:r>
          </w:p>
          <w:p>
            <w:pPr>
              <w:overflowPunct w:val="0"/>
              <w:autoSpaceDE w:val="0"/>
              <w:autoSpaceDN w:val="0"/>
              <w:adjustRightInd w:val="0"/>
              <w:spacing w:line="360" w:lineRule="auto"/>
              <w:ind w:firstLine="480" w:firstLineChars="200"/>
              <w:rPr>
                <w:sz w:val="24"/>
              </w:rPr>
            </w:pPr>
            <w:r>
              <w:rPr>
                <w:sz w:val="24"/>
              </w:rPr>
              <w:t>c</w:t>
            </w:r>
            <w:r>
              <w:rPr>
                <w:rFonts w:hint="eastAsia"/>
                <w:sz w:val="24"/>
              </w:rPr>
              <w:t xml:space="preserve">、选用优质设备，对污水收集设施各种机械电器、仪表等设备，必须选择质量优良、事故率低、便于维修的产品。关键设备应一备一用，易损部件要有备用件，在出现事故时能及时更换。 </w:t>
            </w:r>
          </w:p>
          <w:p>
            <w:pPr>
              <w:overflowPunct w:val="0"/>
              <w:autoSpaceDE w:val="0"/>
              <w:autoSpaceDN w:val="0"/>
              <w:adjustRightInd w:val="0"/>
              <w:spacing w:line="360" w:lineRule="auto"/>
              <w:ind w:firstLine="480" w:firstLineChars="200"/>
              <w:rPr>
                <w:sz w:val="24"/>
              </w:rPr>
            </w:pPr>
            <w:r>
              <w:rPr>
                <w:sz w:val="24"/>
              </w:rPr>
              <w:t>d</w:t>
            </w:r>
            <w:r>
              <w:rPr>
                <w:rFonts w:hint="eastAsia"/>
                <w:sz w:val="24"/>
              </w:rPr>
              <w:t xml:space="preserve">、加强事故苗头监控，定期巡检、调节、保养、维修。及时发现有可能引起事故的异常运行苗头，消除事故隐患。 </w:t>
            </w:r>
          </w:p>
          <w:p>
            <w:pPr>
              <w:overflowPunct w:val="0"/>
              <w:autoSpaceDE w:val="0"/>
              <w:autoSpaceDN w:val="0"/>
              <w:adjustRightInd w:val="0"/>
              <w:spacing w:line="360" w:lineRule="auto"/>
              <w:ind w:firstLine="480" w:firstLineChars="200"/>
              <w:rPr>
                <w:sz w:val="24"/>
              </w:rPr>
            </w:pPr>
            <w:r>
              <w:rPr>
                <w:rFonts w:hint="eastAsia"/>
                <w:sz w:val="24"/>
              </w:rPr>
              <w:t>根据《医院污水处理工程技术规范》（</w:t>
            </w:r>
            <w:r>
              <w:rPr>
                <w:sz w:val="24"/>
              </w:rPr>
              <w:t>HJ 2029-2013</w:t>
            </w:r>
            <w:r>
              <w:rPr>
                <w:rFonts w:hint="eastAsia"/>
                <w:sz w:val="24"/>
              </w:rPr>
              <w:t>），医院污水处理工程应设应急事故池，以贮存处理系统事故或其它突发事件时医院污水。传染病医院污水处理工程应急事故池容积不小于日排放量的</w:t>
            </w:r>
            <w:r>
              <w:rPr>
                <w:sz w:val="24"/>
              </w:rPr>
              <w:t>100%</w:t>
            </w:r>
            <w:r>
              <w:rPr>
                <w:rFonts w:hint="eastAsia"/>
                <w:sz w:val="24"/>
              </w:rPr>
              <w:t>，非传染病医院污水处理工程应急事故池容积不小于日排放量的</w:t>
            </w:r>
            <w:r>
              <w:rPr>
                <w:sz w:val="24"/>
              </w:rPr>
              <w:t>30%</w:t>
            </w:r>
            <w:r>
              <w:rPr>
                <w:rFonts w:hint="eastAsia"/>
                <w:sz w:val="24"/>
              </w:rPr>
              <w:t xml:space="preserve">。 </w:t>
            </w:r>
          </w:p>
          <w:p>
            <w:pPr>
              <w:overflowPunct w:val="0"/>
              <w:autoSpaceDE w:val="0"/>
              <w:autoSpaceDN w:val="0"/>
              <w:adjustRightInd w:val="0"/>
              <w:spacing w:line="360" w:lineRule="auto"/>
              <w:ind w:firstLine="480" w:firstLineChars="200"/>
              <w:rPr>
                <w:sz w:val="24"/>
                <w:u w:val="single"/>
              </w:rPr>
            </w:pPr>
            <w:r>
              <w:rPr>
                <w:rFonts w:hint="eastAsia"/>
                <w:sz w:val="24"/>
                <w:u w:val="single"/>
              </w:rPr>
              <w:t>由于院区用地为租用，因此无法进行土建工程。本项目不属于传染病医院，根据现场踏勘，院区内已建成污水处理站，其中好氧池容积为6m</w:t>
            </w:r>
            <w:r>
              <w:rPr>
                <w:rFonts w:hint="eastAsia"/>
                <w:sz w:val="24"/>
                <w:u w:val="single"/>
                <w:vertAlign w:val="superscript"/>
              </w:rPr>
              <w:t>3</w:t>
            </w:r>
            <w:r>
              <w:rPr>
                <w:rFonts w:hint="eastAsia"/>
                <w:sz w:val="24"/>
                <w:u w:val="single"/>
              </w:rPr>
              <w:t>，厌氧池容积为4m</w:t>
            </w:r>
            <w:r>
              <w:rPr>
                <w:rFonts w:hint="eastAsia"/>
                <w:sz w:val="24"/>
                <w:u w:val="single"/>
                <w:vertAlign w:val="superscript"/>
              </w:rPr>
              <w:t>3</w:t>
            </w:r>
            <w:r>
              <w:rPr>
                <w:rFonts w:hint="eastAsia"/>
                <w:sz w:val="24"/>
                <w:u w:val="single"/>
              </w:rPr>
              <w:t>，并配套建设有容积为5</w:t>
            </w:r>
            <w:r>
              <w:rPr>
                <w:sz w:val="24"/>
                <w:u w:val="single"/>
              </w:rPr>
              <w:t>m</w:t>
            </w:r>
            <w:r>
              <w:rPr>
                <w:sz w:val="24"/>
                <w:u w:val="single"/>
                <w:vertAlign w:val="superscript"/>
              </w:rPr>
              <w:t>3</w:t>
            </w:r>
            <w:r>
              <w:rPr>
                <w:rFonts w:hint="eastAsia"/>
                <w:sz w:val="24"/>
                <w:u w:val="single"/>
              </w:rPr>
              <w:t>的调节池，事故状态下，院区内将紧急停止供水，将污水处理站调节池兼作事故废水收集池，污水处理系统一旦出现故障则立即将医疗污水导入事故应急池，进行有效处理，杜绝事故排放。</w:t>
            </w:r>
          </w:p>
          <w:p>
            <w:pPr>
              <w:overflowPunct w:val="0"/>
              <w:autoSpaceDE w:val="0"/>
              <w:autoSpaceDN w:val="0"/>
              <w:adjustRightInd w:val="0"/>
              <w:spacing w:line="360" w:lineRule="auto"/>
              <w:ind w:firstLine="480" w:firstLineChars="200"/>
              <w:rPr>
                <w:sz w:val="24"/>
              </w:rPr>
            </w:pPr>
            <w:r>
              <w:rPr>
                <w:rFonts w:hint="eastAsia"/>
                <w:sz w:val="24"/>
              </w:rPr>
              <w:t xml:space="preserve">② 危险废物泄露风险防范和应急措施 </w:t>
            </w:r>
          </w:p>
          <w:p>
            <w:pPr>
              <w:overflowPunct w:val="0"/>
              <w:autoSpaceDE w:val="0"/>
              <w:autoSpaceDN w:val="0"/>
              <w:adjustRightInd w:val="0"/>
              <w:spacing w:line="360" w:lineRule="auto"/>
              <w:ind w:firstLine="480" w:firstLineChars="200"/>
              <w:rPr>
                <w:sz w:val="24"/>
              </w:rPr>
            </w:pPr>
            <w:r>
              <w:rPr>
                <w:rFonts w:hint="eastAsia"/>
                <w:sz w:val="24"/>
              </w:rPr>
              <w:t>a、按照</w:t>
            </w:r>
            <w:r>
              <w:rPr>
                <w:sz w:val="24"/>
              </w:rPr>
              <w:t>《危险废物贮存污染控制标准》（GB18597-20</w:t>
            </w:r>
            <w:r>
              <w:rPr>
                <w:rFonts w:hint="eastAsia"/>
                <w:sz w:val="24"/>
              </w:rPr>
              <w:t>23</w:t>
            </w:r>
            <w:r>
              <w:rPr>
                <w:sz w:val="24"/>
              </w:rPr>
              <w:t>）</w:t>
            </w:r>
            <w:r>
              <w:rPr>
                <w:rFonts w:hint="eastAsia"/>
                <w:sz w:val="24"/>
              </w:rPr>
              <w:t xml:space="preserve">要求建设医疗废物间，暂存间应封闭，应做好防雨、防风、防渗漏、防扬散措施，应设置围堰及渗出液收集设施。 </w:t>
            </w:r>
          </w:p>
          <w:p>
            <w:pPr>
              <w:overflowPunct w:val="0"/>
              <w:autoSpaceDE w:val="0"/>
              <w:autoSpaceDN w:val="0"/>
              <w:adjustRightInd w:val="0"/>
              <w:spacing w:line="360" w:lineRule="auto"/>
              <w:ind w:firstLine="480" w:firstLineChars="200"/>
              <w:rPr>
                <w:sz w:val="24"/>
              </w:rPr>
            </w:pPr>
            <w:r>
              <w:rPr>
                <w:rFonts w:hint="eastAsia"/>
                <w:sz w:val="24"/>
              </w:rPr>
              <w:t xml:space="preserve">b、按照《危险废物识别标志设置技术规范》（HJ 1276-2022）的要求设立危险废物标示牌，采用专用密闭容器贮存危险废物，容器上必须粘贴符合标准的标签。 </w:t>
            </w:r>
          </w:p>
          <w:p>
            <w:pPr>
              <w:overflowPunct w:val="0"/>
              <w:autoSpaceDE w:val="0"/>
              <w:autoSpaceDN w:val="0"/>
              <w:adjustRightInd w:val="0"/>
              <w:spacing w:line="360" w:lineRule="auto"/>
              <w:ind w:firstLine="480" w:firstLineChars="200"/>
              <w:rPr>
                <w:sz w:val="24"/>
              </w:rPr>
            </w:pPr>
            <w:r>
              <w:rPr>
                <w:rFonts w:hint="eastAsia"/>
                <w:sz w:val="24"/>
              </w:rPr>
              <w:t>c、定期将危险废物交由有湖南荣森环保科技有限公司处置，不私自非法处置。</w:t>
            </w:r>
          </w:p>
          <w:p>
            <w:pPr>
              <w:overflowPunct w:val="0"/>
              <w:autoSpaceDE w:val="0"/>
              <w:autoSpaceDN w:val="0"/>
              <w:adjustRightInd w:val="0"/>
              <w:spacing w:line="360" w:lineRule="auto"/>
              <w:ind w:firstLine="480" w:firstLineChars="200"/>
              <w:rPr>
                <w:sz w:val="24"/>
              </w:rPr>
            </w:pPr>
            <w:r>
              <w:rPr>
                <w:rFonts w:hint="eastAsia"/>
                <w:sz w:val="24"/>
              </w:rPr>
              <w:t xml:space="preserve">d、制定应急预案，若出现运送医疗废物车辆翻车、撞车事故，导致医疗废物大量溢出、散落时，运送人员要立即与本单位应急事故负责人取得联系，请求公安交警、卫生部门、生态环境部门的支持。感染管理科要第一时间赶到现场协助应急处置工作。 </w:t>
            </w:r>
          </w:p>
          <w:p>
            <w:pPr>
              <w:overflowPunct w:val="0"/>
              <w:autoSpaceDE w:val="0"/>
              <w:autoSpaceDN w:val="0"/>
              <w:adjustRightInd w:val="0"/>
              <w:spacing w:line="360" w:lineRule="auto"/>
              <w:ind w:firstLine="480" w:firstLineChars="200"/>
              <w:rPr>
                <w:sz w:val="24"/>
              </w:rPr>
            </w:pPr>
            <w:r>
              <w:rPr>
                <w:rFonts w:hint="eastAsia"/>
                <w:sz w:val="24"/>
              </w:rPr>
              <w:t xml:space="preserve">③二氧化氯投加器破损风险防范和应急措施 </w:t>
            </w:r>
          </w:p>
          <w:p>
            <w:pPr>
              <w:overflowPunct w:val="0"/>
              <w:autoSpaceDE w:val="0"/>
              <w:autoSpaceDN w:val="0"/>
              <w:adjustRightInd w:val="0"/>
              <w:spacing w:line="360" w:lineRule="auto"/>
              <w:ind w:firstLine="480" w:firstLineChars="200"/>
              <w:rPr>
                <w:sz w:val="24"/>
              </w:rPr>
            </w:pPr>
            <w:r>
              <w:rPr>
                <w:rFonts w:hint="eastAsia"/>
                <w:sz w:val="24"/>
              </w:rPr>
              <w:t>将二氧化氯投加器原料分开单独存放，远离火种、热源。并根据防爆要求，设置防爆墙和泄爆墙。</w:t>
            </w:r>
          </w:p>
          <w:p>
            <w:pPr>
              <w:overflowPunct w:val="0"/>
              <w:autoSpaceDE w:val="0"/>
              <w:autoSpaceDN w:val="0"/>
              <w:adjustRightInd w:val="0"/>
              <w:spacing w:line="360" w:lineRule="auto"/>
              <w:ind w:firstLine="480" w:firstLineChars="200"/>
              <w:rPr>
                <w:sz w:val="24"/>
              </w:rPr>
            </w:pPr>
            <w:r>
              <w:rPr>
                <w:rFonts w:hint="eastAsia"/>
                <w:sz w:val="24"/>
              </w:rPr>
              <w:t xml:space="preserve">制定二氧化氯投加器操作技术规范，加强污水处理工作人员的管理和技能培训，加强对二氧化氯投加器的定期检查。 </w:t>
            </w:r>
          </w:p>
          <w:p>
            <w:pPr>
              <w:spacing w:line="360" w:lineRule="auto"/>
              <w:ind w:firstLine="482" w:firstLineChars="200"/>
              <w:rPr>
                <w:b/>
                <w:bCs/>
                <w:sz w:val="24"/>
              </w:rPr>
            </w:pPr>
            <w:r>
              <w:rPr>
                <w:rFonts w:hint="eastAsia"/>
                <w:b/>
                <w:bCs/>
                <w:sz w:val="24"/>
              </w:rPr>
              <w:t>六、监测计划</w:t>
            </w:r>
          </w:p>
          <w:p>
            <w:pPr>
              <w:spacing w:line="360" w:lineRule="auto"/>
              <w:ind w:firstLine="480" w:firstLineChars="200"/>
              <w:rPr>
                <w:sz w:val="24"/>
              </w:rPr>
            </w:pPr>
            <w:r>
              <w:rPr>
                <w:rFonts w:hint="eastAsia"/>
                <w:sz w:val="24"/>
              </w:rPr>
              <w:t>根据</w:t>
            </w:r>
            <w:r>
              <w:rPr>
                <w:rFonts w:hint="eastAsia"/>
                <w:bCs/>
                <w:sz w:val="24"/>
                <w:szCs w:val="32"/>
              </w:rPr>
              <w:t>《</w:t>
            </w:r>
            <w:r>
              <w:rPr>
                <w:sz w:val="24"/>
              </w:rPr>
              <w:t>排污许可证申请与核发技术规范-</w:t>
            </w:r>
            <w:r>
              <w:rPr>
                <w:rFonts w:hint="eastAsia"/>
                <w:sz w:val="24"/>
              </w:rPr>
              <w:t>医疗机构</w:t>
            </w:r>
            <w:r>
              <w:rPr>
                <w:sz w:val="24"/>
              </w:rPr>
              <w:t>》（HJ</w:t>
            </w:r>
            <w:r>
              <w:rPr>
                <w:rFonts w:hint="eastAsia"/>
                <w:sz w:val="24"/>
              </w:rPr>
              <w:t>1105-2020</w:t>
            </w:r>
            <w:r>
              <w:rPr>
                <w:sz w:val="24"/>
              </w:rPr>
              <w:t>）</w:t>
            </w:r>
            <w:r>
              <w:rPr>
                <w:rFonts w:hint="eastAsia"/>
                <w:sz w:val="24"/>
              </w:rPr>
              <w:t>，本项目监测计划如下表所示：</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pStyle w:val="40"/>
            </w:pPr>
          </w:p>
          <w:p>
            <w:pPr>
              <w:pStyle w:val="40"/>
            </w:pPr>
            <w:r>
              <w:t>表</w:t>
            </w:r>
            <w:r>
              <w:rPr>
                <w:rFonts w:hint="eastAsia"/>
              </w:rPr>
              <w:t>4-</w:t>
            </w:r>
            <w:r>
              <w:t>1</w:t>
            </w:r>
            <w:r>
              <w:rPr>
                <w:rFonts w:hint="eastAsia"/>
              </w:rPr>
              <w:t xml:space="preserve">3 </w:t>
            </w:r>
            <w:r>
              <w:t xml:space="preserve">   </w:t>
            </w:r>
            <w:r>
              <w:rPr>
                <w:rFonts w:hint="eastAsia"/>
              </w:rPr>
              <w:t>废气</w:t>
            </w:r>
            <w:r>
              <w:t>监测计划一览表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287"/>
              <w:gridCol w:w="1381"/>
              <w:gridCol w:w="1185"/>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5" w:type="dxa"/>
                  <w:vAlign w:val="center"/>
                </w:tcPr>
                <w:p>
                  <w:pPr>
                    <w:pStyle w:val="38"/>
                  </w:pPr>
                  <w:r>
                    <w:rPr>
                      <w:rFonts w:hint="eastAsia"/>
                    </w:rPr>
                    <w:t>排放</w:t>
                  </w:r>
                </w:p>
                <w:p>
                  <w:pPr>
                    <w:pStyle w:val="38"/>
                  </w:pPr>
                  <w:r>
                    <w:rPr>
                      <w:rFonts w:hint="eastAsia"/>
                    </w:rPr>
                    <w:t>形式</w:t>
                  </w:r>
                </w:p>
              </w:tc>
              <w:tc>
                <w:tcPr>
                  <w:tcW w:w="1266" w:type="dxa"/>
                  <w:vAlign w:val="center"/>
                </w:tcPr>
                <w:p>
                  <w:pPr>
                    <w:pStyle w:val="38"/>
                  </w:pPr>
                  <w:r>
                    <w:t>监测点位</w:t>
                  </w:r>
                </w:p>
              </w:tc>
              <w:tc>
                <w:tcPr>
                  <w:tcW w:w="1358" w:type="dxa"/>
                  <w:vAlign w:val="center"/>
                </w:tcPr>
                <w:p>
                  <w:pPr>
                    <w:pStyle w:val="38"/>
                  </w:pPr>
                  <w:r>
                    <w:t>监测因子</w:t>
                  </w:r>
                </w:p>
              </w:tc>
              <w:tc>
                <w:tcPr>
                  <w:tcW w:w="1166" w:type="dxa"/>
                  <w:vAlign w:val="center"/>
                </w:tcPr>
                <w:p>
                  <w:pPr>
                    <w:pStyle w:val="38"/>
                  </w:pPr>
                  <w:r>
                    <w:t>监测</w:t>
                  </w:r>
                </w:p>
                <w:p>
                  <w:pPr>
                    <w:pStyle w:val="38"/>
                  </w:pPr>
                  <w:r>
                    <w:t>频次</w:t>
                  </w:r>
                </w:p>
              </w:tc>
              <w:tc>
                <w:tcPr>
                  <w:tcW w:w="2934" w:type="dxa"/>
                  <w:vAlign w:val="center"/>
                </w:tcPr>
                <w:p>
                  <w:pPr>
                    <w:pStyle w:val="38"/>
                  </w:pPr>
                  <w:r>
                    <w:rPr>
                      <w:rFonts w:hint="eastAsia"/>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5" w:type="dxa"/>
                  <w:vAlign w:val="center"/>
                </w:tcPr>
                <w:p>
                  <w:pPr>
                    <w:pStyle w:val="38"/>
                  </w:pPr>
                  <w:r>
                    <w:rPr>
                      <w:rFonts w:hint="eastAsia"/>
                    </w:rPr>
                    <w:t>无组织</w:t>
                  </w:r>
                </w:p>
              </w:tc>
              <w:tc>
                <w:tcPr>
                  <w:tcW w:w="1266" w:type="dxa"/>
                  <w:vAlign w:val="center"/>
                </w:tcPr>
                <w:p>
                  <w:pPr>
                    <w:pStyle w:val="38"/>
                  </w:pPr>
                  <w:r>
                    <w:rPr>
                      <w:rFonts w:hint="eastAsia"/>
                      <w:szCs w:val="21"/>
                    </w:rPr>
                    <w:t>污水处理设施周界</w:t>
                  </w:r>
                </w:p>
              </w:tc>
              <w:tc>
                <w:tcPr>
                  <w:tcW w:w="1358" w:type="dxa"/>
                  <w:vAlign w:val="center"/>
                </w:tcPr>
                <w:p>
                  <w:pPr>
                    <w:pStyle w:val="38"/>
                  </w:pPr>
                  <w:r>
                    <w:rPr>
                      <w:rFonts w:hint="eastAsia"/>
                      <w:szCs w:val="21"/>
                    </w:rPr>
                    <w:t>NH</w:t>
                  </w:r>
                  <w:r>
                    <w:rPr>
                      <w:rFonts w:hint="eastAsia"/>
                      <w:szCs w:val="21"/>
                      <w:vertAlign w:val="subscript"/>
                    </w:rPr>
                    <w:t>3</w:t>
                  </w:r>
                  <w:r>
                    <w:rPr>
                      <w:rFonts w:hint="eastAsia"/>
                      <w:szCs w:val="21"/>
                    </w:rPr>
                    <w:t>、H</w:t>
                  </w:r>
                  <w:r>
                    <w:rPr>
                      <w:rFonts w:hint="eastAsia"/>
                      <w:szCs w:val="21"/>
                      <w:vertAlign w:val="subscript"/>
                    </w:rPr>
                    <w:t>2</w:t>
                  </w:r>
                  <w:r>
                    <w:rPr>
                      <w:rFonts w:hint="eastAsia"/>
                      <w:szCs w:val="21"/>
                    </w:rPr>
                    <w:t>S、臭气浓度、氯气、甲烷</w:t>
                  </w:r>
                </w:p>
              </w:tc>
              <w:tc>
                <w:tcPr>
                  <w:tcW w:w="1166" w:type="dxa"/>
                  <w:vAlign w:val="center"/>
                </w:tcPr>
                <w:p>
                  <w:pPr>
                    <w:pStyle w:val="38"/>
                  </w:pPr>
                  <w:r>
                    <w:rPr>
                      <w:rFonts w:hint="eastAsia"/>
                    </w:rPr>
                    <w:t>1次/季</w:t>
                  </w:r>
                </w:p>
              </w:tc>
              <w:tc>
                <w:tcPr>
                  <w:tcW w:w="2934" w:type="dxa"/>
                  <w:vAlign w:val="center"/>
                </w:tcPr>
                <w:p>
                  <w:pPr>
                    <w:pStyle w:val="38"/>
                  </w:pPr>
                  <w:r>
                    <w:rPr>
                      <w:rFonts w:hint="eastAsia"/>
                      <w:szCs w:val="21"/>
                    </w:rPr>
                    <w:t>《医疗机构水污染物排放标准》（GB18466-2005）</w:t>
                  </w:r>
                </w:p>
              </w:tc>
            </w:tr>
          </w:tbl>
          <w:p>
            <w:pPr>
              <w:pStyle w:val="40"/>
            </w:pPr>
          </w:p>
          <w:p>
            <w:pPr>
              <w:pStyle w:val="40"/>
            </w:pPr>
            <w:r>
              <w:t>表</w:t>
            </w:r>
            <w:r>
              <w:rPr>
                <w:rFonts w:hint="eastAsia"/>
              </w:rPr>
              <w:t>4-</w:t>
            </w:r>
            <w:r>
              <w:t xml:space="preserve">14  </w:t>
            </w:r>
            <w:r>
              <w:rPr>
                <w:rFonts w:hint="eastAsia"/>
              </w:rPr>
              <w:t xml:space="preserve"> </w:t>
            </w:r>
            <w:r>
              <w:t xml:space="preserve"> </w:t>
            </w:r>
            <w:r>
              <w:rPr>
                <w:rFonts w:hint="eastAsia"/>
              </w:rPr>
              <w:t>废水</w:t>
            </w:r>
            <w:r>
              <w:t>监测计划一览表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986"/>
              <w:gridCol w:w="2086"/>
              <w:gridCol w:w="149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2" w:type="dxa"/>
                  <w:vAlign w:val="center"/>
                </w:tcPr>
                <w:p>
                  <w:pPr>
                    <w:pStyle w:val="38"/>
                  </w:pPr>
                  <w:r>
                    <w:t>监测</w:t>
                  </w:r>
                </w:p>
                <w:p>
                  <w:pPr>
                    <w:pStyle w:val="38"/>
                  </w:pPr>
                  <w:r>
                    <w:t>项目</w:t>
                  </w:r>
                </w:p>
              </w:tc>
              <w:tc>
                <w:tcPr>
                  <w:tcW w:w="987" w:type="dxa"/>
                  <w:vAlign w:val="center"/>
                </w:tcPr>
                <w:p>
                  <w:pPr>
                    <w:pStyle w:val="38"/>
                  </w:pPr>
                  <w:r>
                    <w:t>监测</w:t>
                  </w:r>
                </w:p>
                <w:p>
                  <w:pPr>
                    <w:pStyle w:val="38"/>
                  </w:pPr>
                  <w:r>
                    <w:t>点位</w:t>
                  </w:r>
                </w:p>
              </w:tc>
              <w:tc>
                <w:tcPr>
                  <w:tcW w:w="2100" w:type="dxa"/>
                  <w:vAlign w:val="center"/>
                </w:tcPr>
                <w:p>
                  <w:pPr>
                    <w:pStyle w:val="38"/>
                  </w:pPr>
                  <w:r>
                    <w:t>监测因子</w:t>
                  </w:r>
                </w:p>
              </w:tc>
              <w:tc>
                <w:tcPr>
                  <w:tcW w:w="1511" w:type="dxa"/>
                  <w:vAlign w:val="center"/>
                </w:tcPr>
                <w:p>
                  <w:pPr>
                    <w:pStyle w:val="38"/>
                  </w:pPr>
                  <w:r>
                    <w:t>监测频次</w:t>
                  </w:r>
                </w:p>
              </w:tc>
              <w:tc>
                <w:tcPr>
                  <w:tcW w:w="2466" w:type="dxa"/>
                  <w:vAlign w:val="center"/>
                </w:tcPr>
                <w:p>
                  <w:pPr>
                    <w:pStyle w:val="38"/>
                  </w:pPr>
                  <w:r>
                    <w:rPr>
                      <w:rFonts w:hint="eastAsia"/>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72" w:type="dxa"/>
                  <w:vMerge w:val="restart"/>
                  <w:vAlign w:val="center"/>
                </w:tcPr>
                <w:p>
                  <w:pPr>
                    <w:pStyle w:val="38"/>
                  </w:pPr>
                  <w:r>
                    <w:rPr>
                      <w:rFonts w:hint="eastAsia"/>
                    </w:rPr>
                    <w:t>废水</w:t>
                  </w:r>
                </w:p>
              </w:tc>
              <w:tc>
                <w:tcPr>
                  <w:tcW w:w="987" w:type="dxa"/>
                  <w:vMerge w:val="restart"/>
                  <w:vAlign w:val="center"/>
                </w:tcPr>
                <w:p>
                  <w:pPr>
                    <w:pStyle w:val="38"/>
                  </w:pPr>
                  <w:r>
                    <w:rPr>
                      <w:rFonts w:hint="eastAsia"/>
                      <w:szCs w:val="21"/>
                    </w:rPr>
                    <w:t>废水总排口DW001</w:t>
                  </w:r>
                </w:p>
              </w:tc>
              <w:tc>
                <w:tcPr>
                  <w:tcW w:w="2100" w:type="dxa"/>
                  <w:vAlign w:val="center"/>
                </w:tcPr>
                <w:p>
                  <w:pPr>
                    <w:pStyle w:val="38"/>
                  </w:pPr>
                  <w:r>
                    <w:rPr>
                      <w:rFonts w:hint="eastAsia"/>
                      <w:szCs w:val="21"/>
                    </w:rPr>
                    <w:t>流量</w:t>
                  </w:r>
                </w:p>
              </w:tc>
              <w:tc>
                <w:tcPr>
                  <w:tcW w:w="1511" w:type="dxa"/>
                  <w:vAlign w:val="center"/>
                </w:tcPr>
                <w:p>
                  <w:pPr>
                    <w:pStyle w:val="38"/>
                  </w:pPr>
                  <w:r>
                    <w:rPr>
                      <w:rFonts w:hint="eastAsia"/>
                    </w:rPr>
                    <w:t>自动监测</w:t>
                  </w:r>
                </w:p>
              </w:tc>
              <w:tc>
                <w:tcPr>
                  <w:tcW w:w="2466" w:type="dxa"/>
                  <w:vMerge w:val="restart"/>
                  <w:vAlign w:val="center"/>
                </w:tcPr>
                <w:p>
                  <w:pPr>
                    <w:pStyle w:val="38"/>
                  </w:pPr>
                  <w:r>
                    <w:rPr>
                      <w:rFonts w:hint="eastAsia"/>
                      <w:szCs w:val="21"/>
                    </w:rPr>
                    <w:t>《医疗机构水污染物排放标准》（GB18466-2005）表2中综合医疗机构和其他医疗机构水污染物排放限值中预处理标准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72" w:type="dxa"/>
                  <w:vMerge w:val="continue"/>
                  <w:vAlign w:val="center"/>
                </w:tcPr>
                <w:p>
                  <w:pPr>
                    <w:pStyle w:val="38"/>
                  </w:pPr>
                </w:p>
              </w:tc>
              <w:tc>
                <w:tcPr>
                  <w:tcW w:w="987" w:type="dxa"/>
                  <w:vMerge w:val="continue"/>
                  <w:vAlign w:val="center"/>
                </w:tcPr>
                <w:p>
                  <w:pPr>
                    <w:pStyle w:val="38"/>
                  </w:pPr>
                </w:p>
              </w:tc>
              <w:tc>
                <w:tcPr>
                  <w:tcW w:w="2100" w:type="dxa"/>
                  <w:vAlign w:val="center"/>
                </w:tcPr>
                <w:p>
                  <w:pPr>
                    <w:pStyle w:val="38"/>
                    <w:rPr>
                      <w:szCs w:val="21"/>
                    </w:rPr>
                  </w:pPr>
                  <w:r>
                    <w:rPr>
                      <w:rFonts w:hint="eastAsia"/>
                      <w:szCs w:val="21"/>
                    </w:rPr>
                    <w:t>pH</w:t>
                  </w:r>
                </w:p>
              </w:tc>
              <w:tc>
                <w:tcPr>
                  <w:tcW w:w="1511" w:type="dxa"/>
                  <w:vAlign w:val="center"/>
                </w:tcPr>
                <w:p>
                  <w:pPr>
                    <w:pStyle w:val="38"/>
                    <w:rPr>
                      <w:szCs w:val="21"/>
                    </w:rPr>
                  </w:pPr>
                  <w:r>
                    <w:rPr>
                      <w:rFonts w:hint="eastAsia"/>
                      <w:szCs w:val="21"/>
                    </w:rPr>
                    <w:t>12小时</w:t>
                  </w:r>
                </w:p>
              </w:tc>
              <w:tc>
                <w:tcPr>
                  <w:tcW w:w="2466" w:type="dxa"/>
                  <w:vMerge w:val="continue"/>
                  <w:vAlign w:val="center"/>
                </w:tcPr>
                <w:p>
                  <w:pPr>
                    <w:pStyle w:val="3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72" w:type="dxa"/>
                  <w:vMerge w:val="continue"/>
                  <w:vAlign w:val="center"/>
                </w:tcPr>
                <w:p>
                  <w:pPr>
                    <w:pStyle w:val="38"/>
                    <w:rPr>
                      <w:szCs w:val="21"/>
                    </w:rPr>
                  </w:pPr>
                </w:p>
              </w:tc>
              <w:tc>
                <w:tcPr>
                  <w:tcW w:w="987" w:type="dxa"/>
                  <w:vMerge w:val="continue"/>
                  <w:vAlign w:val="center"/>
                </w:tcPr>
                <w:p>
                  <w:pPr>
                    <w:pStyle w:val="38"/>
                    <w:rPr>
                      <w:szCs w:val="21"/>
                    </w:rPr>
                  </w:pPr>
                </w:p>
              </w:tc>
              <w:tc>
                <w:tcPr>
                  <w:tcW w:w="2100" w:type="dxa"/>
                  <w:vAlign w:val="center"/>
                </w:tcPr>
                <w:p>
                  <w:pPr>
                    <w:pStyle w:val="38"/>
                    <w:rPr>
                      <w:szCs w:val="21"/>
                    </w:rPr>
                  </w:pPr>
                  <w:r>
                    <w:rPr>
                      <w:rFonts w:hint="eastAsia"/>
                      <w:szCs w:val="21"/>
                    </w:rPr>
                    <w:t>COD、SS</w:t>
                  </w:r>
                </w:p>
              </w:tc>
              <w:tc>
                <w:tcPr>
                  <w:tcW w:w="1511" w:type="dxa"/>
                  <w:vAlign w:val="center"/>
                </w:tcPr>
                <w:p>
                  <w:pPr>
                    <w:pStyle w:val="38"/>
                    <w:rPr>
                      <w:szCs w:val="21"/>
                    </w:rPr>
                  </w:pPr>
                  <w:r>
                    <w:rPr>
                      <w:rFonts w:hint="eastAsia"/>
                      <w:szCs w:val="21"/>
                    </w:rPr>
                    <w:t>周</w:t>
                  </w:r>
                </w:p>
              </w:tc>
              <w:tc>
                <w:tcPr>
                  <w:tcW w:w="2466" w:type="dxa"/>
                  <w:vMerge w:val="continue"/>
                  <w:vAlign w:val="center"/>
                </w:tcPr>
                <w:p>
                  <w:pPr>
                    <w:pStyle w:val="3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72" w:type="dxa"/>
                  <w:vMerge w:val="continue"/>
                  <w:vAlign w:val="center"/>
                </w:tcPr>
                <w:p>
                  <w:pPr>
                    <w:pStyle w:val="38"/>
                    <w:rPr>
                      <w:szCs w:val="21"/>
                    </w:rPr>
                  </w:pPr>
                </w:p>
              </w:tc>
              <w:tc>
                <w:tcPr>
                  <w:tcW w:w="987" w:type="dxa"/>
                  <w:vMerge w:val="continue"/>
                  <w:vAlign w:val="center"/>
                </w:tcPr>
                <w:p>
                  <w:pPr>
                    <w:pStyle w:val="38"/>
                    <w:rPr>
                      <w:szCs w:val="21"/>
                    </w:rPr>
                  </w:pPr>
                </w:p>
              </w:tc>
              <w:tc>
                <w:tcPr>
                  <w:tcW w:w="2100" w:type="dxa"/>
                  <w:vAlign w:val="center"/>
                </w:tcPr>
                <w:p>
                  <w:pPr>
                    <w:pStyle w:val="38"/>
                    <w:rPr>
                      <w:szCs w:val="21"/>
                    </w:rPr>
                  </w:pPr>
                  <w:r>
                    <w:rPr>
                      <w:rFonts w:hint="eastAsia"/>
                      <w:szCs w:val="21"/>
                    </w:rPr>
                    <w:t>粪大肠菌群数</w:t>
                  </w:r>
                </w:p>
              </w:tc>
              <w:tc>
                <w:tcPr>
                  <w:tcW w:w="1511" w:type="dxa"/>
                  <w:vAlign w:val="center"/>
                </w:tcPr>
                <w:p>
                  <w:pPr>
                    <w:pStyle w:val="38"/>
                    <w:rPr>
                      <w:szCs w:val="21"/>
                    </w:rPr>
                  </w:pPr>
                  <w:r>
                    <w:rPr>
                      <w:rFonts w:hint="eastAsia"/>
                      <w:szCs w:val="21"/>
                    </w:rPr>
                    <w:t>月</w:t>
                  </w:r>
                </w:p>
              </w:tc>
              <w:tc>
                <w:tcPr>
                  <w:tcW w:w="2466" w:type="dxa"/>
                  <w:vMerge w:val="continue"/>
                  <w:vAlign w:val="center"/>
                </w:tcPr>
                <w:p>
                  <w:pPr>
                    <w:pStyle w:val="3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72" w:type="dxa"/>
                  <w:vMerge w:val="continue"/>
                  <w:vAlign w:val="center"/>
                </w:tcPr>
                <w:p>
                  <w:pPr>
                    <w:pStyle w:val="38"/>
                    <w:rPr>
                      <w:szCs w:val="21"/>
                    </w:rPr>
                  </w:pPr>
                </w:p>
              </w:tc>
              <w:tc>
                <w:tcPr>
                  <w:tcW w:w="987" w:type="dxa"/>
                  <w:vMerge w:val="continue"/>
                  <w:vAlign w:val="center"/>
                </w:tcPr>
                <w:p>
                  <w:pPr>
                    <w:pStyle w:val="38"/>
                    <w:rPr>
                      <w:szCs w:val="21"/>
                    </w:rPr>
                  </w:pPr>
                </w:p>
              </w:tc>
              <w:tc>
                <w:tcPr>
                  <w:tcW w:w="2100" w:type="dxa"/>
                  <w:vAlign w:val="center"/>
                </w:tcPr>
                <w:p>
                  <w:pPr>
                    <w:pStyle w:val="38"/>
                    <w:rPr>
                      <w:szCs w:val="21"/>
                    </w:rPr>
                  </w:pPr>
                  <w:r>
                    <w:rPr>
                      <w:rFonts w:hint="eastAsia"/>
                      <w:szCs w:val="21"/>
                    </w:rPr>
                    <w:t>五日生化需氧量、石油类、挥发酚、动植物油、阴离子表面活性剂、总余氯</w:t>
                  </w:r>
                </w:p>
              </w:tc>
              <w:tc>
                <w:tcPr>
                  <w:tcW w:w="1511" w:type="dxa"/>
                  <w:vAlign w:val="center"/>
                </w:tcPr>
                <w:p>
                  <w:pPr>
                    <w:pStyle w:val="38"/>
                    <w:rPr>
                      <w:szCs w:val="21"/>
                    </w:rPr>
                  </w:pPr>
                  <w:r>
                    <w:rPr>
                      <w:rFonts w:hint="eastAsia"/>
                      <w:szCs w:val="21"/>
                    </w:rPr>
                    <w:t>季度</w:t>
                  </w:r>
                </w:p>
              </w:tc>
              <w:tc>
                <w:tcPr>
                  <w:tcW w:w="2466" w:type="dxa"/>
                  <w:vMerge w:val="continue"/>
                  <w:vAlign w:val="center"/>
                </w:tcPr>
                <w:p>
                  <w:pPr>
                    <w:pStyle w:val="38"/>
                    <w:rPr>
                      <w:szCs w:val="21"/>
                    </w:rPr>
                  </w:pPr>
                </w:p>
              </w:tc>
            </w:tr>
          </w:tbl>
          <w:p>
            <w:pPr>
              <w:spacing w:line="360" w:lineRule="auto"/>
              <w:ind w:firstLine="480" w:firstLineChars="200"/>
              <w:rPr>
                <w:sz w:val="24"/>
                <w:szCs w:val="32"/>
              </w:rPr>
            </w:pPr>
          </w:p>
          <w:p>
            <w:pPr>
              <w:spacing w:line="360" w:lineRule="auto"/>
              <w:ind w:firstLine="458" w:firstLineChars="200"/>
              <w:jc w:val="center"/>
              <w:rPr>
                <w:b/>
                <w:bCs/>
                <w:spacing w:val="4"/>
                <w:sz w:val="22"/>
                <w:szCs w:val="22"/>
              </w:rPr>
            </w:pPr>
            <w:r>
              <w:rPr>
                <w:rFonts w:hint="eastAsia"/>
                <w:b/>
                <w:bCs/>
                <w:spacing w:val="4"/>
                <w:sz w:val="22"/>
                <w:szCs w:val="22"/>
              </w:rPr>
              <w:t>表</w:t>
            </w:r>
            <w:r>
              <w:rPr>
                <w:b/>
                <w:bCs/>
                <w:spacing w:val="4"/>
                <w:sz w:val="22"/>
                <w:szCs w:val="22"/>
              </w:rPr>
              <w:t xml:space="preserve">4-15    </w:t>
            </w:r>
            <w:r>
              <w:rPr>
                <w:rFonts w:hint="eastAsia"/>
                <w:b/>
                <w:bCs/>
                <w:spacing w:val="4"/>
                <w:sz w:val="22"/>
                <w:szCs w:val="22"/>
              </w:rPr>
              <w:t>噪声监测计划</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2633"/>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38"/>
                    <w:rPr>
                      <w:kern w:val="2"/>
                      <w:sz w:val="21"/>
                      <w:szCs w:val="21"/>
                    </w:rPr>
                  </w:pPr>
                  <w:r>
                    <w:rPr>
                      <w:rFonts w:hint="eastAsia"/>
                      <w:kern w:val="2"/>
                      <w:sz w:val="21"/>
                      <w:szCs w:val="21"/>
                    </w:rPr>
                    <w:t>监测点位</w:t>
                  </w:r>
                </w:p>
              </w:tc>
              <w:tc>
                <w:tcPr>
                  <w:tcW w:w="1667" w:type="pct"/>
                  <w:vAlign w:val="center"/>
                </w:tcPr>
                <w:p>
                  <w:pPr>
                    <w:pStyle w:val="38"/>
                    <w:rPr>
                      <w:kern w:val="2"/>
                      <w:sz w:val="21"/>
                      <w:szCs w:val="21"/>
                    </w:rPr>
                  </w:pPr>
                  <w:r>
                    <w:rPr>
                      <w:rFonts w:hint="eastAsia"/>
                      <w:kern w:val="2"/>
                      <w:sz w:val="21"/>
                      <w:szCs w:val="21"/>
                    </w:rPr>
                    <w:t>监测指标</w:t>
                  </w:r>
                </w:p>
              </w:tc>
              <w:tc>
                <w:tcPr>
                  <w:tcW w:w="1667" w:type="pct"/>
                  <w:vAlign w:val="center"/>
                </w:tcPr>
                <w:p>
                  <w:pPr>
                    <w:pStyle w:val="38"/>
                    <w:rPr>
                      <w:kern w:val="2"/>
                      <w:sz w:val="21"/>
                      <w:szCs w:val="21"/>
                    </w:rPr>
                  </w:pPr>
                  <w:r>
                    <w:rPr>
                      <w:rFonts w:hint="eastAsia"/>
                      <w:kern w:val="2"/>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38"/>
                    <w:rPr>
                      <w:kern w:val="2"/>
                      <w:sz w:val="21"/>
                      <w:szCs w:val="21"/>
                    </w:rPr>
                  </w:pPr>
                  <w:r>
                    <w:rPr>
                      <w:rFonts w:hint="eastAsia"/>
                      <w:kern w:val="2"/>
                      <w:sz w:val="21"/>
                      <w:szCs w:val="21"/>
                    </w:rPr>
                    <w:t>厂界四至</w:t>
                  </w:r>
                </w:p>
              </w:tc>
              <w:tc>
                <w:tcPr>
                  <w:tcW w:w="1667" w:type="pct"/>
                  <w:vAlign w:val="center"/>
                </w:tcPr>
                <w:p>
                  <w:pPr>
                    <w:pStyle w:val="38"/>
                    <w:rPr>
                      <w:kern w:val="2"/>
                      <w:sz w:val="21"/>
                      <w:szCs w:val="21"/>
                    </w:rPr>
                  </w:pPr>
                  <w:r>
                    <w:rPr>
                      <w:rFonts w:hint="eastAsia"/>
                      <w:kern w:val="2"/>
                      <w:sz w:val="21"/>
                      <w:szCs w:val="21"/>
                    </w:rPr>
                    <w:t>等效A声级</w:t>
                  </w:r>
                </w:p>
              </w:tc>
              <w:tc>
                <w:tcPr>
                  <w:tcW w:w="1667" w:type="pct"/>
                  <w:vAlign w:val="center"/>
                </w:tcPr>
                <w:p>
                  <w:pPr>
                    <w:pStyle w:val="38"/>
                    <w:rPr>
                      <w:kern w:val="2"/>
                      <w:sz w:val="21"/>
                      <w:szCs w:val="21"/>
                    </w:rPr>
                  </w:pPr>
                  <w:r>
                    <w:rPr>
                      <w:rFonts w:hint="eastAsia"/>
                      <w:kern w:val="2"/>
                      <w:sz w:val="21"/>
                      <w:szCs w:val="21"/>
                    </w:rPr>
                    <w:t>季度</w:t>
                  </w:r>
                </w:p>
              </w:tc>
            </w:tr>
          </w:tbl>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tc>
      </w:tr>
    </w:tbl>
    <w:p>
      <w:p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tbl>
      <w:tblPr>
        <w:tblStyle w:val="1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134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7" w:hRule="atLeast"/>
        </w:trPr>
        <w:tc>
          <w:tcPr>
            <w:tcW w:w="454" w:type="dxa"/>
            <w:tcBorders>
              <w:top w:val="single" w:color="auto" w:sz="8" w:space="0"/>
              <w:left w:val="single" w:color="auto" w:sz="8" w:space="0"/>
              <w:bottom w:val="single" w:color="auto" w:sz="4" w:space="0"/>
              <w:right w:val="single" w:color="auto" w:sz="4" w:space="0"/>
            </w:tcBorders>
            <w:tcMar>
              <w:top w:w="0" w:type="dxa"/>
              <w:left w:w="28" w:type="dxa"/>
              <w:bottom w:w="0" w:type="dxa"/>
              <w:right w:w="28" w:type="dxa"/>
            </w:tcMar>
            <w:vAlign w:val="center"/>
          </w:tcPr>
          <w:p>
            <w:pPr>
              <w:pStyle w:val="9"/>
              <w:adjustRightInd w:val="0"/>
              <w:snapToGrid w:val="0"/>
              <w:spacing w:before="0" w:beforeAutospacing="0" w:after="0" w:afterAutospacing="0" w:line="360" w:lineRule="auto"/>
              <w:jc w:val="center"/>
              <w:rPr>
                <w:rFonts w:cs="宋体"/>
                <w:bCs/>
                <w:kern w:val="2"/>
                <w:szCs w:val="24"/>
              </w:rPr>
            </w:pPr>
            <w:r>
              <w:rPr>
                <w:rFonts w:hint="eastAsia" w:cs="宋体"/>
                <w:bCs/>
                <w:kern w:val="2"/>
                <w:szCs w:val="24"/>
              </w:rPr>
              <w:t>运营期环境影响</w:t>
            </w:r>
          </w:p>
        </w:tc>
        <w:tc>
          <w:tcPr>
            <w:tcW w:w="13466" w:type="dxa"/>
            <w:tcBorders>
              <w:top w:val="single" w:color="auto" w:sz="8" w:space="0"/>
              <w:left w:val="single" w:color="auto" w:sz="4" w:space="0"/>
              <w:bottom w:val="single" w:color="auto" w:sz="4" w:space="0"/>
              <w:right w:val="single" w:color="auto" w:sz="8" w:space="0"/>
            </w:tcBorders>
            <w:vAlign w:val="center"/>
          </w:tcPr>
          <w:p>
            <w:pPr>
              <w:spacing w:line="360" w:lineRule="auto"/>
              <w:ind w:firstLine="482" w:firstLineChars="200"/>
              <w:rPr>
                <w:b/>
                <w:bCs/>
                <w:sz w:val="24"/>
              </w:rPr>
            </w:pPr>
            <w:r>
              <w:rPr>
                <w:rFonts w:hint="eastAsia"/>
                <w:b/>
                <w:bCs/>
                <w:sz w:val="24"/>
              </w:rPr>
              <w:t>六、与排污许可证的衔接关系</w:t>
            </w:r>
          </w:p>
          <w:p>
            <w:pPr>
              <w:spacing w:line="360" w:lineRule="auto"/>
              <w:ind w:firstLine="480" w:firstLineChars="200"/>
              <w:rPr>
                <w:sz w:val="24"/>
              </w:rPr>
            </w:pPr>
            <w:r>
              <w:rPr>
                <w:rFonts w:hint="eastAsia"/>
                <w:bCs/>
                <w:sz w:val="24"/>
              </w:rPr>
              <w:t>本项目建成投产前，建设单位应按照</w:t>
            </w:r>
            <w:r>
              <w:rPr>
                <w:rFonts w:hint="eastAsia"/>
                <w:bCs/>
                <w:sz w:val="24"/>
                <w:szCs w:val="32"/>
              </w:rPr>
              <w:t>《</w:t>
            </w:r>
            <w:r>
              <w:rPr>
                <w:sz w:val="24"/>
              </w:rPr>
              <w:t>排污许可证申请与核发技术规范-</w:t>
            </w:r>
            <w:r>
              <w:rPr>
                <w:rFonts w:hint="eastAsia"/>
                <w:sz w:val="24"/>
              </w:rPr>
              <w:t>医疗机构</w:t>
            </w:r>
            <w:r>
              <w:rPr>
                <w:sz w:val="24"/>
              </w:rPr>
              <w:t>》（HJ</w:t>
            </w:r>
            <w:r>
              <w:rPr>
                <w:rFonts w:hint="eastAsia"/>
                <w:sz w:val="24"/>
              </w:rPr>
              <w:t>1105-2020</w:t>
            </w:r>
            <w:r>
              <w:rPr>
                <w:sz w:val="24"/>
              </w:rPr>
              <w:t>）</w:t>
            </w:r>
            <w:r>
              <w:rPr>
                <w:rFonts w:hint="eastAsia"/>
                <w:bCs/>
                <w:sz w:val="24"/>
              </w:rPr>
              <w:t>申请排污许可证，</w:t>
            </w:r>
            <w:r>
              <w:rPr>
                <w:rFonts w:hint="eastAsia"/>
                <w:sz w:val="24"/>
              </w:rPr>
              <w:t>并应当按照该标准确定的产排污节点、排放口、污染物项目及许可限值等要求，制定自行监测方案，并在《排污许可证申请表》中明确。</w:t>
            </w:r>
          </w:p>
          <w:p>
            <w:pPr>
              <w:spacing w:line="360" w:lineRule="auto"/>
              <w:ind w:firstLine="402" w:firstLineChars="200"/>
              <w:jc w:val="center"/>
              <w:rPr>
                <w:b/>
                <w:spacing w:val="-10"/>
                <w:sz w:val="22"/>
                <w:szCs w:val="22"/>
              </w:rPr>
            </w:pPr>
            <w:r>
              <w:rPr>
                <w:b/>
                <w:spacing w:val="-10"/>
                <w:sz w:val="22"/>
                <w:szCs w:val="22"/>
              </w:rPr>
              <w:t>表4-14    本工程大气污染物排放基本情况一览表</w:t>
            </w:r>
          </w:p>
          <w:tbl>
            <w:tblPr>
              <w:tblStyle w:val="13"/>
              <w:tblW w:w="13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7"/>
              <w:gridCol w:w="1235"/>
              <w:gridCol w:w="894"/>
              <w:gridCol w:w="1770"/>
              <w:gridCol w:w="759"/>
              <w:gridCol w:w="1541"/>
              <w:gridCol w:w="536"/>
              <w:gridCol w:w="1415"/>
              <w:gridCol w:w="658"/>
              <w:gridCol w:w="798"/>
              <w:gridCol w:w="1190"/>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72" w:type="pct"/>
                  <w:vMerge w:val="restart"/>
                  <w:tcBorders>
                    <w:top w:val="single" w:color="auto" w:sz="4" w:space="0"/>
                    <w:left w:val="single" w:color="auto" w:sz="4" w:space="0"/>
                    <w:bottom w:val="single" w:color="auto" w:sz="4" w:space="0"/>
                    <w:right w:val="single" w:color="auto" w:sz="4" w:space="0"/>
                  </w:tcBorders>
                  <w:vAlign w:val="center"/>
                </w:tcPr>
                <w:p>
                  <w:pPr>
                    <w:pStyle w:val="43"/>
                    <w:adjustRightInd w:val="0"/>
                    <w:snapToGrid w:val="0"/>
                    <w:ind w:firstLine="0" w:firstLineChars="0"/>
                    <w:jc w:val="center"/>
                    <w:rPr>
                      <w:rFonts w:ascii="Times New Roman" w:hAnsi="Times New Roman" w:cs="Times New Roman"/>
                      <w:b/>
                      <w:color w:val="000000"/>
                      <w:kern w:val="0"/>
                      <w:sz w:val="21"/>
                      <w:szCs w:val="21"/>
                    </w:rPr>
                  </w:pPr>
                  <w:r>
                    <w:rPr>
                      <w:rFonts w:hint="eastAsia" w:cs="Times New Roman"/>
                      <w:b/>
                      <w:color w:val="000000"/>
                      <w:kern w:val="0"/>
                      <w:sz w:val="21"/>
                      <w:szCs w:val="21"/>
                    </w:rPr>
                    <w:t>废水类别</w:t>
                  </w:r>
                </w:p>
              </w:tc>
              <w:tc>
                <w:tcPr>
                  <w:tcW w:w="471" w:type="pct"/>
                  <w:vMerge w:val="restart"/>
                  <w:tcBorders>
                    <w:top w:val="single" w:color="auto" w:sz="4" w:space="0"/>
                    <w:left w:val="single" w:color="auto" w:sz="4" w:space="0"/>
                    <w:bottom w:val="single" w:color="auto" w:sz="4" w:space="0"/>
                    <w:right w:val="single" w:color="auto" w:sz="4" w:space="0"/>
                  </w:tcBorders>
                  <w:vAlign w:val="center"/>
                </w:tcPr>
                <w:p>
                  <w:pPr>
                    <w:pStyle w:val="43"/>
                    <w:adjustRightInd w:val="0"/>
                    <w:snapToGrid w:val="0"/>
                    <w:ind w:firstLine="0" w:firstLineChars="0"/>
                    <w:jc w:val="center"/>
                    <w:rPr>
                      <w:rFonts w:ascii="Times New Roman" w:hAnsi="Times New Roman" w:cs="Times New Roman"/>
                      <w:b/>
                      <w:color w:val="000000"/>
                      <w:kern w:val="0"/>
                      <w:sz w:val="21"/>
                      <w:szCs w:val="21"/>
                    </w:rPr>
                  </w:pPr>
                  <w:r>
                    <w:rPr>
                      <w:rFonts w:hint="eastAsia" w:cs="Times New Roman"/>
                      <w:b/>
                      <w:color w:val="000000"/>
                      <w:kern w:val="0"/>
                      <w:sz w:val="21"/>
                      <w:szCs w:val="21"/>
                    </w:rPr>
                    <w:t>产生环节</w:t>
                  </w:r>
                </w:p>
              </w:tc>
              <w:tc>
                <w:tcPr>
                  <w:tcW w:w="1015" w:type="pct"/>
                  <w:gridSpan w:val="2"/>
                  <w:tcBorders>
                    <w:top w:val="single" w:color="auto" w:sz="4" w:space="0"/>
                    <w:left w:val="single" w:color="auto" w:sz="4" w:space="0"/>
                    <w:bottom w:val="single" w:color="auto" w:sz="4" w:space="0"/>
                    <w:right w:val="single" w:color="auto" w:sz="4" w:space="0"/>
                  </w:tcBorders>
                  <w:vAlign w:val="center"/>
                </w:tcPr>
                <w:p>
                  <w:pPr>
                    <w:pStyle w:val="43"/>
                    <w:adjustRightInd w:val="0"/>
                    <w:snapToGrid w:val="0"/>
                    <w:ind w:firstLine="0" w:firstLineChars="0"/>
                    <w:jc w:val="center"/>
                    <w:rPr>
                      <w:rFonts w:ascii="Times New Roman" w:hAnsi="Times New Roman" w:cs="Times New Roman"/>
                      <w:b/>
                      <w:color w:val="000000"/>
                      <w:kern w:val="0"/>
                      <w:sz w:val="21"/>
                      <w:szCs w:val="21"/>
                    </w:rPr>
                  </w:pPr>
                  <w:r>
                    <w:rPr>
                      <w:rFonts w:hint="eastAsia" w:cs="Times New Roman"/>
                      <w:b/>
                      <w:color w:val="000000"/>
                      <w:kern w:val="0"/>
                      <w:sz w:val="21"/>
                      <w:szCs w:val="21"/>
                    </w:rPr>
                    <w:t>污染治理设施</w:t>
                  </w:r>
                </w:p>
              </w:tc>
              <w:tc>
                <w:tcPr>
                  <w:tcW w:w="291" w:type="pct"/>
                  <w:vMerge w:val="restart"/>
                  <w:tcBorders>
                    <w:top w:val="single" w:color="auto" w:sz="4" w:space="0"/>
                    <w:left w:val="single" w:color="auto" w:sz="4" w:space="0"/>
                    <w:bottom w:val="single" w:color="auto" w:sz="4" w:space="0"/>
                    <w:right w:val="single" w:color="auto" w:sz="4" w:space="0"/>
                  </w:tcBorders>
                  <w:vAlign w:val="center"/>
                </w:tcPr>
                <w:p>
                  <w:pPr>
                    <w:pStyle w:val="43"/>
                    <w:adjustRightInd w:val="0"/>
                    <w:snapToGrid w:val="0"/>
                    <w:ind w:firstLine="0" w:firstLineChars="0"/>
                    <w:jc w:val="center"/>
                    <w:rPr>
                      <w:rFonts w:ascii="Times New Roman" w:hAnsi="Times New Roman" w:cs="Times New Roman"/>
                      <w:b/>
                      <w:color w:val="000000"/>
                      <w:kern w:val="0"/>
                      <w:sz w:val="21"/>
                      <w:szCs w:val="21"/>
                    </w:rPr>
                  </w:pPr>
                  <w:r>
                    <w:rPr>
                      <w:rFonts w:hint="eastAsia" w:cs="Times New Roman"/>
                      <w:b/>
                      <w:color w:val="000000"/>
                      <w:kern w:val="0"/>
                      <w:sz w:val="21"/>
                      <w:szCs w:val="21"/>
                    </w:rPr>
                    <w:t>排放口</w:t>
                  </w:r>
                </w:p>
                <w:p>
                  <w:pPr>
                    <w:pStyle w:val="43"/>
                    <w:adjustRightInd w:val="0"/>
                    <w:snapToGrid w:val="0"/>
                    <w:ind w:firstLine="0" w:firstLineChars="0"/>
                    <w:jc w:val="center"/>
                    <w:rPr>
                      <w:rFonts w:ascii="Times New Roman" w:hAnsi="Times New Roman" w:cs="Times New Roman"/>
                      <w:b/>
                      <w:color w:val="000000"/>
                      <w:kern w:val="0"/>
                      <w:sz w:val="21"/>
                      <w:szCs w:val="21"/>
                    </w:rPr>
                  </w:pPr>
                  <w:r>
                    <w:rPr>
                      <w:rFonts w:hint="eastAsia" w:cs="Times New Roman"/>
                      <w:b/>
                      <w:color w:val="000000"/>
                      <w:kern w:val="0"/>
                      <w:sz w:val="21"/>
                      <w:szCs w:val="21"/>
                    </w:rPr>
                    <w:t>编号</w:t>
                  </w:r>
                </w:p>
              </w:tc>
              <w:tc>
                <w:tcPr>
                  <w:tcW w:w="582" w:type="pct"/>
                  <w:vMerge w:val="restart"/>
                  <w:tcBorders>
                    <w:top w:val="single" w:color="auto" w:sz="4" w:space="0"/>
                    <w:left w:val="single" w:color="auto" w:sz="4" w:space="0"/>
                    <w:bottom w:val="single" w:color="auto" w:sz="4" w:space="0"/>
                    <w:right w:val="single" w:color="auto" w:sz="4" w:space="0"/>
                  </w:tcBorders>
                  <w:vAlign w:val="center"/>
                </w:tcPr>
                <w:p>
                  <w:pPr>
                    <w:pStyle w:val="43"/>
                    <w:adjustRightInd w:val="0"/>
                    <w:snapToGrid w:val="0"/>
                    <w:ind w:firstLine="0" w:firstLineChars="0"/>
                    <w:jc w:val="center"/>
                    <w:rPr>
                      <w:rFonts w:ascii="Times New Roman" w:hAnsi="Times New Roman" w:cs="Times New Roman"/>
                      <w:b/>
                      <w:color w:val="000000"/>
                      <w:kern w:val="0"/>
                      <w:sz w:val="21"/>
                      <w:szCs w:val="21"/>
                    </w:rPr>
                  </w:pPr>
                  <w:r>
                    <w:rPr>
                      <w:rFonts w:hint="eastAsia" w:cs="Times New Roman"/>
                      <w:b/>
                      <w:color w:val="000000"/>
                      <w:kern w:val="0"/>
                      <w:sz w:val="21"/>
                      <w:szCs w:val="21"/>
                    </w:rPr>
                    <w:t>排放口坐标</w:t>
                  </w:r>
                </w:p>
              </w:tc>
              <w:tc>
                <w:tcPr>
                  <w:tcW w:w="207" w:type="pct"/>
                  <w:vMerge w:val="restart"/>
                  <w:tcBorders>
                    <w:top w:val="single" w:color="auto" w:sz="4" w:space="0"/>
                    <w:left w:val="single" w:color="auto" w:sz="4" w:space="0"/>
                    <w:bottom w:val="single" w:color="auto" w:sz="4" w:space="0"/>
                    <w:right w:val="single" w:color="auto" w:sz="4" w:space="0"/>
                  </w:tcBorders>
                  <w:vAlign w:val="center"/>
                </w:tcPr>
                <w:p>
                  <w:pPr>
                    <w:pStyle w:val="43"/>
                    <w:adjustRightInd w:val="0"/>
                    <w:snapToGrid w:val="0"/>
                    <w:ind w:firstLine="0" w:firstLineChars="0"/>
                    <w:jc w:val="center"/>
                    <w:rPr>
                      <w:rFonts w:ascii="Times New Roman" w:hAnsi="Times New Roman" w:cs="Times New Roman"/>
                      <w:b/>
                      <w:color w:val="000000"/>
                      <w:kern w:val="0"/>
                      <w:sz w:val="21"/>
                      <w:szCs w:val="21"/>
                    </w:rPr>
                  </w:pPr>
                  <w:r>
                    <w:rPr>
                      <w:rFonts w:hint="eastAsia" w:cs="Times New Roman"/>
                      <w:b/>
                      <w:color w:val="000000"/>
                      <w:kern w:val="0"/>
                      <w:sz w:val="21"/>
                      <w:szCs w:val="21"/>
                    </w:rPr>
                    <w:t>排放方式</w:t>
                  </w:r>
                </w:p>
              </w:tc>
              <w:tc>
                <w:tcPr>
                  <w:tcW w:w="539" w:type="pct"/>
                  <w:vMerge w:val="restart"/>
                  <w:tcBorders>
                    <w:top w:val="single" w:color="auto" w:sz="4" w:space="0"/>
                    <w:left w:val="single" w:color="auto" w:sz="4" w:space="0"/>
                    <w:bottom w:val="single" w:color="auto" w:sz="4" w:space="0"/>
                    <w:right w:val="single" w:color="auto" w:sz="4" w:space="0"/>
                  </w:tcBorders>
                  <w:vAlign w:val="center"/>
                </w:tcPr>
                <w:p>
                  <w:pPr>
                    <w:pStyle w:val="43"/>
                    <w:adjustRightInd w:val="0"/>
                    <w:snapToGrid w:val="0"/>
                    <w:ind w:firstLine="0" w:firstLineChars="0"/>
                    <w:jc w:val="center"/>
                    <w:rPr>
                      <w:rFonts w:ascii="Times New Roman" w:hAnsi="Times New Roman" w:cs="Times New Roman"/>
                      <w:b/>
                      <w:color w:val="000000"/>
                      <w:kern w:val="0"/>
                      <w:sz w:val="21"/>
                      <w:szCs w:val="21"/>
                    </w:rPr>
                  </w:pPr>
                  <w:r>
                    <w:rPr>
                      <w:rFonts w:hint="eastAsia" w:cs="Times New Roman"/>
                      <w:b/>
                      <w:color w:val="000000"/>
                      <w:kern w:val="0"/>
                      <w:sz w:val="21"/>
                      <w:szCs w:val="21"/>
                    </w:rPr>
                    <w:t>排放去向</w:t>
                  </w:r>
                </w:p>
              </w:tc>
              <w:tc>
                <w:tcPr>
                  <w:tcW w:w="253" w:type="pct"/>
                  <w:vMerge w:val="restart"/>
                  <w:tcBorders>
                    <w:top w:val="single" w:color="auto" w:sz="4" w:space="0"/>
                    <w:left w:val="single" w:color="auto" w:sz="4" w:space="0"/>
                    <w:bottom w:val="single" w:color="auto" w:sz="4" w:space="0"/>
                    <w:right w:val="single" w:color="auto" w:sz="4" w:space="0"/>
                  </w:tcBorders>
                  <w:vAlign w:val="center"/>
                </w:tcPr>
                <w:p>
                  <w:pPr>
                    <w:pStyle w:val="43"/>
                    <w:adjustRightInd w:val="0"/>
                    <w:snapToGrid w:val="0"/>
                    <w:ind w:firstLine="0" w:firstLineChars="0"/>
                    <w:jc w:val="center"/>
                    <w:rPr>
                      <w:rFonts w:ascii="Times New Roman" w:hAnsi="Times New Roman" w:cs="Times New Roman"/>
                      <w:b/>
                      <w:color w:val="000000"/>
                      <w:kern w:val="0"/>
                      <w:sz w:val="21"/>
                      <w:szCs w:val="21"/>
                    </w:rPr>
                  </w:pPr>
                  <w:r>
                    <w:rPr>
                      <w:rFonts w:hint="eastAsia" w:cs="Times New Roman"/>
                      <w:b/>
                      <w:color w:val="000000"/>
                      <w:kern w:val="0"/>
                      <w:sz w:val="21"/>
                      <w:szCs w:val="21"/>
                    </w:rPr>
                    <w:t>排放口</w:t>
                  </w:r>
                </w:p>
                <w:p>
                  <w:pPr>
                    <w:pStyle w:val="43"/>
                    <w:adjustRightInd w:val="0"/>
                    <w:snapToGrid w:val="0"/>
                    <w:ind w:firstLine="0" w:firstLineChars="0"/>
                    <w:jc w:val="center"/>
                    <w:rPr>
                      <w:rFonts w:ascii="Times New Roman" w:hAnsi="Times New Roman" w:cs="Times New Roman"/>
                      <w:b/>
                      <w:color w:val="000000"/>
                      <w:kern w:val="0"/>
                      <w:sz w:val="21"/>
                      <w:szCs w:val="21"/>
                    </w:rPr>
                  </w:pPr>
                  <w:r>
                    <w:rPr>
                      <w:rFonts w:hint="eastAsia" w:cs="Times New Roman"/>
                      <w:b/>
                      <w:color w:val="000000"/>
                      <w:kern w:val="0"/>
                      <w:sz w:val="21"/>
                      <w:szCs w:val="21"/>
                    </w:rPr>
                    <w:t>类型</w:t>
                  </w:r>
                </w:p>
              </w:tc>
              <w:tc>
                <w:tcPr>
                  <w:tcW w:w="306" w:type="pct"/>
                  <w:vMerge w:val="restart"/>
                  <w:tcBorders>
                    <w:top w:val="single" w:color="auto" w:sz="4" w:space="0"/>
                    <w:left w:val="single" w:color="auto" w:sz="4" w:space="0"/>
                    <w:bottom w:val="single" w:color="auto" w:sz="4" w:space="0"/>
                    <w:right w:val="single" w:color="auto" w:sz="4" w:space="0"/>
                  </w:tcBorders>
                  <w:vAlign w:val="center"/>
                </w:tcPr>
                <w:p>
                  <w:pPr>
                    <w:pStyle w:val="43"/>
                    <w:adjustRightInd w:val="0"/>
                    <w:snapToGrid w:val="0"/>
                    <w:ind w:firstLine="0" w:firstLineChars="0"/>
                    <w:jc w:val="center"/>
                    <w:rPr>
                      <w:rFonts w:ascii="Times New Roman" w:hAnsi="Times New Roman" w:cs="Times New Roman"/>
                      <w:b/>
                      <w:color w:val="000000"/>
                      <w:kern w:val="0"/>
                      <w:sz w:val="21"/>
                      <w:szCs w:val="21"/>
                    </w:rPr>
                  </w:pPr>
                  <w:r>
                    <w:rPr>
                      <w:rFonts w:hint="eastAsia" w:cs="Times New Roman"/>
                      <w:b/>
                      <w:color w:val="000000"/>
                      <w:kern w:val="0"/>
                      <w:sz w:val="21"/>
                      <w:szCs w:val="21"/>
                    </w:rPr>
                    <w:t>污染物种类</w:t>
                  </w:r>
                </w:p>
              </w:tc>
              <w:tc>
                <w:tcPr>
                  <w:tcW w:w="454" w:type="pct"/>
                  <w:vMerge w:val="restart"/>
                  <w:tcBorders>
                    <w:top w:val="single" w:color="auto" w:sz="4" w:space="0"/>
                    <w:left w:val="single" w:color="auto" w:sz="4" w:space="0"/>
                    <w:bottom w:val="single" w:color="auto" w:sz="4" w:space="0"/>
                    <w:right w:val="single" w:color="auto" w:sz="4" w:space="0"/>
                  </w:tcBorders>
                  <w:vAlign w:val="center"/>
                </w:tcPr>
                <w:p>
                  <w:pPr>
                    <w:pStyle w:val="42"/>
                    <w:rPr>
                      <w:rFonts w:ascii="Times New Roman" w:hAnsi="Times New Roman" w:cs="Times New Roman"/>
                      <w:color w:val="000000"/>
                      <w:kern w:val="0"/>
                      <w:sz w:val="21"/>
                      <w:szCs w:val="21"/>
                    </w:rPr>
                  </w:pPr>
                  <w:r>
                    <w:rPr>
                      <w:rFonts w:hint="eastAsia" w:ascii="宋体" w:hAnsi="宋体" w:eastAsia="宋体"/>
                      <w:color w:val="000000"/>
                      <w:sz w:val="21"/>
                      <w:szCs w:val="21"/>
                    </w:rPr>
                    <w:t>排放浓度</w:t>
                  </w:r>
                  <w:r>
                    <w:rPr>
                      <w:rFonts w:hint="eastAsia"/>
                      <w:color w:val="000000"/>
                      <w:sz w:val="21"/>
                      <w:szCs w:val="21"/>
                    </w:rPr>
                    <w:t>限值</w:t>
                  </w:r>
                  <w:r>
                    <w:rPr>
                      <w:rFonts w:hint="eastAsia" w:cs="Times New Roman"/>
                      <w:b w:val="0"/>
                      <w:color w:val="000000"/>
                      <w:sz w:val="21"/>
                      <w:szCs w:val="21"/>
                    </w:rPr>
                    <w:t>（</w:t>
                  </w:r>
                  <w:r>
                    <w:rPr>
                      <w:rFonts w:ascii="Times New Roman" w:hAnsi="Times New Roman" w:cs="Times New Roman"/>
                      <w:b w:val="0"/>
                      <w:color w:val="000000"/>
                      <w:sz w:val="21"/>
                      <w:szCs w:val="21"/>
                    </w:rPr>
                    <w:t>mg/L</w:t>
                  </w:r>
                  <w:r>
                    <w:rPr>
                      <w:rFonts w:hint="eastAsia" w:cs="Times New Roman"/>
                      <w:b w:val="0"/>
                      <w:color w:val="000000"/>
                      <w:sz w:val="21"/>
                      <w:szCs w:val="21"/>
                    </w:rPr>
                    <w:t>）</w:t>
                  </w:r>
                </w:p>
              </w:tc>
              <w:tc>
                <w:tcPr>
                  <w:tcW w:w="610" w:type="pct"/>
                  <w:vMerge w:val="restart"/>
                  <w:tcBorders>
                    <w:top w:val="single" w:color="auto" w:sz="4" w:space="0"/>
                    <w:left w:val="single" w:color="auto" w:sz="4" w:space="0"/>
                    <w:bottom w:val="single" w:color="auto" w:sz="4" w:space="0"/>
                    <w:right w:val="single" w:color="auto" w:sz="4" w:space="0"/>
                  </w:tcBorders>
                  <w:vAlign w:val="center"/>
                </w:tcPr>
                <w:p>
                  <w:pPr>
                    <w:pStyle w:val="42"/>
                    <w:rPr>
                      <w:rFonts w:ascii="Times New Roman" w:hAnsi="Times New Roman" w:eastAsia="宋体" w:cs="Times New Roman"/>
                      <w:color w:val="000000"/>
                      <w:sz w:val="21"/>
                      <w:szCs w:val="21"/>
                    </w:rPr>
                  </w:pPr>
                  <w:r>
                    <w:rPr>
                      <w:rFonts w:hint="eastAsia" w:ascii="宋体" w:hAnsi="宋体" w:eastAsia="宋体"/>
                      <w:color w:val="000000"/>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2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kern w:val="0"/>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kern w:val="0"/>
                      <w:szCs w:val="21"/>
                    </w:rPr>
                  </w:pPr>
                </w:p>
              </w:tc>
              <w:tc>
                <w:tcPr>
                  <w:tcW w:w="342" w:type="pct"/>
                  <w:tcBorders>
                    <w:top w:val="single" w:color="auto" w:sz="4" w:space="0"/>
                    <w:left w:val="single" w:color="auto" w:sz="4" w:space="0"/>
                    <w:bottom w:val="single" w:color="auto" w:sz="4" w:space="0"/>
                    <w:right w:val="single" w:color="auto" w:sz="4" w:space="0"/>
                  </w:tcBorders>
                  <w:vAlign w:val="center"/>
                </w:tcPr>
                <w:p>
                  <w:pPr>
                    <w:pStyle w:val="43"/>
                    <w:adjustRightInd w:val="0"/>
                    <w:snapToGrid w:val="0"/>
                    <w:ind w:firstLine="0" w:firstLineChars="0"/>
                    <w:jc w:val="center"/>
                    <w:rPr>
                      <w:rFonts w:ascii="Times New Roman" w:hAnsi="Times New Roman" w:cs="Times New Roman"/>
                      <w:b/>
                      <w:color w:val="000000"/>
                      <w:kern w:val="0"/>
                      <w:sz w:val="21"/>
                      <w:szCs w:val="21"/>
                    </w:rPr>
                  </w:pPr>
                  <w:r>
                    <w:rPr>
                      <w:rFonts w:hint="eastAsia" w:cs="Times New Roman"/>
                      <w:b/>
                      <w:color w:val="000000"/>
                      <w:kern w:val="0"/>
                      <w:sz w:val="21"/>
                      <w:szCs w:val="21"/>
                    </w:rPr>
                    <w:t>污染治理设施名称</w:t>
                  </w:r>
                </w:p>
              </w:tc>
              <w:tc>
                <w:tcPr>
                  <w:tcW w:w="673" w:type="pct"/>
                  <w:tcBorders>
                    <w:top w:val="single" w:color="auto" w:sz="4" w:space="0"/>
                    <w:left w:val="single" w:color="auto" w:sz="4" w:space="0"/>
                    <w:bottom w:val="single" w:color="auto" w:sz="4" w:space="0"/>
                    <w:right w:val="single" w:color="auto" w:sz="4" w:space="0"/>
                  </w:tcBorders>
                  <w:vAlign w:val="center"/>
                </w:tcPr>
                <w:p>
                  <w:pPr>
                    <w:pStyle w:val="43"/>
                    <w:adjustRightInd w:val="0"/>
                    <w:snapToGrid w:val="0"/>
                    <w:ind w:firstLine="0" w:firstLineChars="0"/>
                    <w:jc w:val="center"/>
                    <w:rPr>
                      <w:rFonts w:ascii="Times New Roman" w:hAnsi="Times New Roman" w:cs="Times New Roman"/>
                      <w:b/>
                      <w:color w:val="000000"/>
                      <w:kern w:val="0"/>
                      <w:sz w:val="21"/>
                      <w:szCs w:val="21"/>
                    </w:rPr>
                  </w:pPr>
                  <w:r>
                    <w:rPr>
                      <w:rFonts w:hint="eastAsia" w:cs="Times New Roman"/>
                      <w:b/>
                      <w:color w:val="000000"/>
                      <w:kern w:val="0"/>
                      <w:sz w:val="21"/>
                      <w:szCs w:val="21"/>
                    </w:rPr>
                    <w:t>污染治理设施</w:t>
                  </w:r>
                </w:p>
                <w:p>
                  <w:pPr>
                    <w:pStyle w:val="43"/>
                    <w:adjustRightInd w:val="0"/>
                    <w:snapToGrid w:val="0"/>
                    <w:ind w:firstLine="0" w:firstLineChars="0"/>
                    <w:jc w:val="center"/>
                    <w:rPr>
                      <w:rFonts w:ascii="Times New Roman" w:hAnsi="Times New Roman" w:cs="Times New Roman"/>
                      <w:b/>
                      <w:color w:val="000000"/>
                      <w:kern w:val="0"/>
                      <w:sz w:val="21"/>
                      <w:szCs w:val="21"/>
                    </w:rPr>
                  </w:pPr>
                  <w:r>
                    <w:rPr>
                      <w:rFonts w:hint="eastAsia" w:cs="Times New Roman"/>
                      <w:b/>
                      <w:color w:val="000000"/>
                      <w:kern w:val="0"/>
                      <w:sz w:val="21"/>
                      <w:szCs w:val="21"/>
                    </w:rPr>
                    <w:t>工艺</w:t>
                  </w:r>
                </w:p>
              </w:tc>
              <w:tc>
                <w:tcPr>
                  <w:tcW w:w="2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kern w:val="0"/>
                      <w:szCs w:val="21"/>
                    </w:rPr>
                  </w:pPr>
                </w:p>
              </w:tc>
              <w:tc>
                <w:tcPr>
                  <w:tcW w:w="5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kern w:val="0"/>
                      <w:szCs w:val="21"/>
                    </w:rPr>
                  </w:pPr>
                </w:p>
              </w:tc>
              <w:tc>
                <w:tcPr>
                  <w:tcW w:w="2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kern w:val="0"/>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kern w:val="0"/>
                      <w:szCs w:val="21"/>
                    </w:rPr>
                  </w:pPr>
                </w:p>
              </w:tc>
              <w:tc>
                <w:tcPr>
                  <w:tcW w:w="2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kern w:val="0"/>
                      <w:szCs w:val="21"/>
                    </w:rPr>
                  </w:pPr>
                </w:p>
              </w:tc>
              <w:tc>
                <w:tcPr>
                  <w:tcW w:w="3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kern w:val="0"/>
                      <w:szCs w:val="21"/>
                    </w:rPr>
                  </w:pPr>
                </w:p>
              </w:tc>
              <w:tc>
                <w:tcPr>
                  <w:tcW w:w="4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kern w:val="0"/>
                      <w:szCs w:val="21"/>
                    </w:rPr>
                  </w:pPr>
                </w:p>
              </w:tc>
              <w:tc>
                <w:tcPr>
                  <w:tcW w:w="6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272" w:type="pct"/>
                  <w:vMerge w:val="restart"/>
                  <w:tcBorders>
                    <w:top w:val="nil"/>
                    <w:left w:val="single" w:color="auto" w:sz="4" w:space="0"/>
                    <w:right w:val="single" w:color="auto" w:sz="4" w:space="0"/>
                  </w:tcBorders>
                  <w:vAlign w:val="center"/>
                </w:tcPr>
                <w:p>
                  <w:pPr>
                    <w:pStyle w:val="43"/>
                    <w:adjustRightInd w:val="0"/>
                    <w:snapToGrid w:val="0"/>
                    <w:ind w:firstLine="0" w:firstLineChars="0"/>
                    <w:jc w:val="center"/>
                    <w:rPr>
                      <w:rFonts w:ascii="Times New Roman" w:hAnsi="Times New Roman" w:cs="Times New Roman"/>
                      <w:color w:val="000000"/>
                      <w:kern w:val="0"/>
                      <w:sz w:val="21"/>
                      <w:szCs w:val="21"/>
                    </w:rPr>
                  </w:pPr>
                  <w:r>
                    <w:rPr>
                      <w:rFonts w:hint="eastAsia" w:cs="Times New Roman"/>
                      <w:color w:val="000000"/>
                      <w:kern w:val="0"/>
                      <w:sz w:val="21"/>
                      <w:szCs w:val="21"/>
                    </w:rPr>
                    <w:t>医疗废水</w:t>
                  </w:r>
                </w:p>
              </w:tc>
              <w:tc>
                <w:tcPr>
                  <w:tcW w:w="471" w:type="pct"/>
                  <w:vMerge w:val="restart"/>
                  <w:tcBorders>
                    <w:top w:val="nil"/>
                    <w:left w:val="single" w:color="auto" w:sz="4" w:space="0"/>
                    <w:right w:val="single" w:color="auto" w:sz="4" w:space="0"/>
                  </w:tcBorders>
                  <w:vAlign w:val="center"/>
                </w:tcPr>
                <w:p>
                  <w:pPr>
                    <w:pStyle w:val="43"/>
                    <w:adjustRightInd w:val="0"/>
                    <w:snapToGrid w:val="0"/>
                    <w:ind w:firstLine="0" w:firstLineChars="0"/>
                    <w:jc w:val="center"/>
                    <w:rPr>
                      <w:rFonts w:ascii="Times New Roman" w:hAnsi="Times New Roman" w:cs="Times New Roman"/>
                      <w:bCs/>
                      <w:color w:val="000000"/>
                      <w:sz w:val="21"/>
                      <w:szCs w:val="21"/>
                    </w:rPr>
                  </w:pPr>
                  <w:r>
                    <w:rPr>
                      <w:rFonts w:hint="eastAsia" w:cs="Times New Roman"/>
                      <w:bCs/>
                      <w:color w:val="000000"/>
                      <w:sz w:val="21"/>
                      <w:szCs w:val="21"/>
                    </w:rPr>
                    <w:t>院区医疗</w:t>
                  </w:r>
                </w:p>
              </w:tc>
              <w:tc>
                <w:tcPr>
                  <w:tcW w:w="342" w:type="pct"/>
                  <w:vMerge w:val="restart"/>
                  <w:tcBorders>
                    <w:top w:val="nil"/>
                    <w:left w:val="single" w:color="auto" w:sz="4" w:space="0"/>
                    <w:right w:val="single" w:color="auto" w:sz="4" w:space="0"/>
                  </w:tcBorders>
                  <w:vAlign w:val="center"/>
                </w:tcPr>
                <w:p>
                  <w:pPr>
                    <w:jc w:val="center"/>
                    <w:rPr>
                      <w:color w:val="000000"/>
                      <w:szCs w:val="21"/>
                    </w:rPr>
                  </w:pPr>
                  <w:r>
                    <w:rPr>
                      <w:rFonts w:hint="eastAsia" w:ascii="宋体" w:hAnsi="宋体"/>
                      <w:color w:val="000000"/>
                    </w:rPr>
                    <w:t>自建污水处理站</w:t>
                  </w:r>
                </w:p>
              </w:tc>
              <w:tc>
                <w:tcPr>
                  <w:tcW w:w="673" w:type="pct"/>
                  <w:vMerge w:val="restart"/>
                  <w:tcBorders>
                    <w:top w:val="nil"/>
                    <w:left w:val="single" w:color="auto" w:sz="4" w:space="0"/>
                    <w:right w:val="single" w:color="auto" w:sz="4" w:space="0"/>
                  </w:tcBorders>
                  <w:vAlign w:val="center"/>
                </w:tcPr>
                <w:p>
                  <w:pPr>
                    <w:jc w:val="center"/>
                    <w:rPr>
                      <w:color w:val="000000"/>
                    </w:rPr>
                  </w:pPr>
                  <w:r>
                    <w:rPr>
                      <w:rFonts w:hint="eastAsia" w:ascii="宋体" w:hAnsi="宋体"/>
                      <w:color w:val="000000"/>
                    </w:rPr>
                    <w:t>A</w:t>
                  </w:r>
                  <w:r>
                    <w:rPr>
                      <w:rFonts w:ascii="宋体" w:hAnsi="宋体"/>
                      <w:color w:val="000000"/>
                    </w:rPr>
                    <w:t>O+</w:t>
                  </w:r>
                  <w:r>
                    <w:rPr>
                      <w:rFonts w:hint="eastAsia" w:ascii="宋体" w:hAnsi="宋体"/>
                      <w:color w:val="000000"/>
                    </w:rPr>
                    <w:t>二氧化氯消毒</w:t>
                  </w:r>
                </w:p>
              </w:tc>
              <w:tc>
                <w:tcPr>
                  <w:tcW w:w="291" w:type="pct"/>
                  <w:vMerge w:val="restart"/>
                  <w:tcBorders>
                    <w:top w:val="nil"/>
                    <w:left w:val="single" w:color="auto" w:sz="4" w:space="0"/>
                    <w:right w:val="single" w:color="auto" w:sz="4" w:space="0"/>
                  </w:tcBorders>
                  <w:vAlign w:val="center"/>
                </w:tcPr>
                <w:p>
                  <w:pPr>
                    <w:jc w:val="center"/>
                    <w:rPr>
                      <w:color w:val="000000"/>
                    </w:rPr>
                  </w:pPr>
                  <w:r>
                    <w:rPr>
                      <w:color w:val="000000"/>
                    </w:rPr>
                    <w:t>DW001</w:t>
                  </w:r>
                </w:p>
              </w:tc>
              <w:tc>
                <w:tcPr>
                  <w:tcW w:w="582" w:type="pct"/>
                  <w:vMerge w:val="restart"/>
                  <w:tcBorders>
                    <w:top w:val="nil"/>
                    <w:left w:val="single" w:color="auto" w:sz="4" w:space="0"/>
                    <w:right w:val="single" w:color="auto" w:sz="4" w:space="0"/>
                  </w:tcBorders>
                  <w:vAlign w:val="center"/>
                </w:tcPr>
                <w:p>
                  <w:pPr>
                    <w:jc w:val="center"/>
                    <w:rPr>
                      <w:color w:val="000000"/>
                    </w:rPr>
                  </w:pPr>
                  <w:r>
                    <w:rPr>
                      <w:rFonts w:hint="eastAsia"/>
                      <w:color w:val="000000"/>
                    </w:rPr>
                    <w:t>E</w:t>
                  </w:r>
                  <w:r>
                    <w:rPr>
                      <w:color w:val="000000"/>
                    </w:rPr>
                    <w:t>111.77155226</w:t>
                  </w:r>
                  <w:r>
                    <w:rPr>
                      <w:rFonts w:hint="eastAsia" w:ascii="宋体" w:hAnsi="宋体"/>
                      <w:color w:val="000000"/>
                    </w:rPr>
                    <w:t>°</w:t>
                  </w:r>
                </w:p>
                <w:p>
                  <w:pPr>
                    <w:jc w:val="center"/>
                    <w:rPr>
                      <w:color w:val="000000"/>
                    </w:rPr>
                  </w:pPr>
                  <w:r>
                    <w:rPr>
                      <w:rFonts w:hint="eastAsia"/>
                      <w:color w:val="000000"/>
                    </w:rPr>
                    <w:t>N</w:t>
                  </w:r>
                  <w:r>
                    <w:rPr>
                      <w:color w:val="000000"/>
                    </w:rPr>
                    <w:t>29.64479743</w:t>
                  </w:r>
                  <w:r>
                    <w:rPr>
                      <w:rFonts w:hint="eastAsia" w:ascii="宋体" w:hAnsi="宋体"/>
                      <w:color w:val="000000"/>
                    </w:rPr>
                    <w:t>°</w:t>
                  </w:r>
                </w:p>
              </w:tc>
              <w:tc>
                <w:tcPr>
                  <w:tcW w:w="207" w:type="pct"/>
                  <w:vMerge w:val="restart"/>
                  <w:tcBorders>
                    <w:top w:val="nil"/>
                    <w:left w:val="single" w:color="auto" w:sz="4" w:space="0"/>
                    <w:right w:val="single" w:color="auto" w:sz="4" w:space="0"/>
                  </w:tcBorders>
                  <w:vAlign w:val="center"/>
                </w:tcPr>
                <w:p>
                  <w:pPr>
                    <w:pStyle w:val="43"/>
                    <w:adjustRightInd w:val="0"/>
                    <w:snapToGrid w:val="0"/>
                    <w:ind w:firstLine="0" w:firstLineChars="0"/>
                    <w:jc w:val="center"/>
                    <w:rPr>
                      <w:rFonts w:ascii="Times New Roman" w:hAnsi="Times New Roman" w:cs="Times New Roman"/>
                      <w:color w:val="000000"/>
                      <w:kern w:val="0"/>
                      <w:sz w:val="21"/>
                      <w:szCs w:val="21"/>
                    </w:rPr>
                  </w:pPr>
                  <w:r>
                    <w:rPr>
                      <w:rFonts w:hint="eastAsia" w:cs="Times New Roman"/>
                      <w:color w:val="000000"/>
                      <w:kern w:val="0"/>
                      <w:sz w:val="21"/>
                      <w:szCs w:val="21"/>
                    </w:rPr>
                    <w:t>间接排放</w:t>
                  </w:r>
                </w:p>
              </w:tc>
              <w:tc>
                <w:tcPr>
                  <w:tcW w:w="539" w:type="pct"/>
                  <w:vMerge w:val="restart"/>
                  <w:tcBorders>
                    <w:top w:val="nil"/>
                    <w:left w:val="single" w:color="auto" w:sz="4" w:space="0"/>
                    <w:right w:val="single" w:color="auto" w:sz="4" w:space="0"/>
                  </w:tcBorders>
                  <w:vAlign w:val="center"/>
                </w:tcPr>
                <w:p>
                  <w:pPr>
                    <w:pStyle w:val="43"/>
                    <w:adjustRightInd w:val="0"/>
                    <w:snapToGrid w:val="0"/>
                    <w:ind w:firstLine="0" w:firstLineChars="0"/>
                    <w:jc w:val="center"/>
                    <w:rPr>
                      <w:rFonts w:ascii="Times New Roman" w:hAnsi="Times New Roman" w:cs="Times New Roman"/>
                      <w:color w:val="000000"/>
                      <w:kern w:val="0"/>
                      <w:sz w:val="21"/>
                      <w:szCs w:val="21"/>
                    </w:rPr>
                  </w:pPr>
                  <w:r>
                    <w:rPr>
                      <w:rFonts w:hint="eastAsia" w:cs="Times New Roman"/>
                      <w:color w:val="000000"/>
                      <w:kern w:val="0"/>
                      <w:sz w:val="21"/>
                      <w:szCs w:val="21"/>
                    </w:rPr>
                    <w:t>澧县污水处理厂</w:t>
                  </w:r>
                </w:p>
              </w:tc>
              <w:tc>
                <w:tcPr>
                  <w:tcW w:w="253" w:type="pct"/>
                  <w:vMerge w:val="restart"/>
                  <w:tcBorders>
                    <w:top w:val="nil"/>
                    <w:left w:val="single" w:color="auto" w:sz="4" w:space="0"/>
                    <w:right w:val="single" w:color="auto" w:sz="4" w:space="0"/>
                  </w:tcBorders>
                  <w:vAlign w:val="center"/>
                </w:tcPr>
                <w:p>
                  <w:pPr>
                    <w:pStyle w:val="43"/>
                    <w:adjustRightInd w:val="0"/>
                    <w:snapToGrid w:val="0"/>
                    <w:ind w:firstLine="0" w:firstLineChars="0"/>
                    <w:jc w:val="center"/>
                    <w:rPr>
                      <w:rFonts w:ascii="Times New Roman" w:hAnsi="Times New Roman" w:cs="Times New Roman"/>
                      <w:color w:val="000000"/>
                      <w:kern w:val="0"/>
                      <w:sz w:val="21"/>
                      <w:szCs w:val="21"/>
                    </w:rPr>
                  </w:pPr>
                  <w:r>
                    <w:rPr>
                      <w:rFonts w:hint="eastAsia" w:cs="Times New Roman"/>
                      <w:color w:val="000000"/>
                      <w:kern w:val="0"/>
                      <w:sz w:val="21"/>
                      <w:szCs w:val="21"/>
                    </w:rPr>
                    <w:t>总排口</w:t>
                  </w:r>
                </w:p>
              </w:tc>
              <w:tc>
                <w:tcPr>
                  <w:tcW w:w="306"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szCs w:val="21"/>
                    </w:rPr>
                    <w:t>COD</w:t>
                  </w:r>
                  <w:r>
                    <w:rPr>
                      <w:rFonts w:hint="eastAsia"/>
                      <w:szCs w:val="21"/>
                      <w:vertAlign w:val="subscript"/>
                    </w:rPr>
                    <w:t>Cr</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szCs w:val="21"/>
                    </w:rPr>
                    <w:t>1</w:t>
                  </w:r>
                  <w:r>
                    <w:rPr>
                      <w:szCs w:val="21"/>
                    </w:rPr>
                    <w:t>80</w:t>
                  </w:r>
                </w:p>
              </w:tc>
              <w:tc>
                <w:tcPr>
                  <w:tcW w:w="610" w:type="pct"/>
                  <w:vMerge w:val="restart"/>
                  <w:tcBorders>
                    <w:top w:val="nil"/>
                    <w:left w:val="single" w:color="auto" w:sz="4" w:space="0"/>
                    <w:right w:val="single" w:color="auto" w:sz="4" w:space="0"/>
                  </w:tcBorders>
                  <w:vAlign w:val="center"/>
                </w:tcPr>
                <w:p>
                  <w:pPr>
                    <w:rPr>
                      <w:color w:val="000000"/>
                      <w:kern w:val="0"/>
                    </w:rPr>
                  </w:pPr>
                  <w:r>
                    <w:rPr>
                      <w:color w:val="000000"/>
                      <w:kern w:val="0"/>
                    </w:rPr>
                    <w:t>《医疗机构水污染物排放标准》</w:t>
                  </w:r>
                  <w:r>
                    <w:rPr>
                      <w:rFonts w:hint="eastAsia"/>
                      <w:color w:val="000000"/>
                      <w:kern w:val="0"/>
                    </w:rPr>
                    <w:t>（</w:t>
                  </w:r>
                  <w:r>
                    <w:rPr>
                      <w:color w:val="000000"/>
                      <w:kern w:val="0"/>
                    </w:rPr>
                    <w:t>GB18466-2005</w:t>
                  </w:r>
                  <w:r>
                    <w:rPr>
                      <w:rFonts w:hint="eastAsia"/>
                      <w:color w:val="000000"/>
                      <w:kern w:val="0"/>
                    </w:rPr>
                    <w:t>）</w:t>
                  </w:r>
                  <w:r>
                    <w:rPr>
                      <w:color w:val="000000"/>
                      <w:kern w:val="0"/>
                    </w:rPr>
                    <w:t>表2中的预处标准以及澧县污水处理厂进水水质标准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272" w:type="pct"/>
                  <w:vMerge w:val="continue"/>
                  <w:tcBorders>
                    <w:left w:val="single" w:color="auto" w:sz="4" w:space="0"/>
                    <w:right w:val="single" w:color="auto" w:sz="4" w:space="0"/>
                  </w:tcBorders>
                  <w:vAlign w:val="center"/>
                </w:tcPr>
                <w:p>
                  <w:pPr>
                    <w:widowControl/>
                    <w:jc w:val="left"/>
                    <w:rPr>
                      <w:color w:val="000000"/>
                      <w:kern w:val="0"/>
                      <w:szCs w:val="21"/>
                    </w:rPr>
                  </w:pPr>
                </w:p>
              </w:tc>
              <w:tc>
                <w:tcPr>
                  <w:tcW w:w="471" w:type="pct"/>
                  <w:vMerge w:val="continue"/>
                  <w:tcBorders>
                    <w:left w:val="single" w:color="auto" w:sz="4" w:space="0"/>
                    <w:right w:val="single" w:color="auto" w:sz="4" w:space="0"/>
                  </w:tcBorders>
                  <w:vAlign w:val="center"/>
                </w:tcPr>
                <w:p>
                  <w:pPr>
                    <w:widowControl/>
                    <w:jc w:val="left"/>
                    <w:rPr>
                      <w:bCs/>
                      <w:color w:val="000000"/>
                      <w:szCs w:val="21"/>
                    </w:rPr>
                  </w:pPr>
                </w:p>
              </w:tc>
              <w:tc>
                <w:tcPr>
                  <w:tcW w:w="342" w:type="pct"/>
                  <w:vMerge w:val="continue"/>
                  <w:tcBorders>
                    <w:left w:val="single" w:color="auto" w:sz="4" w:space="0"/>
                    <w:right w:val="single" w:color="auto" w:sz="4" w:space="0"/>
                  </w:tcBorders>
                  <w:vAlign w:val="center"/>
                </w:tcPr>
                <w:p>
                  <w:pPr>
                    <w:widowControl/>
                    <w:jc w:val="left"/>
                    <w:rPr>
                      <w:color w:val="000000"/>
                      <w:szCs w:val="21"/>
                    </w:rPr>
                  </w:pPr>
                </w:p>
              </w:tc>
              <w:tc>
                <w:tcPr>
                  <w:tcW w:w="673" w:type="pct"/>
                  <w:vMerge w:val="continue"/>
                  <w:tcBorders>
                    <w:left w:val="single" w:color="auto" w:sz="4" w:space="0"/>
                    <w:right w:val="single" w:color="auto" w:sz="4" w:space="0"/>
                  </w:tcBorders>
                  <w:vAlign w:val="center"/>
                </w:tcPr>
                <w:p>
                  <w:pPr>
                    <w:widowControl/>
                    <w:jc w:val="left"/>
                    <w:rPr>
                      <w:color w:val="000000"/>
                      <w:szCs w:val="21"/>
                    </w:rPr>
                  </w:pPr>
                </w:p>
              </w:tc>
              <w:tc>
                <w:tcPr>
                  <w:tcW w:w="291" w:type="pct"/>
                  <w:vMerge w:val="continue"/>
                  <w:tcBorders>
                    <w:left w:val="single" w:color="auto" w:sz="4" w:space="0"/>
                    <w:right w:val="single" w:color="auto" w:sz="4" w:space="0"/>
                  </w:tcBorders>
                  <w:vAlign w:val="center"/>
                </w:tcPr>
                <w:p>
                  <w:pPr>
                    <w:widowControl/>
                    <w:jc w:val="left"/>
                    <w:rPr>
                      <w:color w:val="000000"/>
                      <w:szCs w:val="21"/>
                    </w:rPr>
                  </w:pPr>
                </w:p>
              </w:tc>
              <w:tc>
                <w:tcPr>
                  <w:tcW w:w="582" w:type="pct"/>
                  <w:vMerge w:val="continue"/>
                  <w:tcBorders>
                    <w:left w:val="single" w:color="auto" w:sz="4" w:space="0"/>
                    <w:right w:val="single" w:color="auto" w:sz="4" w:space="0"/>
                  </w:tcBorders>
                  <w:vAlign w:val="center"/>
                </w:tcPr>
                <w:p>
                  <w:pPr>
                    <w:widowControl/>
                    <w:jc w:val="left"/>
                    <w:rPr>
                      <w:color w:val="000000"/>
                      <w:szCs w:val="21"/>
                    </w:rPr>
                  </w:pPr>
                </w:p>
              </w:tc>
              <w:tc>
                <w:tcPr>
                  <w:tcW w:w="207" w:type="pct"/>
                  <w:vMerge w:val="continue"/>
                  <w:tcBorders>
                    <w:left w:val="single" w:color="auto" w:sz="4" w:space="0"/>
                    <w:right w:val="single" w:color="auto" w:sz="4" w:space="0"/>
                  </w:tcBorders>
                  <w:vAlign w:val="center"/>
                </w:tcPr>
                <w:p>
                  <w:pPr>
                    <w:widowControl/>
                    <w:jc w:val="left"/>
                    <w:rPr>
                      <w:color w:val="000000"/>
                      <w:kern w:val="0"/>
                      <w:szCs w:val="21"/>
                    </w:rPr>
                  </w:pPr>
                </w:p>
              </w:tc>
              <w:tc>
                <w:tcPr>
                  <w:tcW w:w="539" w:type="pct"/>
                  <w:vMerge w:val="continue"/>
                  <w:tcBorders>
                    <w:left w:val="single" w:color="auto" w:sz="4" w:space="0"/>
                    <w:right w:val="single" w:color="auto" w:sz="4" w:space="0"/>
                  </w:tcBorders>
                  <w:vAlign w:val="center"/>
                </w:tcPr>
                <w:p>
                  <w:pPr>
                    <w:widowControl/>
                    <w:jc w:val="left"/>
                    <w:rPr>
                      <w:color w:val="000000"/>
                      <w:kern w:val="0"/>
                      <w:szCs w:val="21"/>
                    </w:rPr>
                  </w:pPr>
                </w:p>
              </w:tc>
              <w:tc>
                <w:tcPr>
                  <w:tcW w:w="253" w:type="pct"/>
                  <w:vMerge w:val="continue"/>
                  <w:tcBorders>
                    <w:left w:val="single" w:color="auto" w:sz="4" w:space="0"/>
                    <w:right w:val="single" w:color="auto" w:sz="4" w:space="0"/>
                  </w:tcBorders>
                  <w:vAlign w:val="center"/>
                </w:tcPr>
                <w:p>
                  <w:pPr>
                    <w:widowControl/>
                    <w:jc w:val="left"/>
                    <w:rPr>
                      <w:color w:val="000000"/>
                      <w:kern w:val="0"/>
                      <w:szCs w:val="21"/>
                    </w:rPr>
                  </w:pPr>
                </w:p>
              </w:tc>
              <w:tc>
                <w:tcPr>
                  <w:tcW w:w="306"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szCs w:val="21"/>
                    </w:rPr>
                    <w:t>BOD</w:t>
                  </w:r>
                  <w:r>
                    <w:rPr>
                      <w:rFonts w:hint="eastAsia"/>
                      <w:szCs w:val="21"/>
                      <w:vertAlign w:val="subscript"/>
                    </w:rPr>
                    <w:t>5</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szCs w:val="21"/>
                    </w:rPr>
                    <w:t>9</w:t>
                  </w:r>
                  <w:r>
                    <w:rPr>
                      <w:szCs w:val="21"/>
                    </w:rPr>
                    <w:t>0</w:t>
                  </w:r>
                </w:p>
              </w:tc>
              <w:tc>
                <w:tcPr>
                  <w:tcW w:w="610" w:type="pct"/>
                  <w:vMerge w:val="continue"/>
                  <w:tcBorders>
                    <w:left w:val="single" w:color="auto" w:sz="4" w:space="0"/>
                    <w:right w:val="single" w:color="auto" w:sz="4" w:space="0"/>
                  </w:tcBorders>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272" w:type="pct"/>
                  <w:vMerge w:val="continue"/>
                  <w:tcBorders>
                    <w:left w:val="single" w:color="auto" w:sz="4" w:space="0"/>
                    <w:right w:val="single" w:color="auto" w:sz="4" w:space="0"/>
                  </w:tcBorders>
                  <w:vAlign w:val="center"/>
                </w:tcPr>
                <w:p>
                  <w:pPr>
                    <w:widowControl/>
                    <w:jc w:val="left"/>
                    <w:rPr>
                      <w:color w:val="000000"/>
                      <w:kern w:val="0"/>
                      <w:szCs w:val="21"/>
                    </w:rPr>
                  </w:pPr>
                </w:p>
              </w:tc>
              <w:tc>
                <w:tcPr>
                  <w:tcW w:w="471" w:type="pct"/>
                  <w:vMerge w:val="continue"/>
                  <w:tcBorders>
                    <w:left w:val="single" w:color="auto" w:sz="4" w:space="0"/>
                    <w:right w:val="single" w:color="auto" w:sz="4" w:space="0"/>
                  </w:tcBorders>
                  <w:vAlign w:val="center"/>
                </w:tcPr>
                <w:p>
                  <w:pPr>
                    <w:widowControl/>
                    <w:jc w:val="left"/>
                    <w:rPr>
                      <w:bCs/>
                      <w:color w:val="000000"/>
                      <w:szCs w:val="21"/>
                    </w:rPr>
                  </w:pPr>
                </w:p>
              </w:tc>
              <w:tc>
                <w:tcPr>
                  <w:tcW w:w="342" w:type="pct"/>
                  <w:vMerge w:val="continue"/>
                  <w:tcBorders>
                    <w:left w:val="single" w:color="auto" w:sz="4" w:space="0"/>
                    <w:right w:val="single" w:color="auto" w:sz="4" w:space="0"/>
                  </w:tcBorders>
                  <w:vAlign w:val="center"/>
                </w:tcPr>
                <w:p>
                  <w:pPr>
                    <w:widowControl/>
                    <w:jc w:val="left"/>
                    <w:rPr>
                      <w:color w:val="000000"/>
                      <w:szCs w:val="21"/>
                    </w:rPr>
                  </w:pPr>
                </w:p>
              </w:tc>
              <w:tc>
                <w:tcPr>
                  <w:tcW w:w="673" w:type="pct"/>
                  <w:vMerge w:val="continue"/>
                  <w:tcBorders>
                    <w:left w:val="single" w:color="auto" w:sz="4" w:space="0"/>
                    <w:right w:val="single" w:color="auto" w:sz="4" w:space="0"/>
                  </w:tcBorders>
                  <w:vAlign w:val="center"/>
                </w:tcPr>
                <w:p>
                  <w:pPr>
                    <w:widowControl/>
                    <w:jc w:val="left"/>
                    <w:rPr>
                      <w:color w:val="000000"/>
                      <w:szCs w:val="21"/>
                    </w:rPr>
                  </w:pPr>
                </w:p>
              </w:tc>
              <w:tc>
                <w:tcPr>
                  <w:tcW w:w="291" w:type="pct"/>
                  <w:vMerge w:val="continue"/>
                  <w:tcBorders>
                    <w:left w:val="single" w:color="auto" w:sz="4" w:space="0"/>
                    <w:right w:val="single" w:color="auto" w:sz="4" w:space="0"/>
                  </w:tcBorders>
                  <w:vAlign w:val="center"/>
                </w:tcPr>
                <w:p>
                  <w:pPr>
                    <w:widowControl/>
                    <w:jc w:val="left"/>
                    <w:rPr>
                      <w:color w:val="000000"/>
                      <w:szCs w:val="21"/>
                    </w:rPr>
                  </w:pPr>
                </w:p>
              </w:tc>
              <w:tc>
                <w:tcPr>
                  <w:tcW w:w="582" w:type="pct"/>
                  <w:vMerge w:val="continue"/>
                  <w:tcBorders>
                    <w:left w:val="single" w:color="auto" w:sz="4" w:space="0"/>
                    <w:right w:val="single" w:color="auto" w:sz="4" w:space="0"/>
                  </w:tcBorders>
                  <w:vAlign w:val="center"/>
                </w:tcPr>
                <w:p>
                  <w:pPr>
                    <w:widowControl/>
                    <w:jc w:val="left"/>
                    <w:rPr>
                      <w:color w:val="000000"/>
                      <w:szCs w:val="21"/>
                    </w:rPr>
                  </w:pPr>
                </w:p>
              </w:tc>
              <w:tc>
                <w:tcPr>
                  <w:tcW w:w="207" w:type="pct"/>
                  <w:vMerge w:val="continue"/>
                  <w:tcBorders>
                    <w:left w:val="single" w:color="auto" w:sz="4" w:space="0"/>
                    <w:right w:val="single" w:color="auto" w:sz="4" w:space="0"/>
                  </w:tcBorders>
                  <w:vAlign w:val="center"/>
                </w:tcPr>
                <w:p>
                  <w:pPr>
                    <w:widowControl/>
                    <w:jc w:val="left"/>
                    <w:rPr>
                      <w:color w:val="000000"/>
                      <w:kern w:val="0"/>
                      <w:szCs w:val="21"/>
                    </w:rPr>
                  </w:pPr>
                </w:p>
              </w:tc>
              <w:tc>
                <w:tcPr>
                  <w:tcW w:w="539" w:type="pct"/>
                  <w:vMerge w:val="continue"/>
                  <w:tcBorders>
                    <w:left w:val="single" w:color="auto" w:sz="4" w:space="0"/>
                    <w:right w:val="single" w:color="auto" w:sz="4" w:space="0"/>
                  </w:tcBorders>
                  <w:vAlign w:val="center"/>
                </w:tcPr>
                <w:p>
                  <w:pPr>
                    <w:widowControl/>
                    <w:jc w:val="left"/>
                    <w:rPr>
                      <w:color w:val="000000"/>
                      <w:kern w:val="0"/>
                      <w:szCs w:val="21"/>
                    </w:rPr>
                  </w:pPr>
                </w:p>
              </w:tc>
              <w:tc>
                <w:tcPr>
                  <w:tcW w:w="253" w:type="pct"/>
                  <w:vMerge w:val="continue"/>
                  <w:tcBorders>
                    <w:left w:val="single" w:color="auto" w:sz="4" w:space="0"/>
                    <w:right w:val="single" w:color="auto" w:sz="4" w:space="0"/>
                  </w:tcBorders>
                  <w:vAlign w:val="center"/>
                </w:tcPr>
                <w:p>
                  <w:pPr>
                    <w:widowControl/>
                    <w:jc w:val="left"/>
                    <w:rPr>
                      <w:color w:val="000000"/>
                      <w:kern w:val="0"/>
                      <w:szCs w:val="21"/>
                    </w:rPr>
                  </w:pPr>
                </w:p>
              </w:tc>
              <w:tc>
                <w:tcPr>
                  <w:tcW w:w="306"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szCs w:val="21"/>
                    </w:rPr>
                    <w:t>NH</w:t>
                  </w:r>
                  <w:r>
                    <w:rPr>
                      <w:rFonts w:hint="eastAsia"/>
                      <w:szCs w:val="21"/>
                      <w:vertAlign w:val="subscript"/>
                    </w:rPr>
                    <w:t>3</w:t>
                  </w:r>
                  <w:r>
                    <w:rPr>
                      <w:rFonts w:hint="eastAsia"/>
                      <w:szCs w:val="21"/>
                    </w:rPr>
                    <w:t>-N</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szCs w:val="21"/>
                    </w:rPr>
                    <w:t>2</w:t>
                  </w:r>
                  <w:r>
                    <w:rPr>
                      <w:szCs w:val="21"/>
                    </w:rPr>
                    <w:t>0</w:t>
                  </w:r>
                </w:p>
              </w:tc>
              <w:tc>
                <w:tcPr>
                  <w:tcW w:w="610" w:type="pct"/>
                  <w:vMerge w:val="continue"/>
                  <w:tcBorders>
                    <w:left w:val="single" w:color="auto" w:sz="4" w:space="0"/>
                    <w:right w:val="single" w:color="auto" w:sz="4" w:space="0"/>
                  </w:tcBorders>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72" w:type="pct"/>
                  <w:vMerge w:val="continue"/>
                  <w:tcBorders>
                    <w:left w:val="single" w:color="auto" w:sz="4" w:space="0"/>
                    <w:right w:val="single" w:color="auto" w:sz="4" w:space="0"/>
                  </w:tcBorders>
                  <w:vAlign w:val="center"/>
                </w:tcPr>
                <w:p>
                  <w:pPr>
                    <w:widowControl/>
                    <w:jc w:val="left"/>
                    <w:rPr>
                      <w:color w:val="000000"/>
                      <w:kern w:val="0"/>
                      <w:szCs w:val="21"/>
                    </w:rPr>
                  </w:pPr>
                </w:p>
              </w:tc>
              <w:tc>
                <w:tcPr>
                  <w:tcW w:w="471" w:type="pct"/>
                  <w:vMerge w:val="continue"/>
                  <w:tcBorders>
                    <w:left w:val="single" w:color="auto" w:sz="4" w:space="0"/>
                    <w:right w:val="single" w:color="auto" w:sz="4" w:space="0"/>
                  </w:tcBorders>
                  <w:vAlign w:val="center"/>
                </w:tcPr>
                <w:p>
                  <w:pPr>
                    <w:widowControl/>
                    <w:jc w:val="left"/>
                    <w:rPr>
                      <w:bCs/>
                      <w:color w:val="000000"/>
                      <w:szCs w:val="21"/>
                    </w:rPr>
                  </w:pPr>
                </w:p>
              </w:tc>
              <w:tc>
                <w:tcPr>
                  <w:tcW w:w="342" w:type="pct"/>
                  <w:vMerge w:val="continue"/>
                  <w:tcBorders>
                    <w:left w:val="single" w:color="auto" w:sz="4" w:space="0"/>
                    <w:right w:val="single" w:color="auto" w:sz="4" w:space="0"/>
                  </w:tcBorders>
                  <w:vAlign w:val="center"/>
                </w:tcPr>
                <w:p>
                  <w:pPr>
                    <w:widowControl/>
                    <w:jc w:val="left"/>
                    <w:rPr>
                      <w:color w:val="000000"/>
                      <w:szCs w:val="21"/>
                    </w:rPr>
                  </w:pPr>
                </w:p>
              </w:tc>
              <w:tc>
                <w:tcPr>
                  <w:tcW w:w="673" w:type="pct"/>
                  <w:vMerge w:val="continue"/>
                  <w:tcBorders>
                    <w:left w:val="single" w:color="auto" w:sz="4" w:space="0"/>
                    <w:right w:val="single" w:color="auto" w:sz="4" w:space="0"/>
                  </w:tcBorders>
                  <w:vAlign w:val="center"/>
                </w:tcPr>
                <w:p>
                  <w:pPr>
                    <w:widowControl/>
                    <w:jc w:val="left"/>
                    <w:rPr>
                      <w:color w:val="000000"/>
                      <w:szCs w:val="21"/>
                    </w:rPr>
                  </w:pPr>
                </w:p>
              </w:tc>
              <w:tc>
                <w:tcPr>
                  <w:tcW w:w="291" w:type="pct"/>
                  <w:vMerge w:val="continue"/>
                  <w:tcBorders>
                    <w:left w:val="single" w:color="auto" w:sz="4" w:space="0"/>
                    <w:right w:val="single" w:color="auto" w:sz="4" w:space="0"/>
                  </w:tcBorders>
                  <w:vAlign w:val="center"/>
                </w:tcPr>
                <w:p>
                  <w:pPr>
                    <w:widowControl/>
                    <w:jc w:val="left"/>
                    <w:rPr>
                      <w:color w:val="000000"/>
                      <w:szCs w:val="21"/>
                    </w:rPr>
                  </w:pPr>
                </w:p>
              </w:tc>
              <w:tc>
                <w:tcPr>
                  <w:tcW w:w="582" w:type="pct"/>
                  <w:vMerge w:val="continue"/>
                  <w:tcBorders>
                    <w:left w:val="single" w:color="auto" w:sz="4" w:space="0"/>
                    <w:right w:val="single" w:color="auto" w:sz="4" w:space="0"/>
                  </w:tcBorders>
                  <w:vAlign w:val="center"/>
                </w:tcPr>
                <w:p>
                  <w:pPr>
                    <w:widowControl/>
                    <w:jc w:val="left"/>
                    <w:rPr>
                      <w:color w:val="000000"/>
                      <w:szCs w:val="21"/>
                    </w:rPr>
                  </w:pPr>
                </w:p>
              </w:tc>
              <w:tc>
                <w:tcPr>
                  <w:tcW w:w="207" w:type="pct"/>
                  <w:vMerge w:val="continue"/>
                  <w:tcBorders>
                    <w:left w:val="single" w:color="auto" w:sz="4" w:space="0"/>
                    <w:right w:val="single" w:color="auto" w:sz="4" w:space="0"/>
                  </w:tcBorders>
                  <w:vAlign w:val="center"/>
                </w:tcPr>
                <w:p>
                  <w:pPr>
                    <w:widowControl/>
                    <w:jc w:val="left"/>
                    <w:rPr>
                      <w:color w:val="000000"/>
                      <w:kern w:val="0"/>
                      <w:szCs w:val="21"/>
                    </w:rPr>
                  </w:pPr>
                </w:p>
              </w:tc>
              <w:tc>
                <w:tcPr>
                  <w:tcW w:w="539" w:type="pct"/>
                  <w:vMerge w:val="continue"/>
                  <w:tcBorders>
                    <w:left w:val="single" w:color="auto" w:sz="4" w:space="0"/>
                    <w:right w:val="single" w:color="auto" w:sz="4" w:space="0"/>
                  </w:tcBorders>
                  <w:vAlign w:val="center"/>
                </w:tcPr>
                <w:p>
                  <w:pPr>
                    <w:widowControl/>
                    <w:jc w:val="left"/>
                    <w:rPr>
                      <w:color w:val="000000"/>
                      <w:kern w:val="0"/>
                      <w:szCs w:val="21"/>
                    </w:rPr>
                  </w:pPr>
                </w:p>
              </w:tc>
              <w:tc>
                <w:tcPr>
                  <w:tcW w:w="253" w:type="pct"/>
                  <w:vMerge w:val="continue"/>
                  <w:tcBorders>
                    <w:left w:val="single" w:color="auto" w:sz="4" w:space="0"/>
                    <w:right w:val="single" w:color="auto" w:sz="4" w:space="0"/>
                  </w:tcBorders>
                  <w:vAlign w:val="center"/>
                </w:tcPr>
                <w:p>
                  <w:pPr>
                    <w:widowControl/>
                    <w:jc w:val="left"/>
                    <w:rPr>
                      <w:color w:val="000000"/>
                      <w:kern w:val="0"/>
                      <w:szCs w:val="21"/>
                    </w:rPr>
                  </w:pPr>
                </w:p>
              </w:tc>
              <w:tc>
                <w:tcPr>
                  <w:tcW w:w="306"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szCs w:val="21"/>
                    </w:rPr>
                    <w:t>SS</w:t>
                  </w:r>
                </w:p>
              </w:tc>
              <w:tc>
                <w:tcPr>
                  <w:tcW w:w="454" w:type="pct"/>
                  <w:tcBorders>
                    <w:top w:val="single" w:color="auto" w:sz="4" w:space="0"/>
                    <w:left w:val="single" w:color="auto" w:sz="4" w:space="0"/>
                    <w:right w:val="single" w:color="auto" w:sz="4" w:space="0"/>
                  </w:tcBorders>
                  <w:vAlign w:val="center"/>
                </w:tcPr>
                <w:p>
                  <w:pPr>
                    <w:jc w:val="center"/>
                    <w:rPr>
                      <w:color w:val="000000"/>
                    </w:rPr>
                  </w:pPr>
                  <w:r>
                    <w:rPr>
                      <w:rFonts w:hint="eastAsia"/>
                      <w:szCs w:val="21"/>
                    </w:rPr>
                    <w:t>1</w:t>
                  </w:r>
                  <w:r>
                    <w:rPr>
                      <w:szCs w:val="21"/>
                    </w:rPr>
                    <w:t>98</w:t>
                  </w:r>
                </w:p>
              </w:tc>
              <w:tc>
                <w:tcPr>
                  <w:tcW w:w="610" w:type="pct"/>
                  <w:vMerge w:val="continue"/>
                  <w:tcBorders>
                    <w:left w:val="single" w:color="auto" w:sz="4" w:space="0"/>
                    <w:right w:val="single" w:color="auto" w:sz="4" w:space="0"/>
                  </w:tcBorders>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72" w:type="pct"/>
                  <w:vMerge w:val="continue"/>
                  <w:tcBorders>
                    <w:left w:val="single" w:color="auto" w:sz="4" w:space="0"/>
                    <w:right w:val="single" w:color="auto" w:sz="4" w:space="0"/>
                  </w:tcBorders>
                  <w:vAlign w:val="center"/>
                </w:tcPr>
                <w:p>
                  <w:pPr>
                    <w:widowControl/>
                    <w:jc w:val="left"/>
                    <w:rPr>
                      <w:color w:val="000000"/>
                      <w:kern w:val="0"/>
                      <w:szCs w:val="21"/>
                    </w:rPr>
                  </w:pPr>
                </w:p>
              </w:tc>
              <w:tc>
                <w:tcPr>
                  <w:tcW w:w="471" w:type="pct"/>
                  <w:vMerge w:val="continue"/>
                  <w:tcBorders>
                    <w:left w:val="single" w:color="auto" w:sz="4" w:space="0"/>
                    <w:right w:val="single" w:color="auto" w:sz="4" w:space="0"/>
                  </w:tcBorders>
                  <w:vAlign w:val="center"/>
                </w:tcPr>
                <w:p>
                  <w:pPr>
                    <w:widowControl/>
                    <w:jc w:val="left"/>
                    <w:rPr>
                      <w:bCs/>
                      <w:color w:val="000000"/>
                      <w:szCs w:val="21"/>
                    </w:rPr>
                  </w:pPr>
                </w:p>
              </w:tc>
              <w:tc>
                <w:tcPr>
                  <w:tcW w:w="342" w:type="pct"/>
                  <w:vMerge w:val="continue"/>
                  <w:tcBorders>
                    <w:left w:val="single" w:color="auto" w:sz="4" w:space="0"/>
                    <w:right w:val="single" w:color="auto" w:sz="4" w:space="0"/>
                  </w:tcBorders>
                  <w:vAlign w:val="center"/>
                </w:tcPr>
                <w:p>
                  <w:pPr>
                    <w:widowControl/>
                    <w:jc w:val="left"/>
                    <w:rPr>
                      <w:color w:val="000000"/>
                      <w:szCs w:val="21"/>
                    </w:rPr>
                  </w:pPr>
                </w:p>
              </w:tc>
              <w:tc>
                <w:tcPr>
                  <w:tcW w:w="673" w:type="pct"/>
                  <w:vMerge w:val="continue"/>
                  <w:tcBorders>
                    <w:left w:val="single" w:color="auto" w:sz="4" w:space="0"/>
                    <w:right w:val="single" w:color="auto" w:sz="4" w:space="0"/>
                  </w:tcBorders>
                  <w:vAlign w:val="center"/>
                </w:tcPr>
                <w:p>
                  <w:pPr>
                    <w:widowControl/>
                    <w:jc w:val="left"/>
                    <w:rPr>
                      <w:color w:val="000000"/>
                      <w:szCs w:val="21"/>
                    </w:rPr>
                  </w:pPr>
                </w:p>
              </w:tc>
              <w:tc>
                <w:tcPr>
                  <w:tcW w:w="291" w:type="pct"/>
                  <w:vMerge w:val="continue"/>
                  <w:tcBorders>
                    <w:left w:val="single" w:color="auto" w:sz="4" w:space="0"/>
                    <w:right w:val="single" w:color="auto" w:sz="4" w:space="0"/>
                  </w:tcBorders>
                  <w:vAlign w:val="center"/>
                </w:tcPr>
                <w:p>
                  <w:pPr>
                    <w:widowControl/>
                    <w:jc w:val="left"/>
                    <w:rPr>
                      <w:color w:val="000000"/>
                      <w:szCs w:val="21"/>
                    </w:rPr>
                  </w:pPr>
                </w:p>
              </w:tc>
              <w:tc>
                <w:tcPr>
                  <w:tcW w:w="582" w:type="pct"/>
                  <w:vMerge w:val="continue"/>
                  <w:tcBorders>
                    <w:left w:val="single" w:color="auto" w:sz="4" w:space="0"/>
                    <w:right w:val="single" w:color="auto" w:sz="4" w:space="0"/>
                  </w:tcBorders>
                  <w:vAlign w:val="center"/>
                </w:tcPr>
                <w:p>
                  <w:pPr>
                    <w:widowControl/>
                    <w:jc w:val="left"/>
                    <w:rPr>
                      <w:color w:val="000000"/>
                      <w:szCs w:val="21"/>
                    </w:rPr>
                  </w:pPr>
                </w:p>
              </w:tc>
              <w:tc>
                <w:tcPr>
                  <w:tcW w:w="207" w:type="pct"/>
                  <w:vMerge w:val="continue"/>
                  <w:tcBorders>
                    <w:left w:val="single" w:color="auto" w:sz="4" w:space="0"/>
                    <w:right w:val="single" w:color="auto" w:sz="4" w:space="0"/>
                  </w:tcBorders>
                  <w:vAlign w:val="center"/>
                </w:tcPr>
                <w:p>
                  <w:pPr>
                    <w:widowControl/>
                    <w:jc w:val="left"/>
                    <w:rPr>
                      <w:color w:val="000000"/>
                      <w:kern w:val="0"/>
                      <w:szCs w:val="21"/>
                    </w:rPr>
                  </w:pPr>
                </w:p>
              </w:tc>
              <w:tc>
                <w:tcPr>
                  <w:tcW w:w="539" w:type="pct"/>
                  <w:vMerge w:val="continue"/>
                  <w:tcBorders>
                    <w:left w:val="single" w:color="auto" w:sz="4" w:space="0"/>
                    <w:right w:val="single" w:color="auto" w:sz="4" w:space="0"/>
                  </w:tcBorders>
                  <w:vAlign w:val="center"/>
                </w:tcPr>
                <w:p>
                  <w:pPr>
                    <w:widowControl/>
                    <w:jc w:val="left"/>
                    <w:rPr>
                      <w:color w:val="000000"/>
                      <w:kern w:val="0"/>
                      <w:szCs w:val="21"/>
                    </w:rPr>
                  </w:pPr>
                </w:p>
              </w:tc>
              <w:tc>
                <w:tcPr>
                  <w:tcW w:w="253" w:type="pct"/>
                  <w:vMerge w:val="continue"/>
                  <w:tcBorders>
                    <w:left w:val="single" w:color="auto" w:sz="4" w:space="0"/>
                    <w:right w:val="single" w:color="auto" w:sz="4" w:space="0"/>
                  </w:tcBorders>
                  <w:vAlign w:val="center"/>
                </w:tcPr>
                <w:p>
                  <w:pPr>
                    <w:widowControl/>
                    <w:jc w:val="left"/>
                    <w:rPr>
                      <w:color w:val="000000"/>
                      <w:kern w:val="0"/>
                      <w:szCs w:val="21"/>
                    </w:rPr>
                  </w:pPr>
                </w:p>
              </w:tc>
              <w:tc>
                <w:tcPr>
                  <w:tcW w:w="306"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动植</w:t>
                  </w:r>
                </w:p>
                <w:p>
                  <w:pPr>
                    <w:jc w:val="center"/>
                    <w:rPr>
                      <w:szCs w:val="21"/>
                    </w:rPr>
                  </w:pPr>
                  <w:r>
                    <w:rPr>
                      <w:rFonts w:hint="eastAsia"/>
                      <w:szCs w:val="21"/>
                    </w:rPr>
                    <w:t>物油</w:t>
                  </w:r>
                </w:p>
              </w:tc>
              <w:tc>
                <w:tcPr>
                  <w:tcW w:w="454" w:type="pct"/>
                  <w:tcBorders>
                    <w:left w:val="single" w:color="auto" w:sz="4" w:space="0"/>
                    <w:right w:val="single" w:color="auto" w:sz="4" w:space="0"/>
                  </w:tcBorders>
                  <w:vAlign w:val="center"/>
                </w:tcPr>
                <w:p>
                  <w:pPr>
                    <w:jc w:val="center"/>
                    <w:rPr>
                      <w:szCs w:val="21"/>
                    </w:rPr>
                  </w:pPr>
                  <w:r>
                    <w:rPr>
                      <w:rFonts w:hint="eastAsia"/>
                      <w:szCs w:val="21"/>
                    </w:rPr>
                    <w:t>2</w:t>
                  </w:r>
                  <w:r>
                    <w:rPr>
                      <w:szCs w:val="21"/>
                    </w:rPr>
                    <w:t>0</w:t>
                  </w:r>
                </w:p>
              </w:tc>
              <w:tc>
                <w:tcPr>
                  <w:tcW w:w="610" w:type="pct"/>
                  <w:vMerge w:val="continue"/>
                  <w:tcBorders>
                    <w:left w:val="single" w:color="auto" w:sz="4" w:space="0"/>
                    <w:right w:val="single" w:color="auto" w:sz="4" w:space="0"/>
                  </w:tcBorders>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72" w:type="pct"/>
                  <w:vMerge w:val="continue"/>
                  <w:tcBorders>
                    <w:left w:val="single" w:color="auto" w:sz="4" w:space="0"/>
                    <w:right w:val="single" w:color="auto" w:sz="4" w:space="0"/>
                  </w:tcBorders>
                  <w:vAlign w:val="center"/>
                </w:tcPr>
                <w:p>
                  <w:pPr>
                    <w:widowControl/>
                    <w:jc w:val="left"/>
                    <w:rPr>
                      <w:color w:val="000000"/>
                      <w:kern w:val="0"/>
                      <w:szCs w:val="21"/>
                    </w:rPr>
                  </w:pPr>
                </w:p>
              </w:tc>
              <w:tc>
                <w:tcPr>
                  <w:tcW w:w="471" w:type="pct"/>
                  <w:vMerge w:val="continue"/>
                  <w:tcBorders>
                    <w:left w:val="single" w:color="auto" w:sz="4" w:space="0"/>
                    <w:right w:val="single" w:color="auto" w:sz="4" w:space="0"/>
                  </w:tcBorders>
                  <w:vAlign w:val="center"/>
                </w:tcPr>
                <w:p>
                  <w:pPr>
                    <w:widowControl/>
                    <w:jc w:val="left"/>
                    <w:rPr>
                      <w:bCs/>
                      <w:color w:val="000000"/>
                      <w:szCs w:val="21"/>
                    </w:rPr>
                  </w:pPr>
                </w:p>
              </w:tc>
              <w:tc>
                <w:tcPr>
                  <w:tcW w:w="342" w:type="pct"/>
                  <w:vMerge w:val="continue"/>
                  <w:tcBorders>
                    <w:left w:val="single" w:color="auto" w:sz="4" w:space="0"/>
                    <w:right w:val="single" w:color="auto" w:sz="4" w:space="0"/>
                  </w:tcBorders>
                  <w:vAlign w:val="center"/>
                </w:tcPr>
                <w:p>
                  <w:pPr>
                    <w:widowControl/>
                    <w:jc w:val="left"/>
                    <w:rPr>
                      <w:color w:val="000000"/>
                      <w:szCs w:val="21"/>
                    </w:rPr>
                  </w:pPr>
                </w:p>
              </w:tc>
              <w:tc>
                <w:tcPr>
                  <w:tcW w:w="673" w:type="pct"/>
                  <w:vMerge w:val="continue"/>
                  <w:tcBorders>
                    <w:left w:val="single" w:color="auto" w:sz="4" w:space="0"/>
                    <w:right w:val="single" w:color="auto" w:sz="4" w:space="0"/>
                  </w:tcBorders>
                  <w:vAlign w:val="center"/>
                </w:tcPr>
                <w:p>
                  <w:pPr>
                    <w:widowControl/>
                    <w:jc w:val="left"/>
                    <w:rPr>
                      <w:color w:val="000000"/>
                      <w:szCs w:val="21"/>
                    </w:rPr>
                  </w:pPr>
                </w:p>
              </w:tc>
              <w:tc>
                <w:tcPr>
                  <w:tcW w:w="291" w:type="pct"/>
                  <w:vMerge w:val="continue"/>
                  <w:tcBorders>
                    <w:left w:val="single" w:color="auto" w:sz="4" w:space="0"/>
                    <w:right w:val="single" w:color="auto" w:sz="4" w:space="0"/>
                  </w:tcBorders>
                  <w:vAlign w:val="center"/>
                </w:tcPr>
                <w:p>
                  <w:pPr>
                    <w:widowControl/>
                    <w:jc w:val="left"/>
                    <w:rPr>
                      <w:color w:val="000000"/>
                      <w:szCs w:val="21"/>
                    </w:rPr>
                  </w:pPr>
                </w:p>
              </w:tc>
              <w:tc>
                <w:tcPr>
                  <w:tcW w:w="582" w:type="pct"/>
                  <w:vMerge w:val="continue"/>
                  <w:tcBorders>
                    <w:left w:val="single" w:color="auto" w:sz="4" w:space="0"/>
                    <w:right w:val="single" w:color="auto" w:sz="4" w:space="0"/>
                  </w:tcBorders>
                  <w:vAlign w:val="center"/>
                </w:tcPr>
                <w:p>
                  <w:pPr>
                    <w:widowControl/>
                    <w:jc w:val="left"/>
                    <w:rPr>
                      <w:color w:val="000000"/>
                      <w:szCs w:val="21"/>
                    </w:rPr>
                  </w:pPr>
                </w:p>
              </w:tc>
              <w:tc>
                <w:tcPr>
                  <w:tcW w:w="207" w:type="pct"/>
                  <w:vMerge w:val="continue"/>
                  <w:tcBorders>
                    <w:left w:val="single" w:color="auto" w:sz="4" w:space="0"/>
                    <w:right w:val="single" w:color="auto" w:sz="4" w:space="0"/>
                  </w:tcBorders>
                  <w:vAlign w:val="center"/>
                </w:tcPr>
                <w:p>
                  <w:pPr>
                    <w:widowControl/>
                    <w:jc w:val="left"/>
                    <w:rPr>
                      <w:color w:val="000000"/>
                      <w:kern w:val="0"/>
                      <w:szCs w:val="21"/>
                    </w:rPr>
                  </w:pPr>
                </w:p>
              </w:tc>
              <w:tc>
                <w:tcPr>
                  <w:tcW w:w="539" w:type="pct"/>
                  <w:vMerge w:val="continue"/>
                  <w:tcBorders>
                    <w:left w:val="single" w:color="auto" w:sz="4" w:space="0"/>
                    <w:right w:val="single" w:color="auto" w:sz="4" w:space="0"/>
                  </w:tcBorders>
                  <w:vAlign w:val="center"/>
                </w:tcPr>
                <w:p>
                  <w:pPr>
                    <w:widowControl/>
                    <w:jc w:val="left"/>
                    <w:rPr>
                      <w:color w:val="000000"/>
                      <w:kern w:val="0"/>
                      <w:szCs w:val="21"/>
                    </w:rPr>
                  </w:pPr>
                </w:p>
              </w:tc>
              <w:tc>
                <w:tcPr>
                  <w:tcW w:w="253" w:type="pct"/>
                  <w:vMerge w:val="continue"/>
                  <w:tcBorders>
                    <w:left w:val="single" w:color="auto" w:sz="4" w:space="0"/>
                    <w:right w:val="single" w:color="auto" w:sz="4" w:space="0"/>
                  </w:tcBorders>
                  <w:vAlign w:val="center"/>
                </w:tcPr>
                <w:p>
                  <w:pPr>
                    <w:widowControl/>
                    <w:jc w:val="left"/>
                    <w:rPr>
                      <w:color w:val="000000"/>
                      <w:kern w:val="0"/>
                      <w:szCs w:val="21"/>
                    </w:rPr>
                  </w:pPr>
                </w:p>
              </w:tc>
              <w:tc>
                <w:tcPr>
                  <w:tcW w:w="306"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阴离子表面活性剂</w:t>
                  </w:r>
                </w:p>
              </w:tc>
              <w:tc>
                <w:tcPr>
                  <w:tcW w:w="454" w:type="pct"/>
                  <w:tcBorders>
                    <w:left w:val="single" w:color="auto" w:sz="4" w:space="0"/>
                    <w:right w:val="single" w:color="auto" w:sz="4" w:space="0"/>
                  </w:tcBorders>
                  <w:vAlign w:val="center"/>
                </w:tcPr>
                <w:p>
                  <w:pPr>
                    <w:jc w:val="center"/>
                    <w:rPr>
                      <w:szCs w:val="21"/>
                    </w:rPr>
                  </w:pPr>
                  <w:r>
                    <w:rPr>
                      <w:rFonts w:hint="eastAsia"/>
                      <w:szCs w:val="21"/>
                    </w:rPr>
                    <w:t>2</w:t>
                  </w:r>
                  <w:r>
                    <w:rPr>
                      <w:szCs w:val="21"/>
                    </w:rPr>
                    <w:t>0</w:t>
                  </w:r>
                </w:p>
              </w:tc>
              <w:tc>
                <w:tcPr>
                  <w:tcW w:w="610" w:type="pct"/>
                  <w:vMerge w:val="continue"/>
                  <w:tcBorders>
                    <w:left w:val="single" w:color="auto" w:sz="4" w:space="0"/>
                    <w:right w:val="single" w:color="auto" w:sz="4" w:space="0"/>
                  </w:tcBorders>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72"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471" w:type="pct"/>
                  <w:vMerge w:val="continue"/>
                  <w:tcBorders>
                    <w:left w:val="single" w:color="auto" w:sz="4" w:space="0"/>
                    <w:bottom w:val="single" w:color="auto" w:sz="4" w:space="0"/>
                    <w:right w:val="single" w:color="auto" w:sz="4" w:space="0"/>
                  </w:tcBorders>
                  <w:vAlign w:val="center"/>
                </w:tcPr>
                <w:p>
                  <w:pPr>
                    <w:widowControl/>
                    <w:jc w:val="left"/>
                    <w:rPr>
                      <w:bCs/>
                      <w:color w:val="000000"/>
                      <w:szCs w:val="21"/>
                    </w:rPr>
                  </w:pPr>
                </w:p>
              </w:tc>
              <w:tc>
                <w:tcPr>
                  <w:tcW w:w="342" w:type="pct"/>
                  <w:vMerge w:val="continue"/>
                  <w:tcBorders>
                    <w:left w:val="single" w:color="auto" w:sz="4" w:space="0"/>
                    <w:bottom w:val="single" w:color="auto" w:sz="4" w:space="0"/>
                    <w:right w:val="single" w:color="auto" w:sz="4" w:space="0"/>
                  </w:tcBorders>
                  <w:vAlign w:val="center"/>
                </w:tcPr>
                <w:p>
                  <w:pPr>
                    <w:widowControl/>
                    <w:jc w:val="left"/>
                    <w:rPr>
                      <w:color w:val="000000"/>
                      <w:szCs w:val="21"/>
                    </w:rPr>
                  </w:pPr>
                </w:p>
              </w:tc>
              <w:tc>
                <w:tcPr>
                  <w:tcW w:w="673" w:type="pct"/>
                  <w:vMerge w:val="continue"/>
                  <w:tcBorders>
                    <w:left w:val="single" w:color="auto" w:sz="4" w:space="0"/>
                    <w:bottom w:val="single" w:color="auto" w:sz="4" w:space="0"/>
                    <w:right w:val="single" w:color="auto" w:sz="4" w:space="0"/>
                  </w:tcBorders>
                  <w:vAlign w:val="center"/>
                </w:tcPr>
                <w:p>
                  <w:pPr>
                    <w:widowControl/>
                    <w:jc w:val="left"/>
                    <w:rPr>
                      <w:color w:val="000000"/>
                      <w:szCs w:val="21"/>
                    </w:rPr>
                  </w:pPr>
                </w:p>
              </w:tc>
              <w:tc>
                <w:tcPr>
                  <w:tcW w:w="291" w:type="pct"/>
                  <w:vMerge w:val="continue"/>
                  <w:tcBorders>
                    <w:left w:val="single" w:color="auto" w:sz="4" w:space="0"/>
                    <w:bottom w:val="single" w:color="auto" w:sz="4" w:space="0"/>
                    <w:right w:val="single" w:color="auto" w:sz="4" w:space="0"/>
                  </w:tcBorders>
                  <w:vAlign w:val="center"/>
                </w:tcPr>
                <w:p>
                  <w:pPr>
                    <w:widowControl/>
                    <w:jc w:val="left"/>
                    <w:rPr>
                      <w:color w:val="000000"/>
                      <w:szCs w:val="21"/>
                    </w:rPr>
                  </w:pPr>
                </w:p>
              </w:tc>
              <w:tc>
                <w:tcPr>
                  <w:tcW w:w="582" w:type="pct"/>
                  <w:vMerge w:val="continue"/>
                  <w:tcBorders>
                    <w:left w:val="single" w:color="auto" w:sz="4" w:space="0"/>
                    <w:bottom w:val="single" w:color="auto" w:sz="4" w:space="0"/>
                    <w:right w:val="single" w:color="auto" w:sz="4" w:space="0"/>
                  </w:tcBorders>
                  <w:vAlign w:val="center"/>
                </w:tcPr>
                <w:p>
                  <w:pPr>
                    <w:widowControl/>
                    <w:jc w:val="left"/>
                    <w:rPr>
                      <w:color w:val="000000"/>
                      <w:szCs w:val="21"/>
                    </w:rPr>
                  </w:pPr>
                </w:p>
              </w:tc>
              <w:tc>
                <w:tcPr>
                  <w:tcW w:w="207"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539"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53"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306"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粪大肠菌群数</w:t>
                  </w:r>
                </w:p>
              </w:tc>
              <w:tc>
                <w:tcPr>
                  <w:tcW w:w="454" w:type="pct"/>
                  <w:tcBorders>
                    <w:left w:val="single" w:color="auto" w:sz="4" w:space="0"/>
                    <w:bottom w:val="single" w:color="auto" w:sz="4" w:space="0"/>
                    <w:right w:val="single" w:color="auto" w:sz="4" w:space="0"/>
                  </w:tcBorders>
                  <w:vAlign w:val="center"/>
                </w:tcPr>
                <w:p>
                  <w:pPr>
                    <w:jc w:val="center"/>
                    <w:rPr>
                      <w:szCs w:val="21"/>
                    </w:rPr>
                  </w:pPr>
                  <w:r>
                    <w:rPr>
                      <w:szCs w:val="21"/>
                    </w:rPr>
                    <w:t>5000MPN/L</w:t>
                  </w:r>
                </w:p>
              </w:tc>
              <w:tc>
                <w:tcPr>
                  <w:tcW w:w="610"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r>
          </w:tbl>
          <w:p>
            <w:pPr>
              <w:adjustRightInd w:val="0"/>
              <w:snapToGrid w:val="0"/>
              <w:spacing w:line="360" w:lineRule="auto"/>
              <w:ind w:firstLine="440" w:firstLineChars="200"/>
              <w:rPr>
                <w:rFonts w:ascii="宋体" w:hAnsi="宋体" w:cs="宋体"/>
                <w:bCs/>
                <w:spacing w:val="-10"/>
                <w:sz w:val="24"/>
              </w:rPr>
            </w:pPr>
          </w:p>
          <w:p>
            <w:pPr>
              <w:adjustRightInd w:val="0"/>
              <w:snapToGrid w:val="0"/>
              <w:spacing w:line="360" w:lineRule="auto"/>
              <w:ind w:firstLine="440" w:firstLineChars="200"/>
              <w:rPr>
                <w:rFonts w:ascii="宋体" w:hAnsi="宋体" w:cs="宋体"/>
                <w:bCs/>
                <w:spacing w:val="-10"/>
                <w:sz w:val="24"/>
              </w:rPr>
            </w:pPr>
          </w:p>
        </w:tc>
      </w:tr>
    </w:tbl>
    <w:p>
      <w:pPr>
        <w:sectPr>
          <w:pgSz w:w="16838" w:h="11906" w:orient="landscape"/>
          <w:pgMar w:top="1800" w:right="1440" w:bottom="1800" w:left="1440" w:header="851" w:footer="992" w:gutter="0"/>
          <w:cols w:space="425" w:num="1"/>
          <w:docGrid w:type="lines" w:linePitch="312" w:charSpace="0"/>
        </w:sectPr>
      </w:pPr>
    </w:p>
    <w:p>
      <w:pPr>
        <w:pStyle w:val="9"/>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23" w:name="_Hlk54167917"/>
      <w:r>
        <w:rPr>
          <w:rFonts w:hint="eastAsia" w:ascii="黑体" w:hAnsi="黑体" w:eastAsia="黑体"/>
          <w:snapToGrid w:val="0"/>
          <w:sz w:val="30"/>
          <w:szCs w:val="30"/>
        </w:rPr>
        <w:t>环境保护措施监督检查清单</w:t>
      </w:r>
      <w:bookmarkEnd w:id="23"/>
    </w:p>
    <w:tbl>
      <w:tblPr>
        <w:tblStyle w:val="13"/>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2100"/>
        <w:gridCol w:w="1418"/>
        <w:gridCol w:w="1701"/>
        <w:gridCol w:w="1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tcBorders>
              <w:tl2br w:val="single" w:color="auto" w:sz="4" w:space="0"/>
            </w:tcBorders>
          </w:tcPr>
          <w:p>
            <w:pPr>
              <w:adjustRightInd w:val="0"/>
              <w:snapToGrid w:val="0"/>
              <w:ind w:firstLine="840"/>
              <w:rPr>
                <w:rFonts w:ascii="宋体" w:hAnsi="宋体" w:cs="宋体"/>
                <w:sz w:val="24"/>
              </w:rPr>
            </w:pPr>
            <w:r>
              <w:rPr>
                <w:rFonts w:hint="eastAsia" w:ascii="宋体" w:hAnsi="宋体" w:cs="宋体"/>
                <w:sz w:val="24"/>
              </w:rPr>
              <w:t>内容</w:t>
            </w:r>
          </w:p>
          <w:p>
            <w:pPr>
              <w:adjustRightInd w:val="0"/>
              <w:snapToGrid w:val="0"/>
              <w:rPr>
                <w:rFonts w:ascii="宋体" w:hAnsi="宋体" w:cs="宋体"/>
                <w:sz w:val="24"/>
              </w:rPr>
            </w:pPr>
            <w:r>
              <w:rPr>
                <w:rFonts w:hint="eastAsia" w:ascii="宋体" w:hAnsi="宋体" w:cs="宋体"/>
                <w:sz w:val="24"/>
              </w:rPr>
              <w:t>要素</w:t>
            </w:r>
          </w:p>
        </w:tc>
        <w:tc>
          <w:tcPr>
            <w:tcW w:w="2100" w:type="dxa"/>
            <w:vAlign w:val="center"/>
          </w:tcPr>
          <w:p>
            <w:pPr>
              <w:adjustRightInd w:val="0"/>
              <w:snapToGrid w:val="0"/>
              <w:jc w:val="center"/>
              <w:rPr>
                <w:rFonts w:ascii="宋体" w:hAnsi="宋体" w:cs="宋体"/>
                <w:sz w:val="24"/>
              </w:rPr>
            </w:pPr>
            <w:r>
              <w:rPr>
                <w:rFonts w:hint="eastAsia" w:ascii="宋体" w:hAnsi="宋体" w:cs="宋体"/>
                <w:sz w:val="24"/>
              </w:rPr>
              <w:t>排放口(编号、名称)/污染源</w:t>
            </w:r>
          </w:p>
        </w:tc>
        <w:tc>
          <w:tcPr>
            <w:tcW w:w="1418" w:type="dxa"/>
            <w:vAlign w:val="center"/>
          </w:tcPr>
          <w:p>
            <w:pPr>
              <w:adjustRightInd w:val="0"/>
              <w:snapToGrid w:val="0"/>
              <w:jc w:val="center"/>
              <w:rPr>
                <w:rFonts w:ascii="宋体" w:hAnsi="宋体" w:cs="宋体"/>
                <w:sz w:val="24"/>
              </w:rPr>
            </w:pPr>
            <w:r>
              <w:rPr>
                <w:rFonts w:hint="eastAsia" w:ascii="宋体" w:hAnsi="宋体" w:cs="宋体"/>
                <w:sz w:val="24"/>
              </w:rPr>
              <w:t>污染物项目</w:t>
            </w:r>
          </w:p>
        </w:tc>
        <w:tc>
          <w:tcPr>
            <w:tcW w:w="1701" w:type="dxa"/>
            <w:vAlign w:val="center"/>
          </w:tcPr>
          <w:p>
            <w:pPr>
              <w:adjustRightInd w:val="0"/>
              <w:snapToGrid w:val="0"/>
              <w:jc w:val="center"/>
              <w:rPr>
                <w:rFonts w:ascii="宋体" w:hAnsi="宋体" w:cs="宋体"/>
                <w:sz w:val="24"/>
              </w:rPr>
            </w:pPr>
            <w:r>
              <w:rPr>
                <w:rFonts w:hint="eastAsia" w:ascii="宋体" w:hAnsi="宋体" w:cs="宋体"/>
                <w:sz w:val="24"/>
              </w:rPr>
              <w:t>环境保护措施</w:t>
            </w:r>
          </w:p>
        </w:tc>
        <w:tc>
          <w:tcPr>
            <w:tcW w:w="1890" w:type="dxa"/>
            <w:vAlign w:val="center"/>
          </w:tcPr>
          <w:p>
            <w:pPr>
              <w:adjustRightInd w:val="0"/>
              <w:snapToGrid w:val="0"/>
              <w:jc w:val="center"/>
              <w:rPr>
                <w:rFonts w:ascii="宋体" w:hAnsi="宋体" w:cs="宋体"/>
                <w:sz w:val="24"/>
              </w:rPr>
            </w:pPr>
            <w:r>
              <w:rPr>
                <w:rFonts w:hint="eastAsia" w:ascii="宋体" w:hAnsi="宋体" w:cs="宋体"/>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vMerge w:val="restart"/>
            <w:vAlign w:val="center"/>
          </w:tcPr>
          <w:p>
            <w:pPr>
              <w:adjustRightInd w:val="0"/>
              <w:snapToGrid w:val="0"/>
              <w:jc w:val="center"/>
              <w:rPr>
                <w:rFonts w:ascii="宋体" w:hAnsi="宋体" w:cs="宋体"/>
                <w:sz w:val="24"/>
              </w:rPr>
            </w:pPr>
            <w:r>
              <w:rPr>
                <w:rFonts w:hint="eastAsia" w:ascii="宋体" w:hAnsi="宋体" w:cs="宋体"/>
                <w:sz w:val="24"/>
              </w:rPr>
              <w:t>大气环境</w:t>
            </w:r>
          </w:p>
        </w:tc>
        <w:tc>
          <w:tcPr>
            <w:tcW w:w="2100" w:type="dxa"/>
            <w:vAlign w:val="center"/>
          </w:tcPr>
          <w:p>
            <w:pPr>
              <w:adjustRightInd w:val="0"/>
              <w:snapToGrid w:val="0"/>
              <w:jc w:val="center"/>
              <w:rPr>
                <w:sz w:val="24"/>
              </w:rPr>
            </w:pPr>
            <w:r>
              <w:rPr>
                <w:rFonts w:hint="eastAsia"/>
                <w:sz w:val="24"/>
              </w:rPr>
              <w:t>污水处理站恶臭</w:t>
            </w:r>
          </w:p>
        </w:tc>
        <w:tc>
          <w:tcPr>
            <w:tcW w:w="1418" w:type="dxa"/>
            <w:vAlign w:val="center"/>
          </w:tcPr>
          <w:p>
            <w:pPr>
              <w:adjustRightInd w:val="0"/>
              <w:snapToGrid w:val="0"/>
              <w:jc w:val="center"/>
              <w:rPr>
                <w:rFonts w:ascii="宋体" w:hAnsi="宋体" w:cs="宋体"/>
                <w:sz w:val="24"/>
              </w:rPr>
            </w:pPr>
            <w:r>
              <w:rPr>
                <w:rFonts w:ascii="宋体" w:hAnsi="宋体" w:cs="宋体"/>
                <w:bCs/>
                <w:sz w:val="24"/>
              </w:rPr>
              <w:t>NH</w:t>
            </w:r>
            <w:r>
              <w:rPr>
                <w:rFonts w:ascii="宋体" w:hAnsi="宋体" w:cs="宋体"/>
                <w:bCs/>
                <w:sz w:val="24"/>
                <w:vertAlign w:val="subscript"/>
              </w:rPr>
              <w:t>3</w:t>
            </w:r>
            <w:r>
              <w:rPr>
                <w:rFonts w:ascii="宋体" w:hAnsi="宋体" w:cs="宋体"/>
                <w:bCs/>
                <w:sz w:val="24"/>
              </w:rPr>
              <w:t>、H</w:t>
            </w:r>
            <w:r>
              <w:rPr>
                <w:rFonts w:ascii="宋体" w:hAnsi="宋体" w:cs="宋体"/>
                <w:bCs/>
                <w:sz w:val="24"/>
                <w:vertAlign w:val="subscript"/>
              </w:rPr>
              <w:t>2</w:t>
            </w:r>
            <w:r>
              <w:rPr>
                <w:rFonts w:ascii="宋体" w:hAnsi="宋体" w:cs="宋体"/>
                <w:bCs/>
                <w:sz w:val="24"/>
              </w:rPr>
              <w:t>S</w:t>
            </w:r>
            <w:r>
              <w:rPr>
                <w:rFonts w:hint="eastAsia" w:ascii="宋体" w:hAnsi="宋体" w:cs="宋体"/>
                <w:bCs/>
                <w:sz w:val="24"/>
              </w:rPr>
              <w:t>、臭气浓度</w:t>
            </w:r>
          </w:p>
        </w:tc>
        <w:tc>
          <w:tcPr>
            <w:tcW w:w="1701" w:type="dxa"/>
            <w:vAlign w:val="center"/>
          </w:tcPr>
          <w:p>
            <w:pPr>
              <w:adjustRightInd w:val="0"/>
              <w:snapToGrid w:val="0"/>
              <w:jc w:val="center"/>
              <w:rPr>
                <w:sz w:val="24"/>
              </w:rPr>
            </w:pPr>
            <w:r>
              <w:rPr>
                <w:rFonts w:hint="eastAsia"/>
                <w:sz w:val="24"/>
              </w:rPr>
              <w:t>密闭处理</w:t>
            </w:r>
          </w:p>
        </w:tc>
        <w:tc>
          <w:tcPr>
            <w:tcW w:w="1890" w:type="dxa"/>
            <w:vAlign w:val="center"/>
          </w:tcPr>
          <w:p>
            <w:pPr>
              <w:adjustRightInd w:val="0"/>
              <w:snapToGrid w:val="0"/>
              <w:jc w:val="center"/>
              <w:rPr>
                <w:rFonts w:ascii="宋体" w:hAnsi="宋体" w:cs="宋体"/>
                <w:sz w:val="24"/>
              </w:rPr>
            </w:pPr>
            <w:r>
              <w:rPr>
                <w:rFonts w:ascii="宋体" w:hAnsi="宋体" w:cs="宋体"/>
                <w:sz w:val="24"/>
              </w:rPr>
              <w:t>《医疗机构水污染物排放标准》（GB18466－2005）中表3污水处理站周边大气污染物最高允许浓度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vMerge w:val="continue"/>
            <w:vAlign w:val="center"/>
          </w:tcPr>
          <w:p>
            <w:pPr>
              <w:adjustRightInd w:val="0"/>
              <w:snapToGrid w:val="0"/>
              <w:jc w:val="center"/>
              <w:rPr>
                <w:rFonts w:ascii="宋体" w:hAnsi="宋体" w:cs="宋体"/>
                <w:sz w:val="24"/>
              </w:rPr>
            </w:pPr>
          </w:p>
        </w:tc>
        <w:tc>
          <w:tcPr>
            <w:tcW w:w="2100" w:type="dxa"/>
            <w:vAlign w:val="center"/>
          </w:tcPr>
          <w:p>
            <w:pPr>
              <w:adjustRightInd w:val="0"/>
              <w:snapToGrid w:val="0"/>
              <w:jc w:val="center"/>
              <w:rPr>
                <w:sz w:val="24"/>
              </w:rPr>
            </w:pPr>
            <w:r>
              <w:rPr>
                <w:rFonts w:hint="eastAsia"/>
                <w:sz w:val="24"/>
              </w:rPr>
              <w:t>食堂油烟</w:t>
            </w:r>
          </w:p>
        </w:tc>
        <w:tc>
          <w:tcPr>
            <w:tcW w:w="1418" w:type="dxa"/>
            <w:vAlign w:val="center"/>
          </w:tcPr>
          <w:p>
            <w:pPr>
              <w:adjustRightInd w:val="0"/>
              <w:snapToGrid w:val="0"/>
              <w:jc w:val="center"/>
              <w:rPr>
                <w:rFonts w:ascii="宋体" w:hAnsi="宋体" w:cs="宋体"/>
                <w:sz w:val="24"/>
              </w:rPr>
            </w:pPr>
            <w:r>
              <w:rPr>
                <w:rFonts w:hint="eastAsia" w:ascii="宋体" w:hAnsi="宋体" w:cs="宋体"/>
                <w:sz w:val="24"/>
              </w:rPr>
              <w:t>油烟</w:t>
            </w:r>
          </w:p>
        </w:tc>
        <w:tc>
          <w:tcPr>
            <w:tcW w:w="1701" w:type="dxa"/>
            <w:vAlign w:val="center"/>
          </w:tcPr>
          <w:p>
            <w:pPr>
              <w:adjustRightInd w:val="0"/>
              <w:snapToGrid w:val="0"/>
              <w:jc w:val="center"/>
              <w:rPr>
                <w:sz w:val="24"/>
              </w:rPr>
            </w:pPr>
            <w:r>
              <w:rPr>
                <w:rFonts w:hint="eastAsia"/>
                <w:sz w:val="24"/>
              </w:rPr>
              <w:t>油烟净化器</w:t>
            </w:r>
          </w:p>
        </w:tc>
        <w:tc>
          <w:tcPr>
            <w:tcW w:w="1890" w:type="dxa"/>
            <w:vAlign w:val="center"/>
          </w:tcPr>
          <w:p>
            <w:pPr>
              <w:adjustRightInd w:val="0"/>
              <w:snapToGrid w:val="0"/>
              <w:jc w:val="center"/>
              <w:rPr>
                <w:rFonts w:ascii="宋体" w:hAnsi="宋体" w:cs="宋体"/>
                <w:sz w:val="24"/>
              </w:rPr>
            </w:pPr>
            <w:r>
              <w:rPr>
                <w:rFonts w:hint="eastAsia" w:ascii="宋体" w:hAnsi="宋体" w:cs="宋体"/>
                <w:sz w:val="24"/>
              </w:rPr>
              <w:t>《饮食业油烟排放标准（试行）》（GB18483-2001）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vMerge w:val="continue"/>
            <w:vAlign w:val="center"/>
          </w:tcPr>
          <w:p>
            <w:pPr>
              <w:adjustRightInd w:val="0"/>
              <w:snapToGrid w:val="0"/>
              <w:jc w:val="center"/>
              <w:rPr>
                <w:rFonts w:ascii="宋体" w:hAnsi="宋体" w:cs="宋体"/>
                <w:sz w:val="24"/>
              </w:rPr>
            </w:pPr>
          </w:p>
        </w:tc>
        <w:tc>
          <w:tcPr>
            <w:tcW w:w="2100" w:type="dxa"/>
            <w:vAlign w:val="center"/>
          </w:tcPr>
          <w:p>
            <w:pPr>
              <w:adjustRightInd w:val="0"/>
              <w:snapToGrid w:val="0"/>
              <w:jc w:val="center"/>
              <w:rPr>
                <w:rFonts w:ascii="宋体" w:hAnsi="宋体" w:cs="宋体"/>
                <w:sz w:val="24"/>
              </w:rPr>
            </w:pPr>
            <w:r>
              <w:rPr>
                <w:rFonts w:hint="eastAsia" w:ascii="宋体" w:hAnsi="宋体" w:cs="宋体"/>
                <w:sz w:val="24"/>
              </w:rPr>
              <w:t>备用柴油发电机废气</w:t>
            </w:r>
          </w:p>
        </w:tc>
        <w:tc>
          <w:tcPr>
            <w:tcW w:w="1418" w:type="dxa"/>
            <w:vAlign w:val="center"/>
          </w:tcPr>
          <w:p>
            <w:pPr>
              <w:adjustRightInd w:val="0"/>
              <w:snapToGrid w:val="0"/>
              <w:jc w:val="center"/>
              <w:rPr>
                <w:bCs/>
                <w:sz w:val="24"/>
              </w:rPr>
            </w:pPr>
            <w:r>
              <w:rPr>
                <w:rFonts w:hint="eastAsia" w:ascii="宋体" w:hAnsi="宋体" w:cs="宋体"/>
                <w:bCs/>
                <w:sz w:val="24"/>
              </w:rPr>
              <w:t>颗粒物、SO</w:t>
            </w:r>
            <w:r>
              <w:rPr>
                <w:rFonts w:hint="eastAsia" w:ascii="宋体" w:hAnsi="宋体" w:cs="宋体"/>
                <w:bCs/>
                <w:sz w:val="24"/>
                <w:vertAlign w:val="subscript"/>
              </w:rPr>
              <w:t>2</w:t>
            </w:r>
            <w:r>
              <w:rPr>
                <w:rFonts w:hint="eastAsia" w:ascii="宋体" w:hAnsi="宋体" w:cs="宋体"/>
                <w:bCs/>
                <w:sz w:val="24"/>
              </w:rPr>
              <w:t>、NO</w:t>
            </w:r>
            <w:r>
              <w:rPr>
                <w:rFonts w:ascii="宋体" w:hAnsi="宋体" w:cs="宋体"/>
                <w:bCs/>
                <w:sz w:val="24"/>
              </w:rPr>
              <w:t>x</w:t>
            </w:r>
          </w:p>
        </w:tc>
        <w:tc>
          <w:tcPr>
            <w:tcW w:w="1701" w:type="dxa"/>
            <w:vAlign w:val="center"/>
          </w:tcPr>
          <w:p>
            <w:pPr>
              <w:adjustRightInd w:val="0"/>
              <w:snapToGrid w:val="0"/>
              <w:jc w:val="center"/>
              <w:rPr>
                <w:bCs/>
                <w:sz w:val="24"/>
              </w:rPr>
            </w:pPr>
            <w:r>
              <w:rPr>
                <w:rFonts w:hint="eastAsia"/>
                <w:bCs/>
                <w:sz w:val="24"/>
              </w:rPr>
              <w:t>柴油发电机自带除尘设施</w:t>
            </w:r>
          </w:p>
        </w:tc>
        <w:tc>
          <w:tcPr>
            <w:tcW w:w="1890" w:type="dxa"/>
            <w:vAlign w:val="center"/>
          </w:tcPr>
          <w:p>
            <w:pPr>
              <w:adjustRightInd w:val="0"/>
              <w:snapToGrid w:val="0"/>
              <w:jc w:val="center"/>
              <w:rPr>
                <w:rFonts w:ascii="宋体" w:hAnsi="宋体" w:cs="宋体"/>
                <w:sz w:val="24"/>
              </w:rPr>
            </w:pPr>
            <w:r>
              <w:rPr>
                <w:rFonts w:hint="eastAsia" w:ascii="宋体" w:hAnsi="宋体" w:cs="宋体"/>
                <w:sz w:val="24"/>
              </w:rPr>
              <w:t>《大气污染物综合排放标准》（GB16297- 1996）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vAlign w:val="center"/>
          </w:tcPr>
          <w:p>
            <w:pPr>
              <w:adjustRightInd w:val="0"/>
              <w:snapToGrid w:val="0"/>
              <w:jc w:val="center"/>
              <w:rPr>
                <w:rFonts w:ascii="宋体" w:hAnsi="宋体" w:cs="宋体"/>
                <w:sz w:val="24"/>
              </w:rPr>
            </w:pPr>
            <w:r>
              <w:rPr>
                <w:rFonts w:hint="eastAsia" w:ascii="宋体" w:hAnsi="宋体" w:cs="宋体"/>
                <w:sz w:val="24"/>
              </w:rPr>
              <w:t>地表水环境</w:t>
            </w:r>
          </w:p>
        </w:tc>
        <w:tc>
          <w:tcPr>
            <w:tcW w:w="2100" w:type="dxa"/>
            <w:vAlign w:val="center"/>
          </w:tcPr>
          <w:p>
            <w:pPr>
              <w:adjustRightInd w:val="0"/>
              <w:snapToGrid w:val="0"/>
              <w:jc w:val="center"/>
              <w:rPr>
                <w:sz w:val="24"/>
              </w:rPr>
            </w:pPr>
            <w:r>
              <w:rPr>
                <w:rFonts w:hint="eastAsia"/>
                <w:sz w:val="24"/>
              </w:rPr>
              <w:t>医疗废水</w:t>
            </w:r>
          </w:p>
        </w:tc>
        <w:tc>
          <w:tcPr>
            <w:tcW w:w="1418" w:type="dxa"/>
            <w:vAlign w:val="center"/>
          </w:tcPr>
          <w:p>
            <w:pPr>
              <w:adjustRightInd w:val="0"/>
              <w:snapToGrid w:val="0"/>
              <w:jc w:val="center"/>
              <w:rPr>
                <w:sz w:val="24"/>
              </w:rPr>
            </w:pPr>
            <w:r>
              <w:rPr>
                <w:rFonts w:hint="eastAsia"/>
                <w:sz w:val="24"/>
              </w:rPr>
              <w:t>阴离子表面活性剂、总余氯（以Cl计）、氨氮、粪大肠菌群、化学需氧量、动植物油、悬浮物、</w:t>
            </w:r>
            <w:r>
              <w:rPr>
                <w:sz w:val="24"/>
              </w:rPr>
              <w:t>pH</w:t>
            </w:r>
            <w:r>
              <w:rPr>
                <w:rFonts w:hint="eastAsia"/>
                <w:sz w:val="24"/>
              </w:rPr>
              <w:t>、五日生化需氧量</w:t>
            </w:r>
          </w:p>
        </w:tc>
        <w:tc>
          <w:tcPr>
            <w:tcW w:w="1701" w:type="dxa"/>
            <w:vAlign w:val="center"/>
          </w:tcPr>
          <w:p>
            <w:pPr>
              <w:adjustRightInd w:val="0"/>
              <w:snapToGrid w:val="0"/>
              <w:jc w:val="center"/>
              <w:rPr>
                <w:sz w:val="24"/>
              </w:rPr>
            </w:pPr>
            <w:r>
              <w:rPr>
                <w:rFonts w:hint="eastAsia"/>
                <w:sz w:val="24"/>
              </w:rPr>
              <w:t>门诊病人、住院病人以及医务人员处产生的生活废水经化粪池处理后，再与地面保洁废水、洗衣房废水一并排入院区自建污水处理站处理后排入澧县污水处理厂</w:t>
            </w:r>
          </w:p>
        </w:tc>
        <w:tc>
          <w:tcPr>
            <w:tcW w:w="1890" w:type="dxa"/>
            <w:vAlign w:val="center"/>
          </w:tcPr>
          <w:p>
            <w:pPr>
              <w:adjustRightInd w:val="0"/>
              <w:snapToGrid w:val="0"/>
              <w:jc w:val="center"/>
              <w:rPr>
                <w:sz w:val="24"/>
              </w:rPr>
            </w:pPr>
            <w:r>
              <w:rPr>
                <w:rFonts w:hint="eastAsia"/>
                <w:sz w:val="24"/>
              </w:rPr>
              <w:t>《医疗机构水污染物排放标准》（GB18466-2005）表2中预处理标准及澧县污水处理厂进水水质要求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91" w:type="dxa"/>
            <w:vAlign w:val="center"/>
          </w:tcPr>
          <w:p>
            <w:pPr>
              <w:adjustRightInd w:val="0"/>
              <w:snapToGrid w:val="0"/>
              <w:jc w:val="center"/>
              <w:rPr>
                <w:rFonts w:ascii="宋体" w:hAnsi="宋体" w:cs="宋体"/>
                <w:sz w:val="24"/>
              </w:rPr>
            </w:pPr>
            <w:r>
              <w:rPr>
                <w:rFonts w:hint="eastAsia" w:ascii="宋体" w:hAnsi="宋体" w:cs="宋体"/>
                <w:sz w:val="24"/>
              </w:rPr>
              <w:t>声环境</w:t>
            </w:r>
          </w:p>
        </w:tc>
        <w:tc>
          <w:tcPr>
            <w:tcW w:w="2100" w:type="dxa"/>
            <w:vAlign w:val="center"/>
          </w:tcPr>
          <w:p>
            <w:pPr>
              <w:adjustRightInd w:val="0"/>
              <w:snapToGrid w:val="0"/>
              <w:jc w:val="center"/>
              <w:rPr>
                <w:sz w:val="24"/>
              </w:rPr>
            </w:pPr>
            <w:r>
              <w:rPr>
                <w:rFonts w:hint="eastAsia"/>
                <w:sz w:val="24"/>
              </w:rPr>
              <w:t>医院社会噪声</w:t>
            </w:r>
          </w:p>
        </w:tc>
        <w:tc>
          <w:tcPr>
            <w:tcW w:w="1418" w:type="dxa"/>
            <w:vAlign w:val="center"/>
          </w:tcPr>
          <w:p>
            <w:pPr>
              <w:adjustRightInd w:val="0"/>
              <w:snapToGrid w:val="0"/>
              <w:jc w:val="center"/>
              <w:rPr>
                <w:sz w:val="24"/>
              </w:rPr>
            </w:pPr>
            <w:r>
              <w:rPr>
                <w:rFonts w:hint="eastAsia"/>
                <w:sz w:val="24"/>
              </w:rPr>
              <w:t>等效A声级</w:t>
            </w:r>
          </w:p>
        </w:tc>
        <w:tc>
          <w:tcPr>
            <w:tcW w:w="1701" w:type="dxa"/>
            <w:vAlign w:val="center"/>
          </w:tcPr>
          <w:p>
            <w:pPr>
              <w:adjustRightInd w:val="0"/>
              <w:snapToGrid w:val="0"/>
              <w:jc w:val="center"/>
              <w:rPr>
                <w:sz w:val="24"/>
              </w:rPr>
            </w:pPr>
            <w:r>
              <w:rPr>
                <w:rFonts w:hint="eastAsia"/>
                <w:sz w:val="24"/>
              </w:rPr>
              <w:t>采用减振、隔声等措施</w:t>
            </w:r>
          </w:p>
        </w:tc>
        <w:tc>
          <w:tcPr>
            <w:tcW w:w="1890" w:type="dxa"/>
            <w:vAlign w:val="center"/>
          </w:tcPr>
          <w:p>
            <w:pPr>
              <w:adjustRightInd w:val="0"/>
              <w:snapToGrid w:val="0"/>
              <w:jc w:val="center"/>
              <w:rPr>
                <w:sz w:val="24"/>
              </w:rPr>
            </w:pPr>
            <w:r>
              <w:rPr>
                <w:rFonts w:hint="eastAsia"/>
                <w:sz w:val="24"/>
              </w:rPr>
              <w:t>厂界执行《工业企业厂界环境噪声排放标准》（GB12348-2008）中</w:t>
            </w:r>
            <w:r>
              <w:rPr>
                <w:sz w:val="24"/>
              </w:rPr>
              <w:t>2</w:t>
            </w:r>
            <w:r>
              <w:rPr>
                <w:rFonts w:hint="eastAsia"/>
                <w:sz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691" w:type="dxa"/>
            <w:vAlign w:val="center"/>
          </w:tcPr>
          <w:p>
            <w:pPr>
              <w:adjustRightInd w:val="0"/>
              <w:snapToGrid w:val="0"/>
              <w:jc w:val="center"/>
              <w:rPr>
                <w:rFonts w:ascii="宋体" w:hAnsi="宋体" w:cs="宋体"/>
                <w:sz w:val="24"/>
              </w:rPr>
            </w:pPr>
            <w:r>
              <w:rPr>
                <w:rFonts w:hint="eastAsia" w:ascii="宋体" w:hAnsi="宋体" w:cs="宋体"/>
                <w:sz w:val="24"/>
              </w:rPr>
              <w:t>固体废物</w:t>
            </w:r>
          </w:p>
        </w:tc>
        <w:tc>
          <w:tcPr>
            <w:tcW w:w="7109" w:type="dxa"/>
            <w:gridSpan w:val="4"/>
            <w:vAlign w:val="center"/>
          </w:tcPr>
          <w:p>
            <w:pPr>
              <w:adjustRightInd w:val="0"/>
              <w:snapToGrid w:val="0"/>
              <w:spacing w:line="360" w:lineRule="auto"/>
              <w:ind w:firstLine="480" w:firstLineChars="200"/>
              <w:rPr>
                <w:sz w:val="24"/>
                <w:szCs w:val="32"/>
              </w:rPr>
            </w:pPr>
            <w:bookmarkStart w:id="24" w:name="_Hlk170972617"/>
            <w:r>
              <w:rPr>
                <w:sz w:val="24"/>
                <w:szCs w:val="32"/>
              </w:rPr>
              <w:t>生活垃圾收集后由环卫部门处置；医疗垃圾</w:t>
            </w:r>
            <w:r>
              <w:rPr>
                <w:rFonts w:hint="eastAsia"/>
                <w:sz w:val="24"/>
                <w:szCs w:val="32"/>
              </w:rPr>
              <w:t>、废水处理站污泥</w:t>
            </w:r>
            <w:r>
              <w:rPr>
                <w:sz w:val="24"/>
                <w:szCs w:val="32"/>
              </w:rPr>
              <w:t>属于</w:t>
            </w:r>
            <w:r>
              <w:rPr>
                <w:rFonts w:hint="eastAsia"/>
                <w:sz w:val="24"/>
                <w:szCs w:val="32"/>
              </w:rPr>
              <w:t>医疗废物</w:t>
            </w:r>
            <w:r>
              <w:rPr>
                <w:sz w:val="24"/>
                <w:szCs w:val="32"/>
              </w:rPr>
              <w:t>，</w:t>
            </w:r>
            <w:r>
              <w:rPr>
                <w:rFonts w:hint="eastAsia"/>
                <w:sz w:val="24"/>
                <w:szCs w:val="32"/>
              </w:rPr>
              <w:t>暂存医疗废物暂存间（</w:t>
            </w:r>
            <w:r>
              <w:rPr>
                <w:sz w:val="24"/>
                <w:szCs w:val="32"/>
              </w:rPr>
              <w:t>10</w:t>
            </w:r>
            <w:r>
              <w:rPr>
                <w:rFonts w:hint="eastAsia"/>
                <w:sz w:val="24"/>
                <w:szCs w:val="32"/>
              </w:rPr>
              <w:t>m</w:t>
            </w:r>
            <w:r>
              <w:rPr>
                <w:rFonts w:hint="eastAsia"/>
                <w:sz w:val="24"/>
                <w:szCs w:val="32"/>
                <w:vertAlign w:val="superscript"/>
              </w:rPr>
              <w:t>2</w:t>
            </w:r>
            <w:r>
              <w:rPr>
                <w:rFonts w:hint="eastAsia"/>
                <w:sz w:val="24"/>
                <w:szCs w:val="32"/>
              </w:rPr>
              <w:t>），定期</w:t>
            </w:r>
            <w:r>
              <w:rPr>
                <w:sz w:val="24"/>
                <w:szCs w:val="32"/>
              </w:rPr>
              <w:t>委托</w:t>
            </w:r>
            <w:r>
              <w:rPr>
                <w:rFonts w:hint="eastAsia"/>
                <w:sz w:val="24"/>
                <w:szCs w:val="32"/>
              </w:rPr>
              <w:t>湖南荣森环保科技有限公司进行处理；废输液瓶（袋）、废包装物等一般医疗废物</w:t>
            </w:r>
            <w:r>
              <w:rPr>
                <w:sz w:val="24"/>
                <w:szCs w:val="32"/>
              </w:rPr>
              <w:t>经集中收集后统一交由</w:t>
            </w:r>
            <w:r>
              <w:rPr>
                <w:rFonts w:hint="eastAsia"/>
                <w:sz w:val="24"/>
                <w:szCs w:val="32"/>
              </w:rPr>
              <w:t>湖南典旺塑业有限公司统一回收资源化综合利用。</w:t>
            </w:r>
            <w:bookmarkEnd w:id="2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91" w:type="dxa"/>
            <w:vAlign w:val="center"/>
          </w:tcPr>
          <w:p>
            <w:pPr>
              <w:adjustRightInd w:val="0"/>
              <w:snapToGrid w:val="0"/>
              <w:jc w:val="center"/>
              <w:rPr>
                <w:rFonts w:ascii="宋体" w:hAnsi="宋体" w:cs="宋体"/>
                <w:sz w:val="24"/>
              </w:rPr>
            </w:pPr>
            <w:r>
              <w:rPr>
                <w:rFonts w:hint="eastAsia" w:ascii="宋体" w:hAnsi="宋体" w:cs="宋体"/>
                <w:sz w:val="24"/>
              </w:rPr>
              <w:t>土壤及地下水</w:t>
            </w:r>
          </w:p>
          <w:p>
            <w:pPr>
              <w:adjustRightInd w:val="0"/>
              <w:snapToGrid w:val="0"/>
              <w:jc w:val="center"/>
              <w:rPr>
                <w:rFonts w:ascii="宋体" w:hAnsi="宋体" w:cs="宋体"/>
                <w:sz w:val="24"/>
              </w:rPr>
            </w:pPr>
            <w:r>
              <w:rPr>
                <w:rFonts w:hint="eastAsia" w:ascii="宋体" w:hAnsi="宋体" w:cs="宋体"/>
                <w:sz w:val="24"/>
              </w:rPr>
              <w:t>污染防治措施</w:t>
            </w:r>
          </w:p>
        </w:tc>
        <w:tc>
          <w:tcPr>
            <w:tcW w:w="7109" w:type="dxa"/>
            <w:gridSpan w:val="4"/>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本项目场地地面硬化，污水处理区、医疗废物间等存在地下水、土壤环境污染途径，本项目要求该区域做地面防渗处理，并设置托盘，防止废水、医疗废物发生渗漏对地下水、土壤造成影响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91" w:type="dxa"/>
            <w:vAlign w:val="center"/>
          </w:tcPr>
          <w:p>
            <w:pPr>
              <w:adjustRightInd w:val="0"/>
              <w:snapToGrid w:val="0"/>
              <w:jc w:val="center"/>
              <w:rPr>
                <w:rFonts w:ascii="宋体" w:hAnsi="宋体" w:cs="宋体"/>
                <w:sz w:val="24"/>
              </w:rPr>
            </w:pPr>
            <w:r>
              <w:rPr>
                <w:rFonts w:hint="eastAsia" w:ascii="宋体" w:hAnsi="宋体" w:cs="宋体"/>
                <w:sz w:val="24"/>
              </w:rPr>
              <w:t>生态保护措施</w:t>
            </w:r>
          </w:p>
        </w:tc>
        <w:tc>
          <w:tcPr>
            <w:tcW w:w="7109" w:type="dxa"/>
            <w:gridSpan w:val="4"/>
            <w:vAlign w:val="center"/>
          </w:tcPr>
          <w:p>
            <w:pPr>
              <w:adjustRightInd w:val="0"/>
              <w:snapToGrid w:val="0"/>
              <w:spacing w:line="360" w:lineRule="auto"/>
              <w:jc w:val="center"/>
              <w:rPr>
                <w:rFonts w:ascii="宋体" w:hAnsi="宋体" w:cs="宋体"/>
                <w:sz w:val="24"/>
              </w:rPr>
            </w:pPr>
            <w:r>
              <w:rPr>
                <w:rFonts w:hint="eastAsia" w:ascii="宋体" w:hAnsi="宋体" w:cs="宋体"/>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91" w:type="dxa"/>
            <w:vAlign w:val="center"/>
          </w:tcPr>
          <w:p>
            <w:pPr>
              <w:adjustRightInd w:val="0"/>
              <w:snapToGrid w:val="0"/>
              <w:jc w:val="center"/>
              <w:rPr>
                <w:rFonts w:ascii="宋体" w:hAnsi="宋体" w:cs="宋体"/>
                <w:spacing w:val="-8"/>
                <w:sz w:val="24"/>
              </w:rPr>
            </w:pPr>
            <w:r>
              <w:rPr>
                <w:rFonts w:hint="eastAsia" w:ascii="宋体" w:hAnsi="宋体" w:cs="宋体"/>
                <w:spacing w:val="-8"/>
                <w:sz w:val="24"/>
              </w:rPr>
              <w:t>环境风险</w:t>
            </w:r>
          </w:p>
          <w:p>
            <w:pPr>
              <w:adjustRightInd w:val="0"/>
              <w:snapToGrid w:val="0"/>
              <w:jc w:val="center"/>
              <w:rPr>
                <w:rFonts w:ascii="宋体" w:hAnsi="宋体" w:cs="宋体"/>
                <w:spacing w:val="-8"/>
                <w:sz w:val="24"/>
              </w:rPr>
            </w:pPr>
            <w:r>
              <w:rPr>
                <w:rFonts w:hint="eastAsia" w:ascii="宋体" w:hAnsi="宋体" w:cs="宋体"/>
                <w:spacing w:val="-8"/>
                <w:sz w:val="24"/>
              </w:rPr>
              <w:t>防范措施</w:t>
            </w:r>
          </w:p>
        </w:tc>
        <w:tc>
          <w:tcPr>
            <w:tcW w:w="7109" w:type="dxa"/>
            <w:gridSpan w:val="4"/>
            <w:vAlign w:val="center"/>
          </w:tcPr>
          <w:p>
            <w:pPr>
              <w:adjustRightInd w:val="0"/>
              <w:snapToGrid w:val="0"/>
              <w:spacing w:line="360" w:lineRule="auto"/>
              <w:ind w:firstLine="480" w:firstLineChars="200"/>
              <w:rPr>
                <w:sz w:val="24"/>
                <w:szCs w:val="32"/>
              </w:rPr>
            </w:pPr>
            <w:r>
              <w:rPr>
                <w:rFonts w:hint="eastAsia"/>
                <w:sz w:val="24"/>
                <w:szCs w:val="32"/>
              </w:rPr>
              <w:t>（1）</w:t>
            </w:r>
            <w:r>
              <w:rPr>
                <w:sz w:val="24"/>
                <w:szCs w:val="32"/>
              </w:rPr>
              <w:t>污水处理</w:t>
            </w:r>
            <w:r>
              <w:rPr>
                <w:rFonts w:hint="eastAsia"/>
                <w:sz w:val="24"/>
                <w:szCs w:val="32"/>
              </w:rPr>
              <w:t>设施</w:t>
            </w:r>
            <w:r>
              <w:rPr>
                <w:sz w:val="24"/>
                <w:szCs w:val="32"/>
              </w:rPr>
              <w:t>排口应该设置污水阀门，一旦污水处理设备发生故障，废水非正常排放，应及时关闭污水阀门，待设备检修完成后，可恢复正常运行。</w:t>
            </w:r>
          </w:p>
          <w:p>
            <w:pPr>
              <w:adjustRightInd w:val="0"/>
              <w:snapToGrid w:val="0"/>
              <w:spacing w:line="360" w:lineRule="auto"/>
              <w:ind w:firstLine="480" w:firstLineChars="200"/>
              <w:rPr>
                <w:sz w:val="24"/>
                <w:szCs w:val="32"/>
              </w:rPr>
            </w:pPr>
            <w:r>
              <w:rPr>
                <w:rFonts w:hint="eastAsia"/>
                <w:sz w:val="24"/>
                <w:szCs w:val="32"/>
              </w:rPr>
              <w:t>（2）</w:t>
            </w:r>
            <w:bookmarkStart w:id="25" w:name="_Hlk170973150"/>
            <w:r>
              <w:rPr>
                <w:rFonts w:hint="eastAsia"/>
                <w:sz w:val="24"/>
                <w:szCs w:val="32"/>
              </w:rPr>
              <w:t>医疗废物</w:t>
            </w:r>
            <w:r>
              <w:rPr>
                <w:sz w:val="24"/>
                <w:szCs w:val="32"/>
              </w:rPr>
              <w:t>暂存间按照要求进行地面硬化、防渗，应当根据《医疗废物分类目录》，对医疗废物实施分类管理，根据医疗废物的类别，将医疗废物分置于符合《医疗废物专用包装物、容器的标准和警示标识的规定》的包装物或者容器内，医疗废物暂时贮存的时间不得超过2天，医疗废物转交出去后，应当对暂时贮存地点、设施及时进行清洁和消毒处理</w:t>
            </w:r>
            <w:bookmarkEnd w:id="25"/>
            <w:r>
              <w:rPr>
                <w:sz w:val="24"/>
                <w:szCs w:val="32"/>
              </w:rPr>
              <w:t>。</w:t>
            </w:r>
          </w:p>
          <w:p>
            <w:pPr>
              <w:adjustRightInd w:val="0"/>
              <w:snapToGrid w:val="0"/>
              <w:spacing w:line="360" w:lineRule="auto"/>
              <w:ind w:firstLine="480" w:firstLineChars="200"/>
              <w:rPr>
                <w:sz w:val="24"/>
                <w:szCs w:val="32"/>
              </w:rPr>
            </w:pPr>
            <w:r>
              <w:rPr>
                <w:rFonts w:hint="eastAsia"/>
                <w:sz w:val="24"/>
                <w:szCs w:val="32"/>
              </w:rPr>
              <w:t>（3）</w:t>
            </w:r>
            <w:r>
              <w:rPr>
                <w:sz w:val="24"/>
                <w:szCs w:val="32"/>
              </w:rPr>
              <w:t>加强职工的安全教育，提高安全防范风险的意识。</w:t>
            </w:r>
          </w:p>
          <w:p>
            <w:pPr>
              <w:adjustRightInd w:val="0"/>
              <w:snapToGrid w:val="0"/>
              <w:spacing w:line="360" w:lineRule="auto"/>
              <w:ind w:firstLine="480" w:firstLineChars="200"/>
              <w:rPr>
                <w:rFonts w:ascii="宋体" w:hAnsi="宋体" w:cs="宋体"/>
                <w:sz w:val="24"/>
              </w:rPr>
            </w:pPr>
            <w:r>
              <w:rPr>
                <w:rFonts w:hint="eastAsia"/>
                <w:sz w:val="24"/>
                <w:szCs w:val="32"/>
              </w:rPr>
              <w:t>（4）</w:t>
            </w:r>
            <w:r>
              <w:rPr>
                <w:sz w:val="24"/>
                <w:szCs w:val="32"/>
              </w:rPr>
              <w:t>编制环境风险应急预案。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691" w:type="dxa"/>
            <w:vAlign w:val="center"/>
          </w:tcPr>
          <w:p>
            <w:pPr>
              <w:adjustRightInd w:val="0"/>
              <w:snapToGrid w:val="0"/>
              <w:jc w:val="center"/>
              <w:rPr>
                <w:rFonts w:ascii="宋体" w:hAnsi="宋体" w:cs="宋体"/>
                <w:sz w:val="24"/>
              </w:rPr>
            </w:pPr>
            <w:r>
              <w:rPr>
                <w:rFonts w:hint="eastAsia" w:ascii="宋体" w:hAnsi="宋体" w:cs="宋体"/>
                <w:sz w:val="24"/>
              </w:rPr>
              <w:t>其他环境</w:t>
            </w:r>
          </w:p>
          <w:p>
            <w:pPr>
              <w:adjustRightInd w:val="0"/>
              <w:snapToGrid w:val="0"/>
              <w:jc w:val="center"/>
              <w:rPr>
                <w:rFonts w:ascii="宋体" w:hAnsi="宋体" w:cs="宋体"/>
                <w:sz w:val="24"/>
              </w:rPr>
            </w:pPr>
            <w:r>
              <w:rPr>
                <w:rFonts w:hint="eastAsia" w:ascii="宋体" w:hAnsi="宋体" w:cs="宋体"/>
                <w:sz w:val="24"/>
              </w:rPr>
              <w:t>管理要求</w:t>
            </w:r>
          </w:p>
        </w:tc>
        <w:tc>
          <w:tcPr>
            <w:tcW w:w="7109" w:type="dxa"/>
            <w:gridSpan w:val="4"/>
            <w:vAlign w:val="center"/>
          </w:tcPr>
          <w:p>
            <w:pPr>
              <w:adjustRightInd w:val="0"/>
              <w:snapToGrid w:val="0"/>
              <w:spacing w:line="360" w:lineRule="auto"/>
              <w:rPr>
                <w:b/>
                <w:bCs/>
                <w:sz w:val="24"/>
                <w:szCs w:val="32"/>
              </w:rPr>
            </w:pPr>
            <w:r>
              <w:rPr>
                <w:b/>
                <w:bCs/>
                <w:sz w:val="24"/>
                <w:szCs w:val="32"/>
              </w:rPr>
              <w:t>规范化排污口建设</w:t>
            </w:r>
            <w:r>
              <w:rPr>
                <w:rFonts w:hint="eastAsia"/>
                <w:b/>
                <w:bCs/>
                <w:sz w:val="24"/>
                <w:szCs w:val="32"/>
              </w:rPr>
              <w:t>：</w:t>
            </w:r>
          </w:p>
          <w:p>
            <w:pPr>
              <w:adjustRightInd w:val="0"/>
              <w:snapToGrid w:val="0"/>
              <w:spacing w:line="360" w:lineRule="auto"/>
              <w:ind w:firstLine="480" w:firstLineChars="200"/>
              <w:rPr>
                <w:sz w:val="24"/>
                <w:szCs w:val="32"/>
              </w:rPr>
            </w:pPr>
            <w:r>
              <w:rPr>
                <w:sz w:val="24"/>
                <w:szCs w:val="32"/>
              </w:rPr>
              <w:t>（1）排放口设置要求</w:t>
            </w:r>
          </w:p>
          <w:p>
            <w:pPr>
              <w:adjustRightInd w:val="0"/>
              <w:snapToGrid w:val="0"/>
              <w:spacing w:line="360" w:lineRule="auto"/>
              <w:ind w:firstLine="480" w:firstLineChars="200"/>
              <w:rPr>
                <w:sz w:val="24"/>
                <w:szCs w:val="32"/>
              </w:rPr>
            </w:pPr>
            <w:r>
              <w:rPr>
                <w:sz w:val="24"/>
                <w:szCs w:val="32"/>
              </w:rPr>
              <w:t>根据《关于开展排放口规范化整治工作的通知》（环发〔1999〕24号），凡生产经营场所集中在一个地点的单位，原则上只允许设污水和“清下水”排污口各一个。确因特殊原因需要增加排污口，须报经</w:t>
            </w:r>
            <w:r>
              <w:rPr>
                <w:rFonts w:hint="eastAsia"/>
                <w:sz w:val="24"/>
                <w:szCs w:val="32"/>
                <w:lang w:eastAsia="zh-CN"/>
              </w:rPr>
              <w:t>生态环境部</w:t>
            </w:r>
            <w:r>
              <w:rPr>
                <w:sz w:val="24"/>
                <w:szCs w:val="32"/>
              </w:rPr>
              <w:t>门审核同意。本项目设置一个</w:t>
            </w:r>
            <w:r>
              <w:rPr>
                <w:rFonts w:hint="eastAsia"/>
                <w:sz w:val="24"/>
                <w:szCs w:val="32"/>
              </w:rPr>
              <w:t>污</w:t>
            </w:r>
            <w:r>
              <w:rPr>
                <w:sz w:val="24"/>
                <w:szCs w:val="32"/>
              </w:rPr>
              <w:t>水排放口</w:t>
            </w:r>
            <w:r>
              <w:rPr>
                <w:rFonts w:hint="eastAsia"/>
                <w:sz w:val="24"/>
                <w:szCs w:val="32"/>
              </w:rPr>
              <w:t>，位于院区西侧</w:t>
            </w:r>
            <w:r>
              <w:rPr>
                <w:sz w:val="24"/>
                <w:szCs w:val="32"/>
              </w:rPr>
              <w:t>。</w:t>
            </w:r>
          </w:p>
          <w:p>
            <w:pPr>
              <w:adjustRightInd w:val="0"/>
              <w:snapToGrid w:val="0"/>
              <w:spacing w:line="360" w:lineRule="auto"/>
              <w:ind w:firstLine="480" w:firstLineChars="200"/>
              <w:rPr>
                <w:sz w:val="24"/>
                <w:szCs w:val="32"/>
              </w:rPr>
            </w:pPr>
            <w:r>
              <w:rPr>
                <w:sz w:val="24"/>
                <w:szCs w:val="32"/>
              </w:rPr>
              <w:t>有毒有害固体废物等危险废物，必须设置专用堆放场地，有防扬散、防流失、防渗漏等防治措施并符合国家标准的要求。</w:t>
            </w:r>
          </w:p>
          <w:p>
            <w:pPr>
              <w:adjustRightInd w:val="0"/>
              <w:snapToGrid w:val="0"/>
              <w:spacing w:line="360" w:lineRule="auto"/>
              <w:ind w:firstLine="480" w:firstLineChars="200"/>
              <w:rPr>
                <w:sz w:val="24"/>
                <w:szCs w:val="32"/>
              </w:rPr>
            </w:pPr>
            <w:r>
              <w:rPr>
                <w:sz w:val="24"/>
                <w:szCs w:val="32"/>
              </w:rPr>
              <w:t>（2）排污口标志设置的基本要求：</w:t>
            </w:r>
          </w:p>
          <w:p>
            <w:pPr>
              <w:adjustRightInd w:val="0"/>
              <w:snapToGrid w:val="0"/>
              <w:spacing w:line="360" w:lineRule="auto"/>
              <w:ind w:firstLine="480" w:firstLineChars="200"/>
              <w:rPr>
                <w:sz w:val="24"/>
                <w:szCs w:val="32"/>
              </w:rPr>
            </w:pPr>
            <w:r>
              <w:rPr>
                <w:rFonts w:hint="eastAsia" w:ascii="宋体" w:hAnsi="宋体" w:cs="宋体"/>
                <w:sz w:val="24"/>
                <w:szCs w:val="32"/>
              </w:rPr>
              <w:t>①</w:t>
            </w:r>
            <w:r>
              <w:rPr>
                <w:sz w:val="24"/>
                <w:szCs w:val="32"/>
              </w:rPr>
              <w:t>一切排污者的排污口（源）和固体废物贮存、处置场所，必须按照国家标准《环境保护图形标志》（GB15562.1-1995、GB15562.2-1995）的规定，设置与之相适应的环境保护图形标志牌。标志牌按标准制作。</w:t>
            </w:r>
          </w:p>
          <w:p>
            <w:pPr>
              <w:adjustRightInd w:val="0"/>
              <w:snapToGrid w:val="0"/>
              <w:spacing w:line="360" w:lineRule="auto"/>
              <w:ind w:firstLine="480" w:firstLineChars="200"/>
              <w:rPr>
                <w:sz w:val="24"/>
                <w:szCs w:val="32"/>
              </w:rPr>
            </w:pPr>
            <w:r>
              <w:rPr>
                <w:rFonts w:hint="eastAsia" w:ascii="宋体" w:hAnsi="宋体" w:cs="宋体"/>
                <w:sz w:val="24"/>
                <w:szCs w:val="32"/>
              </w:rPr>
              <w:t>②</w:t>
            </w:r>
            <w:r>
              <w:rPr>
                <w:sz w:val="24"/>
                <w:szCs w:val="32"/>
              </w:rPr>
              <w:t>环境保护图形标志牌应设置在距排污口（源）及固体废物贮存（处置）场所或采样点较近且醒目处，并能长久保留。设置高度一般为：环境保护图形标志牌上缘距离地面2米。</w:t>
            </w:r>
          </w:p>
          <w:p>
            <w:pPr>
              <w:adjustRightInd w:val="0"/>
              <w:snapToGrid w:val="0"/>
              <w:spacing w:line="360" w:lineRule="auto"/>
              <w:rPr>
                <w:sz w:val="24"/>
                <w:szCs w:val="32"/>
              </w:rPr>
            </w:pPr>
            <w:r>
              <w:rPr>
                <w:b/>
                <w:bCs/>
                <w:sz w:val="24"/>
                <w:szCs w:val="32"/>
              </w:rPr>
              <w:t>排污许可证申领：</w:t>
            </w:r>
          </w:p>
          <w:p>
            <w:pPr>
              <w:adjustRightInd w:val="0"/>
              <w:snapToGrid w:val="0"/>
              <w:spacing w:line="360" w:lineRule="auto"/>
              <w:ind w:firstLine="480" w:firstLineChars="200"/>
              <w:rPr>
                <w:sz w:val="24"/>
                <w:szCs w:val="32"/>
              </w:rPr>
            </w:pPr>
            <w:r>
              <w:rPr>
                <w:sz w:val="24"/>
                <w:szCs w:val="32"/>
              </w:rPr>
              <w:t>根据《固定污染源排污许可分类管理名录（2019年版）》，本项目属于</w:t>
            </w:r>
            <w:r>
              <w:rPr>
                <w:rFonts w:hint="eastAsia"/>
                <w:sz w:val="24"/>
                <w:szCs w:val="32"/>
              </w:rPr>
              <w:t>床位1</w:t>
            </w:r>
            <w:r>
              <w:rPr>
                <w:sz w:val="24"/>
                <w:szCs w:val="32"/>
              </w:rPr>
              <w:t>00</w:t>
            </w:r>
            <w:r>
              <w:rPr>
                <w:rFonts w:hint="eastAsia"/>
                <w:sz w:val="24"/>
                <w:szCs w:val="32"/>
              </w:rPr>
              <w:t>张以下的综合医院841</w:t>
            </w:r>
            <w:r>
              <w:rPr>
                <w:sz w:val="24"/>
                <w:szCs w:val="32"/>
              </w:rPr>
              <w:t>1，</w:t>
            </w:r>
            <w:r>
              <w:rPr>
                <w:rFonts w:hint="eastAsia"/>
                <w:sz w:val="24"/>
                <w:szCs w:val="32"/>
              </w:rPr>
              <w:t>属于登记</w:t>
            </w:r>
            <w:r>
              <w:rPr>
                <w:sz w:val="24"/>
                <w:szCs w:val="32"/>
              </w:rPr>
              <w:t>管理</w:t>
            </w:r>
            <w:r>
              <w:rPr>
                <w:rFonts w:hint="eastAsia"/>
                <w:sz w:val="24"/>
                <w:szCs w:val="32"/>
              </w:rPr>
              <w:t>范畴</w:t>
            </w:r>
            <w:r>
              <w:rPr>
                <w:sz w:val="24"/>
                <w:szCs w:val="32"/>
              </w:rPr>
              <w:t>。</w:t>
            </w:r>
          </w:p>
          <w:p>
            <w:pPr>
              <w:adjustRightInd w:val="0"/>
              <w:snapToGrid w:val="0"/>
              <w:spacing w:line="360" w:lineRule="auto"/>
              <w:ind w:firstLine="480" w:firstLineChars="200"/>
              <w:rPr>
                <w:sz w:val="24"/>
                <w:szCs w:val="32"/>
              </w:rPr>
            </w:pPr>
            <w:r>
              <w:rPr>
                <w:sz w:val="24"/>
                <w:szCs w:val="32"/>
              </w:rPr>
              <w:t>环评要求</w:t>
            </w:r>
            <w:r>
              <w:rPr>
                <w:rFonts w:hint="eastAsia"/>
                <w:sz w:val="24"/>
                <w:szCs w:val="32"/>
              </w:rPr>
              <w:t>建设单位</w:t>
            </w:r>
            <w:r>
              <w:rPr>
                <w:sz w:val="24"/>
                <w:szCs w:val="32"/>
              </w:rPr>
              <w:t>应按照</w:t>
            </w:r>
            <w:r>
              <w:rPr>
                <w:rFonts w:hint="eastAsia"/>
                <w:bCs/>
                <w:sz w:val="24"/>
                <w:szCs w:val="32"/>
              </w:rPr>
              <w:t>《</w:t>
            </w:r>
            <w:r>
              <w:rPr>
                <w:sz w:val="24"/>
              </w:rPr>
              <w:t>排污许可证申请与核发技术规范-</w:t>
            </w:r>
            <w:r>
              <w:rPr>
                <w:rFonts w:hint="eastAsia"/>
                <w:sz w:val="24"/>
              </w:rPr>
              <w:t>医疗机构</w:t>
            </w:r>
            <w:r>
              <w:rPr>
                <w:sz w:val="24"/>
              </w:rPr>
              <w:t>》（HJ</w:t>
            </w:r>
            <w:r>
              <w:rPr>
                <w:rFonts w:hint="eastAsia"/>
                <w:sz w:val="24"/>
              </w:rPr>
              <w:t>1105-2020</w:t>
            </w:r>
            <w:r>
              <w:rPr>
                <w:sz w:val="24"/>
              </w:rPr>
              <w:t>）</w:t>
            </w:r>
            <w:r>
              <w:rPr>
                <w:rFonts w:hint="eastAsia"/>
                <w:sz w:val="24"/>
                <w:szCs w:val="32"/>
              </w:rPr>
              <w:t>要求</w:t>
            </w:r>
            <w:r>
              <w:rPr>
                <w:sz w:val="24"/>
                <w:szCs w:val="32"/>
              </w:rPr>
              <w:t>完成排污许可证的</w:t>
            </w:r>
            <w:r>
              <w:rPr>
                <w:rFonts w:hint="eastAsia"/>
                <w:sz w:val="24"/>
                <w:szCs w:val="32"/>
              </w:rPr>
              <w:t>登记备案</w:t>
            </w:r>
            <w:r>
              <w:rPr>
                <w:sz w:val="24"/>
                <w:szCs w:val="32"/>
              </w:rPr>
              <w:t>。</w:t>
            </w:r>
          </w:p>
          <w:p>
            <w:pPr>
              <w:pStyle w:val="2"/>
              <w:jc w:val="both"/>
              <w:rPr>
                <w:b/>
                <w:bCs/>
                <w:sz w:val="24"/>
                <w:szCs w:val="32"/>
              </w:rPr>
            </w:pPr>
            <w:r>
              <w:rPr>
                <w:rFonts w:hint="eastAsia"/>
                <w:b/>
                <w:bCs/>
                <w:sz w:val="24"/>
                <w:szCs w:val="32"/>
              </w:rPr>
              <w:t>竣工环保验收：</w:t>
            </w:r>
          </w:p>
          <w:p>
            <w:pPr>
              <w:pStyle w:val="2"/>
              <w:spacing w:line="360" w:lineRule="auto"/>
              <w:ind w:firstLine="480" w:firstLineChars="200"/>
              <w:jc w:val="both"/>
              <w:rPr>
                <w:sz w:val="24"/>
                <w:szCs w:val="32"/>
              </w:rPr>
            </w:pPr>
            <w:r>
              <w:rPr>
                <w:sz w:val="24"/>
                <w:szCs w:val="32"/>
              </w:rPr>
              <w:t>按照《建设项目竣工环境保护验收暂行办法》中的要求，建设项目竣工后，建设单位应当依照国家有关法律法规、建设项目竣工环境保护验收技术规范、建设项目环境影响报告书（表）和审批决定等要求，编制建设项目竣工环境保护验收报告，并依法向社会公开。</w:t>
            </w:r>
            <w:r>
              <w:rPr>
                <w:rFonts w:hint="eastAsia"/>
                <w:sz w:val="24"/>
                <w:szCs w:val="32"/>
              </w:rPr>
              <w:t>在项目竣工环保验收前办理排污许可证。</w:t>
            </w:r>
          </w:p>
          <w:p/>
          <w:p/>
          <w:p/>
          <w:p/>
          <w:p/>
          <w:p/>
          <w:p/>
          <w:p/>
          <w:p/>
          <w:p/>
          <w:p/>
          <w:p/>
          <w:p/>
          <w:p/>
          <w:p/>
          <w:p/>
          <w:p/>
          <w:p/>
          <w:p/>
        </w:tc>
      </w:tr>
    </w:tbl>
    <w:p>
      <w:pPr>
        <w:pStyle w:val="9"/>
        <w:jc w:val="center"/>
        <w:outlineLvl w:val="0"/>
        <w:rPr>
          <w:rFonts w:ascii="黑体" w:hAnsi="黑体" w:eastAsia="黑体"/>
          <w:snapToGrid w:val="0"/>
          <w:sz w:val="30"/>
          <w:szCs w:val="30"/>
        </w:rPr>
      </w:pPr>
      <w:r>
        <w:rPr>
          <w:rFonts w:hint="eastAsia" w:ascii="黑体" w:hAnsi="黑体" w:eastAsia="黑体"/>
          <w:snapToGrid w:val="0"/>
          <w:sz w:val="30"/>
          <w:szCs w:val="30"/>
        </w:rPr>
        <w:t>六、结论</w:t>
      </w:r>
    </w:p>
    <w:p>
      <w:pPr>
        <w:pBdr>
          <w:top w:val="single" w:color="auto" w:sz="4" w:space="1"/>
          <w:left w:val="single" w:color="auto" w:sz="4" w:space="4"/>
          <w:bottom w:val="single" w:color="auto" w:sz="4" w:space="1"/>
          <w:right w:val="single" w:color="auto" w:sz="4" w:space="4"/>
        </w:pBdr>
        <w:spacing w:line="360" w:lineRule="auto"/>
        <w:ind w:firstLine="480" w:firstLineChars="200"/>
        <w:rPr>
          <w:kern w:val="0"/>
          <w:sz w:val="24"/>
        </w:rPr>
      </w:pPr>
      <w:bookmarkStart w:id="26" w:name="_Hlk170972854"/>
      <w:r>
        <w:rPr>
          <w:rFonts w:hint="eastAsia"/>
          <w:kern w:val="0"/>
          <w:sz w:val="24"/>
        </w:rPr>
        <w:t>建设项目</w:t>
      </w:r>
      <w:r>
        <w:rPr>
          <w:kern w:val="0"/>
          <w:sz w:val="24"/>
        </w:rPr>
        <w:t>符合国家产业政策，符合</w:t>
      </w:r>
      <w:r>
        <w:rPr>
          <w:rFonts w:hint="eastAsia"/>
          <w:kern w:val="0"/>
          <w:sz w:val="24"/>
        </w:rPr>
        <w:t>《医院污水处理工程技术规范》（HJ2029-2013）、《医疗废物管理条例》</w:t>
      </w:r>
      <w:r>
        <w:rPr>
          <w:kern w:val="0"/>
          <w:sz w:val="24"/>
        </w:rPr>
        <w:t>，且项目建设满足</w:t>
      </w:r>
      <w:r>
        <w:rPr>
          <w:rFonts w:hint="eastAsia"/>
          <w:kern w:val="0"/>
          <w:sz w:val="24"/>
        </w:rPr>
        <w:t>《常德市“三线一单”生态环境管控基本要求暨环境管控单元生态环境准入清单》</w:t>
      </w:r>
      <w:r>
        <w:rPr>
          <w:kern w:val="0"/>
          <w:sz w:val="24"/>
        </w:rPr>
        <w:t>要求。</w:t>
      </w:r>
      <w:bookmarkEnd w:id="26"/>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r>
        <w:rPr>
          <w:rFonts w:ascii="宋体" w:cs="宋体"/>
          <w:kern w:val="0"/>
          <w:sz w:val="24"/>
        </w:rPr>
        <w:t>通过对该项目的工程分析、环境影响分析，在采取本报告提出的污染控制措施的基础上，本项目对环境的影响较小。本项目的建设和实施从环境保护的角度分析是可行的。</w:t>
      </w:r>
      <w:bookmarkStart w:id="27" w:name="_Hlk170972869"/>
      <w:r>
        <w:rPr>
          <w:rFonts w:ascii="宋体" w:cs="宋体"/>
          <w:kern w:val="0"/>
          <w:sz w:val="24"/>
        </w:rPr>
        <w:t>建设单位应严格按照本报告提出的要求，切实落实相应的污染防治对策，严格执行“三同时”制度，并加强环保设施管理和维护，确保环保设施的正常高效运行，</w:t>
      </w:r>
      <w:bookmarkEnd w:id="27"/>
      <w:r>
        <w:rPr>
          <w:rFonts w:ascii="宋体" w:cs="宋体"/>
          <w:kern w:val="0"/>
          <w:sz w:val="24"/>
        </w:rPr>
        <w:t>减缓项目建设对环境带来的不利影响，使工程建设与环境保护协调发展。</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kern w:val="0"/>
          <w:sz w:val="24"/>
        </w:rPr>
      </w:pPr>
    </w:p>
    <w:p>
      <w:pPr>
        <w:spacing w:line="360" w:lineRule="auto"/>
        <w:ind w:firstLine="480" w:firstLineChars="200"/>
        <w:rPr>
          <w:rFonts w:ascii="宋体" w:cs="宋体"/>
          <w:kern w:val="0"/>
          <w:sz w:val="24"/>
        </w:rPr>
        <w:sectPr>
          <w:pgSz w:w="11906" w:h="16838"/>
          <w:pgMar w:top="1440" w:right="1800" w:bottom="1440" w:left="1800" w:header="851" w:footer="992" w:gutter="0"/>
          <w:cols w:space="425" w:num="1"/>
          <w:docGrid w:type="lines" w:linePitch="312" w:charSpace="0"/>
        </w:sectPr>
      </w:pPr>
    </w:p>
    <w:p>
      <w:pPr>
        <w:pStyle w:val="9"/>
        <w:adjustRightInd w:val="0"/>
        <w:snapToGrid w:val="0"/>
        <w:spacing w:before="0" w:beforeAutospacing="0" w:after="0" w:afterAutospacing="0" w:line="648" w:lineRule="auto"/>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9"/>
        <w:adjustRightInd w:val="0"/>
        <w:snapToGrid w:val="0"/>
        <w:spacing w:before="0" w:beforeAutospacing="0" w:after="0" w:afterAutospacing="0" w:line="552" w:lineRule="auto"/>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2268"/>
        <w:gridCol w:w="1701"/>
        <w:gridCol w:w="1276"/>
        <w:gridCol w:w="1418"/>
        <w:gridCol w:w="1559"/>
        <w:gridCol w:w="1379"/>
        <w:gridCol w:w="1741"/>
        <w:gridCol w:w="12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62" w:type="dxa"/>
            <w:tcBorders>
              <w:tl2br w:val="single" w:color="auto" w:sz="4" w:space="0"/>
            </w:tcBorders>
            <w:tcMar>
              <w:left w:w="28" w:type="dxa"/>
              <w:right w:w="28" w:type="dxa"/>
            </w:tcMar>
            <w:vAlign w:val="center"/>
          </w:tcPr>
          <w:p>
            <w:pPr>
              <w:ind w:firstLine="660" w:firstLineChars="300"/>
              <w:rPr>
                <w:sz w:val="22"/>
                <w:szCs w:val="22"/>
              </w:rPr>
            </w:pPr>
            <w:r>
              <w:rPr>
                <w:sz w:val="22"/>
                <w:szCs w:val="22"/>
              </w:rPr>
              <w:t>项目</w:t>
            </w:r>
          </w:p>
          <w:p>
            <w:pPr>
              <w:rPr>
                <w:sz w:val="22"/>
                <w:szCs w:val="22"/>
              </w:rPr>
            </w:pPr>
            <w:r>
              <w:rPr>
                <w:sz w:val="22"/>
                <w:szCs w:val="22"/>
              </w:rPr>
              <w:t>分类</w:t>
            </w:r>
          </w:p>
        </w:tc>
        <w:tc>
          <w:tcPr>
            <w:tcW w:w="2268" w:type="dxa"/>
            <w:tcMar>
              <w:left w:w="28" w:type="dxa"/>
              <w:right w:w="28" w:type="dxa"/>
            </w:tcMar>
            <w:vAlign w:val="center"/>
          </w:tcPr>
          <w:p>
            <w:pPr>
              <w:rPr>
                <w:sz w:val="22"/>
                <w:szCs w:val="22"/>
              </w:rPr>
            </w:pPr>
            <w:r>
              <w:rPr>
                <w:sz w:val="22"/>
                <w:szCs w:val="22"/>
              </w:rPr>
              <w:t>污染物名称</w:t>
            </w:r>
          </w:p>
        </w:tc>
        <w:tc>
          <w:tcPr>
            <w:tcW w:w="1701" w:type="dxa"/>
            <w:tcMar>
              <w:left w:w="28" w:type="dxa"/>
              <w:right w:w="28" w:type="dxa"/>
            </w:tcMar>
            <w:vAlign w:val="center"/>
          </w:tcPr>
          <w:p>
            <w:pPr>
              <w:rPr>
                <w:sz w:val="22"/>
                <w:szCs w:val="22"/>
              </w:rPr>
            </w:pPr>
            <w:r>
              <w:rPr>
                <w:sz w:val="22"/>
                <w:szCs w:val="22"/>
              </w:rPr>
              <w:t>现有工程</w:t>
            </w:r>
          </w:p>
          <w:p>
            <w:pPr>
              <w:rPr>
                <w:sz w:val="22"/>
                <w:szCs w:val="22"/>
              </w:rPr>
            </w:pPr>
            <w:r>
              <w:rPr>
                <w:sz w:val="22"/>
                <w:szCs w:val="22"/>
              </w:rPr>
              <w:t>排放量（固体废物产生量）</w:t>
            </w:r>
            <w:r>
              <w:rPr>
                <w:sz w:val="22"/>
                <w:szCs w:val="22"/>
              </w:rPr>
              <w:fldChar w:fldCharType="begin"/>
            </w:r>
            <w:r>
              <w:rPr>
                <w:sz w:val="22"/>
                <w:szCs w:val="22"/>
              </w:rPr>
              <w:instrText xml:space="preserve"> = 1 \* GB3 \* MERGEFORMAT </w:instrText>
            </w:r>
            <w:r>
              <w:rPr>
                <w:sz w:val="22"/>
                <w:szCs w:val="22"/>
              </w:rPr>
              <w:fldChar w:fldCharType="separate"/>
            </w:r>
            <w:r>
              <w:rPr>
                <w:rFonts w:hint="eastAsia"/>
                <w:sz w:val="22"/>
                <w:szCs w:val="22"/>
              </w:rPr>
              <w:t>①</w:t>
            </w:r>
            <w:r>
              <w:rPr>
                <w:sz w:val="22"/>
                <w:szCs w:val="22"/>
              </w:rPr>
              <w:fldChar w:fldCharType="end"/>
            </w:r>
          </w:p>
        </w:tc>
        <w:tc>
          <w:tcPr>
            <w:tcW w:w="1276" w:type="dxa"/>
            <w:tcMar>
              <w:left w:w="28" w:type="dxa"/>
              <w:right w:w="28" w:type="dxa"/>
            </w:tcMar>
            <w:vAlign w:val="center"/>
          </w:tcPr>
          <w:p>
            <w:pPr>
              <w:rPr>
                <w:sz w:val="22"/>
                <w:szCs w:val="22"/>
              </w:rPr>
            </w:pPr>
            <w:r>
              <w:rPr>
                <w:sz w:val="22"/>
                <w:szCs w:val="22"/>
              </w:rPr>
              <w:t>现有工程</w:t>
            </w:r>
          </w:p>
          <w:p>
            <w:pPr>
              <w:rPr>
                <w:sz w:val="22"/>
                <w:szCs w:val="22"/>
              </w:rPr>
            </w:pPr>
            <w:r>
              <w:rPr>
                <w:sz w:val="22"/>
                <w:szCs w:val="22"/>
              </w:rPr>
              <w:t>许可排放量</w:t>
            </w:r>
          </w:p>
          <w:p>
            <w:pPr>
              <w:rPr>
                <w:sz w:val="22"/>
                <w:szCs w:val="22"/>
              </w:rPr>
            </w:pPr>
            <w:r>
              <w:rPr>
                <w:sz w:val="22"/>
                <w:szCs w:val="22"/>
              </w:rPr>
              <w:fldChar w:fldCharType="begin"/>
            </w:r>
            <w:r>
              <w:rPr>
                <w:sz w:val="22"/>
                <w:szCs w:val="22"/>
              </w:rPr>
              <w:instrText xml:space="preserve"> = 2 \* GB3 \* MERGEFORMAT </w:instrText>
            </w:r>
            <w:r>
              <w:rPr>
                <w:sz w:val="22"/>
                <w:szCs w:val="22"/>
              </w:rPr>
              <w:fldChar w:fldCharType="separate"/>
            </w:r>
            <w:r>
              <w:rPr>
                <w:rFonts w:hint="eastAsia"/>
                <w:sz w:val="22"/>
                <w:szCs w:val="22"/>
              </w:rPr>
              <w:t>②</w:t>
            </w:r>
            <w:r>
              <w:rPr>
                <w:sz w:val="22"/>
                <w:szCs w:val="22"/>
              </w:rPr>
              <w:fldChar w:fldCharType="end"/>
            </w:r>
          </w:p>
        </w:tc>
        <w:tc>
          <w:tcPr>
            <w:tcW w:w="1418" w:type="dxa"/>
            <w:tcMar>
              <w:left w:w="28" w:type="dxa"/>
              <w:right w:w="28" w:type="dxa"/>
            </w:tcMar>
            <w:vAlign w:val="center"/>
          </w:tcPr>
          <w:p>
            <w:pPr>
              <w:rPr>
                <w:sz w:val="22"/>
                <w:szCs w:val="22"/>
              </w:rPr>
            </w:pPr>
            <w:r>
              <w:rPr>
                <w:sz w:val="22"/>
                <w:szCs w:val="22"/>
              </w:rPr>
              <w:t>在建工程</w:t>
            </w:r>
          </w:p>
          <w:p>
            <w:pPr>
              <w:rPr>
                <w:sz w:val="22"/>
                <w:szCs w:val="22"/>
              </w:rPr>
            </w:pPr>
            <w:r>
              <w:rPr>
                <w:sz w:val="22"/>
                <w:szCs w:val="22"/>
              </w:rPr>
              <w:t>排放量（固体废物产生量）</w:t>
            </w:r>
            <w:r>
              <w:rPr>
                <w:sz w:val="22"/>
                <w:szCs w:val="22"/>
              </w:rPr>
              <w:fldChar w:fldCharType="begin"/>
            </w:r>
            <w:r>
              <w:rPr>
                <w:sz w:val="22"/>
                <w:szCs w:val="22"/>
              </w:rPr>
              <w:instrText xml:space="preserve"> = 3 \* GB3 \* MERGEFORMAT </w:instrText>
            </w:r>
            <w:r>
              <w:rPr>
                <w:sz w:val="22"/>
                <w:szCs w:val="22"/>
              </w:rPr>
              <w:fldChar w:fldCharType="separate"/>
            </w:r>
            <w:r>
              <w:rPr>
                <w:rFonts w:hint="eastAsia"/>
                <w:sz w:val="22"/>
                <w:szCs w:val="22"/>
              </w:rPr>
              <w:t>③</w:t>
            </w:r>
            <w:r>
              <w:rPr>
                <w:sz w:val="22"/>
                <w:szCs w:val="22"/>
              </w:rPr>
              <w:fldChar w:fldCharType="end"/>
            </w:r>
          </w:p>
        </w:tc>
        <w:tc>
          <w:tcPr>
            <w:tcW w:w="1559" w:type="dxa"/>
            <w:tcMar>
              <w:left w:w="28" w:type="dxa"/>
              <w:right w:w="28" w:type="dxa"/>
            </w:tcMar>
            <w:vAlign w:val="center"/>
          </w:tcPr>
          <w:p>
            <w:pPr>
              <w:rPr>
                <w:sz w:val="22"/>
                <w:szCs w:val="22"/>
              </w:rPr>
            </w:pPr>
            <w:r>
              <w:rPr>
                <w:sz w:val="22"/>
                <w:szCs w:val="22"/>
              </w:rPr>
              <w:t>本项目</w:t>
            </w:r>
          </w:p>
          <w:p>
            <w:pPr>
              <w:rPr>
                <w:sz w:val="22"/>
                <w:szCs w:val="22"/>
              </w:rPr>
            </w:pPr>
            <w:r>
              <w:rPr>
                <w:sz w:val="22"/>
                <w:szCs w:val="22"/>
              </w:rPr>
              <w:t>排放量（固体废物产生量）</w:t>
            </w:r>
            <w:r>
              <w:rPr>
                <w:sz w:val="22"/>
                <w:szCs w:val="22"/>
              </w:rPr>
              <w:fldChar w:fldCharType="begin"/>
            </w:r>
            <w:r>
              <w:rPr>
                <w:sz w:val="22"/>
                <w:szCs w:val="22"/>
              </w:rPr>
              <w:instrText xml:space="preserve"> = 4 \* GB3 \* MERGEFORMAT </w:instrText>
            </w:r>
            <w:r>
              <w:rPr>
                <w:sz w:val="22"/>
                <w:szCs w:val="22"/>
              </w:rPr>
              <w:fldChar w:fldCharType="separate"/>
            </w:r>
            <w:r>
              <w:rPr>
                <w:rFonts w:hint="eastAsia"/>
                <w:sz w:val="22"/>
                <w:szCs w:val="22"/>
              </w:rPr>
              <w:t>④</w:t>
            </w:r>
            <w:r>
              <w:rPr>
                <w:sz w:val="22"/>
                <w:szCs w:val="22"/>
              </w:rPr>
              <w:fldChar w:fldCharType="end"/>
            </w:r>
          </w:p>
        </w:tc>
        <w:tc>
          <w:tcPr>
            <w:tcW w:w="1379" w:type="dxa"/>
            <w:tcMar>
              <w:left w:w="28" w:type="dxa"/>
              <w:right w:w="28" w:type="dxa"/>
            </w:tcMar>
            <w:vAlign w:val="center"/>
          </w:tcPr>
          <w:p>
            <w:pPr>
              <w:rPr>
                <w:sz w:val="22"/>
                <w:szCs w:val="22"/>
              </w:rPr>
            </w:pPr>
            <w:r>
              <w:rPr>
                <w:sz w:val="22"/>
                <w:szCs w:val="22"/>
              </w:rPr>
              <w:t>以新带老削减量（新建项目不填）</w:t>
            </w:r>
            <w:r>
              <w:rPr>
                <w:sz w:val="22"/>
                <w:szCs w:val="22"/>
              </w:rPr>
              <w:fldChar w:fldCharType="begin"/>
            </w:r>
            <w:r>
              <w:rPr>
                <w:sz w:val="22"/>
                <w:szCs w:val="22"/>
              </w:rPr>
              <w:instrText xml:space="preserve"> = 5 \* GB3 \* MERGEFORMAT </w:instrText>
            </w:r>
            <w:r>
              <w:rPr>
                <w:sz w:val="22"/>
                <w:szCs w:val="22"/>
              </w:rPr>
              <w:fldChar w:fldCharType="separate"/>
            </w:r>
            <w:r>
              <w:rPr>
                <w:rFonts w:hint="eastAsia"/>
                <w:sz w:val="22"/>
                <w:szCs w:val="22"/>
              </w:rPr>
              <w:t>⑤</w:t>
            </w:r>
            <w:r>
              <w:rPr>
                <w:sz w:val="22"/>
                <w:szCs w:val="22"/>
              </w:rPr>
              <w:fldChar w:fldCharType="end"/>
            </w:r>
          </w:p>
        </w:tc>
        <w:tc>
          <w:tcPr>
            <w:tcW w:w="1741" w:type="dxa"/>
            <w:tcMar>
              <w:left w:w="28" w:type="dxa"/>
              <w:right w:w="28" w:type="dxa"/>
            </w:tcMar>
            <w:vAlign w:val="center"/>
          </w:tcPr>
          <w:p>
            <w:pPr>
              <w:rPr>
                <w:sz w:val="22"/>
                <w:szCs w:val="22"/>
              </w:rPr>
            </w:pPr>
            <w:r>
              <w:rPr>
                <w:sz w:val="22"/>
                <w:szCs w:val="22"/>
              </w:rPr>
              <w:t>本项目建成后全厂排放量（固体废物产生量）</w:t>
            </w:r>
            <w:r>
              <w:rPr>
                <w:sz w:val="22"/>
                <w:szCs w:val="22"/>
              </w:rPr>
              <w:fldChar w:fldCharType="begin"/>
            </w:r>
            <w:r>
              <w:rPr>
                <w:sz w:val="22"/>
                <w:szCs w:val="22"/>
              </w:rPr>
              <w:instrText xml:space="preserve"> = 6 \* GB3 \* MERGEFORMAT </w:instrText>
            </w:r>
            <w:r>
              <w:rPr>
                <w:sz w:val="22"/>
                <w:szCs w:val="22"/>
              </w:rPr>
              <w:fldChar w:fldCharType="separate"/>
            </w:r>
            <w:r>
              <w:rPr>
                <w:rFonts w:hint="eastAsia"/>
                <w:sz w:val="22"/>
                <w:szCs w:val="22"/>
              </w:rPr>
              <w:t>⑥</w:t>
            </w:r>
            <w:r>
              <w:rPr>
                <w:sz w:val="22"/>
                <w:szCs w:val="22"/>
              </w:rPr>
              <w:fldChar w:fldCharType="end"/>
            </w:r>
          </w:p>
        </w:tc>
        <w:tc>
          <w:tcPr>
            <w:tcW w:w="1284" w:type="dxa"/>
            <w:tcMar>
              <w:left w:w="28" w:type="dxa"/>
              <w:right w:w="28" w:type="dxa"/>
            </w:tcMar>
            <w:vAlign w:val="center"/>
          </w:tcPr>
          <w:p>
            <w:pPr>
              <w:rPr>
                <w:sz w:val="22"/>
                <w:szCs w:val="22"/>
              </w:rPr>
            </w:pPr>
            <w:r>
              <w:rPr>
                <w:sz w:val="22"/>
                <w:szCs w:val="22"/>
              </w:rPr>
              <w:t>变化量</w:t>
            </w:r>
            <w:r>
              <w:rPr>
                <w:sz w:val="22"/>
                <w:szCs w:val="22"/>
              </w:rPr>
              <w:fldChar w:fldCharType="begin"/>
            </w:r>
            <w:r>
              <w:rPr>
                <w:sz w:val="22"/>
                <w:szCs w:val="22"/>
              </w:rPr>
              <w:instrText xml:space="preserve"> = 7 \* GB3 \* MERGEFORMAT </w:instrText>
            </w:r>
            <w:r>
              <w:rPr>
                <w:sz w:val="22"/>
                <w:szCs w:val="22"/>
              </w:rPr>
              <w:fldChar w:fldCharType="separate"/>
            </w:r>
            <w:r>
              <w:rPr>
                <w:rFonts w:hint="eastAsia"/>
                <w:sz w:val="22"/>
                <w:szCs w:val="22"/>
              </w:rPr>
              <w:t>⑦</w:t>
            </w:r>
            <w:r>
              <w:rPr>
                <w:sz w:val="22"/>
                <w:szCs w:val="22"/>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62" w:type="dxa"/>
            <w:vMerge w:val="restart"/>
            <w:vAlign w:val="center"/>
          </w:tcPr>
          <w:p>
            <w:pPr>
              <w:rPr>
                <w:sz w:val="22"/>
                <w:szCs w:val="22"/>
              </w:rPr>
            </w:pPr>
            <w:r>
              <w:rPr>
                <w:sz w:val="22"/>
                <w:szCs w:val="22"/>
              </w:rPr>
              <w:t>废气</w:t>
            </w:r>
          </w:p>
        </w:tc>
        <w:tc>
          <w:tcPr>
            <w:tcW w:w="2268" w:type="dxa"/>
            <w:vAlign w:val="center"/>
          </w:tcPr>
          <w:p>
            <w:pPr>
              <w:rPr>
                <w:sz w:val="22"/>
                <w:szCs w:val="22"/>
              </w:rPr>
            </w:pPr>
            <w:r>
              <w:rPr>
                <w:rFonts w:hint="eastAsia"/>
                <w:sz w:val="22"/>
                <w:szCs w:val="22"/>
              </w:rPr>
              <w:t>氨</w:t>
            </w:r>
          </w:p>
        </w:tc>
        <w:tc>
          <w:tcPr>
            <w:tcW w:w="1701" w:type="dxa"/>
            <w:vAlign w:val="center"/>
          </w:tcPr>
          <w:p>
            <w:pPr>
              <w:rPr>
                <w:sz w:val="22"/>
                <w:szCs w:val="22"/>
              </w:rPr>
            </w:pPr>
          </w:p>
        </w:tc>
        <w:tc>
          <w:tcPr>
            <w:tcW w:w="1276" w:type="dxa"/>
          </w:tcPr>
          <w:p>
            <w:pPr>
              <w:rPr>
                <w:sz w:val="22"/>
                <w:szCs w:val="22"/>
              </w:rPr>
            </w:pPr>
          </w:p>
        </w:tc>
        <w:tc>
          <w:tcPr>
            <w:tcW w:w="1418" w:type="dxa"/>
          </w:tcPr>
          <w:p>
            <w:pPr>
              <w:rPr>
                <w:sz w:val="22"/>
                <w:szCs w:val="22"/>
              </w:rPr>
            </w:pPr>
          </w:p>
        </w:tc>
        <w:tc>
          <w:tcPr>
            <w:tcW w:w="1559" w:type="dxa"/>
            <w:vAlign w:val="center"/>
          </w:tcPr>
          <w:p>
            <w:pPr>
              <w:rPr>
                <w:sz w:val="22"/>
                <w:szCs w:val="22"/>
              </w:rPr>
            </w:pPr>
            <w:r>
              <w:rPr>
                <w:rFonts w:hint="eastAsia"/>
                <w:sz w:val="22"/>
                <w:szCs w:val="22"/>
              </w:rPr>
              <w:t>4.3kg/a</w:t>
            </w:r>
          </w:p>
        </w:tc>
        <w:tc>
          <w:tcPr>
            <w:tcW w:w="1379" w:type="dxa"/>
          </w:tcPr>
          <w:p>
            <w:pPr>
              <w:rPr>
                <w:sz w:val="22"/>
                <w:szCs w:val="22"/>
              </w:rPr>
            </w:pPr>
          </w:p>
        </w:tc>
        <w:tc>
          <w:tcPr>
            <w:tcW w:w="1741" w:type="dxa"/>
            <w:vAlign w:val="center"/>
          </w:tcPr>
          <w:p>
            <w:pPr>
              <w:rPr>
                <w:sz w:val="22"/>
                <w:szCs w:val="22"/>
              </w:rPr>
            </w:pPr>
          </w:p>
        </w:tc>
        <w:tc>
          <w:tcPr>
            <w:tcW w:w="1284" w:type="dxa"/>
            <w:vAlign w:val="center"/>
          </w:tcPr>
          <w:p>
            <w:pPr>
              <w:rPr>
                <w:sz w:val="22"/>
                <w:szCs w:val="22"/>
              </w:rPr>
            </w:pPr>
            <w:r>
              <w:rPr>
                <w:rFonts w:hint="eastAsia"/>
                <w:sz w:val="22"/>
                <w:szCs w:val="22"/>
              </w:rPr>
              <w:t>+4.3kg/a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62" w:type="dxa"/>
            <w:vMerge w:val="continue"/>
            <w:vAlign w:val="center"/>
          </w:tcPr>
          <w:p>
            <w:pPr>
              <w:rPr>
                <w:sz w:val="22"/>
                <w:szCs w:val="22"/>
              </w:rPr>
            </w:pPr>
          </w:p>
        </w:tc>
        <w:tc>
          <w:tcPr>
            <w:tcW w:w="2268" w:type="dxa"/>
            <w:vAlign w:val="center"/>
          </w:tcPr>
          <w:p>
            <w:pPr>
              <w:rPr>
                <w:sz w:val="22"/>
                <w:szCs w:val="22"/>
              </w:rPr>
            </w:pPr>
            <w:r>
              <w:rPr>
                <w:rFonts w:hint="eastAsia"/>
                <w:sz w:val="22"/>
                <w:szCs w:val="22"/>
              </w:rPr>
              <w:t>硫化氢</w:t>
            </w:r>
          </w:p>
        </w:tc>
        <w:tc>
          <w:tcPr>
            <w:tcW w:w="1701" w:type="dxa"/>
            <w:vAlign w:val="center"/>
          </w:tcPr>
          <w:p>
            <w:pPr>
              <w:rPr>
                <w:sz w:val="22"/>
                <w:szCs w:val="22"/>
              </w:rPr>
            </w:pPr>
          </w:p>
        </w:tc>
        <w:tc>
          <w:tcPr>
            <w:tcW w:w="1276" w:type="dxa"/>
          </w:tcPr>
          <w:p>
            <w:pPr>
              <w:rPr>
                <w:sz w:val="22"/>
                <w:szCs w:val="22"/>
              </w:rPr>
            </w:pPr>
          </w:p>
        </w:tc>
        <w:tc>
          <w:tcPr>
            <w:tcW w:w="1418" w:type="dxa"/>
          </w:tcPr>
          <w:p>
            <w:pPr>
              <w:rPr>
                <w:sz w:val="22"/>
                <w:szCs w:val="22"/>
              </w:rPr>
            </w:pPr>
          </w:p>
        </w:tc>
        <w:tc>
          <w:tcPr>
            <w:tcW w:w="1559" w:type="dxa"/>
            <w:vAlign w:val="center"/>
          </w:tcPr>
          <w:p>
            <w:pPr>
              <w:rPr>
                <w:sz w:val="22"/>
                <w:szCs w:val="22"/>
              </w:rPr>
            </w:pPr>
            <w:r>
              <w:rPr>
                <w:rFonts w:hint="eastAsia"/>
                <w:sz w:val="22"/>
                <w:szCs w:val="22"/>
              </w:rPr>
              <w:t>0.2kg/a</w:t>
            </w:r>
          </w:p>
        </w:tc>
        <w:tc>
          <w:tcPr>
            <w:tcW w:w="1379" w:type="dxa"/>
          </w:tcPr>
          <w:p>
            <w:pPr>
              <w:rPr>
                <w:sz w:val="22"/>
                <w:szCs w:val="22"/>
              </w:rPr>
            </w:pPr>
          </w:p>
        </w:tc>
        <w:tc>
          <w:tcPr>
            <w:tcW w:w="1741" w:type="dxa"/>
            <w:vAlign w:val="center"/>
          </w:tcPr>
          <w:p>
            <w:pPr>
              <w:rPr>
                <w:sz w:val="22"/>
                <w:szCs w:val="22"/>
              </w:rPr>
            </w:pPr>
          </w:p>
        </w:tc>
        <w:tc>
          <w:tcPr>
            <w:tcW w:w="1284" w:type="dxa"/>
            <w:vAlign w:val="center"/>
          </w:tcPr>
          <w:p>
            <w:pPr>
              <w:rPr>
                <w:sz w:val="22"/>
                <w:szCs w:val="22"/>
              </w:rPr>
            </w:pPr>
            <w:r>
              <w:rPr>
                <w:rFonts w:hint="eastAsia"/>
                <w:sz w:val="22"/>
                <w:szCs w:val="22"/>
              </w:rPr>
              <w:t>+0.2kg/a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62" w:type="dxa"/>
            <w:vMerge w:val="restart"/>
            <w:vAlign w:val="center"/>
          </w:tcPr>
          <w:p>
            <w:pPr>
              <w:rPr>
                <w:sz w:val="22"/>
                <w:szCs w:val="22"/>
              </w:rPr>
            </w:pPr>
            <w:r>
              <w:rPr>
                <w:sz w:val="22"/>
                <w:szCs w:val="22"/>
              </w:rPr>
              <w:t>废水</w:t>
            </w:r>
          </w:p>
        </w:tc>
        <w:tc>
          <w:tcPr>
            <w:tcW w:w="2268" w:type="dxa"/>
            <w:vAlign w:val="center"/>
          </w:tcPr>
          <w:p>
            <w:pPr>
              <w:rPr>
                <w:sz w:val="22"/>
                <w:szCs w:val="22"/>
              </w:rPr>
            </w:pPr>
            <w:r>
              <w:rPr>
                <w:sz w:val="22"/>
                <w:szCs w:val="22"/>
              </w:rPr>
              <w:t>COD</w:t>
            </w:r>
            <w:r>
              <w:rPr>
                <w:sz w:val="22"/>
                <w:szCs w:val="22"/>
                <w:vertAlign w:val="subscript"/>
              </w:rPr>
              <w:t>cr</w:t>
            </w:r>
          </w:p>
        </w:tc>
        <w:tc>
          <w:tcPr>
            <w:tcW w:w="1701" w:type="dxa"/>
            <w:vAlign w:val="center"/>
          </w:tcPr>
          <w:p>
            <w:pPr>
              <w:rPr>
                <w:sz w:val="22"/>
                <w:szCs w:val="22"/>
              </w:rPr>
            </w:pPr>
          </w:p>
        </w:tc>
        <w:tc>
          <w:tcPr>
            <w:tcW w:w="1276" w:type="dxa"/>
          </w:tcPr>
          <w:p>
            <w:pPr>
              <w:rPr>
                <w:sz w:val="22"/>
                <w:szCs w:val="22"/>
              </w:rPr>
            </w:pPr>
          </w:p>
        </w:tc>
        <w:tc>
          <w:tcPr>
            <w:tcW w:w="1418" w:type="dxa"/>
          </w:tcPr>
          <w:p>
            <w:pPr>
              <w:rPr>
                <w:sz w:val="22"/>
                <w:szCs w:val="22"/>
              </w:rPr>
            </w:pPr>
          </w:p>
        </w:tc>
        <w:tc>
          <w:tcPr>
            <w:tcW w:w="1559" w:type="dxa"/>
            <w:vAlign w:val="center"/>
          </w:tcPr>
          <w:p>
            <w:pPr>
              <w:rPr>
                <w:sz w:val="22"/>
                <w:szCs w:val="22"/>
              </w:rPr>
            </w:pPr>
            <w:r>
              <w:rPr>
                <w:rFonts w:hint="eastAsia"/>
                <w:sz w:val="22"/>
                <w:szCs w:val="22"/>
              </w:rPr>
              <w:t>0.23t/a</w:t>
            </w:r>
          </w:p>
        </w:tc>
        <w:tc>
          <w:tcPr>
            <w:tcW w:w="1379" w:type="dxa"/>
            <w:vAlign w:val="center"/>
          </w:tcPr>
          <w:p>
            <w:pPr>
              <w:rPr>
                <w:sz w:val="22"/>
                <w:szCs w:val="22"/>
              </w:rPr>
            </w:pPr>
          </w:p>
        </w:tc>
        <w:tc>
          <w:tcPr>
            <w:tcW w:w="1741" w:type="dxa"/>
            <w:vAlign w:val="center"/>
          </w:tcPr>
          <w:p>
            <w:pPr>
              <w:rPr>
                <w:sz w:val="22"/>
                <w:szCs w:val="22"/>
              </w:rPr>
            </w:pPr>
          </w:p>
        </w:tc>
        <w:tc>
          <w:tcPr>
            <w:tcW w:w="1284" w:type="dxa"/>
            <w:vAlign w:val="center"/>
          </w:tcPr>
          <w:p>
            <w:pPr>
              <w:rPr>
                <w:sz w:val="22"/>
                <w:szCs w:val="22"/>
              </w:rPr>
            </w:pPr>
            <w:r>
              <w:rPr>
                <w:rFonts w:hint="eastAsia"/>
                <w:sz w:val="22"/>
                <w:szCs w:val="22"/>
              </w:rPr>
              <w:t>+0.23t/a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62" w:type="dxa"/>
            <w:vMerge w:val="continue"/>
            <w:vAlign w:val="center"/>
          </w:tcPr>
          <w:p>
            <w:pPr>
              <w:rPr>
                <w:sz w:val="22"/>
                <w:szCs w:val="22"/>
              </w:rPr>
            </w:pPr>
          </w:p>
        </w:tc>
        <w:tc>
          <w:tcPr>
            <w:tcW w:w="2268" w:type="dxa"/>
            <w:vAlign w:val="center"/>
          </w:tcPr>
          <w:p>
            <w:pPr>
              <w:rPr>
                <w:sz w:val="22"/>
                <w:szCs w:val="22"/>
              </w:rPr>
            </w:pPr>
            <w:r>
              <w:rPr>
                <w:sz w:val="22"/>
                <w:szCs w:val="22"/>
              </w:rPr>
              <w:t>BOD</w:t>
            </w:r>
            <w:r>
              <w:rPr>
                <w:sz w:val="22"/>
                <w:szCs w:val="22"/>
                <w:vertAlign w:val="subscript"/>
              </w:rPr>
              <w:t>5</w:t>
            </w:r>
          </w:p>
        </w:tc>
        <w:tc>
          <w:tcPr>
            <w:tcW w:w="1701" w:type="dxa"/>
            <w:vAlign w:val="center"/>
          </w:tcPr>
          <w:p>
            <w:pPr>
              <w:rPr>
                <w:sz w:val="22"/>
                <w:szCs w:val="22"/>
              </w:rPr>
            </w:pPr>
          </w:p>
        </w:tc>
        <w:tc>
          <w:tcPr>
            <w:tcW w:w="1276" w:type="dxa"/>
          </w:tcPr>
          <w:p>
            <w:pPr>
              <w:rPr>
                <w:sz w:val="22"/>
                <w:szCs w:val="22"/>
              </w:rPr>
            </w:pPr>
          </w:p>
        </w:tc>
        <w:tc>
          <w:tcPr>
            <w:tcW w:w="1418" w:type="dxa"/>
          </w:tcPr>
          <w:p>
            <w:pPr>
              <w:rPr>
                <w:sz w:val="22"/>
                <w:szCs w:val="22"/>
              </w:rPr>
            </w:pPr>
          </w:p>
        </w:tc>
        <w:tc>
          <w:tcPr>
            <w:tcW w:w="1559" w:type="dxa"/>
            <w:vAlign w:val="center"/>
          </w:tcPr>
          <w:p>
            <w:pPr>
              <w:rPr>
                <w:sz w:val="22"/>
                <w:szCs w:val="22"/>
              </w:rPr>
            </w:pPr>
            <w:r>
              <w:rPr>
                <w:rFonts w:hint="eastAsia"/>
                <w:sz w:val="22"/>
                <w:szCs w:val="22"/>
              </w:rPr>
              <w:t>0.05t/a</w:t>
            </w:r>
          </w:p>
        </w:tc>
        <w:tc>
          <w:tcPr>
            <w:tcW w:w="1379" w:type="dxa"/>
            <w:vAlign w:val="center"/>
          </w:tcPr>
          <w:p>
            <w:pPr>
              <w:rPr>
                <w:sz w:val="22"/>
                <w:szCs w:val="22"/>
              </w:rPr>
            </w:pPr>
          </w:p>
        </w:tc>
        <w:tc>
          <w:tcPr>
            <w:tcW w:w="1741" w:type="dxa"/>
            <w:vAlign w:val="center"/>
          </w:tcPr>
          <w:p>
            <w:pPr>
              <w:rPr>
                <w:sz w:val="22"/>
                <w:szCs w:val="22"/>
              </w:rPr>
            </w:pPr>
          </w:p>
        </w:tc>
        <w:tc>
          <w:tcPr>
            <w:tcW w:w="1284" w:type="dxa"/>
            <w:vAlign w:val="center"/>
          </w:tcPr>
          <w:p>
            <w:pPr>
              <w:rPr>
                <w:sz w:val="22"/>
                <w:szCs w:val="22"/>
              </w:rPr>
            </w:pPr>
            <w:r>
              <w:rPr>
                <w:rFonts w:hint="eastAsia"/>
                <w:sz w:val="22"/>
                <w:szCs w:val="22"/>
              </w:rPr>
              <w:t>+0.05t/a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62" w:type="dxa"/>
            <w:vMerge w:val="continue"/>
            <w:vAlign w:val="center"/>
          </w:tcPr>
          <w:p>
            <w:pPr>
              <w:rPr>
                <w:sz w:val="22"/>
                <w:szCs w:val="22"/>
              </w:rPr>
            </w:pPr>
          </w:p>
        </w:tc>
        <w:tc>
          <w:tcPr>
            <w:tcW w:w="2268" w:type="dxa"/>
            <w:vAlign w:val="center"/>
          </w:tcPr>
          <w:p>
            <w:pPr>
              <w:rPr>
                <w:sz w:val="22"/>
                <w:szCs w:val="22"/>
              </w:rPr>
            </w:pPr>
            <w:r>
              <w:rPr>
                <w:sz w:val="22"/>
                <w:szCs w:val="22"/>
              </w:rPr>
              <w:t>SS</w:t>
            </w:r>
          </w:p>
        </w:tc>
        <w:tc>
          <w:tcPr>
            <w:tcW w:w="1701" w:type="dxa"/>
            <w:vAlign w:val="center"/>
          </w:tcPr>
          <w:p>
            <w:pPr>
              <w:rPr>
                <w:sz w:val="22"/>
                <w:szCs w:val="22"/>
              </w:rPr>
            </w:pPr>
          </w:p>
        </w:tc>
        <w:tc>
          <w:tcPr>
            <w:tcW w:w="1276" w:type="dxa"/>
          </w:tcPr>
          <w:p>
            <w:pPr>
              <w:rPr>
                <w:sz w:val="22"/>
                <w:szCs w:val="22"/>
              </w:rPr>
            </w:pPr>
          </w:p>
        </w:tc>
        <w:tc>
          <w:tcPr>
            <w:tcW w:w="1418" w:type="dxa"/>
          </w:tcPr>
          <w:p>
            <w:pPr>
              <w:rPr>
                <w:sz w:val="22"/>
                <w:szCs w:val="22"/>
              </w:rPr>
            </w:pPr>
          </w:p>
        </w:tc>
        <w:tc>
          <w:tcPr>
            <w:tcW w:w="1559" w:type="dxa"/>
            <w:vAlign w:val="center"/>
          </w:tcPr>
          <w:p>
            <w:pPr>
              <w:rPr>
                <w:sz w:val="22"/>
                <w:szCs w:val="22"/>
              </w:rPr>
            </w:pPr>
            <w:r>
              <w:rPr>
                <w:rFonts w:hint="eastAsia"/>
                <w:sz w:val="22"/>
                <w:szCs w:val="22"/>
              </w:rPr>
              <w:t>0.15t/a</w:t>
            </w:r>
          </w:p>
        </w:tc>
        <w:tc>
          <w:tcPr>
            <w:tcW w:w="1379" w:type="dxa"/>
            <w:vAlign w:val="center"/>
          </w:tcPr>
          <w:p>
            <w:pPr>
              <w:rPr>
                <w:sz w:val="22"/>
                <w:szCs w:val="22"/>
              </w:rPr>
            </w:pPr>
          </w:p>
        </w:tc>
        <w:tc>
          <w:tcPr>
            <w:tcW w:w="1741" w:type="dxa"/>
            <w:vAlign w:val="center"/>
          </w:tcPr>
          <w:p>
            <w:pPr>
              <w:rPr>
                <w:sz w:val="22"/>
                <w:szCs w:val="22"/>
              </w:rPr>
            </w:pPr>
          </w:p>
        </w:tc>
        <w:tc>
          <w:tcPr>
            <w:tcW w:w="1284" w:type="dxa"/>
            <w:vAlign w:val="center"/>
          </w:tcPr>
          <w:p>
            <w:pPr>
              <w:rPr>
                <w:sz w:val="22"/>
                <w:szCs w:val="22"/>
              </w:rPr>
            </w:pPr>
            <w:r>
              <w:rPr>
                <w:rFonts w:hint="eastAsia"/>
                <w:sz w:val="22"/>
                <w:szCs w:val="22"/>
              </w:rPr>
              <w:t>+0.15t/a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62" w:type="dxa"/>
            <w:vMerge w:val="continue"/>
            <w:vAlign w:val="center"/>
          </w:tcPr>
          <w:p>
            <w:pPr>
              <w:rPr>
                <w:sz w:val="22"/>
                <w:szCs w:val="22"/>
              </w:rPr>
            </w:pPr>
          </w:p>
        </w:tc>
        <w:tc>
          <w:tcPr>
            <w:tcW w:w="2268" w:type="dxa"/>
            <w:vAlign w:val="center"/>
          </w:tcPr>
          <w:p>
            <w:pPr>
              <w:rPr>
                <w:sz w:val="22"/>
                <w:szCs w:val="22"/>
              </w:rPr>
            </w:pPr>
            <w:r>
              <w:rPr>
                <w:rFonts w:hint="eastAsia"/>
                <w:sz w:val="22"/>
                <w:szCs w:val="22"/>
              </w:rPr>
              <w:t>氨氮</w:t>
            </w:r>
          </w:p>
        </w:tc>
        <w:tc>
          <w:tcPr>
            <w:tcW w:w="1701" w:type="dxa"/>
            <w:vAlign w:val="center"/>
          </w:tcPr>
          <w:p>
            <w:pPr>
              <w:rPr>
                <w:sz w:val="22"/>
                <w:szCs w:val="22"/>
              </w:rPr>
            </w:pPr>
          </w:p>
        </w:tc>
        <w:tc>
          <w:tcPr>
            <w:tcW w:w="1276" w:type="dxa"/>
          </w:tcPr>
          <w:p>
            <w:pPr>
              <w:rPr>
                <w:sz w:val="22"/>
                <w:szCs w:val="22"/>
              </w:rPr>
            </w:pPr>
          </w:p>
        </w:tc>
        <w:tc>
          <w:tcPr>
            <w:tcW w:w="1418" w:type="dxa"/>
          </w:tcPr>
          <w:p>
            <w:pPr>
              <w:rPr>
                <w:sz w:val="22"/>
                <w:szCs w:val="22"/>
              </w:rPr>
            </w:pPr>
          </w:p>
        </w:tc>
        <w:tc>
          <w:tcPr>
            <w:tcW w:w="1559" w:type="dxa"/>
            <w:vAlign w:val="center"/>
          </w:tcPr>
          <w:p>
            <w:pPr>
              <w:rPr>
                <w:sz w:val="22"/>
                <w:szCs w:val="22"/>
              </w:rPr>
            </w:pPr>
            <w:r>
              <w:rPr>
                <w:rFonts w:hint="eastAsia"/>
                <w:sz w:val="22"/>
                <w:szCs w:val="22"/>
              </w:rPr>
              <w:t>0.05t/a</w:t>
            </w:r>
          </w:p>
        </w:tc>
        <w:tc>
          <w:tcPr>
            <w:tcW w:w="1379" w:type="dxa"/>
            <w:vAlign w:val="center"/>
          </w:tcPr>
          <w:p>
            <w:pPr>
              <w:rPr>
                <w:sz w:val="22"/>
                <w:szCs w:val="22"/>
              </w:rPr>
            </w:pPr>
          </w:p>
        </w:tc>
        <w:tc>
          <w:tcPr>
            <w:tcW w:w="1741" w:type="dxa"/>
            <w:vAlign w:val="center"/>
          </w:tcPr>
          <w:p>
            <w:pPr>
              <w:rPr>
                <w:sz w:val="22"/>
                <w:szCs w:val="22"/>
              </w:rPr>
            </w:pPr>
          </w:p>
        </w:tc>
        <w:tc>
          <w:tcPr>
            <w:tcW w:w="1284" w:type="dxa"/>
            <w:vAlign w:val="center"/>
          </w:tcPr>
          <w:p>
            <w:pPr>
              <w:rPr>
                <w:sz w:val="22"/>
                <w:szCs w:val="22"/>
              </w:rPr>
            </w:pPr>
            <w:r>
              <w:rPr>
                <w:rFonts w:hint="eastAsia"/>
                <w:sz w:val="22"/>
                <w:szCs w:val="22"/>
              </w:rPr>
              <w:t>+0.05t/a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2" w:type="dxa"/>
            <w:vMerge w:val="restart"/>
            <w:vAlign w:val="center"/>
          </w:tcPr>
          <w:p>
            <w:pPr>
              <w:rPr>
                <w:sz w:val="22"/>
                <w:szCs w:val="22"/>
              </w:rPr>
            </w:pPr>
            <w:r>
              <w:rPr>
                <w:sz w:val="22"/>
                <w:szCs w:val="22"/>
              </w:rPr>
              <w:t>一般工业</w:t>
            </w:r>
          </w:p>
          <w:p>
            <w:pPr>
              <w:rPr>
                <w:sz w:val="22"/>
                <w:szCs w:val="22"/>
              </w:rPr>
            </w:pPr>
            <w:r>
              <w:rPr>
                <w:sz w:val="22"/>
                <w:szCs w:val="22"/>
              </w:rPr>
              <w:t>固体废物</w:t>
            </w:r>
          </w:p>
        </w:tc>
        <w:tc>
          <w:tcPr>
            <w:tcW w:w="2268" w:type="dxa"/>
            <w:vAlign w:val="center"/>
          </w:tcPr>
          <w:p>
            <w:pPr>
              <w:rPr>
                <w:sz w:val="22"/>
                <w:szCs w:val="22"/>
              </w:rPr>
            </w:pPr>
            <w:r>
              <w:rPr>
                <w:rFonts w:hint="eastAsia"/>
                <w:sz w:val="22"/>
                <w:szCs w:val="22"/>
              </w:rPr>
              <w:t>生活垃圾</w:t>
            </w:r>
          </w:p>
        </w:tc>
        <w:tc>
          <w:tcPr>
            <w:tcW w:w="1701" w:type="dxa"/>
            <w:vAlign w:val="center"/>
          </w:tcPr>
          <w:p>
            <w:pPr>
              <w:rPr>
                <w:sz w:val="22"/>
                <w:szCs w:val="22"/>
              </w:rPr>
            </w:pPr>
          </w:p>
        </w:tc>
        <w:tc>
          <w:tcPr>
            <w:tcW w:w="1276" w:type="dxa"/>
            <w:vAlign w:val="center"/>
          </w:tcPr>
          <w:p>
            <w:pPr>
              <w:rPr>
                <w:sz w:val="22"/>
                <w:szCs w:val="22"/>
              </w:rPr>
            </w:pPr>
          </w:p>
        </w:tc>
        <w:tc>
          <w:tcPr>
            <w:tcW w:w="1418" w:type="dxa"/>
            <w:vAlign w:val="center"/>
          </w:tcPr>
          <w:p>
            <w:pPr>
              <w:rPr>
                <w:sz w:val="22"/>
                <w:szCs w:val="22"/>
              </w:rPr>
            </w:pPr>
          </w:p>
        </w:tc>
        <w:tc>
          <w:tcPr>
            <w:tcW w:w="1559" w:type="dxa"/>
            <w:vAlign w:val="center"/>
          </w:tcPr>
          <w:p>
            <w:pPr>
              <w:rPr>
                <w:sz w:val="22"/>
                <w:szCs w:val="22"/>
              </w:rPr>
            </w:pPr>
            <w:r>
              <w:rPr>
                <w:rFonts w:hint="eastAsia"/>
                <w:sz w:val="22"/>
                <w:szCs w:val="22"/>
              </w:rPr>
              <w:t>34.68t/a</w:t>
            </w:r>
          </w:p>
        </w:tc>
        <w:tc>
          <w:tcPr>
            <w:tcW w:w="1379" w:type="dxa"/>
            <w:vAlign w:val="center"/>
          </w:tcPr>
          <w:p>
            <w:pPr>
              <w:rPr>
                <w:sz w:val="22"/>
                <w:szCs w:val="22"/>
              </w:rPr>
            </w:pPr>
          </w:p>
        </w:tc>
        <w:tc>
          <w:tcPr>
            <w:tcW w:w="1741" w:type="dxa"/>
            <w:vAlign w:val="center"/>
          </w:tcPr>
          <w:p>
            <w:pPr>
              <w:rPr>
                <w:sz w:val="22"/>
                <w:szCs w:val="22"/>
              </w:rPr>
            </w:pPr>
          </w:p>
        </w:tc>
        <w:tc>
          <w:tcPr>
            <w:tcW w:w="1284" w:type="dxa"/>
            <w:vAlign w:val="center"/>
          </w:tcPr>
          <w:p>
            <w:pPr>
              <w:rPr>
                <w:sz w:val="22"/>
                <w:szCs w:val="22"/>
              </w:rPr>
            </w:pPr>
            <w:r>
              <w:rPr>
                <w:rFonts w:hint="eastAsia"/>
                <w:sz w:val="22"/>
                <w:szCs w:val="22"/>
              </w:rPr>
              <w:t>+34.68t/a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2" w:type="dxa"/>
            <w:vMerge w:val="continue"/>
            <w:vAlign w:val="center"/>
          </w:tcPr>
          <w:p>
            <w:pPr>
              <w:rPr>
                <w:sz w:val="22"/>
                <w:szCs w:val="22"/>
              </w:rPr>
            </w:pPr>
          </w:p>
        </w:tc>
        <w:tc>
          <w:tcPr>
            <w:tcW w:w="2268" w:type="dxa"/>
            <w:vAlign w:val="center"/>
          </w:tcPr>
          <w:p>
            <w:pPr>
              <w:rPr>
                <w:sz w:val="22"/>
                <w:szCs w:val="22"/>
              </w:rPr>
            </w:pPr>
            <w:r>
              <w:rPr>
                <w:rFonts w:hint="eastAsia"/>
                <w:sz w:val="22"/>
                <w:szCs w:val="22"/>
              </w:rPr>
              <w:t>废包装材料</w:t>
            </w:r>
          </w:p>
        </w:tc>
        <w:tc>
          <w:tcPr>
            <w:tcW w:w="1701" w:type="dxa"/>
            <w:vAlign w:val="center"/>
          </w:tcPr>
          <w:p>
            <w:pPr>
              <w:rPr>
                <w:sz w:val="22"/>
                <w:szCs w:val="22"/>
              </w:rPr>
            </w:pPr>
          </w:p>
        </w:tc>
        <w:tc>
          <w:tcPr>
            <w:tcW w:w="1276" w:type="dxa"/>
            <w:vAlign w:val="center"/>
          </w:tcPr>
          <w:p>
            <w:pPr>
              <w:rPr>
                <w:sz w:val="22"/>
                <w:szCs w:val="22"/>
              </w:rPr>
            </w:pPr>
          </w:p>
        </w:tc>
        <w:tc>
          <w:tcPr>
            <w:tcW w:w="1418" w:type="dxa"/>
            <w:vAlign w:val="center"/>
          </w:tcPr>
          <w:p>
            <w:pPr>
              <w:rPr>
                <w:sz w:val="22"/>
                <w:szCs w:val="22"/>
              </w:rPr>
            </w:pPr>
          </w:p>
        </w:tc>
        <w:tc>
          <w:tcPr>
            <w:tcW w:w="1559" w:type="dxa"/>
            <w:vAlign w:val="center"/>
          </w:tcPr>
          <w:p>
            <w:pPr>
              <w:rPr>
                <w:sz w:val="22"/>
                <w:szCs w:val="22"/>
              </w:rPr>
            </w:pPr>
            <w:r>
              <w:rPr>
                <w:rFonts w:hint="eastAsia"/>
                <w:sz w:val="22"/>
                <w:szCs w:val="22"/>
              </w:rPr>
              <w:t>0.10t/a</w:t>
            </w:r>
          </w:p>
        </w:tc>
        <w:tc>
          <w:tcPr>
            <w:tcW w:w="1379" w:type="dxa"/>
            <w:vAlign w:val="center"/>
          </w:tcPr>
          <w:p>
            <w:pPr>
              <w:rPr>
                <w:sz w:val="22"/>
                <w:szCs w:val="22"/>
              </w:rPr>
            </w:pPr>
          </w:p>
        </w:tc>
        <w:tc>
          <w:tcPr>
            <w:tcW w:w="1741" w:type="dxa"/>
            <w:vAlign w:val="center"/>
          </w:tcPr>
          <w:p>
            <w:pPr>
              <w:rPr>
                <w:sz w:val="22"/>
                <w:szCs w:val="22"/>
              </w:rPr>
            </w:pPr>
          </w:p>
        </w:tc>
        <w:tc>
          <w:tcPr>
            <w:tcW w:w="1284" w:type="dxa"/>
            <w:vAlign w:val="center"/>
          </w:tcPr>
          <w:p>
            <w:pPr>
              <w:rPr>
                <w:sz w:val="22"/>
                <w:szCs w:val="22"/>
              </w:rPr>
            </w:pPr>
            <w:r>
              <w:rPr>
                <w:rFonts w:hint="eastAsia"/>
                <w:sz w:val="22"/>
                <w:szCs w:val="22"/>
              </w:rPr>
              <w:t>+0.10t/a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62" w:type="dxa"/>
            <w:vMerge w:val="continue"/>
            <w:vAlign w:val="center"/>
          </w:tcPr>
          <w:p>
            <w:pPr>
              <w:rPr>
                <w:sz w:val="22"/>
                <w:szCs w:val="22"/>
              </w:rPr>
            </w:pPr>
          </w:p>
        </w:tc>
        <w:tc>
          <w:tcPr>
            <w:tcW w:w="2268" w:type="dxa"/>
            <w:vAlign w:val="center"/>
          </w:tcPr>
          <w:p>
            <w:pPr>
              <w:rPr>
                <w:sz w:val="22"/>
                <w:szCs w:val="22"/>
              </w:rPr>
            </w:pPr>
            <w:r>
              <w:rPr>
                <w:rFonts w:hint="eastAsia"/>
                <w:sz w:val="22"/>
                <w:szCs w:val="22"/>
              </w:rPr>
              <w:t>输液瓶（袋）</w:t>
            </w:r>
          </w:p>
        </w:tc>
        <w:tc>
          <w:tcPr>
            <w:tcW w:w="1701" w:type="dxa"/>
            <w:vAlign w:val="center"/>
          </w:tcPr>
          <w:p>
            <w:pPr>
              <w:rPr>
                <w:sz w:val="22"/>
                <w:szCs w:val="22"/>
              </w:rPr>
            </w:pPr>
          </w:p>
        </w:tc>
        <w:tc>
          <w:tcPr>
            <w:tcW w:w="1276" w:type="dxa"/>
            <w:vAlign w:val="center"/>
          </w:tcPr>
          <w:p>
            <w:pPr>
              <w:rPr>
                <w:sz w:val="22"/>
                <w:szCs w:val="22"/>
              </w:rPr>
            </w:pPr>
          </w:p>
        </w:tc>
        <w:tc>
          <w:tcPr>
            <w:tcW w:w="1418" w:type="dxa"/>
            <w:vAlign w:val="center"/>
          </w:tcPr>
          <w:p>
            <w:pPr>
              <w:rPr>
                <w:sz w:val="22"/>
                <w:szCs w:val="22"/>
              </w:rPr>
            </w:pPr>
          </w:p>
        </w:tc>
        <w:tc>
          <w:tcPr>
            <w:tcW w:w="1559" w:type="dxa"/>
            <w:vAlign w:val="center"/>
          </w:tcPr>
          <w:p>
            <w:pPr>
              <w:rPr>
                <w:sz w:val="22"/>
                <w:szCs w:val="22"/>
              </w:rPr>
            </w:pPr>
            <w:r>
              <w:rPr>
                <w:rFonts w:hint="eastAsia"/>
                <w:sz w:val="22"/>
                <w:szCs w:val="22"/>
              </w:rPr>
              <w:t>0.40t/a</w:t>
            </w:r>
          </w:p>
        </w:tc>
        <w:tc>
          <w:tcPr>
            <w:tcW w:w="1379" w:type="dxa"/>
            <w:vAlign w:val="center"/>
          </w:tcPr>
          <w:p>
            <w:pPr>
              <w:rPr>
                <w:sz w:val="22"/>
                <w:szCs w:val="22"/>
              </w:rPr>
            </w:pPr>
          </w:p>
        </w:tc>
        <w:tc>
          <w:tcPr>
            <w:tcW w:w="1741" w:type="dxa"/>
            <w:vAlign w:val="center"/>
          </w:tcPr>
          <w:p>
            <w:pPr>
              <w:rPr>
                <w:sz w:val="22"/>
                <w:szCs w:val="22"/>
              </w:rPr>
            </w:pPr>
          </w:p>
        </w:tc>
        <w:tc>
          <w:tcPr>
            <w:tcW w:w="1284" w:type="dxa"/>
            <w:vAlign w:val="center"/>
          </w:tcPr>
          <w:p>
            <w:pPr>
              <w:rPr>
                <w:sz w:val="22"/>
                <w:szCs w:val="22"/>
              </w:rPr>
            </w:pPr>
            <w:r>
              <w:rPr>
                <w:rFonts w:hint="eastAsia"/>
                <w:sz w:val="22"/>
                <w:szCs w:val="22"/>
              </w:rPr>
              <w:t>+0.40t/a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62" w:type="dxa"/>
            <w:vMerge w:val="restart"/>
            <w:vAlign w:val="center"/>
          </w:tcPr>
          <w:p>
            <w:pPr>
              <w:rPr>
                <w:sz w:val="22"/>
                <w:szCs w:val="22"/>
              </w:rPr>
            </w:pPr>
            <w:r>
              <w:rPr>
                <w:rFonts w:hint="eastAsia"/>
                <w:sz w:val="22"/>
                <w:szCs w:val="22"/>
              </w:rPr>
              <w:t>医疗废物</w:t>
            </w:r>
          </w:p>
        </w:tc>
        <w:tc>
          <w:tcPr>
            <w:tcW w:w="2268" w:type="dxa"/>
            <w:vAlign w:val="center"/>
          </w:tcPr>
          <w:p>
            <w:pPr>
              <w:rPr>
                <w:sz w:val="22"/>
                <w:szCs w:val="22"/>
              </w:rPr>
            </w:pPr>
            <w:r>
              <w:rPr>
                <w:rFonts w:hint="eastAsia"/>
                <w:sz w:val="22"/>
                <w:szCs w:val="22"/>
              </w:rPr>
              <w:t>医疗垃圾</w:t>
            </w:r>
          </w:p>
        </w:tc>
        <w:tc>
          <w:tcPr>
            <w:tcW w:w="1701" w:type="dxa"/>
            <w:vAlign w:val="center"/>
          </w:tcPr>
          <w:p>
            <w:pPr>
              <w:rPr>
                <w:sz w:val="22"/>
                <w:szCs w:val="22"/>
              </w:rPr>
            </w:pPr>
          </w:p>
        </w:tc>
        <w:tc>
          <w:tcPr>
            <w:tcW w:w="1276" w:type="dxa"/>
            <w:vAlign w:val="center"/>
          </w:tcPr>
          <w:p>
            <w:pPr>
              <w:rPr>
                <w:sz w:val="22"/>
                <w:szCs w:val="22"/>
              </w:rPr>
            </w:pPr>
          </w:p>
        </w:tc>
        <w:tc>
          <w:tcPr>
            <w:tcW w:w="1418" w:type="dxa"/>
            <w:vAlign w:val="center"/>
          </w:tcPr>
          <w:p>
            <w:pPr>
              <w:rPr>
                <w:sz w:val="22"/>
                <w:szCs w:val="22"/>
              </w:rPr>
            </w:pPr>
          </w:p>
        </w:tc>
        <w:tc>
          <w:tcPr>
            <w:tcW w:w="1559" w:type="dxa"/>
            <w:vAlign w:val="center"/>
          </w:tcPr>
          <w:p>
            <w:pPr>
              <w:rPr>
                <w:sz w:val="22"/>
                <w:szCs w:val="22"/>
              </w:rPr>
            </w:pPr>
            <w:r>
              <w:rPr>
                <w:rFonts w:hint="eastAsia"/>
                <w:sz w:val="22"/>
                <w:szCs w:val="22"/>
              </w:rPr>
              <w:t>7.67t/a</w:t>
            </w:r>
          </w:p>
        </w:tc>
        <w:tc>
          <w:tcPr>
            <w:tcW w:w="1379" w:type="dxa"/>
            <w:vAlign w:val="center"/>
          </w:tcPr>
          <w:p>
            <w:pPr>
              <w:rPr>
                <w:sz w:val="22"/>
                <w:szCs w:val="22"/>
              </w:rPr>
            </w:pPr>
          </w:p>
        </w:tc>
        <w:tc>
          <w:tcPr>
            <w:tcW w:w="1741" w:type="dxa"/>
            <w:vAlign w:val="center"/>
          </w:tcPr>
          <w:p>
            <w:pPr>
              <w:rPr>
                <w:sz w:val="22"/>
                <w:szCs w:val="22"/>
              </w:rPr>
            </w:pPr>
          </w:p>
        </w:tc>
        <w:tc>
          <w:tcPr>
            <w:tcW w:w="1284" w:type="dxa"/>
            <w:vAlign w:val="center"/>
          </w:tcPr>
          <w:p>
            <w:pPr>
              <w:rPr>
                <w:sz w:val="22"/>
                <w:szCs w:val="22"/>
              </w:rPr>
            </w:pPr>
            <w:r>
              <w:rPr>
                <w:rFonts w:hint="eastAsia"/>
                <w:sz w:val="22"/>
                <w:szCs w:val="22"/>
              </w:rPr>
              <w:t>+7.67t/a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62" w:type="dxa"/>
            <w:vMerge w:val="continue"/>
            <w:vAlign w:val="center"/>
          </w:tcPr>
          <w:p>
            <w:pPr>
              <w:rPr>
                <w:sz w:val="22"/>
                <w:szCs w:val="22"/>
              </w:rPr>
            </w:pPr>
          </w:p>
        </w:tc>
        <w:tc>
          <w:tcPr>
            <w:tcW w:w="2268" w:type="dxa"/>
            <w:vAlign w:val="center"/>
          </w:tcPr>
          <w:p>
            <w:pPr>
              <w:rPr>
                <w:sz w:val="22"/>
                <w:szCs w:val="22"/>
              </w:rPr>
            </w:pPr>
            <w:r>
              <w:rPr>
                <w:rFonts w:hint="eastAsia"/>
                <w:sz w:val="22"/>
                <w:szCs w:val="22"/>
              </w:rPr>
              <w:t>污水处理设施污泥</w:t>
            </w:r>
          </w:p>
        </w:tc>
        <w:tc>
          <w:tcPr>
            <w:tcW w:w="1701" w:type="dxa"/>
            <w:vAlign w:val="center"/>
          </w:tcPr>
          <w:p>
            <w:pPr>
              <w:rPr>
                <w:sz w:val="22"/>
                <w:szCs w:val="22"/>
              </w:rPr>
            </w:pPr>
          </w:p>
        </w:tc>
        <w:tc>
          <w:tcPr>
            <w:tcW w:w="1276" w:type="dxa"/>
            <w:vAlign w:val="center"/>
          </w:tcPr>
          <w:p>
            <w:pPr>
              <w:rPr>
                <w:sz w:val="22"/>
                <w:szCs w:val="22"/>
              </w:rPr>
            </w:pPr>
          </w:p>
        </w:tc>
        <w:tc>
          <w:tcPr>
            <w:tcW w:w="1418" w:type="dxa"/>
            <w:vAlign w:val="center"/>
          </w:tcPr>
          <w:p>
            <w:pPr>
              <w:rPr>
                <w:sz w:val="22"/>
                <w:szCs w:val="22"/>
              </w:rPr>
            </w:pPr>
          </w:p>
        </w:tc>
        <w:tc>
          <w:tcPr>
            <w:tcW w:w="1559" w:type="dxa"/>
            <w:vAlign w:val="center"/>
          </w:tcPr>
          <w:p>
            <w:pPr>
              <w:rPr>
                <w:sz w:val="22"/>
                <w:szCs w:val="22"/>
              </w:rPr>
            </w:pPr>
            <w:r>
              <w:rPr>
                <w:rFonts w:hint="eastAsia"/>
                <w:sz w:val="22"/>
                <w:szCs w:val="22"/>
              </w:rPr>
              <w:t>1.44t/a</w:t>
            </w:r>
          </w:p>
        </w:tc>
        <w:tc>
          <w:tcPr>
            <w:tcW w:w="1379" w:type="dxa"/>
            <w:vAlign w:val="center"/>
          </w:tcPr>
          <w:p>
            <w:pPr>
              <w:rPr>
                <w:sz w:val="22"/>
                <w:szCs w:val="22"/>
              </w:rPr>
            </w:pPr>
          </w:p>
        </w:tc>
        <w:tc>
          <w:tcPr>
            <w:tcW w:w="1741" w:type="dxa"/>
            <w:vAlign w:val="center"/>
          </w:tcPr>
          <w:p>
            <w:pPr>
              <w:rPr>
                <w:sz w:val="22"/>
                <w:szCs w:val="22"/>
              </w:rPr>
            </w:pPr>
          </w:p>
        </w:tc>
        <w:tc>
          <w:tcPr>
            <w:tcW w:w="1284" w:type="dxa"/>
            <w:vAlign w:val="center"/>
          </w:tcPr>
          <w:p>
            <w:pPr>
              <w:rPr>
                <w:sz w:val="22"/>
                <w:szCs w:val="22"/>
              </w:rPr>
            </w:pPr>
            <w:r>
              <w:rPr>
                <w:rFonts w:hint="eastAsia"/>
                <w:sz w:val="22"/>
                <w:szCs w:val="22"/>
              </w:rPr>
              <w:t>+1.44t/a</w:t>
            </w:r>
          </w:p>
        </w:tc>
      </w:tr>
    </w:tbl>
    <w:p>
      <w:pPr>
        <w:pStyle w:val="25"/>
        <w:spacing w:before="249" w:beforeLines="80" w:after="31"/>
        <w:jc w:val="left"/>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BoldMT">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6099534"/>
      <w:docPartObj>
        <w:docPartGallery w:val="AutoText"/>
      </w:docPartObj>
    </w:sdtPr>
    <w:sdtEndPr>
      <w:rPr>
        <w:sz w:val="21"/>
        <w:szCs w:val="21"/>
      </w:rPr>
    </w:sdtEndPr>
    <w:sdtContent>
      <w:p>
        <w:pPr>
          <w:pStyle w:val="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kY2IxY2U3NzVjM2I5YTZkNWI5MmM0OGU0MjY1YmIifQ=="/>
    <w:docVar w:name="KSO_WPS_MARK_KEY" w:val="460ada87-26a8-4fff-94d8-6f67f4049ad9"/>
  </w:docVars>
  <w:rsids>
    <w:rsidRoot w:val="002203E3"/>
    <w:rsid w:val="00000CF2"/>
    <w:rsid w:val="00007B1F"/>
    <w:rsid w:val="00032DD7"/>
    <w:rsid w:val="000504A4"/>
    <w:rsid w:val="000558F2"/>
    <w:rsid w:val="0007632F"/>
    <w:rsid w:val="0008729E"/>
    <w:rsid w:val="000957B3"/>
    <w:rsid w:val="000D4610"/>
    <w:rsid w:val="000D7DFD"/>
    <w:rsid w:val="000E777D"/>
    <w:rsid w:val="000F2391"/>
    <w:rsid w:val="00111F17"/>
    <w:rsid w:val="00111FDB"/>
    <w:rsid w:val="00114101"/>
    <w:rsid w:val="0013012A"/>
    <w:rsid w:val="00145694"/>
    <w:rsid w:val="00163C7F"/>
    <w:rsid w:val="00174C76"/>
    <w:rsid w:val="00196377"/>
    <w:rsid w:val="001C609A"/>
    <w:rsid w:val="001F1D22"/>
    <w:rsid w:val="00207047"/>
    <w:rsid w:val="002203E3"/>
    <w:rsid w:val="00242427"/>
    <w:rsid w:val="00282774"/>
    <w:rsid w:val="002C5378"/>
    <w:rsid w:val="00302D7C"/>
    <w:rsid w:val="0035715A"/>
    <w:rsid w:val="003D7445"/>
    <w:rsid w:val="003F4B50"/>
    <w:rsid w:val="004815D4"/>
    <w:rsid w:val="00490A67"/>
    <w:rsid w:val="004A4107"/>
    <w:rsid w:val="0050117B"/>
    <w:rsid w:val="00514264"/>
    <w:rsid w:val="00530890"/>
    <w:rsid w:val="00566CE7"/>
    <w:rsid w:val="005D0EEB"/>
    <w:rsid w:val="005D5347"/>
    <w:rsid w:val="0063485C"/>
    <w:rsid w:val="0064642F"/>
    <w:rsid w:val="00651846"/>
    <w:rsid w:val="006D5901"/>
    <w:rsid w:val="007171D9"/>
    <w:rsid w:val="00786845"/>
    <w:rsid w:val="007B031D"/>
    <w:rsid w:val="007C7F25"/>
    <w:rsid w:val="007E166E"/>
    <w:rsid w:val="007E5889"/>
    <w:rsid w:val="007E6B31"/>
    <w:rsid w:val="007F2AA0"/>
    <w:rsid w:val="008157A9"/>
    <w:rsid w:val="008464DF"/>
    <w:rsid w:val="008517AA"/>
    <w:rsid w:val="008824B2"/>
    <w:rsid w:val="008B5439"/>
    <w:rsid w:val="008E7458"/>
    <w:rsid w:val="00914595"/>
    <w:rsid w:val="009269EC"/>
    <w:rsid w:val="0092722E"/>
    <w:rsid w:val="009669E7"/>
    <w:rsid w:val="0098681A"/>
    <w:rsid w:val="009905C3"/>
    <w:rsid w:val="009A7988"/>
    <w:rsid w:val="009B1779"/>
    <w:rsid w:val="009C31B8"/>
    <w:rsid w:val="009C5080"/>
    <w:rsid w:val="009F159D"/>
    <w:rsid w:val="00A01071"/>
    <w:rsid w:val="00A27F56"/>
    <w:rsid w:val="00A86D7B"/>
    <w:rsid w:val="00AF3EB9"/>
    <w:rsid w:val="00AF56B4"/>
    <w:rsid w:val="00B025FD"/>
    <w:rsid w:val="00B44806"/>
    <w:rsid w:val="00B52944"/>
    <w:rsid w:val="00B577BF"/>
    <w:rsid w:val="00B7275C"/>
    <w:rsid w:val="00BA6667"/>
    <w:rsid w:val="00C26BA6"/>
    <w:rsid w:val="00C375C1"/>
    <w:rsid w:val="00C42AB3"/>
    <w:rsid w:val="00D861AC"/>
    <w:rsid w:val="00D92254"/>
    <w:rsid w:val="00DD21C9"/>
    <w:rsid w:val="00DD4E5C"/>
    <w:rsid w:val="00E05119"/>
    <w:rsid w:val="00E05E27"/>
    <w:rsid w:val="00E34377"/>
    <w:rsid w:val="00E50B87"/>
    <w:rsid w:val="00E93C6C"/>
    <w:rsid w:val="00EC0C90"/>
    <w:rsid w:val="00ED35B1"/>
    <w:rsid w:val="00FA66DD"/>
    <w:rsid w:val="00FE00B3"/>
    <w:rsid w:val="53874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jc w:val="center"/>
    </w:pPr>
    <w:rPr>
      <w:rFonts w:ascii="Calibri" w:hAnsi="Calibri"/>
      <w:szCs w:val="20"/>
    </w:rPr>
  </w:style>
  <w:style w:type="paragraph" w:styleId="3">
    <w:name w:val="annotation text"/>
    <w:basedOn w:val="1"/>
    <w:link w:val="23"/>
    <w:semiHidden/>
    <w:unhideWhenUsed/>
    <w:qFormat/>
    <w:uiPriority w:val="99"/>
    <w:pPr>
      <w:jc w:val="left"/>
    </w:pPr>
  </w:style>
  <w:style w:type="paragraph" w:styleId="4">
    <w:name w:val="Body Text"/>
    <w:basedOn w:val="1"/>
    <w:link w:val="19"/>
    <w:semiHidden/>
    <w:unhideWhenUsed/>
    <w:qFormat/>
    <w:uiPriority w:val="99"/>
    <w:pPr>
      <w:spacing w:after="120"/>
    </w:pPr>
  </w:style>
  <w:style w:type="paragraph" w:styleId="5">
    <w:name w:val="Body Text Indent"/>
    <w:basedOn w:val="1"/>
    <w:link w:val="32"/>
    <w:semiHidden/>
    <w:unhideWhenUsed/>
    <w:qFormat/>
    <w:uiPriority w:val="99"/>
    <w:pPr>
      <w:spacing w:after="120"/>
      <w:ind w:left="420" w:leftChars="200"/>
    </w:pPr>
  </w:style>
  <w:style w:type="paragraph" w:styleId="6">
    <w:name w:val="Body Text Indent 2"/>
    <w:basedOn w:val="1"/>
    <w:link w:val="39"/>
    <w:qFormat/>
    <w:uiPriority w:val="0"/>
    <w:pPr>
      <w:spacing w:after="120" w:line="480" w:lineRule="auto"/>
      <w:ind w:left="420" w:leftChars="200"/>
    </w:pPr>
  </w:style>
  <w:style w:type="paragraph" w:styleId="7">
    <w:name w:val="footer"/>
    <w:basedOn w:val="1"/>
    <w:link w:val="45"/>
    <w:unhideWhenUsed/>
    <w:qFormat/>
    <w:uiPriority w:val="99"/>
    <w:pPr>
      <w:tabs>
        <w:tab w:val="center" w:pos="4153"/>
        <w:tab w:val="right" w:pos="8306"/>
      </w:tabs>
      <w:snapToGrid w:val="0"/>
      <w:jc w:val="left"/>
    </w:pPr>
    <w:rPr>
      <w:sz w:val="18"/>
      <w:szCs w:val="18"/>
    </w:rPr>
  </w:style>
  <w:style w:type="paragraph" w:styleId="8">
    <w:name w:val="header"/>
    <w:basedOn w:val="1"/>
    <w:link w:val="44"/>
    <w:unhideWhenUsed/>
    <w:qFormat/>
    <w:uiPriority w:val="99"/>
    <w:pPr>
      <w:tabs>
        <w:tab w:val="center" w:pos="4153"/>
        <w:tab w:val="right" w:pos="8306"/>
      </w:tabs>
      <w:snapToGrid w:val="0"/>
      <w:jc w:val="center"/>
    </w:pPr>
    <w:rPr>
      <w:sz w:val="18"/>
      <w:szCs w:val="18"/>
    </w:rPr>
  </w:style>
  <w:style w:type="paragraph" w:styleId="9">
    <w:name w:val="Normal (Web)"/>
    <w:basedOn w:val="1"/>
    <w:link w:val="17"/>
    <w:qFormat/>
    <w:uiPriority w:val="0"/>
    <w:pPr>
      <w:widowControl/>
      <w:spacing w:before="100" w:beforeAutospacing="1" w:after="100" w:afterAutospacing="1"/>
      <w:jc w:val="left"/>
    </w:pPr>
    <w:rPr>
      <w:rFonts w:ascii="宋体" w:hAnsi="宋体"/>
      <w:kern w:val="0"/>
      <w:sz w:val="24"/>
      <w:szCs w:val="20"/>
    </w:rPr>
  </w:style>
  <w:style w:type="paragraph" w:styleId="10">
    <w:name w:val="annotation subject"/>
    <w:basedOn w:val="3"/>
    <w:next w:val="3"/>
    <w:link w:val="24"/>
    <w:semiHidden/>
    <w:unhideWhenUsed/>
    <w:qFormat/>
    <w:uiPriority w:val="99"/>
    <w:rPr>
      <w:b/>
      <w:bCs/>
    </w:rPr>
  </w:style>
  <w:style w:type="paragraph" w:styleId="11">
    <w:name w:val="Body Text First Indent"/>
    <w:basedOn w:val="4"/>
    <w:link w:val="20"/>
    <w:unhideWhenUsed/>
    <w:qFormat/>
    <w:uiPriority w:val="99"/>
    <w:pPr>
      <w:ind w:firstLine="420" w:firstLineChars="100"/>
    </w:pPr>
  </w:style>
  <w:style w:type="paragraph" w:styleId="12">
    <w:name w:val="Body Text First Indent 2"/>
    <w:basedOn w:val="5"/>
    <w:link w:val="33"/>
    <w:semiHidden/>
    <w:unhideWhenUsed/>
    <w:qFormat/>
    <w:uiPriority w:val="99"/>
    <w:pPr>
      <w:ind w:firstLine="420" w:firstLineChars="200"/>
    </w:pPr>
  </w:style>
  <w:style w:type="table" w:styleId="14">
    <w:name w:val="Table Grid"/>
    <w:basedOn w:val="13"/>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character" w:customStyle="1" w:styleId="17">
    <w:name w:val="普通(网站) 字符"/>
    <w:link w:val="9"/>
    <w:qFormat/>
    <w:locked/>
    <w:uiPriority w:val="0"/>
    <w:rPr>
      <w:rFonts w:ascii="宋体" w:hAnsi="宋体" w:eastAsia="宋体" w:cs="Times New Roman"/>
      <w:kern w:val="0"/>
      <w:sz w:val="24"/>
      <w:szCs w:val="20"/>
    </w:rPr>
  </w:style>
  <w:style w:type="paragraph" w:customStyle="1" w:styleId="18">
    <w:name w:val="表格文字"/>
    <w:basedOn w:val="11"/>
    <w:next w:val="1"/>
    <w:qFormat/>
    <w:uiPriority w:val="0"/>
    <w:pPr>
      <w:widowControl/>
      <w:snapToGrid w:val="0"/>
      <w:spacing w:before="60"/>
      <w:ind w:right="113" w:firstLine="0" w:firstLineChars="0"/>
      <w:jc w:val="center"/>
    </w:pPr>
    <w:rPr>
      <w:kern w:val="0"/>
      <w:szCs w:val="20"/>
    </w:rPr>
  </w:style>
  <w:style w:type="character" w:customStyle="1" w:styleId="19">
    <w:name w:val="正文文本 字符"/>
    <w:basedOn w:val="15"/>
    <w:link w:val="4"/>
    <w:semiHidden/>
    <w:qFormat/>
    <w:uiPriority w:val="99"/>
    <w:rPr>
      <w:rFonts w:ascii="Times New Roman" w:hAnsi="Times New Roman" w:eastAsia="宋体" w:cs="Times New Roman"/>
      <w:szCs w:val="24"/>
    </w:rPr>
  </w:style>
  <w:style w:type="character" w:customStyle="1" w:styleId="20">
    <w:name w:val="正文文本首行缩进 字符"/>
    <w:basedOn w:val="19"/>
    <w:link w:val="11"/>
    <w:qFormat/>
    <w:uiPriority w:val="99"/>
    <w:rPr>
      <w:rFonts w:ascii="Times New Roman" w:hAnsi="Times New Roman" w:eastAsia="宋体" w:cs="Times New Roman"/>
      <w:szCs w:val="24"/>
    </w:rPr>
  </w:style>
  <w:style w:type="paragraph" w:customStyle="1" w:styleId="21">
    <w:name w:val="Default"/>
    <w:qFormat/>
    <w:uiPriority w:val="0"/>
    <w:pPr>
      <w:widowControl w:val="0"/>
      <w:autoSpaceDE w:val="0"/>
      <w:autoSpaceDN w:val="0"/>
      <w:adjustRightInd w:val="0"/>
      <w:spacing w:line="360" w:lineRule="auto"/>
      <w:ind w:firstLine="200" w:firstLineChars="200"/>
    </w:pPr>
    <w:rPr>
      <w:rFonts w:ascii="幼圆" w:hAnsi="Times New Roman" w:eastAsia="幼圆" w:cs="幼圆"/>
      <w:color w:val="000000"/>
      <w:kern w:val="0"/>
      <w:sz w:val="24"/>
      <w:szCs w:val="24"/>
      <w:lang w:val="en-US" w:eastAsia="zh-CN" w:bidi="ar-SA"/>
    </w:rPr>
  </w:style>
  <w:style w:type="paragraph" w:customStyle="1" w:styleId="22">
    <w:name w:val="列出段落1"/>
    <w:basedOn w:val="1"/>
    <w:qFormat/>
    <w:uiPriority w:val="0"/>
    <w:pPr>
      <w:ind w:firstLine="420" w:firstLineChars="200"/>
    </w:pPr>
    <w:rPr>
      <w:rFonts w:ascii="Calibri" w:hAnsi="Calibri"/>
      <w:szCs w:val="22"/>
    </w:rPr>
  </w:style>
  <w:style w:type="character" w:customStyle="1" w:styleId="23">
    <w:name w:val="批注文字 字符"/>
    <w:basedOn w:val="15"/>
    <w:link w:val="3"/>
    <w:semiHidden/>
    <w:qFormat/>
    <w:uiPriority w:val="99"/>
    <w:rPr>
      <w:rFonts w:ascii="Times New Roman" w:hAnsi="Times New Roman" w:eastAsia="宋体" w:cs="Times New Roman"/>
      <w:szCs w:val="24"/>
    </w:rPr>
  </w:style>
  <w:style w:type="character" w:customStyle="1" w:styleId="24">
    <w:name w:val="批注主题 字符"/>
    <w:basedOn w:val="23"/>
    <w:link w:val="10"/>
    <w:semiHidden/>
    <w:qFormat/>
    <w:uiPriority w:val="99"/>
    <w:rPr>
      <w:rFonts w:ascii="Times New Roman" w:hAnsi="Times New Roman" w:eastAsia="宋体" w:cs="Times New Roman"/>
      <w:b/>
      <w:bCs/>
      <w:szCs w:val="24"/>
    </w:rPr>
  </w:style>
  <w:style w:type="paragraph" w:customStyle="1" w:styleId="25">
    <w:name w:val="表格"/>
    <w:basedOn w:val="18"/>
    <w:next w:val="1"/>
    <w:link w:val="26"/>
    <w:qFormat/>
    <w:uiPriority w:val="0"/>
    <w:pPr>
      <w:adjustRightInd w:val="0"/>
      <w:spacing w:beforeLines="10" w:afterLines="10" w:line="259" w:lineRule="auto"/>
    </w:pPr>
    <w:rPr>
      <w:rFonts w:ascii="宋体"/>
    </w:rPr>
  </w:style>
  <w:style w:type="character" w:customStyle="1" w:styleId="26">
    <w:name w:val="表格 Char"/>
    <w:link w:val="25"/>
    <w:qFormat/>
    <w:locked/>
    <w:uiPriority w:val="0"/>
    <w:rPr>
      <w:rFonts w:ascii="宋体" w:hAnsi="Times New Roman" w:eastAsia="宋体" w:cs="Times New Roman"/>
      <w:kern w:val="0"/>
      <w:szCs w:val="20"/>
    </w:rPr>
  </w:style>
  <w:style w:type="paragraph" w:customStyle="1" w:styleId="27">
    <w:name w:val="报告书正文"/>
    <w:basedOn w:val="1"/>
    <w:qFormat/>
    <w:uiPriority w:val="0"/>
    <w:pPr>
      <w:adjustRightInd w:val="0"/>
      <w:spacing w:line="360" w:lineRule="exact"/>
      <w:ind w:firstLine="480" w:firstLineChars="200"/>
      <w:textAlignment w:val="baseline"/>
    </w:pPr>
    <w:rPr>
      <w:bCs/>
      <w:sz w:val="24"/>
    </w:rPr>
  </w:style>
  <w:style w:type="table" w:customStyle="1" w:styleId="28">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29">
    <w:name w:val="表正文"/>
    <w:basedOn w:val="1"/>
    <w:qFormat/>
    <w:uiPriority w:val="0"/>
    <w:pPr>
      <w:suppressAutoHyphens/>
      <w:topLinePunct/>
      <w:jc w:val="center"/>
    </w:pPr>
  </w:style>
  <w:style w:type="paragraph" w:customStyle="1" w:styleId="30">
    <w:name w:val="正文 32"/>
    <w:basedOn w:val="1"/>
    <w:qFormat/>
    <w:uiPriority w:val="0"/>
    <w:pPr>
      <w:autoSpaceDE w:val="0"/>
      <w:autoSpaceDN w:val="0"/>
      <w:adjustRightInd w:val="0"/>
      <w:spacing w:line="300" w:lineRule="auto"/>
      <w:ind w:firstLine="567"/>
      <w:textAlignment w:val="baseline"/>
    </w:pPr>
    <w:rPr>
      <w:rFonts w:eastAsia="楷体_GB2312"/>
      <w:kern w:val="0"/>
      <w:sz w:val="24"/>
    </w:rPr>
  </w:style>
  <w:style w:type="paragraph" w:customStyle="1" w:styleId="31">
    <w:name w:val="表文字"/>
    <w:basedOn w:val="1"/>
    <w:qFormat/>
    <w:uiPriority w:val="0"/>
    <w:pPr>
      <w:overflowPunct w:val="0"/>
      <w:autoSpaceDE w:val="0"/>
      <w:autoSpaceDN w:val="0"/>
      <w:adjustRightInd w:val="0"/>
      <w:spacing w:line="240" w:lineRule="atLeast"/>
      <w:jc w:val="center"/>
      <w:textAlignment w:val="baseline"/>
    </w:pPr>
    <w:rPr>
      <w:rFonts w:ascii="Calibri" w:hAnsi="Calibri"/>
      <w:kern w:val="0"/>
      <w:sz w:val="24"/>
      <w:szCs w:val="20"/>
    </w:rPr>
  </w:style>
  <w:style w:type="character" w:customStyle="1" w:styleId="32">
    <w:name w:val="正文文本缩进 字符"/>
    <w:basedOn w:val="15"/>
    <w:link w:val="5"/>
    <w:semiHidden/>
    <w:uiPriority w:val="99"/>
    <w:rPr>
      <w:rFonts w:ascii="Times New Roman" w:hAnsi="Times New Roman" w:eastAsia="宋体" w:cs="Times New Roman"/>
      <w:szCs w:val="24"/>
    </w:rPr>
  </w:style>
  <w:style w:type="character" w:customStyle="1" w:styleId="33">
    <w:name w:val="正文文本首行缩进 2 字符"/>
    <w:basedOn w:val="32"/>
    <w:link w:val="12"/>
    <w:semiHidden/>
    <w:qFormat/>
    <w:uiPriority w:val="99"/>
    <w:rPr>
      <w:rFonts w:ascii="Times New Roman" w:hAnsi="Times New Roman" w:eastAsia="宋体" w:cs="Times New Roman"/>
      <w:szCs w:val="24"/>
    </w:rPr>
  </w:style>
  <w:style w:type="paragraph" w:customStyle="1" w:styleId="34">
    <w:name w:val="正文_14"/>
    <w:qFormat/>
    <w:uiPriority w:val="0"/>
    <w:pPr>
      <w:widowControl w:val="0"/>
      <w:jc w:val="both"/>
    </w:pPr>
    <w:rPr>
      <w:rFonts w:ascii="Calibri" w:hAnsi="Calibri" w:eastAsia="宋体" w:cs="Times New Roman"/>
      <w:kern w:val="2"/>
      <w:sz w:val="21"/>
      <w:szCs w:val="20"/>
      <w:lang w:val="en-US" w:eastAsia="zh-CN" w:bidi="ar-SA"/>
    </w:rPr>
  </w:style>
  <w:style w:type="paragraph" w:customStyle="1" w:styleId="35">
    <w:name w:val="正文文"/>
    <w:basedOn w:val="1"/>
    <w:qFormat/>
    <w:uiPriority w:val="0"/>
    <w:pPr>
      <w:ind w:firstLine="1441"/>
      <w:jc w:val="left"/>
    </w:pPr>
  </w:style>
  <w:style w:type="paragraph" w:customStyle="1" w:styleId="36">
    <w:name w:val="正文1"/>
    <w:basedOn w:val="1"/>
    <w:next w:val="1"/>
    <w:qFormat/>
    <w:uiPriority w:val="0"/>
    <w:pPr>
      <w:spacing w:line="360" w:lineRule="auto"/>
      <w:ind w:firstLine="723" w:firstLineChars="200"/>
    </w:pPr>
    <w:rPr>
      <w:kern w:val="0"/>
      <w:szCs w:val="20"/>
    </w:rPr>
  </w:style>
  <w:style w:type="paragraph" w:customStyle="1" w:styleId="37">
    <w:name w:val="标准正文"/>
    <w:basedOn w:val="1"/>
    <w:qFormat/>
    <w:uiPriority w:val="0"/>
    <w:pPr>
      <w:spacing w:line="360" w:lineRule="auto"/>
      <w:ind w:firstLine="480" w:firstLineChars="200"/>
      <w:jc w:val="left"/>
    </w:pPr>
    <w:rPr>
      <w:sz w:val="24"/>
      <w:szCs w:val="22"/>
    </w:rPr>
  </w:style>
  <w:style w:type="paragraph" w:customStyle="1" w:styleId="38">
    <w:name w:val="表字体"/>
    <w:basedOn w:val="1"/>
    <w:next w:val="1"/>
    <w:qFormat/>
    <w:uiPriority w:val="0"/>
    <w:pPr>
      <w:jc w:val="center"/>
    </w:pPr>
  </w:style>
  <w:style w:type="character" w:customStyle="1" w:styleId="39">
    <w:name w:val="正文文本缩进 2 字符"/>
    <w:basedOn w:val="15"/>
    <w:link w:val="6"/>
    <w:qFormat/>
    <w:uiPriority w:val="0"/>
    <w:rPr>
      <w:rFonts w:ascii="Times New Roman" w:hAnsi="Times New Roman" w:eastAsia="宋体" w:cs="Times New Roman"/>
      <w:szCs w:val="24"/>
    </w:rPr>
  </w:style>
  <w:style w:type="paragraph" w:customStyle="1" w:styleId="40">
    <w:name w:val="表标题"/>
    <w:basedOn w:val="1"/>
    <w:qFormat/>
    <w:uiPriority w:val="0"/>
    <w:pPr>
      <w:jc w:val="center"/>
    </w:pPr>
    <w:rPr>
      <w:b/>
      <w:kern w:val="0"/>
      <w:szCs w:val="20"/>
    </w:rPr>
  </w:style>
  <w:style w:type="character" w:customStyle="1" w:styleId="41">
    <w:name w:val="HJ-表格 Char"/>
    <w:link w:val="42"/>
    <w:qFormat/>
    <w:uiPriority w:val="0"/>
    <w:rPr>
      <w:b/>
      <w:sz w:val="18"/>
    </w:rPr>
  </w:style>
  <w:style w:type="paragraph" w:customStyle="1" w:styleId="42">
    <w:name w:val="HJ-表格"/>
    <w:basedOn w:val="1"/>
    <w:link w:val="41"/>
    <w:qFormat/>
    <w:uiPriority w:val="0"/>
    <w:pPr>
      <w:jc w:val="center"/>
    </w:pPr>
    <w:rPr>
      <w:rFonts w:asciiTheme="minorHAnsi" w:hAnsiTheme="minorHAnsi" w:eastAsiaTheme="minorEastAsia" w:cstheme="minorBidi"/>
      <w:b/>
      <w:sz w:val="18"/>
      <w:szCs w:val="22"/>
    </w:rPr>
  </w:style>
  <w:style w:type="paragraph" w:customStyle="1" w:styleId="43">
    <w:name w:val="正文（用）"/>
    <w:basedOn w:val="1"/>
    <w:uiPriority w:val="0"/>
    <w:pPr>
      <w:spacing w:line="360" w:lineRule="auto"/>
      <w:ind w:firstLine="480" w:firstLineChars="200"/>
      <w:jc w:val="left"/>
    </w:pPr>
    <w:rPr>
      <w:rFonts w:ascii="宋体" w:hAnsi="宋体" w:cs="宋体"/>
      <w:sz w:val="24"/>
    </w:rPr>
  </w:style>
  <w:style w:type="character" w:customStyle="1" w:styleId="44">
    <w:name w:val="页眉 字符"/>
    <w:basedOn w:val="15"/>
    <w:link w:val="8"/>
    <w:uiPriority w:val="99"/>
    <w:rPr>
      <w:rFonts w:ascii="Times New Roman" w:hAnsi="Times New Roman" w:eastAsia="宋体" w:cs="Times New Roman"/>
      <w:sz w:val="18"/>
      <w:szCs w:val="18"/>
    </w:rPr>
  </w:style>
  <w:style w:type="character" w:customStyle="1" w:styleId="45">
    <w:name w:val="页脚 字符"/>
    <w:basedOn w:val="15"/>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26903</Words>
  <Characters>30689</Characters>
  <Lines>244</Lines>
  <Paragraphs>68</Paragraphs>
  <TotalTime>625</TotalTime>
  <ScaleCrop>false</ScaleCrop>
  <LinksUpToDate>false</LinksUpToDate>
  <CharactersWithSpaces>31018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2024-06-16T00:23:00Z</dcterms:created>
  <dc:creator>Administrator</dc:creator>
  <cp:lastModifiedBy>陈木沐</cp:lastModifiedBy>
  <cp:lastPrinted>2024-07-04T00:13:00Z</cp:lastPrinted>
  <dcterms:modified xsi:type="dcterms:W3CDTF">2024-09-11T02:54:46Z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91CF06A3D7C44D26B8A1A1B6EE5DF581_12</vt:lpwstr>
  </property>
</Properties>
</file>