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澧县开展装配式绿色农房建设试点工作方案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pacing w:val="6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6"/>
          <w:sz w:val="32"/>
          <w:szCs w:val="32"/>
          <w:lang w:eastAsia="zh-CN"/>
        </w:rPr>
        <w:t>（征求意见稿）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为深入贯彻实施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湖南省人民政府办公厅关于推进新型建筑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工业化发展的若干意见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湘政办发</w:t>
      </w:r>
      <w:r>
        <w:rPr>
          <w:rFonts w:ascii="Times New Roman" w:hAnsi="Times New Roman" w:eastAsia="仿宋_GB2312" w:cs="Times New Roman"/>
          <w:kern w:val="28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2023〕57号），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抓住湖南省住建厅在澧县开展装配式绿色农房建设试点机遇，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推进全</w:t>
      </w:r>
      <w:r>
        <w:rPr>
          <w:rFonts w:ascii="Times New Roman" w:hAnsi="Times New Roman" w:eastAsia="仿宋_GB2312" w:cs="Times New Roman"/>
          <w:sz w:val="32"/>
          <w:szCs w:val="32"/>
        </w:rPr>
        <w:t>县建筑业转型升级，加快农村住房建设现代化，经县人民政府同意，决定在全县开展装配式绿色农房（指装配式混凝土结构、装配式钢结构，不含轻钢结构）建设试点工作，现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制定如下工作方案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试点期限两年。按照安全、经济、绿色、美观的要求，推动农村住房建设建造方式创新，不断满足人民日益增长的美好生活需要。坚持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政府引导、市场推动，农民自主、企业自愿，农民主体、政府奖补，以点带面、</w:t>
      </w:r>
      <w:r>
        <w:rPr>
          <w:rFonts w:ascii="Times New Roman" w:hAnsi="Times New Roman" w:eastAsia="仿宋_GB2312" w:cs="Times New Roman"/>
          <w:sz w:val="32"/>
          <w:szCs w:val="32"/>
        </w:rPr>
        <w:t>试点先行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的工作原则</w:t>
      </w:r>
      <w:r>
        <w:rPr>
          <w:rFonts w:ascii="Times New Roman" w:hAnsi="Times New Roman" w:eastAsia="仿宋_GB2312" w:cs="Times New Roman"/>
          <w:sz w:val="32"/>
          <w:szCs w:val="32"/>
        </w:rPr>
        <w:t>。深入挖掘澧州传统建筑特点，注重农民住用的功能需求，建设具有澧县特色的装配式农村住房。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二、工作目标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2024年，各镇（街道）新建农房采用装配式建筑占比争取达到15%以上（其中澧西街道、城头山镇不低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于25%），2025年争取达到20%以上（其中澧西街道、城头</w:t>
      </w:r>
      <w:r>
        <w:rPr>
          <w:rFonts w:ascii="Times New Roman" w:hAnsi="Times New Roman" w:eastAsia="仿宋_GB2312" w:cs="Times New Roman"/>
          <w:sz w:val="32"/>
          <w:szCs w:val="32"/>
        </w:rPr>
        <w:t>山镇不低于30%）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通过两年努力，建成一批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结构安全、功能现代、风貌适宜、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绿色环保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的装配式绿色农房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（其中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2025年7月31日前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竣工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00套以上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实现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装配式绿色农房产业增加产值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000万以上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新建房屋建设质量、建设品质和建筑节能水平得到有效提升，为中国式现代化的湖南篇章提供可复制、可推广的农村住房建设发展经验。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三、重点工作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b w:val="0"/>
          <w:sz w:val="32"/>
          <w:szCs w:val="32"/>
          <w:lang w:val="en"/>
        </w:rPr>
      </w:pPr>
      <w:r>
        <w:rPr>
          <w:rFonts w:ascii="Times New Roman" w:hAnsi="Times New Roman" w:eastAsia="楷体_GB2312"/>
          <w:b w:val="0"/>
          <w:sz w:val="32"/>
          <w:szCs w:val="32"/>
          <w:lang w:val="en"/>
        </w:rPr>
        <w:t>（一）注重规划统筹。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1.编制发展规划。</w:t>
      </w:r>
      <w:r>
        <w:rPr>
          <w:rFonts w:ascii="Times New Roman" w:hAnsi="Times New Roman" w:eastAsia="仿宋_GB2312" w:cs="Times New Roman"/>
          <w:sz w:val="32"/>
          <w:szCs w:val="32"/>
        </w:rPr>
        <w:t>根据全县国土空间规划和村庄建设规划，编制《澧县装配式绿色农房发展规划（2024-2028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</w:t>
      </w:r>
      <w:r>
        <w:rPr>
          <w:rFonts w:ascii="Times New Roman" w:hAnsi="Times New Roman" w:eastAsia="仿宋_GB2312" w:cs="Times New Roman"/>
          <w:sz w:val="32"/>
          <w:szCs w:val="32"/>
        </w:rPr>
        <w:t>，明确今后五年全县装配式绿色农房建设的总体思路、工作目标、主要任务、重点项目等。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（责任单位：县住建局，各镇街）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2.引导村民集中建房。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农村居民新建自建房，除原址重建外，凡需要新占用土地的，在符合村庄建设规划并依法办理用地手续的基础上，原则上应相对集中建房。落实农村居民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一户一宅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政策，用好土地增减挂钩政策，结合自建房安全专项整治，加大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空心房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拆除和集体土地整理力度，化解农村居民建房土地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瓶颈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。农村危房改造、地质灾害搬迁安置、重点项目拆迁安置等政策性项目原则上应采用装配式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绿色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建造技术进行建造。</w:t>
      </w:r>
      <w:r>
        <w:rPr>
          <w:rFonts w:ascii="仿宋_GB2312" w:hAnsi="仿宋_GB2312" w:eastAsia="仿宋_GB2312" w:cs="仿宋_GB2312"/>
          <w:b/>
          <w:bCs/>
          <w:spacing w:val="2"/>
          <w:sz w:val="32"/>
          <w:szCs w:val="32"/>
        </w:rPr>
        <w:t>（责任单位：县自然资源局、县住建局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color w:val="FF0000"/>
          <w:spacing w:val="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"/>
          <w:sz w:val="32"/>
          <w:szCs w:val="32"/>
          <w:lang w:eastAsia="zh-CN"/>
        </w:rPr>
        <w:t>农经站</w:t>
      </w:r>
      <w:r>
        <w:rPr>
          <w:rFonts w:ascii="仿宋_GB2312" w:hAnsi="仿宋_GB2312" w:eastAsia="仿宋_GB2312" w:cs="仿宋_GB2312"/>
          <w:b/>
          <w:bCs/>
          <w:spacing w:val="2"/>
          <w:sz w:val="32"/>
          <w:szCs w:val="32"/>
        </w:rPr>
        <w:t>，各镇街）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3.推进集中连片示范。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引导居民在新建住房中优先采用装配式绿色建造技术，确保在建筑性能、样式、功能和施工工期等方面体现装配式农房优势。各镇（街道）应结合本地村庄建设规划，选择一个中心村（社区）建设装配式农房集中连片示范点，将示范点建成本地现代化农房展示体验中心，发挥示范带动作用。抓住宜常高铁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"/>
        </w:rPr>
        <w:t>张（石）澧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高铁过境澧县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机遇，重点支持城头山镇、澧西街道打造装配式绿色农房集中建造示范片，并参照小城镇标准，配套完善供电、供水、排水、垃圾收集处理等基础设施。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（责任单位：县自然资源局、</w:t>
      </w:r>
      <w:r>
        <w:rPr>
          <w:rFonts w:ascii="仿宋_GB2312" w:hAnsi="仿宋_GB2312" w:eastAsia="仿宋_GB2312" w:cs="仿宋_GB2312"/>
          <w:b/>
          <w:bCs/>
          <w:color w:val="FF0000"/>
          <w:spacing w:val="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"/>
          <w:sz w:val="32"/>
          <w:szCs w:val="32"/>
          <w:lang w:eastAsia="zh-CN"/>
        </w:rPr>
        <w:t>农经站</w:t>
      </w:r>
      <w:r>
        <w:rPr>
          <w:rFonts w:ascii="仿宋_GB2312" w:hAnsi="仿宋_GB2312" w:eastAsia="仿宋_GB2312" w:cs="仿宋_GB2312"/>
          <w:b/>
          <w:bCs/>
          <w:spacing w:val="2"/>
          <w:sz w:val="32"/>
          <w:szCs w:val="32"/>
        </w:rPr>
        <w:t>、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县住建局，各镇街）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</w:pPr>
      <w:r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  <w:t>（二）强化科技支撑。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4.建立地方标准体系。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编制《澧县装配式农房建设技术导则》，形成包括但不限于装配式混凝土结构、装配式钢结构（非轻钢）等技术体系，为装配式绿色农房建设提供技术支撑。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（责任单位：县住建局、县工信局）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5.公布企业和产品名录。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鼓励符合条件的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装配式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建筑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企业自愿决定参加试点，支持企业提供菜单式服务，根据宅基地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、地方习俗，提供设计方案和报价。县住建局根据企业报名情况，组织专家评审，并根据评审结果定期公布参与企业的名单和产品目录，方便建房居民自主选择。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b/>
          <w:bCs/>
          <w:color w:val="000000"/>
          <w:spacing w:val="4"/>
          <w:sz w:val="32"/>
          <w:szCs w:val="32"/>
        </w:rPr>
        <w:t>支持企业开展科研开发。</w:t>
      </w:r>
      <w:r>
        <w:rPr>
          <w:rFonts w:hint="eastAsia" w:ascii="Times New Roman" w:hAnsi="Times New Roman" w:eastAsia="仿宋_GB2312" w:cs="Times New Roman"/>
          <w:color w:val="FF0000"/>
          <w:spacing w:val="4"/>
          <w:sz w:val="32"/>
          <w:szCs w:val="32"/>
          <w:lang w:eastAsia="zh-CN"/>
        </w:rPr>
        <w:t>支持装配式建筑企业申报各级</w:t>
      </w:r>
      <w:r>
        <w:rPr>
          <w:rFonts w:ascii="Times New Roman" w:hAnsi="Times New Roman" w:eastAsia="仿宋_GB2312" w:cs="Times New Roman"/>
          <w:color w:val="FF0000"/>
          <w:spacing w:val="4"/>
          <w:sz w:val="32"/>
          <w:szCs w:val="32"/>
        </w:rPr>
        <w:t>科学技术计划项目，</w:t>
      </w:r>
      <w:r>
        <w:rPr>
          <w:rFonts w:hint="eastAsia" w:ascii="Times New Roman" w:hAnsi="Times New Roman" w:eastAsia="仿宋_GB2312" w:cs="Times New Roman"/>
          <w:color w:val="FF0000"/>
          <w:spacing w:val="4"/>
          <w:sz w:val="32"/>
          <w:szCs w:val="32"/>
          <w:lang w:eastAsia="zh-CN"/>
        </w:rPr>
        <w:t>争取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国家财政、金融、科技等政策</w:t>
      </w:r>
      <w:r>
        <w:rPr>
          <w:rFonts w:hint="eastAsia" w:ascii="Times New Roman" w:hAnsi="Times New Roman" w:eastAsia="仿宋_GB2312" w:cs="Times New Roman"/>
          <w:color w:val="FF0000"/>
          <w:spacing w:val="4"/>
          <w:sz w:val="32"/>
          <w:szCs w:val="32"/>
          <w:lang w:eastAsia="zh-CN"/>
        </w:rPr>
        <w:t>支持。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支持企业加大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装配式绿色农房研发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力度，研发实用美观、节能环保的新型装配式农房产品。推行装配式农房建筑、结构、设备和装修集成设计，推广通用化、模数化、标准化设计方式。搭建装配式农房数字化服务平台，运用建筑信息模型（BIM）、人工智能等技术为村民提供房屋设计、报建咨询、建造过程可视化等一站式服务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  <w:t>县科技局、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县住建局、县工信局、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  <w:t>县财政局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7.编制推广标准户型。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编制装配式绿色农房标准户型图集及造价预算清单并向社会公示，方便建房业主进行比价和选择。组织骨干企业建设装配式农房展示中心，以直观效果向群众展示宣传装配式建筑绿色环保、低碳节能、方便实用等优势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（责任单位：县住建局、县工信局）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</w:pPr>
      <w:r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  <w:t>（三）培育产业链条。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8.培育一批骨干企业。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指导PC构件龙头企业恒邦建工向涵盖研发、设计、制造、建造全品类的综合性企业集团转型；指导卫浴龙头企业鑫铃住房设备向模块化、智能化生产企业转变；指导其他PC构件企业以及本土门窗、木制品、卫浴企业抓好设备升级改造和新产品研发，提升产品竞争力；力争每年新增本土装配式绿色农房建设规上企业1-2家，实现装配式绿色农房产业增加值5000万元以上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（责任单位：县工信局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县住建局）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9.推广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一体化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建造。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打通装配式农房建造产业链，组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织本土上下游企业开展平行合作，降低装配式建造成本。推行装配式农房全装修与主体结构一体化设计和协同施工，为客户提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供从设计建造到装修入住的一站式平价解决方案。推广标准化、集成化、模块化装修模式，促进材料、部品和设备管线集成化等技术的应用，提高装配化装修水平。倡导菜单式全装修，满足农民个性化需求。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  <w:t>县住建局、县工信局）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</w:pPr>
      <w:r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  <w:t>（四）优化监管服务。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10.推行审批代办。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面推行装配式农房报建代办制，各镇（街道）政府（办事处）应安排专人，为建房村民提供全流程审批、验收、颁证等服务，其中限额以上（指三层及以上的居民自建房，工程投资额在30万元以上或建筑面积在300平米以上）装配式建造农房，县住建局应在3个工作日内发放施工许可；限额以下装配式建造农房，各镇（街道）应在2个工作日内做出行政许可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（责任单位：县住建局，各镇街）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11.强化建设监管。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"/>
        </w:rPr>
        <w:t>镇（街道）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政府（办事处）应落实属地管理责任，认真落实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六到场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制度，严格依法对装配式农房实施监管。县住建局应加强监管指导，对限额以下按照不低于20%的比例进行抽查，对限额以上采取政府购买服务的方式免费提供地勘、设计、检测及监理服务。对未依法履行主体责任的相关企业，依法依规实施处罚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（责任单位：县住建局，各镇街）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</w:pPr>
      <w:r>
        <w:rPr>
          <w:rFonts w:ascii="Times New Roman" w:hAnsi="Times New Roman" w:eastAsia="楷体_GB2312"/>
          <w:b w:val="0"/>
          <w:color w:val="000000"/>
          <w:sz w:val="32"/>
          <w:szCs w:val="32"/>
          <w:lang w:val="en"/>
        </w:rPr>
        <w:t>（五）强化政策推动。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12.</w:t>
      </w:r>
      <w:r>
        <w:rPr>
          <w:rFonts w:ascii="Times New Roman" w:hAnsi="Times New Roman" w:eastAsia="仿宋_GB2312" w:cs="Times New Roman"/>
          <w:b/>
          <w:bCs/>
          <w:color w:val="000000"/>
          <w:spacing w:val="-2"/>
          <w:sz w:val="32"/>
          <w:szCs w:val="32"/>
        </w:rPr>
        <w:t>加强财政支持。</w:t>
      </w: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</w:rPr>
        <w:t>农民自筹为主、企业降一点、政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府奖一点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的原则，多方筹集资金，降低建造成本，提高装配式绿色农房的可推广性。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试点期限内，对前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300套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农民建设的自住自用的装配式农房，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按照建筑面积100元/平方米（最高不超过2万/户）进行奖补；对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农民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（企业）建设的民宿等经营性装配式农房，按照建筑面积50元/平方米（最高不超过1万/户）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进行奖补。财政奖补的装配式农房，除基础可现场浇筑或砌筑外，其他主体结构构件（梁、柱、楼板、内外墙板、楼梯等）应全部采用工厂化生产的构件进行现场组装。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（责任单位：县住建局、县财政局）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13.提供人才支撑。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依托装配式建筑生产企业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和职业院校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，积极利用现有培训项目和计划，创新培训模式，分类开展基层装配式农房建设管理人员、企业技术人员、农村建筑工匠培训，培养一批装配式农房建设管理人才和实用型技能人才。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（责任单位：县人社局、县住建局，各镇街）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14.鼓励金融支持。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</w:rPr>
        <w:t>鼓励金融机构对开展装配式农房建设的项目和企业开辟绿色通道，加大信贷支持力度。鼓励金融机构对建设装配式农房的农民提供分期建房贷款，并在贷款额度、贷款期限及贷款利率等方面予以倾斜。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（责任单位：县金融发展服务中心）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四、保障措施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15.加强组织领导。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县住建局牵头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组建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装配式绿色农房发展专班，县发改局、</w:t>
      </w:r>
      <w:r>
        <w:rPr>
          <w:rFonts w:hint="eastAsia" w:ascii="Times New Roman" w:hAnsi="Times New Roman" w:eastAsia="仿宋_GB2312" w:cs="Times New Roman"/>
          <w:color w:val="FF0000"/>
          <w:spacing w:val="6"/>
          <w:sz w:val="32"/>
          <w:szCs w:val="32"/>
          <w:lang w:eastAsia="zh-CN"/>
        </w:rPr>
        <w:t>县农经站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县自然资源局、县工信局、县科技局、县财政局、</w:t>
      </w:r>
      <w:r>
        <w:rPr>
          <w:rFonts w:ascii="Times New Roman" w:hAnsi="Times New Roman" w:eastAsia="仿宋_GB2312" w:cs="Times New Roman"/>
          <w:sz w:val="32"/>
          <w:szCs w:val="32"/>
        </w:rPr>
        <w:t>县人社局、县金融发展服务中心等部门密切配合，形成工作合力。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住建局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、各相关部门）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16.加强资金管理。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积极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争取上级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专项资金，支持企业开展装配式绿色农房科研开发，对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农民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（企业）建设装配式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绿色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农房进行奖补。建立健全奖补资金管理使用制度，定期对奖补资金的管理使用情况进行监督检查，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专款专用。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（责任单位：县住建局、县财政局，各镇街）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17.加强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指导督导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由县住建局牵头，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建立建筑专业人才联系指导镇（街道）制度，并建立工作台账，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对重点任务、政策落实情况实行一月一调度、一月一会商，及时解决试点工作面临的问题。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（责任单位：县住建局）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18.加强宣传推广。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充分利用各类媒体，通过施工现场观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摩、专题报道等形式，大力宣传装配式农房政策、试点示范项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目及成效，提升农民对装配式农房的认知度、认可度，引导农民和企业积极参与装配式农房建设。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（责任单位：县融媒体中心、县住建局，各镇街）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lang w:val="en"/>
        </w:rPr>
      </w:pP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附件：澧县装配式绿色农房建设试点指导计划表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ascii="Times New Roman" w:hAnsi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800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澧县人民政府办公室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644" w:right="1587" w:bottom="1587" w:left="164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4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916"/>
        <w:gridCol w:w="1057"/>
        <w:gridCol w:w="1057"/>
        <w:gridCol w:w="1718"/>
        <w:gridCol w:w="1388"/>
        <w:gridCol w:w="1916"/>
        <w:gridCol w:w="1057"/>
        <w:gridCol w:w="1057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澧县装配式绿色农房建设试点指导计划表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示范片（点）名称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   计划数（栋）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  计划数（栋）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示范片（点）名称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   计划数（栋）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   计划数（栋）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澧西街道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澧阳平原示范片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荣家河示范点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梦溪镇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雷公塔示范点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澧阳街道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涔南镇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崔家岗示范点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澧浦街道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十回港示范点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驰马岗示范点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澧澹街道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邓家滩示范点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小渡口镇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出草坡示范点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澧南镇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天子山示范点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官垸镇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城头山镇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澧阳平原示范片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车溪河、彭头山、大庙3个示范点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王家厂镇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生产街示范点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</w:t>
            </w:r>
            <w:r>
              <w:rPr>
                <w:rStyle w:val="11"/>
                <w:lang w:val="en-US" w:eastAsia="zh-CN" w:bidi="ar"/>
              </w:rPr>
              <w:t>垱</w:t>
            </w:r>
            <w:r>
              <w:rPr>
                <w:rStyle w:val="12"/>
                <w:rFonts w:hAnsi="宋体"/>
                <w:lang w:val="en-US" w:eastAsia="zh-CN" w:bidi="ar"/>
              </w:rPr>
              <w:t>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九旺示范点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火连坡镇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花园湾示范点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金罗镇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甘溪滩镇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精华寺示范点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盐井镇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码头铺镇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杨家坊示范点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顺林桥示范点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sz w:val="144"/>
          <w:szCs w:val="144"/>
          <w:lang w:val="en-US" w:eastAsia="zh-CN"/>
        </w:rPr>
      </w:pPr>
    </w:p>
    <w:sectPr>
      <w:pgSz w:w="16838" w:h="11906" w:orient="landscape"/>
      <w:pgMar w:top="1644" w:right="1644" w:bottom="1587" w:left="1587" w:header="851" w:footer="992" w:gutter="0"/>
      <w:paperSrc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DB08"/>
    <w:rsid w:val="0CBDC13D"/>
    <w:rsid w:val="0EE3D8D7"/>
    <w:rsid w:val="14282327"/>
    <w:rsid w:val="153D2A62"/>
    <w:rsid w:val="1A4D1D08"/>
    <w:rsid w:val="1B6580CB"/>
    <w:rsid w:val="1C2F36D0"/>
    <w:rsid w:val="1DA77A64"/>
    <w:rsid w:val="1DFDD6B0"/>
    <w:rsid w:val="1F7F01C1"/>
    <w:rsid w:val="1FBB06C6"/>
    <w:rsid w:val="2777737A"/>
    <w:rsid w:val="2D5FAF43"/>
    <w:rsid w:val="2D7E9C71"/>
    <w:rsid w:val="2FFF103D"/>
    <w:rsid w:val="36B74440"/>
    <w:rsid w:val="377B4CA9"/>
    <w:rsid w:val="37CBCDF8"/>
    <w:rsid w:val="3D5BF651"/>
    <w:rsid w:val="3DBF9617"/>
    <w:rsid w:val="3DFBA13D"/>
    <w:rsid w:val="3EF911E9"/>
    <w:rsid w:val="3FB7179C"/>
    <w:rsid w:val="3FC57684"/>
    <w:rsid w:val="3FE7F2A1"/>
    <w:rsid w:val="3FEFB221"/>
    <w:rsid w:val="3FF06CD1"/>
    <w:rsid w:val="3FF1EDFF"/>
    <w:rsid w:val="3FF5B735"/>
    <w:rsid w:val="3FFBF98C"/>
    <w:rsid w:val="3FFD2C20"/>
    <w:rsid w:val="47AF6621"/>
    <w:rsid w:val="573DEE46"/>
    <w:rsid w:val="57FEDDE5"/>
    <w:rsid w:val="58E794B5"/>
    <w:rsid w:val="59D64271"/>
    <w:rsid w:val="5AC75E2F"/>
    <w:rsid w:val="5BEBE15E"/>
    <w:rsid w:val="5BFF9FAC"/>
    <w:rsid w:val="5DBF4B91"/>
    <w:rsid w:val="5DFD698D"/>
    <w:rsid w:val="5F85445B"/>
    <w:rsid w:val="5FBCB28E"/>
    <w:rsid w:val="5FE72D94"/>
    <w:rsid w:val="5FF5C036"/>
    <w:rsid w:val="5FFB8420"/>
    <w:rsid w:val="5FFD0F02"/>
    <w:rsid w:val="5FFF26AE"/>
    <w:rsid w:val="63FF6FCF"/>
    <w:rsid w:val="653F06D4"/>
    <w:rsid w:val="667F146E"/>
    <w:rsid w:val="6701A937"/>
    <w:rsid w:val="6BFBB815"/>
    <w:rsid w:val="6C77A657"/>
    <w:rsid w:val="6EFE566A"/>
    <w:rsid w:val="6F6E1D04"/>
    <w:rsid w:val="6FBDDA29"/>
    <w:rsid w:val="6FEB7149"/>
    <w:rsid w:val="6FF3ECBB"/>
    <w:rsid w:val="707DD805"/>
    <w:rsid w:val="71F989A8"/>
    <w:rsid w:val="7238D738"/>
    <w:rsid w:val="735A8C50"/>
    <w:rsid w:val="73FF6AA4"/>
    <w:rsid w:val="757F9BCC"/>
    <w:rsid w:val="75B25362"/>
    <w:rsid w:val="75EFD292"/>
    <w:rsid w:val="773BB720"/>
    <w:rsid w:val="77626BD0"/>
    <w:rsid w:val="77BF91AD"/>
    <w:rsid w:val="77E7B9E2"/>
    <w:rsid w:val="77FFDDE4"/>
    <w:rsid w:val="79DFD445"/>
    <w:rsid w:val="79F5EA87"/>
    <w:rsid w:val="7B5FDB08"/>
    <w:rsid w:val="7B9FD99D"/>
    <w:rsid w:val="7BB322CE"/>
    <w:rsid w:val="7BBBF0EA"/>
    <w:rsid w:val="7BDFE400"/>
    <w:rsid w:val="7BFF2847"/>
    <w:rsid w:val="7C9FEA34"/>
    <w:rsid w:val="7CA94732"/>
    <w:rsid w:val="7CED5A6C"/>
    <w:rsid w:val="7CFCD1AA"/>
    <w:rsid w:val="7D3EA9D4"/>
    <w:rsid w:val="7D3EF5D9"/>
    <w:rsid w:val="7DADDB12"/>
    <w:rsid w:val="7DD2C142"/>
    <w:rsid w:val="7DFB705F"/>
    <w:rsid w:val="7DFF0018"/>
    <w:rsid w:val="7E6D4FCD"/>
    <w:rsid w:val="7E971291"/>
    <w:rsid w:val="7EB43BEA"/>
    <w:rsid w:val="7EF77A76"/>
    <w:rsid w:val="7EFBDE31"/>
    <w:rsid w:val="7EFBE9DE"/>
    <w:rsid w:val="7EFD886B"/>
    <w:rsid w:val="7F1E706E"/>
    <w:rsid w:val="7F3E43D4"/>
    <w:rsid w:val="7F670256"/>
    <w:rsid w:val="7F7B51DC"/>
    <w:rsid w:val="7F7BB471"/>
    <w:rsid w:val="7FDE2BC4"/>
    <w:rsid w:val="7FF81756"/>
    <w:rsid w:val="7FF9F58C"/>
    <w:rsid w:val="7FFF0390"/>
    <w:rsid w:val="7FFF1AA2"/>
    <w:rsid w:val="860F0E40"/>
    <w:rsid w:val="87FF9D14"/>
    <w:rsid w:val="8BFFE64E"/>
    <w:rsid w:val="8E3F2218"/>
    <w:rsid w:val="8F7DE182"/>
    <w:rsid w:val="9B693CC6"/>
    <w:rsid w:val="9F6315F4"/>
    <w:rsid w:val="9F6F535C"/>
    <w:rsid w:val="9FFA38DF"/>
    <w:rsid w:val="A24B787F"/>
    <w:rsid w:val="A8155BBC"/>
    <w:rsid w:val="AF6D7994"/>
    <w:rsid w:val="AFFF8AD4"/>
    <w:rsid w:val="B3D7D8DD"/>
    <w:rsid w:val="B56DF6D1"/>
    <w:rsid w:val="B57D4DEA"/>
    <w:rsid w:val="B5CED383"/>
    <w:rsid w:val="B75F3AA4"/>
    <w:rsid w:val="B77DAEA4"/>
    <w:rsid w:val="B9EFF119"/>
    <w:rsid w:val="BAF992A4"/>
    <w:rsid w:val="BE659EEC"/>
    <w:rsid w:val="BEF83950"/>
    <w:rsid w:val="BFD62209"/>
    <w:rsid w:val="BFFE39CB"/>
    <w:rsid w:val="BFFED7D8"/>
    <w:rsid w:val="BFFF3F8F"/>
    <w:rsid w:val="BFFF82BB"/>
    <w:rsid w:val="C5EF5D9A"/>
    <w:rsid w:val="C7C3275A"/>
    <w:rsid w:val="CB7F971E"/>
    <w:rsid w:val="CD65B7DF"/>
    <w:rsid w:val="CDFF76E5"/>
    <w:rsid w:val="CFFCA2BA"/>
    <w:rsid w:val="CFFDFC81"/>
    <w:rsid w:val="D5FD6EF0"/>
    <w:rsid w:val="D7EFF768"/>
    <w:rsid w:val="DBBF99D9"/>
    <w:rsid w:val="DBFB3711"/>
    <w:rsid w:val="DBFF0D0A"/>
    <w:rsid w:val="DDEE71B7"/>
    <w:rsid w:val="DDFF48BE"/>
    <w:rsid w:val="DDFF8A70"/>
    <w:rsid w:val="DF67BB1D"/>
    <w:rsid w:val="DF6F981C"/>
    <w:rsid w:val="DFF14EE8"/>
    <w:rsid w:val="DFF650DF"/>
    <w:rsid w:val="DFF7F605"/>
    <w:rsid w:val="DFF9BFCE"/>
    <w:rsid w:val="DFFF4F65"/>
    <w:rsid w:val="E3FACA2F"/>
    <w:rsid w:val="E72B69A8"/>
    <w:rsid w:val="E72F2202"/>
    <w:rsid w:val="E747A5CF"/>
    <w:rsid w:val="E7BF1945"/>
    <w:rsid w:val="E7D75710"/>
    <w:rsid w:val="E7DFF7E0"/>
    <w:rsid w:val="E7E6DCF2"/>
    <w:rsid w:val="EA4506DF"/>
    <w:rsid w:val="EBDCDF03"/>
    <w:rsid w:val="EECC90FE"/>
    <w:rsid w:val="EF2F73D3"/>
    <w:rsid w:val="EF8D7799"/>
    <w:rsid w:val="EFDB9FDC"/>
    <w:rsid w:val="EFDFD167"/>
    <w:rsid w:val="F0F6FBD1"/>
    <w:rsid w:val="F3DFD49D"/>
    <w:rsid w:val="F3F3AC92"/>
    <w:rsid w:val="F57DE3C6"/>
    <w:rsid w:val="F5BFA5E7"/>
    <w:rsid w:val="F5FF5219"/>
    <w:rsid w:val="F6F5E971"/>
    <w:rsid w:val="F79765BB"/>
    <w:rsid w:val="F7F7BEEF"/>
    <w:rsid w:val="F7FB084E"/>
    <w:rsid w:val="F7FE6AC9"/>
    <w:rsid w:val="F7FF4120"/>
    <w:rsid w:val="F7FFFB82"/>
    <w:rsid w:val="FA5F5CCB"/>
    <w:rsid w:val="FAEDC68F"/>
    <w:rsid w:val="FBEF96E6"/>
    <w:rsid w:val="FBF7B236"/>
    <w:rsid w:val="FBFEC1F6"/>
    <w:rsid w:val="FBFFD0C3"/>
    <w:rsid w:val="FCEA4BD0"/>
    <w:rsid w:val="FCF1C772"/>
    <w:rsid w:val="FCFF3883"/>
    <w:rsid w:val="FDA765CD"/>
    <w:rsid w:val="FDCDF4CC"/>
    <w:rsid w:val="FDEB44ED"/>
    <w:rsid w:val="FDF6559C"/>
    <w:rsid w:val="FDFEB26C"/>
    <w:rsid w:val="FDFFC53B"/>
    <w:rsid w:val="FE3DC11A"/>
    <w:rsid w:val="FE7EA3FB"/>
    <w:rsid w:val="FE7F5B6F"/>
    <w:rsid w:val="FEDEB61D"/>
    <w:rsid w:val="FEF75E05"/>
    <w:rsid w:val="FEFFD1C5"/>
    <w:rsid w:val="FF593051"/>
    <w:rsid w:val="FF661D9E"/>
    <w:rsid w:val="FF991965"/>
    <w:rsid w:val="FF9F3394"/>
    <w:rsid w:val="FFB781C6"/>
    <w:rsid w:val="FFBFE488"/>
    <w:rsid w:val="FFED8211"/>
    <w:rsid w:val="FFEF6346"/>
    <w:rsid w:val="FFF948EB"/>
    <w:rsid w:val="FFFF77EB"/>
    <w:rsid w:val="FFFF7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60" w:lineRule="exact"/>
      <w:ind w:left="250" w:leftChars="250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2024-08-30T07:44:00Z</dcterms:created>
  <dc:creator>kylin</dc:creator>
  <cp:lastModifiedBy>wps</cp:lastModifiedBy>
  <cp:lastPrinted>2024-09-03T09:48:30Z</cp:lastPrinted>
  <dcterms:modified xsi:type="dcterms:W3CDTF">2024-09-13T07:12:06Z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1A0A046F16AE454885DF562D9858E68F_13</vt:lpwstr>
  </property>
</Properties>
</file>